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right"/>
        <w:ind w:right="40"/>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333-141640</w:t>
      </w:r>
    </w:p>
    <w:p>
      <w:pPr>
        <w:spacing w:after="0" w:line="2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203835</wp:posOffset>
            </wp:positionV>
            <wp:extent cx="2058035" cy="677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47,012,993 Ordinary Shares</w:t>
      </w:r>
    </w:p>
    <w:p>
      <w:pPr>
        <w:spacing w:after="0" w:line="225" w:lineRule="exact"/>
        <w:rPr>
          <w:sz w:val="24"/>
          <w:szCs w:val="24"/>
          <w:color w:val="auto"/>
        </w:rPr>
      </w:pPr>
    </w:p>
    <w:p>
      <w:pPr>
        <w:ind w:right="200" w:firstLine="348"/>
        <w:spacing w:after="0" w:line="268" w:lineRule="auto"/>
        <w:rPr>
          <w:sz w:val="20"/>
          <w:szCs w:val="20"/>
          <w:color w:val="auto"/>
        </w:rPr>
      </w:pPr>
      <w:r>
        <w:rPr>
          <w:rFonts w:ascii="Arial" w:cs="Arial" w:eastAsia="Arial" w:hAnsi="Arial"/>
          <w:sz w:val="18"/>
          <w:szCs w:val="18"/>
          <w:color w:val="auto"/>
        </w:rPr>
        <w:t>This prospectus relates to the resale, from time to time, by the selling stockholders named in this prospectus of up to 47,012,993 ordinary shares, including 28,207,796 ordinary shares issuable upon exercise of outstanding warrants held by the selling stockholders.</w:t>
      </w:r>
    </w:p>
    <w:p>
      <w:pPr>
        <w:spacing w:after="0" w:line="186" w:lineRule="exact"/>
        <w:rPr>
          <w:sz w:val="24"/>
          <w:szCs w:val="24"/>
          <w:color w:val="auto"/>
        </w:rPr>
      </w:pPr>
    </w:p>
    <w:p>
      <w:pPr>
        <w:ind w:firstLine="348"/>
        <w:spacing w:after="0" w:line="256" w:lineRule="auto"/>
        <w:rPr>
          <w:sz w:val="20"/>
          <w:szCs w:val="20"/>
          <w:color w:val="auto"/>
        </w:rPr>
      </w:pPr>
      <w:r>
        <w:rPr>
          <w:rFonts w:ascii="Arial" w:cs="Arial" w:eastAsia="Arial" w:hAnsi="Arial"/>
          <w:sz w:val="18"/>
          <w:szCs w:val="18"/>
          <w:color w:val="auto"/>
        </w:rPr>
        <w:t>The selling stockholders may sell all or any portion of these ordinary shares in one or more transactions through (i) Nasdaq, the Tel Aviv Stock Exchange, in the over-the-counter market, in privately negotiated transactions or otherwise; (ii) directly to purchasers or through agents, brokers, dealers or underwriters; (iii) at market prices prevailing at the time of sale, at prices related to such prevailing market prices, or at negotiated prices; or (iv) or any other means described in the section entitled “Plan of Distribution.”</w:t>
      </w:r>
    </w:p>
    <w:p>
      <w:pPr>
        <w:spacing w:after="0" w:line="197" w:lineRule="exact"/>
        <w:rPr>
          <w:sz w:val="24"/>
          <w:szCs w:val="24"/>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Our ordinary shares are listed on the NASDAQ Global Market under the symbol “TSEM” and on the Tel Aviv Stock Exchange in Israel under the symbol “TSEM.” On May 13, 2007, the last reported sale price of our ordinary shares on the NASDAQ Global Market was $1.81 per share and on the Tel Aviv Stock Exchange was NIS 7.249 per share.</w:t>
      </w:r>
    </w:p>
    <w:p>
      <w:pPr>
        <w:spacing w:after="0" w:line="188"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beginning on page 2.</w:t>
      </w:r>
    </w:p>
    <w:p>
      <w:pPr>
        <w:spacing w:after="0" w:line="225" w:lineRule="exact"/>
        <w:rPr>
          <w:sz w:val="24"/>
          <w:szCs w:val="24"/>
          <w:color w:val="auto"/>
        </w:rPr>
      </w:pPr>
    </w:p>
    <w:p>
      <w:pPr>
        <w:jc w:val="both"/>
        <w:ind w:right="58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May 23,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60" w:type="dxa"/>
            <w:vAlign w:val="bottom"/>
            <w:gridSpan w:val="4"/>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19"/>
                <w:szCs w:val="19"/>
                <w:color w:val="auto"/>
              </w:rPr>
            </w:pPr>
          </w:p>
        </w:tc>
      </w:tr>
      <w:tr>
        <w:trPr>
          <w:trHeight w:val="475"/>
        </w:trPr>
        <w:tc>
          <w:tcPr>
            <w:tcW w:w="32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1">
              <w:r>
                <w:rPr>
                  <w:rFonts w:ascii="Arial" w:cs="Arial" w:eastAsia="Arial" w:hAnsi="Arial"/>
                  <w:sz w:val="18"/>
                  <w:szCs w:val="18"/>
                  <w:color w:val="0000EE"/>
                  <w:w w:val="93"/>
                </w:rPr>
                <w:t>ABOUT TOWER SEMICONDUCTOR LTD</w:t>
              </w:r>
            </w:hyperlink>
          </w:p>
        </w:tc>
        <w:tc>
          <w:tcPr>
            <w:tcW w:w="6700" w:type="dxa"/>
            <w:vAlign w:val="bottom"/>
            <w:gridSpan w:val="5"/>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RISK FACTORS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SPECIAL NOTE ON FORWARD-LOOKING STATEMENTS</w:t>
              </w:r>
            </w:hyperlink>
          </w:p>
        </w:tc>
        <w:tc>
          <w:tcPr>
            <w:tcW w:w="546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CAPITALIZATION</w:t>
              </w:r>
            </w:hyperlink>
          </w:p>
        </w:tc>
        <w:tc>
          <w:tcPr>
            <w:tcW w:w="846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USE OF PROCEEDS</w:t>
              </w:r>
            </w:hyperlink>
          </w:p>
        </w:tc>
        <w:tc>
          <w:tcPr>
            <w:tcW w:w="8340" w:type="dxa"/>
            <w:vAlign w:val="bottom"/>
            <w:gridSpan w:val="9"/>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PLAN OF DISTRIBUTION</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SELLING STOCKHOLDERS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SHARE CAPITAL</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FOREIGN EXCHANGE CONTROLS AND OTHER LIMITATIONS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9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TAXATION</w:t>
              </w:r>
            </w:hyperlink>
          </w:p>
        </w:tc>
        <w:tc>
          <w:tcPr>
            <w:tcW w:w="496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DIVIDEND POLICY</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LEGAL MATTERS</w:t>
              </w:r>
            </w:hyperlink>
          </w:p>
        </w:tc>
        <w:tc>
          <w:tcPr>
            <w:tcW w:w="836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8480" w:type="dxa"/>
            <w:vAlign w:val="bottom"/>
            <w:gridSpan w:val="1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ENFORCEABILITY OF CIVIL LIABILITIES AND AGENT FOR SERVICE OF PROCESS IN THE UNITED STATES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WHERE YOU CAN FIND MORE INFORMATION; INCORPORATION OF INFORMATION BY REFERENCE</w:t>
              </w:r>
            </w:hyperlink>
          </w:p>
        </w:tc>
        <w:tc>
          <w:tcPr>
            <w:tcW w:w="480" w:type="dxa"/>
            <w:vAlign w:val="bottom"/>
            <w:tcBorders>
              <w:top w:val="single" w:sz="8" w:color="0000EE"/>
            </w:tcBorders>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280670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TOWER SEMICONDUCTOR LTD.</w:t>
      </w:r>
    </w:p>
    <w:p>
      <w:pPr>
        <w:spacing w:after="0" w:line="312"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72"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 Depending on the process technology and product mix, as of March 31, 2007, Fab 1 is able to achieve capacity levels of approximately 16,000 wafers per month.</w:t>
      </w:r>
    </w:p>
    <w:p>
      <w:pPr>
        <w:spacing w:after="0" w:line="197"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licensed from Freescale and Toshiba</w:t>
      </w:r>
    </w:p>
    <w:p>
      <w:pPr>
        <w:sectPr>
          <w:pgSz w:w="11900" w:h="16963" w:orient="portrait"/>
          <w:cols w:equalWidth="0" w:num="1">
            <w:col w:w="11420"/>
          </w:cols>
          <w:pgMar w:left="240" w:top="428" w:right="239" w:bottom="0" w:gutter="0" w:footer="0" w:header="0"/>
        </w:sectPr>
      </w:pPr>
    </w:p>
    <w:bookmarkStart w:id="1" w:name="page2"/>
    <w:bookmarkEnd w:id="1"/>
    <w:p>
      <w:pPr>
        <w:ind w:right="160"/>
        <w:spacing w:after="0" w:line="259" w:lineRule="auto"/>
        <w:rPr>
          <w:sz w:val="20"/>
          <w:szCs w:val="20"/>
          <w:color w:val="auto"/>
        </w:rPr>
      </w:pPr>
      <w:r>
        <w:rPr>
          <w:rFonts w:ascii="Arial" w:cs="Arial" w:eastAsia="Arial" w:hAnsi="Arial"/>
          <w:sz w:val="18"/>
          <w:szCs w:val="18"/>
          <w:color w:val="auto"/>
        </w:rPr>
        <w:t>and other technologies that we developed and will develop independently or with development partners. Production capacity of Fab 2 as of March 31, 2007 was approximately 19,000 wafers per month. Depending on the process technology and product mix, when fully ramped-up we estimate that Fab 2 will be able to achieve capacity levels of up to approximately 40,000 wafers per month.</w:t>
      </w:r>
    </w:p>
    <w:p>
      <w:pPr>
        <w:spacing w:after="0" w:line="19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186"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 xml:space="preserve">Additional information about us and our operations may be found at our web site: </w:t>
      </w:r>
      <w:r>
        <w:rPr>
          <w:rFonts w:ascii="Arial" w:cs="Arial" w:eastAsia="Arial" w:hAnsi="Arial"/>
          <w:sz w:val="18"/>
          <w:szCs w:val="18"/>
          <w:u w:val="single" w:color="auto"/>
          <w:color w:val="auto"/>
        </w:rPr>
        <w:t>www.towersemi.com</w:t>
      </w:r>
      <w:r>
        <w:rPr>
          <w:rFonts w:ascii="Arial" w:cs="Arial" w:eastAsia="Arial" w:hAnsi="Arial"/>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securities.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Affecting Our Business</w:t>
      </w:r>
    </w:p>
    <w:p>
      <w:pPr>
        <w:spacing w:after="0" w:line="306"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If we do not have sufficient funds to fully equip Fab 2 and/or if we do not complete the equipment installation, technology transfer and ramp-up of production in Fab 2, our business will be materially adversely affected.</w:t>
      </w:r>
    </w:p>
    <w:p>
      <w:pPr>
        <w:spacing w:after="0" w:line="180" w:lineRule="exact"/>
        <w:rPr>
          <w:sz w:val="20"/>
          <w:szCs w:val="20"/>
          <w:color w:val="auto"/>
        </w:rPr>
      </w:pPr>
    </w:p>
    <w:p>
      <w:pPr>
        <w:ind w:right="120" w:firstLine="351"/>
        <w:spacing w:after="0" w:line="285" w:lineRule="auto"/>
        <w:rPr>
          <w:sz w:val="20"/>
          <w:szCs w:val="20"/>
          <w:color w:val="auto"/>
        </w:rPr>
      </w:pPr>
      <w:r>
        <w:rPr>
          <w:rFonts w:ascii="Arial" w:cs="Arial" w:eastAsia="Arial" w:hAnsi="Arial"/>
          <w:sz w:val="16"/>
          <w:szCs w:val="16"/>
          <w:color w:val="auto"/>
        </w:rPr>
        <w:t>Fab 2 production capacity as of March 31, 2007 was approximately 19,000 wafers per month. In March 2006, our board of directors approved a plan to ramp-up Fab 2 production capacity to approximately 24,000 wafers per month which we are currently implementing. Depending on the process technology and product mix, when fully ramped-up, we estimate that Fab 2 will be able to achieve capacity levels of approximately 40,000 wafers per month. Our determination as to the timing of the implementation of the ramp-up of Fab 2 and the increase in Fab 2’s production levels above 24,000 wafers per month is dependent on prevailing and forecasted market conditions and our ability to fund these increases. We have not commenced, and there can be no assurance when or if we will commence, the acquisition, installation, equipping and financing necessary in order for production at our Fab 2 facility to exceed 24,000 wafers per month. The ramp-up of Fab 2 is a substantial and complex project. If we cannot fund the ramp-up of Fab 2 or otherwise successfully complete the ramp-up of Fab 2, including the plan approved by our board of directors in March 2006, we may be unable to meet our customers’ production demands and as a result we may lose customers and may not attract new ones. In addition, if we do not execute the acquisition, installation and equipping necessary in order for production at our Fab 2 facility to exceed 24,000 wafers per month or otherwise cannot successfully complete the ramp-up of Fab 2, we will not fully utilize the substantial investment made in constructing Fab 2, which will adversely affect our financial results. In order to fully ramp-up Fab 2 from approximately 24,000 wafers per month, we currently estimate we would need to raise approximately up to $120 million. We will also need to continue to develop new process technologies in order to suit our customers’ needs. In addition,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7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If the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cease our operations.</w:t>
      </w:r>
    </w:p>
    <w:p>
      <w:pPr>
        <w:spacing w:after="0" w:line="196"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In connection with Fab 2, we received approval for grants and tax benefits from the Investment Center of the Israeli Ministry of Industry, Trade and Labor (Investment Center) under its Approved Enterprise Program. Under the terms of the approval, we were eligible to receive grants of 20% of up to $1.25 billion invested in Fab 2 plant and equipment, or an aggregate of up to $250 million. As of March 31, 2007, we received a cumulative amount of approximately $163 million in grants from the Investment Center in relation to Fab 2.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During the period from January 1, 2006 until March 31, 2006, we have invested approximately $160 million in Fab 2 plant and equipment.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seek alternative financing sources to further ramp-up Fab 2 capacity from approximately 24,000 wafers per month,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alternative financing sources to refund the grants we received and if we do not succeed in finding such alternative financing sources, we may have to cease our operations.</w:t>
      </w:r>
    </w:p>
    <w:p>
      <w:pPr>
        <w:sectPr>
          <w:pgSz w:w="11900" w:h="16838" w:orient="portrait"/>
          <w:cols w:equalWidth="0" w:num="1">
            <w:col w:w="11420"/>
          </w:cols>
          <w:pgMar w:left="240" w:top="131" w:right="239" w:bottom="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If our future operations do not increase or if we fail to raise additional funding, we may be unable to repay our debt on a timely basis.</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There is no assurance that our future operations will increase or that we will succeed in raising additional funding required for the completion of the ramp up of Fab 2 and the repayment of our short-term and long-term debt, which consists mainly of bank debt, trade accounts payable and convertible debentures. As a result, our ramp-up of Fab 2 may be delayed and we may be unable to repay on time or repay at all our short-term and long-term debt, which may significantly harm our financial results or cause us to cease our operations. In accordance with our amended facility agreement with Bank Hapoalim B.M. and Bank Leumi Le-Israel B.M., our banks, we are required to repay principal in the amount of approximately $369 million in 12 quarterly installments between September 2009 and June 2012. In the event that we will not be in compliance with the repayment schedule set forth in our amended facility agreement and we are unsuccessful in negotiating a revised repayment schedule or our banks do not waive our non-compliance, pursuant to the terms of our amended facility agreement, our banks may require us to immediately repay all loans made by them to us, plus penalties, and they would be entitled to exercise the remedies available to them under our credit amended facility, including enforcement of their lien against all our assets. This would have a material adverse effect on our company. In addition, we cannot assure you we will be successful at negotiating price reductions and arrangements to slow down or postpone payments to our suppliers and service providers, or negotiating revised repayment schedules of our other debt, when we have liquidity problems.</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8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have a history of operating losses and expect to operate at a loss for the foreseeable future; our facilities must operate at high utilization rates for us to reduce our losses.</w:t>
      </w:r>
    </w:p>
    <w:p>
      <w:pPr>
        <w:spacing w:after="0" w:line="18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for us to reduce our losses.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continue to operate at a loss for the foreseeable future, which may adversely affect our business and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1160" w:right="400" w:hanging="567"/>
        <w:spacing w:after="0" w:line="268" w:lineRule="auto"/>
        <w:rPr>
          <w:sz w:val="20"/>
          <w:szCs w:val="20"/>
          <w:color w:val="auto"/>
        </w:rPr>
      </w:pPr>
      <w:r>
        <w:rPr>
          <w:rFonts w:ascii="Arial" w:cs="Arial" w:eastAsia="Arial" w:hAnsi="Arial"/>
          <w:sz w:val="18"/>
          <w:szCs w:val="18"/>
          <w:color w:val="auto"/>
        </w:rPr>
        <w:t>—The loss of a key customer, postponement of an order from a key customer, failure of a key customer to pay accounts receivables in a timely manner or the financial condition of our customers;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for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 and</w:t>
      </w:r>
    </w:p>
    <w:p>
      <w:pPr>
        <w:sectPr>
          <w:pgSz w:w="11900" w:h="16838" w:orient="portrait"/>
          <w:cols w:equalWidth="0" w:num="1">
            <w:col w:w="11420"/>
          </w:cols>
          <w:pgMar w:left="240" w:top="125" w:right="239" w:bottom="0" w:gutter="0" w:footer="0" w:header="0"/>
        </w:sectPr>
      </w:pPr>
    </w:p>
    <w:bookmarkStart w:id="3" w:name="page4"/>
    <w:bookmarkEnd w:id="3"/>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New accounting rules affecting our results.</w:t>
      </w:r>
    </w:p>
    <w:p>
      <w:pPr>
        <w:spacing w:after="0" w:line="200" w:lineRule="exact"/>
        <w:rPr>
          <w:sz w:val="20"/>
          <w:szCs w:val="20"/>
          <w:color w:val="auto"/>
        </w:rPr>
      </w:pPr>
    </w:p>
    <w:p>
      <w:pPr>
        <w:spacing w:after="0" w:line="268"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 including our operating results, financial condition and ability to maintain our operations.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8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 If orders received from our customers differ from our expectations with respect to the product, volume, price or other items, our operating results, financial condition and ability to maintain our operations may be adversely affected.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cycles may be long and, as a result, orders received may not meet our expectations which may adversely affect our operating results.</w:t>
      </w:r>
    </w:p>
    <w:p>
      <w:pPr>
        <w:spacing w:after="0" w:line="2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financial condition and ability to maintain our operations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dependent on the demand in our customers’ end markets.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attract additional customers, our business may be adversely affected.</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During the three months ended March 31, 2007, approximately 61% of our business was generated by five significant customers that contributed 33%, 11%, 7%, 5% and 5% of our revenues, respectively. We expect to continue to receive a significant portion of our revenue from a limited number of customers for the foreseeable future. Loss or cancellation of business from, or decreases in, the sales volume or sales prices to our significant customers, could seriously harm our financial results, revenues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relatively small number of products for a significant portion of our revenues.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receive orders from our wafer partners we may have excess capacity.</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Furthermore, we have committed to reserve for SanDisk volume quantities of 0.13 micron wafers during 2007 and 2008 and have granted SanDisk a right of first refusal on a portion of our expected 0.13 micron manufacturing capacity in 2009.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not be able to attract new ones.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4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evolving industry standards;</w:t>
      </w:r>
    </w:p>
    <w:p>
      <w:pPr>
        <w:sectPr>
          <w:pgSz w:w="11900" w:h="16838" w:orient="portrait"/>
          <w:cols w:equalWidth="0" w:num="1">
            <w:col w:w="11420"/>
          </w:cols>
          <w:pgMar w:left="240" w:top="131" w:right="239" w:bottom="0" w:gutter="0" w:footer="0" w:header="0"/>
          <w:type w:val="continuous"/>
        </w:sectPr>
      </w:pPr>
    </w:p>
    <w:bookmarkStart w:id="4" w:name="page5"/>
    <w:bookmarkEnd w:id="4"/>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we will lose business to our competitors.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semiconductor foundry industry is highly competitive. We compete with more than ten independent dedicated foundries, the majority of which are located in Asia-Pacific, including foundries based in Taiwan, China, Korea and Malaysia, and with over twenty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large amount of debt which could have significant negative consequences.</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have a large amount of long-term debt, which could have significant negative consequences. As of March 31, 2007, we had approximately $369 million of bank debt and approximately $90 million of convertible debt. Our current and future indebtedness could have significant negative consequences, including:</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placing us at a competitive disadvantage to less leveraged competitors and competitors that have better access to capital resources;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satisfy the covenants set forth in our amended credit facility, our banks will be able to call our loans.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Our credit facility, under which we are required to repay principal in the amount of approximately $369 million, requires that we comply with certain financial ratios and covenants. Should we fail to comply with our revised ratios and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banking laws may impose restrictions on the total debt that we may borrow from our banks.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Pursuant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our banks exceed these limitations, they may limit our ability to borrow other money in the future and may require us to return some or all of our outstanding borrowings (which were approximately $369 million), which may have a material adverse effect on our business, financial condition and results of operations.</w:t>
      </w:r>
    </w:p>
    <w:p>
      <w:pPr>
        <w:sectPr>
          <w:pgSz w:w="11900" w:h="16838" w:orient="portrait"/>
          <w:cols w:equalWidth="0" w:num="1">
            <w:col w:w="11340"/>
          </w:cols>
          <w:pgMar w:left="240" w:top="374" w:right="319" w:bottom="94" w:gutter="0" w:footer="0" w:header="0"/>
        </w:sectPr>
      </w:pPr>
    </w:p>
    <w:bookmarkStart w:id="5" w:name="page6"/>
    <w:bookmarkEnd w:id="5"/>
    <w:p>
      <w:pPr>
        <w:ind w:right="340"/>
        <w:spacing w:after="0" w:line="275" w:lineRule="auto"/>
        <w:rPr>
          <w:sz w:val="20"/>
          <w:szCs w:val="20"/>
          <w:color w:val="auto"/>
        </w:rPr>
      </w:pPr>
      <w:r>
        <w:rPr>
          <w:rFonts w:ascii="Arial" w:cs="Arial" w:eastAsia="Arial" w:hAnsi="Arial"/>
          <w:sz w:val="18"/>
          <w:szCs w:val="18"/>
          <w:b w:val="1"/>
          <w:bCs w:val="1"/>
          <w:color w:val="auto"/>
        </w:rPr>
        <w:t>If we experience difficulty in achieving acceptable device yields, product performance and delivery times as a result of manufacturing problems, our business will be adversely affected.</w:t>
      </w:r>
    </w:p>
    <w:p>
      <w:pPr>
        <w:spacing w:after="0" w:line="180"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operating results, financial condition and ability to maintain our operations.</w:t>
      </w:r>
    </w:p>
    <w:p>
      <w:pPr>
        <w:spacing w:after="0" w:line="19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currency exchange and interest rate fluctuations and inflation may increase our cost of operations.</w:t>
      </w:r>
    </w:p>
    <w:p>
      <w:pPr>
        <w:spacing w:after="0" w:line="231"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dollar amount of our operations, which is denominated in NIS, is influenced by the timing of any change in the rate of inflation in Israel and the extent to which such change is not offset by the change in valuation of the NIS in relation to the U.S. dollar. Outstanding principal and interest on some of our convertible debentures is linked to the Israeli consumer price index (CPI) and therefore, our dollar costs will increase if inflation in Israel exceeds the devaluation of the NIS against the U.S. dollar, or if the timing of such devaluation lags behind inflation in Israel.</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6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and inflation, which may increase the cost of our operating and financing activities.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depend on third party intellectual property in order for us to provide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to defend our intellectual property rights could harm our business.</w:t>
      </w:r>
    </w:p>
    <w:p>
      <w:pPr>
        <w:spacing w:after="0" w:line="25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w:t>
      </w:r>
    </w:p>
    <w:p>
      <w:pPr>
        <w:spacing w:after="0" w:line="174"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ectPr>
          <w:pgSz w:w="11900" w:h="16838" w:orient="portrait"/>
          <w:cols w:equalWidth="0" w:num="1">
            <w:col w:w="11420"/>
          </w:cols>
          <w:pgMar w:left="240" w:top="125" w:right="239" w:bottom="40" w:gutter="0" w:footer="0" w:header="0"/>
        </w:sectPr>
      </w:pPr>
    </w:p>
    <w:bookmarkStart w:id="6" w:name="page7"/>
    <w:bookmarkEnd w:id="6"/>
    <w:p>
      <w:pPr>
        <w:ind w:firstLine="341"/>
        <w:spacing w:after="0" w:line="255" w:lineRule="auto"/>
        <w:rPr>
          <w:sz w:val="20"/>
          <w:szCs w:val="20"/>
          <w:color w:val="auto"/>
        </w:rPr>
      </w:pPr>
      <w:r>
        <w:rPr>
          <w:rFonts w:ascii="Arial" w:cs="Arial" w:eastAsia="Arial" w:hAnsi="Arial"/>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7"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As of December 31, 2006, we held 60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3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312"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repay grants to the Investment Center that we received in connection with Fab 1.</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pacing w:after="0" w:line="23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have made substantial sales to customers located in Asia-Pacific and in Europe. Because of our international operations, we are vulnerable to the following risks:</w:t>
      </w:r>
    </w:p>
    <w:p>
      <w:pPr>
        <w:spacing w:after="0" w:line="186" w:lineRule="exact"/>
        <w:rPr>
          <w:sz w:val="20"/>
          <w:szCs w:val="20"/>
          <w:color w:val="auto"/>
        </w:rPr>
      </w:pPr>
    </w:p>
    <w:p>
      <w:pPr>
        <w:ind w:left="1160" w:right="48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general geopolitical risks such as political and economic instability, potential hostilities and changes in diplomatic and trade relationships;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reduced sales to our customers or interruption in our manufacturing processes in Asia Pacific that may arise from regional issues in Asia;</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business could suffer if we are unable to retain and recruit qualified personnel.</w:t>
      </w:r>
    </w:p>
    <w:p>
      <w:pPr>
        <w:sectPr>
          <w:pgSz w:w="11900" w:h="16838" w:orient="portrait"/>
          <w:cols w:equalWidth="0" w:num="1">
            <w:col w:w="11400"/>
          </w:cols>
          <w:pgMar w:left="240" w:top="131" w:right="259" w:bottom="0" w:gutter="0" w:footer="0" w:header="0"/>
          <w:type w:val="continuous"/>
        </w:sectPr>
      </w:pPr>
    </w:p>
    <w:bookmarkStart w:id="7" w:name="page8"/>
    <w:bookmarkEnd w:id="7"/>
    <w:p>
      <w:pPr>
        <w:ind w:right="100" w:firstLine="348"/>
        <w:spacing w:after="0" w:line="291" w:lineRule="auto"/>
        <w:rPr>
          <w:sz w:val="20"/>
          <w:szCs w:val="20"/>
          <w:color w:val="auto"/>
        </w:rPr>
      </w:pPr>
      <w:r>
        <w:rPr>
          <w:rFonts w:ascii="Arial" w:cs="Arial" w:eastAsia="Arial" w:hAnsi="Arial"/>
          <w:sz w:val="16"/>
          <w:szCs w:val="16"/>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Securities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in the future.</w:t>
      </w:r>
    </w:p>
    <w:p>
      <w:pPr>
        <w:spacing w:after="0" w:line="29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80"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Issuance of additional shares pursuant to our Fab 2 financing plans and arrangements and the terms of outstanding securities which are exercisable or convertible into shares may dilute the interest of our shareholders. We may also issue in the future additional shares and/or securities which are exercisable or convertible into shares.</w:t>
      </w:r>
    </w:p>
    <w:p>
      <w:pPr>
        <w:spacing w:after="0" w:line="192"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March 31, 2007, we have approximately 120.9 million ordinary shares outstanding and have outstanding securities convertible or exercisable into up to approximately 247.7 million ordinary shares. As of March 31, 2007, up to approximately 100.4 million additional ordinary shares may be issued upon the conversion of our 2002 outstanding convertible debentures, 2005 outstanding convertible debentures, 2006 outstanding convertible debentures and upon exercise of warrants held by some of our major shareholders and others including warrants to purchase approximately 9.4 million ordinary shares at an exercise price of $2.04 per share and warrants to purchase approximately 18.8 ordinary shares at an exercise price of $1.70 per share in a private placement (which shares are covered by this prospectus). Additionally, in September 2006, we issued equity equivalent capital notes to our banks and to Israel Corp., which are convertible into 51,973,684 and 65,789,474 of our ordinary shares, respectively.</w:t>
      </w:r>
    </w:p>
    <w:p>
      <w:pPr>
        <w:spacing w:after="0" w:line="172"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addition, as of March 31, 2007, we had outstanding employee and directors options to purchase up to approximately 29.6 million shares at a weighted average exercise price of $1.86.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for purchase orders placed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last day of the relevant quarter. As of March 31, 2007, we had issued approximately 4.8 million of our ordinary shares to SanDisk Corporation and approximately 2.6 million ordinary shares to Alliance Semiconductor upon conversion of approximately $12 million of wafer credits. We expect that approximately up to $4.7 million credits may be further converted into our ordinary shares. Following the reduction of the interest rate applicable to the quarterly actual interest payments on our outstanding loans to our banks following the closing of the September 2006 amendment to our facility agreement, we have agreed to issue shares or convertible securities to our banks in January 2011.</w:t>
      </w:r>
    </w:p>
    <w:p>
      <w:pPr>
        <w:spacing w:after="0" w:line="17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Further our audit committee and board of directors and shareholders approved the grant of options to our CEO, such that during the 24 month period ending in May 2008, the CEO will hold options to purchase shares that represent 4% of our shares on a fully diluted basis. The options will vest in equal amounts over 4 years commencing from May 2006. Our board of directors further approved the allocation of additional options to be made to our employees if the total number of employee options, including the options to our CEO, during a 24 month period ending in May 2008 will represent less than 8% of the our shares on a fully diluted basis.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If we obtain Investment Center approval for an expansion plan (see Risk Factors – “If the Investment Center will not approve our request for a new expansion program, we would be required to seek alternative financing sources to complete the ramp-up of Fab 2, which may not be available…”), we will still need to raise considerable additional funds from other sources to finance the ramp-up of Fab 2 to exceed capacity of 24,000 wafers per month, should we decide to further increase Fab 2‘s capacity, for which we currently estimate we would need to raise approximately up to $120 million to fully ramp-up Fab 2. We regularly engage in discussions with potential investors in order to attract them to make investments in our company. However, no understandings have been 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sales of large amounts of our shares eligible for future sale may lower the price of our ordinary shares.</w:t>
      </w:r>
    </w:p>
    <w:p>
      <w:pPr>
        <w:spacing w:after="0" w:line="231"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Of our approximately 120.9 million outstanding ordinary shares as of March 31, 2007, approximately 59 million are freely tradable and held by non-affiliates under U.S. securities laws. In addition, certain of our affiliates (Israel Corp., SanDisk Corporation, Alliance Semiconductor, and Macronix International) hold approximately 43 million of our shares, of which (i) approximately 3.3 million are registered for resale and are therefore freely tradable under U.S. securities laws, (ii) approximately 36.4 million are currently eligible for sale subject to the time, volume and manner of sale limitations of Rule 144 promulgated under the U.S. Securities Act of 1933, as amended, and (iii) approximately 64,000 shares held by Alliance Semiconductor and approximately 3.3 million shares held by SanDisk Corporation, will become eligible for sale subject to the volume and manner of sale limitations of Rule 144 during 2007. Shares held by these affiliates are subject to the share transfer restrictions set forth in the shareholders agreement to which they are a party and which remain in effect through January 2008. As of March 31, 2007, up to approximately 26.7 million additional shares issuable upon the conversion of our 2005 convertible debentures are held by non-affiliates or are registered for resale and are therefore freely tradable under U.S. securities laws. In addition, approximately 9.2 million shares issuable upon the exercise of warrants we granted to our banks are registered for resale and are therefore freely tradable under U.S. securities laws. The additional up to: (i) approximately 29.7 million shares issuable upon the conversion and/or exercise of the securities sold in our June 2006 public offering in Israel and (ii) approximately 5.2 million shares issuable upon exercise of warrants sold in private placements completed in November 2006 are freely tradeable in normal trading transactions in the United States. Furthermore, we have filed a registration statement covering the resale of an additional up to approximately 117.8 million shares issuable upon the conversion of equity equivalent convertible capital notes issued to our banks and Israel Corp. and if declared effective, such shares would be freely tradeable</w:t>
      </w:r>
    </w:p>
    <w:p>
      <w:pPr>
        <w:sectPr>
          <w:pgSz w:w="11900" w:h="16838" w:orient="portrait"/>
          <w:cols w:equalWidth="0" w:num="1">
            <w:col w:w="11420"/>
          </w:cols>
          <w:pgMar w:left="240" w:top="131" w:right="239" w:bottom="0" w:gutter="0" w:footer="0" w:header="0"/>
        </w:sectPr>
      </w:pPr>
    </w:p>
    <w:bookmarkStart w:id="8" w:name="page9"/>
    <w:bookmarkEnd w:id="8"/>
    <w:p>
      <w:pPr>
        <w:ind w:right="60"/>
        <w:spacing w:after="0" w:line="255" w:lineRule="auto"/>
        <w:rPr>
          <w:sz w:val="20"/>
          <w:szCs w:val="20"/>
          <w:color w:val="auto"/>
        </w:rPr>
      </w:pPr>
      <w:r>
        <w:rPr>
          <w:rFonts w:ascii="Arial" w:cs="Arial" w:eastAsia="Arial" w:hAnsi="Arial"/>
          <w:sz w:val="18"/>
          <w:szCs w:val="18"/>
          <w:color w:val="auto"/>
        </w:rPr>
        <w:t>under U.S. securities laws. The registration statement of which this prospectus forms a part covers the resale of up to approximately 18.8 million shares issued to the selling stockholders pursuant to an exemption from the registration requirements of the Securities Act of 1933 in our March 2007 private placement, as well as the resale of approximately 28.2 million shares issuable upon exercise of warrants issued in such transaction.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19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principal shareholders collectively own a controlling interest in us and will be able to exercise their voting rights in ways which may be adverse to the interests of our other shareholders.</w:t>
      </w:r>
    </w:p>
    <w:p>
      <w:pPr>
        <w:spacing w:after="0" w:line="180"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As of March 31, 2007, our major wafer partners and Israel Corp. collectively owned approximately 36%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payment of the redemption amount on account of our outstanding debentures is subordinated to our indebtedness to our banks and obligations to secured creditors.</w:t>
      </w:r>
    </w:p>
    <w:p>
      <w:pPr>
        <w:spacing w:after="0" w:line="180"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payment of the redemption amount on account of our outstanding debentures is subordinated to the prior payment of all amounts payable by us to our banks under our credit facility agreement with them, to any obligations to the Investment Center of the Israeli Ministry of Industry, Trade and Labor related to approximately $163 million in grants received as of March 31, 2007 under the Investment Center’s “Approved Enterprise” program in relation to Fab 2, to a first ranking charge in favor of Siliconix Technology C.V., on approximately $20 million of equipment purchased in connection with the performance of our obligations under our agreement with Siliconix and to a first ranking charge in favor of SanDisk Corporation, on approximately $10 million of equipment purchased in connection with the performance of our obligations under our agreement with SanDisk Corporation. As a result, upon any distribution to our creditors in liquidation or reorganization or similar proceedings, these secured creditors will be entitled to be paid in full before any payment may be made with respect to our outstanding debentures. In any of these circumstances, we may not have sufficient assets remaining to pay amounts due on any or all of our debentures then outstanding. In addition, we are not permitted under the terms of our facility agreement to make a payment on account of the debentures if on the date of such payment an “Event of Default” exists under our facility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w:t>
      </w:r>
    </w:p>
    <w:p>
      <w:pPr>
        <w:spacing w:after="0" w:line="312" w:lineRule="exact"/>
        <w:rPr>
          <w:sz w:val="20"/>
          <w:szCs w:val="20"/>
          <w:color w:val="auto"/>
        </w:rPr>
      </w:pPr>
    </w:p>
    <w:p>
      <w:pPr>
        <w:ind w:right="840" w:firstLine="341"/>
        <w:spacing w:after="0" w:line="332" w:lineRule="auto"/>
        <w:rPr>
          <w:sz w:val="20"/>
          <w:szCs w:val="20"/>
          <w:color w:val="auto"/>
        </w:rPr>
      </w:pPr>
      <w:r>
        <w:rPr>
          <w:rFonts w:ascii="Arial" w:cs="Arial" w:eastAsia="Arial" w:hAnsi="Arial"/>
          <w:sz w:val="16"/>
          <w:szCs w:val="16"/>
          <w:color w:val="auto"/>
        </w:rPr>
        <w:t>Although we are limited by the covenants in the facility agreement, we could enter into certain transactions that would increase the amount of our outstanding indebtedness. If new indebtedness is added to our current indebtedness levels, the related risks that we now face could intensify.</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299" w:lineRule="exact"/>
        <w:rPr>
          <w:sz w:val="20"/>
          <w:szCs w:val="20"/>
          <w:color w:val="auto"/>
        </w:rPr>
      </w:pPr>
    </w:p>
    <w:p>
      <w:pPr>
        <w:ind w:right="580" w:firstLine="341"/>
        <w:spacing w:after="0" w:line="268" w:lineRule="auto"/>
        <w:rPr>
          <w:sz w:val="20"/>
          <w:szCs w:val="20"/>
          <w:color w:val="auto"/>
        </w:rPr>
      </w:pPr>
      <w:r>
        <w:rPr>
          <w:rFonts w:ascii="Arial" w:cs="Arial" w:eastAsia="Arial" w:hAnsi="Arial"/>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personnel to perform military service.</w:t>
      </w:r>
    </w:p>
    <w:p>
      <w:pPr>
        <w:spacing w:after="0" w:line="231" w:lineRule="exact"/>
        <w:rPr>
          <w:sz w:val="20"/>
          <w:szCs w:val="20"/>
          <w:color w:val="auto"/>
        </w:rPr>
      </w:pPr>
    </w:p>
    <w:p>
      <w:pPr>
        <w:jc w:val="both"/>
        <w:ind w:right="120" w:firstLine="351"/>
        <w:spacing w:after="0" w:line="255" w:lineRule="auto"/>
        <w:rPr>
          <w:sz w:val="20"/>
          <w:szCs w:val="20"/>
          <w:color w:val="auto"/>
        </w:rPr>
      </w:pPr>
      <w:r>
        <w:rPr>
          <w:rFonts w:ascii="Arial" w:cs="Arial" w:eastAsia="Arial" w:hAnsi="Arial"/>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pacing w:after="0" w:line="231"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In recent years, Israel has experienced periods of recession in economic activity, resulting in low growth rates and growing unemployment. Our operations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businesses, including our ability to</w:t>
      </w:r>
    </w:p>
    <w:p>
      <w:pPr>
        <w:sectPr>
          <w:pgSz w:w="11900" w:h="16838" w:orient="portrait"/>
          <w:cols w:equalWidth="0" w:num="1">
            <w:col w:w="11420"/>
          </w:cols>
          <w:pgMar w:left="240" w:top="131" w:right="239" w:bottom="0" w:gutter="0" w:footer="0" w:header="0"/>
        </w:sectPr>
      </w:pPr>
    </w:p>
    <w:bookmarkStart w:id="9" w:name="page10"/>
    <w:bookmarkEnd w:id="9"/>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exemption allowing us to operate our manufacturing facilities seven days a week is not renewed, our business will be adversely affected.</w:t>
      </w:r>
    </w:p>
    <w:p>
      <w:pPr>
        <w:spacing w:after="0" w:line="25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operate our manufacturing facilities seven days a week pursuant to an exemption from the law that requires businesses in Israel to be closed from sundown on Friday through sundown on Saturday. This exemption expires by its terms on December 31, 2007.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61"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pacing w:after="0" w:line="180" w:lineRule="exact"/>
        <w:rPr>
          <w:sz w:val="20"/>
          <w:szCs w:val="20"/>
          <w:color w:val="auto"/>
        </w:rPr>
      </w:pPr>
    </w:p>
    <w:p>
      <w:pPr>
        <w:ind w:right="40" w:firstLine="348"/>
        <w:spacing w:after="0" w:line="285"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 may be difficult to enforce a U.S. judgment against us, our officers and directors and some of the experts named in this prospectus or to assert U.S.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claims in Israel.</w:t>
      </w:r>
    </w:p>
    <w:p>
      <w:pPr>
        <w:spacing w:after="0" w:line="219"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312"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72" w:lineRule="exact"/>
        <w:rPr>
          <w:sz w:val="20"/>
          <w:szCs w:val="20"/>
          <w:color w:val="auto"/>
        </w:rPr>
      </w:pPr>
    </w:p>
    <w:p>
      <w:pPr>
        <w:ind w:right="300" w:firstLine="345"/>
        <w:spacing w:after="0" w:line="335" w:lineRule="auto"/>
        <w:rPr>
          <w:sz w:val="20"/>
          <w:szCs w:val="20"/>
          <w:color w:val="auto"/>
        </w:rPr>
      </w:pPr>
      <w:r>
        <w:rPr>
          <w:rFonts w:ascii="Arial" w:cs="Arial" w:eastAsia="Arial" w:hAnsi="Arial"/>
          <w:sz w:val="15"/>
          <w:szCs w:val="15"/>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42"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31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following table sets forth our long-term debt, convertible debentures and capitalization as of March 31, 2007 on an actual basis. This table does not give effect to the proceeds we may receive from the exercise of the 28,207,796 warrants we issued to the selling stockholders and the issuance of shares issuable upon the exercise of such warrants and was prepared in accordance with the Israeli GAAP. The financial data is derived from our unaudited consolidated financial statements as of March 31, 2007.</w:t>
      </w:r>
    </w:p>
    <w:p>
      <w:pPr>
        <w:spacing w:after="0" w:line="193" w:lineRule="exact"/>
        <w:rPr>
          <w:sz w:val="20"/>
          <w:szCs w:val="20"/>
          <w:color w:val="auto"/>
        </w:rPr>
      </w:pPr>
    </w:p>
    <w:p>
      <w:pPr>
        <w:ind w:left="10600"/>
        <w:spacing w:after="0"/>
        <w:rPr>
          <w:sz w:val="20"/>
          <w:szCs w:val="20"/>
          <w:color w:val="auto"/>
        </w:rPr>
      </w:pPr>
      <w:r>
        <w:rPr>
          <w:rFonts w:ascii="Arial" w:cs="Arial" w:eastAsia="Arial" w:hAnsi="Arial"/>
          <w:sz w:val="14"/>
          <w:szCs w:val="14"/>
          <w:b w:val="1"/>
          <w:bCs w:val="1"/>
          <w:color w:val="auto"/>
        </w:rPr>
        <w:t>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68580</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7" w:lineRule="exact"/>
        <w:rPr>
          <w:sz w:val="20"/>
          <w:szCs w:val="20"/>
          <w:color w:val="auto"/>
        </w:rPr>
      </w:pPr>
    </w:p>
    <w:p>
      <w:pPr>
        <w:jc w:val="center"/>
        <w:ind w:left="10180"/>
        <w:spacing w:after="0"/>
        <w:rPr>
          <w:sz w:val="20"/>
          <w:szCs w:val="20"/>
          <w:color w:val="auto"/>
        </w:rPr>
      </w:pPr>
      <w:r>
        <w:rPr>
          <w:rFonts w:ascii="Arial" w:cs="Arial" w:eastAsia="Arial" w:hAnsi="Arial"/>
          <w:sz w:val="14"/>
          <w:szCs w:val="14"/>
          <w:b w:val="1"/>
          <w:bCs w:val="1"/>
          <w:color w:val="auto"/>
        </w:rPr>
        <w:t>(US dollars in</w:t>
      </w:r>
    </w:p>
    <w:p>
      <w:pPr>
        <w:spacing w:after="0" w:line="1" w:lineRule="exact"/>
        <w:rPr>
          <w:sz w:val="20"/>
          <w:szCs w:val="20"/>
          <w:color w:val="auto"/>
        </w:rPr>
      </w:pPr>
    </w:p>
    <w:p>
      <w:pPr>
        <w:jc w:val="center"/>
        <w:ind w:left="10180"/>
        <w:spacing w:after="0"/>
        <w:rPr>
          <w:sz w:val="20"/>
          <w:szCs w:val="20"/>
          <w:color w:val="auto"/>
        </w:rPr>
      </w:pPr>
      <w:r>
        <w:rPr>
          <w:rFonts w:ascii="Arial" w:cs="Arial" w:eastAsia="Arial" w:hAnsi="Arial"/>
          <w:sz w:val="14"/>
          <w:szCs w:val="14"/>
          <w:b w:val="1"/>
          <w:bCs w:val="1"/>
          <w:color w:val="auto"/>
        </w:rPr>
        <w:t>thousands)</w:t>
      </w:r>
    </w:p>
    <w:p>
      <w:pPr>
        <w:sectPr>
          <w:pgSz w:w="11900" w:h="16924" w:orient="portrait"/>
          <w:cols w:equalWidth="0" w:num="1">
            <w:col w:w="11380"/>
          </w:cols>
          <w:pgMar w:left="240" w:top="131" w:right="27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maturities of convertibles debentures</w:t>
            </w:r>
          </w:p>
        </w:tc>
        <w:tc>
          <w:tcPr>
            <w:tcW w:w="3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6,597</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3000" w:type="dxa"/>
            <w:vAlign w:val="bottom"/>
          </w:tcPr>
          <w:p>
            <w:pPr>
              <w:spacing w:after="0"/>
              <w:rPr>
                <w:sz w:val="18"/>
                <w:szCs w:val="18"/>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358,798</w:t>
            </w: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debentures excluding current maturities..</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57,853</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Long-term customers' advances</w:t>
            </w:r>
          </w:p>
        </w:tc>
        <w:tc>
          <w:tcPr>
            <w:tcW w:w="3000" w:type="dxa"/>
            <w:vAlign w:val="bottom"/>
          </w:tcPr>
          <w:p>
            <w:pPr>
              <w:spacing w:after="0"/>
              <w:rPr>
                <w:sz w:val="18"/>
                <w:szCs w:val="18"/>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44,050</w:t>
            </w: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21,353</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Shareholders' equity (deficit):</w:t>
            </w:r>
          </w:p>
        </w:tc>
        <w:tc>
          <w:tcPr>
            <w:tcW w:w="3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8"/>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Ordinary Shares, NIS 1.00 par value per share; 800,000,000</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authorized shares, 122,182,946 issued shares* and 120,882,946</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7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outstanding shares</w:t>
            </w:r>
          </w:p>
        </w:tc>
        <w:tc>
          <w:tcPr>
            <w:tcW w:w="30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28,965</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3000" w:type="dxa"/>
            <w:vAlign w:val="bottom"/>
          </w:tcPr>
          <w:p>
            <w:pPr>
              <w:spacing w:after="0"/>
              <w:rPr>
                <w:sz w:val="18"/>
                <w:szCs w:val="18"/>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584,400</w:t>
            </w: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notes</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176,401</w:t>
            </w:r>
          </w:p>
        </w:tc>
      </w:tr>
      <w:tr>
        <w:trPr>
          <w:trHeight w:val="208"/>
        </w:trPr>
        <w:tc>
          <w:tcPr>
            <w:tcW w:w="7440" w:type="dxa"/>
            <w:vAlign w:val="bottom"/>
            <w:gridSpan w:val="3"/>
          </w:tcPr>
          <w:p>
            <w:pPr>
              <w:spacing w:after="0"/>
              <w:rPr>
                <w:sz w:val="20"/>
                <w:szCs w:val="20"/>
                <w:color w:val="auto"/>
              </w:rPr>
            </w:pPr>
            <w:r>
              <w:rPr>
                <w:rFonts w:ascii="Arial" w:cs="Arial" w:eastAsia="Arial" w:hAnsi="Arial"/>
                <w:sz w:val="18"/>
                <w:szCs w:val="18"/>
                <w:color w:val="auto"/>
              </w:rPr>
              <w:t>Equity component of convertible debentures and cumulative stock</w:t>
            </w:r>
          </w:p>
        </w:tc>
        <w:tc>
          <w:tcPr>
            <w:tcW w:w="3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7440" w:type="dxa"/>
            <w:vAlign w:val="bottom"/>
            <w:gridSpan w:val="3"/>
          </w:tcPr>
          <w:p>
            <w:pPr>
              <w:ind w:left="60"/>
              <w:spacing w:after="0"/>
              <w:rPr>
                <w:sz w:val="20"/>
                <w:szCs w:val="20"/>
                <w:color w:val="auto"/>
              </w:rPr>
            </w:pPr>
            <w:r>
              <w:rPr>
                <w:rFonts w:ascii="Arial" w:cs="Arial" w:eastAsia="Arial" w:hAnsi="Arial"/>
                <w:sz w:val="18"/>
                <w:szCs w:val="18"/>
                <w:color w:val="auto"/>
              </w:rPr>
              <w:t>based compensation</w:t>
            </w:r>
          </w:p>
        </w:tc>
        <w:tc>
          <w:tcPr>
            <w:tcW w:w="300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25,218</w:t>
            </w:r>
          </w:p>
        </w:tc>
      </w:tr>
      <w:tr>
        <w:trPr>
          <w:trHeight w:val="218"/>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(684,073)</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Treasury stock, 1,300,000 shares</w:t>
            </w:r>
          </w:p>
        </w:tc>
        <w:tc>
          <w:tcPr>
            <w:tcW w:w="300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(9,072)</w:t>
            </w: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121,839</w:t>
            </w:r>
          </w:p>
        </w:tc>
      </w:tr>
      <w:tr>
        <w:trPr>
          <w:trHeight w:val="222"/>
        </w:trPr>
        <w:tc>
          <w:tcPr>
            <w:tcW w:w="744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3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688,600</w:t>
            </w:r>
          </w:p>
        </w:tc>
      </w:tr>
      <w:tr>
        <w:trPr>
          <w:trHeight w:val="345"/>
        </w:trPr>
        <w:tc>
          <w:tcPr>
            <w:tcW w:w="3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7100" w:type="dxa"/>
            <w:vAlign w:val="bottom"/>
            <w:gridSpan w:val="2"/>
          </w:tcPr>
          <w:p>
            <w:pPr>
              <w:ind w:left="240"/>
              <w:spacing w:after="0"/>
              <w:rPr>
                <w:sz w:val="20"/>
                <w:szCs w:val="20"/>
                <w:color w:val="auto"/>
              </w:rPr>
            </w:pPr>
            <w:r>
              <w:rPr>
                <w:rFonts w:ascii="Arial" w:cs="Arial" w:eastAsia="Arial" w:hAnsi="Arial"/>
                <w:sz w:val="18"/>
                <w:szCs w:val="18"/>
                <w:color w:val="auto"/>
              </w:rPr>
              <w:t>Includes 1,300,000 treasury shares.</w:t>
            </w:r>
          </w:p>
        </w:tc>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on an actual basis in the foregoing table excludes the following securities as of March 31, 2007:</w:t>
      </w:r>
    </w:p>
    <w:p>
      <w:pPr>
        <w:spacing w:after="0" w:line="225" w:lineRule="exact"/>
        <w:rPr>
          <w:sz w:val="20"/>
          <w:szCs w:val="20"/>
          <w:color w:val="auto"/>
        </w:rPr>
      </w:pPr>
    </w:p>
    <w:p>
      <w:pPr>
        <w:ind w:left="1160" w:right="16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14.8 million ordinary shares issuable upon exercise of options granted to employees and directors at a weighted average exercise price of $2.14;</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14,782,416 ordinary shares issuable upon exercise of options granted to our Chief Executive Officer at a weighted average exercise price of $1.58;</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1,348,527 ordinary shares issuable upon conversion of unsecured, subordinated convertible debentures, net, that we issued in January 2002, which are convertible through December 31, 2008;</w:t>
      </w:r>
    </w:p>
    <w:p>
      <w:pPr>
        <w:spacing w:after="0" w:line="212" w:lineRule="exact"/>
        <w:rPr>
          <w:rFonts w:ascii="Arial" w:cs="Arial" w:eastAsia="Arial" w:hAnsi="Arial"/>
          <w:sz w:val="18"/>
          <w:szCs w:val="18"/>
          <w:color w:val="auto"/>
        </w:rPr>
      </w:pPr>
    </w:p>
    <w:p>
      <w:pPr>
        <w:ind w:left="1160" w:right="34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896,596 ordinary shares issuable upon exercise of warrants issued to our banks in connection with our credit facility with an exercise price of $6.17 per share exercisable until September 2011;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58,906 ordinary shares issuable upon exercise of warrants issued to Israel Corp. in connection with the November 2003 amendment to our facility agreement with an exercise price of $6.17 per share and exercisable until December 2008;</w:t>
      </w:r>
    </w:p>
    <w:p>
      <w:pPr>
        <w:spacing w:after="0" w:line="212" w:lineRule="exact"/>
        <w:rPr>
          <w:rFonts w:ascii="Arial" w:cs="Arial" w:eastAsia="Arial" w:hAnsi="Arial"/>
          <w:sz w:val="18"/>
          <w:szCs w:val="18"/>
          <w:color w:val="auto"/>
        </w:rPr>
      </w:pPr>
    </w:p>
    <w:p>
      <w:pPr>
        <w:ind w:left="1160" w:right="180" w:hanging="571"/>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8,264,464 ordinary shares issuable upon exercise of warrants we issued to our banks with an exercise price of $1.21 in connection with the July 2005 amendment to our facility agreement exercisable until September 2011;</w:t>
      </w:r>
    </w:p>
    <w:p>
      <w:pPr>
        <w:spacing w:after="0" w:line="212" w:lineRule="exact"/>
        <w:rPr>
          <w:rFonts w:ascii="Arial" w:cs="Arial" w:eastAsia="Arial" w:hAnsi="Arial"/>
          <w:sz w:val="18"/>
          <w:szCs w:val="18"/>
          <w:color w:val="auto"/>
        </w:rPr>
      </w:pPr>
    </w:p>
    <w:p>
      <w:pPr>
        <w:ind w:left="1160" w:right="560" w:hanging="571"/>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26,661,682 ordinary shares issuable upon conversion of our debentures convertible until December 2011, pursuant to the prospectus dated December 15, 2005;</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117,763,158 ordinary shares issuable upon conversion of the equity equivalent convertible capital notes we issued to our banks and to Israel Corp., in September 2006;</w:t>
      </w:r>
    </w:p>
    <w:p>
      <w:pPr>
        <w:spacing w:after="0" w:line="212" w:lineRule="exact"/>
        <w:rPr>
          <w:rFonts w:ascii="Arial" w:cs="Arial" w:eastAsia="Arial" w:hAnsi="Arial"/>
          <w:sz w:val="18"/>
          <w:szCs w:val="18"/>
          <w:color w:val="auto"/>
        </w:rPr>
      </w:pPr>
    </w:p>
    <w:p>
      <w:pPr>
        <w:ind w:left="1160" w:right="120" w:hanging="571"/>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5,481,000 ordinary shares issuable upon exercise of warrants issued in our June 2006 public offering in Israel with an exercise price of NIS 7.40 per share and exercisable until June 2009;</w:t>
      </w:r>
    </w:p>
    <w:p>
      <w:pPr>
        <w:spacing w:after="0" w:line="212" w:lineRule="exact"/>
        <w:rPr>
          <w:rFonts w:ascii="Arial" w:cs="Arial" w:eastAsia="Arial" w:hAnsi="Arial"/>
          <w:sz w:val="18"/>
          <w:szCs w:val="18"/>
          <w:color w:val="auto"/>
        </w:rPr>
      </w:pPr>
    </w:p>
    <w:p>
      <w:pPr>
        <w:ind w:left="1160" w:right="60" w:hanging="571"/>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5,227,500 ordinary shares issuable upon exercise of warrants sold in our private placements completed in November 2006, with an exercise price of approximately $2.28 per share and exercisable until December 2010;</w:t>
      </w:r>
    </w:p>
    <w:p>
      <w:pPr>
        <w:spacing w:after="0" w:line="212" w:lineRule="exact"/>
        <w:rPr>
          <w:rFonts w:ascii="Arial" w:cs="Arial" w:eastAsia="Arial" w:hAnsi="Arial"/>
          <w:sz w:val="18"/>
          <w:szCs w:val="18"/>
          <w:color w:val="auto"/>
        </w:rPr>
      </w:pPr>
    </w:p>
    <w:p>
      <w:pPr>
        <w:ind w:left="1160" w:right="40" w:hanging="571"/>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24,232,464 ordinary shares issuable upon conversion of our debentures convertible until December 2011, issued pursuant to our June 2006 public offering in Israel; and</w:t>
      </w:r>
    </w:p>
    <w:p>
      <w:pPr>
        <w:spacing w:after="0" w:line="212" w:lineRule="exact"/>
        <w:rPr>
          <w:rFonts w:ascii="Arial" w:cs="Arial" w:eastAsia="Arial" w:hAnsi="Arial"/>
          <w:sz w:val="18"/>
          <w:szCs w:val="18"/>
          <w:color w:val="auto"/>
        </w:rPr>
      </w:pPr>
    </w:p>
    <w:p>
      <w:pPr>
        <w:ind w:left="1160" w:right="300" w:hanging="571"/>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28,207,796 ordinary shares covered by the registration statement of which this prospectus forms a part, issuable upon exercise of the warrants issued in our March 2007 private placement.</w:t>
      </w:r>
    </w:p>
    <w:p>
      <w:pPr>
        <w:spacing w:after="0" w:line="200" w:lineRule="exact"/>
        <w:rPr>
          <w:sz w:val="20"/>
          <w:szCs w:val="20"/>
          <w:color w:val="auto"/>
        </w:rPr>
      </w:pPr>
    </w:p>
    <w:p>
      <w:pPr>
        <w:spacing w:after="0" w:line="229"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information does not take into account the following potential dilutive issuances of securities pursuant to our credit facility agreement, agreements with our major wafer partners and with Israel Corp. and option arrangements with our chief executive officer which cannot be calculated as of the date of this prospectus since the number of shares issuable will depend upon future transactions in which we may engage and/or the market price of our shares and/or other conditions: (i) ordinary shares issuable upon conversion of up to approximately $4.7 million in wafer prepayment credits (as of March 31, 2007) which we have issued to our major wafer partners; (ii) ordinary shares issuable upon conversion of securities we may be required to issue in connection with a rights offering and outside investor provisions agreed to in the November 2003 amendment to our facility agreement; (iii) ordinary shares issuable to our banks in January 2011 as a result of the reduction of the interest rate applicable to the quarterly actual interest payments on our outstanding loans and (iv) anti-dilution options that may be granted to our Chief Executive Officer.</w:t>
      </w:r>
    </w:p>
    <w:p>
      <w:pPr>
        <w:sectPr>
          <w:pgSz w:w="11900" w:h="16838" w:orient="portrait"/>
          <w:cols w:equalWidth="0" w:num="1">
            <w:col w:w="11420"/>
          </w:cols>
          <w:pgMar w:left="240" w:top="288" w:right="23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99" w:lineRule="exact"/>
        <w:rPr>
          <w:sz w:val="20"/>
          <w:szCs w:val="20"/>
          <w:color w:val="auto"/>
        </w:rPr>
      </w:pPr>
    </w:p>
    <w:p>
      <w:pPr>
        <w:jc w:val="both"/>
        <w:ind w:right="160" w:firstLine="348"/>
        <w:spacing w:after="0" w:line="298" w:lineRule="auto"/>
        <w:rPr>
          <w:sz w:val="20"/>
          <w:szCs w:val="20"/>
          <w:color w:val="auto"/>
        </w:rPr>
      </w:pPr>
      <w:r>
        <w:rPr>
          <w:rFonts w:ascii="Arial" w:cs="Arial" w:eastAsia="Arial" w:hAnsi="Arial"/>
          <w:sz w:val="16"/>
          <w:szCs w:val="16"/>
          <w:color w:val="auto"/>
        </w:rPr>
        <w:t>We will not receive any proceeds from the sale of ordinary shares by the selling stockholders. All net proceeds from the sale of the ordinary shares covered by this prospectus will go to the selling stockholders. Upon exercise by payment of cash of any warrants whose underlying shares are covered hereby, however, we will receive the exercise price of the warrants. If all of such warrants are exercised for cash, we will receive approximately $51 million. We expect to use the proceeds we receive from the exercise of warrants, if any, for the purchase of equipment and for general working capital purposes.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agreed to bear all expenses relating to the registration of the securities registered pursuant to this 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99"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selling stockholders, which as used herein includes donees, pledgees, transferees or other successors-in-interest selling shares of ordinary shares or interests in shares of ordinary shares received after the date of this prospectus from a selling stockholder as a gift, pledge, partnership distribution or other transfer, may, from time to time, sell, transfer or otherwise dispose of any or all of their shares of ordinary shares or interests in shares of ordinary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right="260" w:firstLine="359"/>
        <w:spacing w:after="0" w:line="268" w:lineRule="auto"/>
        <w:tabs>
          <w:tab w:leader="none" w:pos="4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85"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 and</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combination of any such methods of sale, or any other methods permitted by applicable law.</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ordinary shares owned by them and, if they default in the performance of their secured obligations, the pledgees or secured parties may offer and sell the ordinary shares,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ordinary shares in other circumstances, in which case the transferees, pledgees or other successors in interest will be the selling beneficial owners for purposes of this prospectus.</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connection with the sale of our ordinary shares or interests therein, the selling stockholders may enter into hedging transactions with broker-dealers or other financial institutions, which may in turn engage in short sales of the ordinary shares in the course of hedging the positions they assume. The selling stockholders may also sell our ordinary shares short and deliver these securities to close out their short positions and to return borrowed shares in connection with such short sales, or loan or pledge the ordinary shares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aggregate proceeds to the selling stockholders from the sale of the ordinary shares offered by them will be the purchase price of the ordinary shares less discounts or commissions, if any. Each of the selling stockholders reserves the right to accept and, together with their agents from time to time, to reject, in whole or in part, any proposed purchase of ordinary shares to be made directly or through agents. We will not receive any of the proceeds from this offering. Upon any exercise of any warrants by payment of cash, however, we will receive the exercise price of the warrants.</w:t>
      </w:r>
    </w:p>
    <w:p>
      <w:pPr>
        <w:spacing w:after="0" w:line="16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86"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selling stockholders and any underwriters, broker-dealers or agents that participate in the sale of the ordinary shares or interests therein may be deemed to be “underwriters” within the meaning of Section 2(11) of the Securities Act. Any discounts, commissions, concessions or profit they earn on any resale of the shares may be deemed to be underwriting discounts and commissions under the Securities Act. At the time a particular offering of the ordinary shares is made, a prospectus supplement, if required (or if appropriate, a post-effective amendment to this registration statement which includes this prospectus), will be filed, which will set forth the aggregate amount of ordinary shares being offered and the terms of the offering, including the name or names of any broker-dealers or agents, any discounts, commissions and other terms constituting compensation from the selling stockholders and any discount, commissions or concessions allowed or reallowed or paid to broker-dealers.</w:t>
      </w:r>
    </w:p>
    <w:p>
      <w:pPr>
        <w:sectPr>
          <w:pgSz w:w="11900" w:h="16838" w:orient="portrait"/>
          <w:cols w:equalWidth="0" w:num="1">
            <w:col w:w="11420"/>
          </w:cols>
          <w:pgMar w:left="240" w:top="125" w:right="239" w:bottom="0" w:gutter="0" w:footer="0" w:header="0"/>
        </w:sectPr>
      </w:pPr>
    </w:p>
    <w:bookmarkStart w:id="12" w:name="page13"/>
    <w:bookmarkEnd w:id="12"/>
    <w:p>
      <w:pPr>
        <w:spacing w:after="0" w:line="62"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Under the securities laws of some states, the ordinary shares may be sold in these jurisdictions only through registered or licensed brokers or dealers. In addition, in some states the ordinary shares may not be sold unless they have been registered or qualified for sale or an exemption from registration or qualification requirements is available and is complied with.</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86"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We have agreed with the selling stockholders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pursuant to Rule 144(k) of the Securities 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the Offering</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incurred, or expect to incur, the following estimated expenses in connection with the sale of the securities covered by this prospectus: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Securities and Exchange Commission Registration Fee</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220" w:type="dxa"/>
            <w:vAlign w:val="bottom"/>
            <w:shd w:val="clear" w:color="auto" w:fill="CCEEFF"/>
          </w:tcPr>
          <w:p>
            <w:pPr>
              <w:spacing w:after="0"/>
              <w:rPr>
                <w:sz w:val="18"/>
                <w:szCs w:val="18"/>
                <w:color w:val="auto"/>
              </w:rPr>
            </w:pPr>
          </w:p>
        </w:tc>
      </w:tr>
      <w:tr>
        <w:trPr>
          <w:trHeight w:val="430"/>
        </w:trPr>
        <w:tc>
          <w:tcPr>
            <w:tcW w:w="9960" w:type="dxa"/>
            <w:vAlign w:val="bottom"/>
          </w:tcPr>
          <w:p>
            <w:pPr>
              <w:ind w:left="580"/>
              <w:spacing w:after="0"/>
              <w:rPr>
                <w:sz w:val="20"/>
                <w:szCs w:val="20"/>
                <w:color w:val="auto"/>
              </w:rPr>
            </w:pPr>
            <w:r>
              <w:rPr>
                <w:rFonts w:ascii="Arial" w:cs="Arial" w:eastAsia="Arial" w:hAnsi="Arial"/>
                <w:sz w:val="18"/>
                <w:szCs w:val="18"/>
                <w:color w:val="auto"/>
              </w:rPr>
              <w:t>Legal fees and expenses</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24"/>
                <w:szCs w:val="24"/>
                <w:color w:val="auto"/>
              </w:rPr>
            </w:pPr>
          </w:p>
        </w:tc>
      </w:tr>
      <w:tr>
        <w:trPr>
          <w:trHeight w:val="218"/>
        </w:trPr>
        <w:tc>
          <w:tcPr>
            <w:tcW w:w="9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Miscellaneous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r>
      <w:tr>
        <w:trPr>
          <w:trHeight w:val="108"/>
        </w:trPr>
        <w:tc>
          <w:tcPr>
            <w:tcW w:w="99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532"/>
        </w:trPr>
        <w:tc>
          <w:tcPr>
            <w:tcW w:w="9960" w:type="dxa"/>
            <w:vAlign w:val="bottom"/>
          </w:tcPr>
          <w:p>
            <w:pPr>
              <w:ind w:left="58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18,490</w:t>
            </w:r>
          </w:p>
        </w:tc>
        <w:tc>
          <w:tcPr>
            <w:tcW w:w="220" w:type="dxa"/>
            <w:vAlign w:val="bottom"/>
          </w:tcPr>
          <w:p>
            <w:pPr>
              <w:spacing w:after="0"/>
              <w:rPr>
                <w:sz w:val="24"/>
                <w:szCs w:val="24"/>
                <w:color w:val="auto"/>
              </w:rPr>
            </w:pPr>
          </w:p>
        </w:tc>
      </w:tr>
      <w:tr>
        <w:trPr>
          <w:trHeight w:val="134"/>
        </w:trPr>
        <w:tc>
          <w:tcPr>
            <w:tcW w:w="996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and other information.</w:t>
      </w:r>
    </w:p>
    <w:p>
      <w:pPr>
        <w:spacing w:after="0" w:line="29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selling stockholders purchased the securities covered by this prospectus in a private placement by us consummated on March 15, 2007. In the private placement, we sold an aggregate of 18,805,197 ordinary shares and issued warrants to purchase 9,402,599 shares at an exercise price of $2.04 per share and warrants to purchase 18,805,197 shares at an exercise price of $1.70 per share. The higher-priced warrants, which we refer to as Series I Warrants, expire on the fifth anniversary of the private placement, and the lower-priced warrants, which we refer to as Series II Warrants, expire on the later of December 31, 2007 and 90 days after the effective date of the registration statement of which this prospectus forms a part. The warrant expiration date of the Series II Warrants is subject to extension to reflect periods during which the registration statement may not be effective or may otherwise become suspended or subject to a stop order. Both series of warrants contain antidilution protections that are triggered upon the occurrence of certain events. The Series I Warrants also contain a “net exercise” feature, enabling the holders to exercise their warrants on a “cashless” basis.</w:t>
      </w:r>
    </w:p>
    <w:p>
      <w:pPr>
        <w:spacing w:after="0" w:line="172"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Except as described herein, we have no material relationships with any of the selling stockholders and have not had any material relationships with any of the selling stockholders in the past three years. CE Unterberg, Towbin acted as co-placement agent for the private placement in which the securities covered by this prospectus were sold. The following selling stockholders are affiliated with the placement agent or its principals: C.E. Unterberg, Towbin Capital Partners I, L.P., Marjorie &amp; Clarence E. Unterberg Foundation Inc., Thomas I. Unterberg and UT Special Opportunities Fund, L.P.</w:t>
      </w:r>
    </w:p>
    <w:p>
      <w:pPr>
        <w:spacing w:after="0" w:line="16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Nothing in this Registration Statement shall be construed as an admission that any selling stockholder is the beneficial owner of any of our securities, other than the securities held directly by such party, nor that any selling stockholder or other persons or entities constitute a “group”, for purposes of Section 13(d) of the Exchange Act and the rules promulgated thereunder. The Series I Warrants and Series II Warrants contain a limitation on the number of ordinary shares purchasable thereunder. Under the limitation, the holder will not have the right to exercise any portion of the warrants, to the extent that after giving effect to such exercise, the holder and other persons with whom such holder’s ownership would be aggregated for purposes of beneficial ownership rules, would own in excess of 4.99% of our outstanding ordinary shares immediately after such exercise; the number of shares in the second column in the below table does not reflect this limitation. This limitation is not applicable in the case of a call by us of the Series II Warrants and may be increased to 9.99% at the election of the holder, which election will not become effective until 61 days after a holder provides us with notice thereof.</w:t>
      </w:r>
    </w:p>
    <w:p>
      <w:pPr>
        <w:spacing w:after="0" w:line="17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following table assumes that each selling stockholder will sell all of the securities owned by it and covered by this prospectus. Information included in the table is based upon information provided by the selling stockholders. Our registration of these securities does not necessarily mean that the selling stockholders will sell any or all of the securities.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as otherwise noted below none of the selling stockholders are broker-dealers or affiliates of broker-dealers.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7"/>
              </w:rPr>
              <w:t>Shares Beneficially Owned</w:t>
            </w:r>
          </w:p>
        </w:tc>
        <w:tc>
          <w:tcPr>
            <w:tcW w:w="4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4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Name and Address of Selling</w:t>
            </w:r>
          </w:p>
        </w:tc>
        <w:tc>
          <w:tcPr>
            <w:tcW w:w="16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 Prior to Offering/</w:t>
            </w: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Upon Completion of Offering /</w:t>
            </w:r>
          </w:p>
        </w:tc>
        <w:tc>
          <w:tcPr>
            <w:tcW w:w="40" w:type="dxa"/>
            <w:vAlign w:val="bottom"/>
          </w:tcPr>
          <w:p>
            <w:pPr>
              <w:spacing w:after="0"/>
              <w:rPr>
                <w:sz w:val="12"/>
                <w:szCs w:val="12"/>
                <w:color w:val="auto"/>
              </w:rPr>
            </w:pPr>
          </w:p>
        </w:tc>
      </w:tr>
      <w:tr>
        <w:trPr>
          <w:trHeight w:val="284"/>
        </w:trPr>
        <w:tc>
          <w:tcPr>
            <w:tcW w:w="120" w:type="dxa"/>
            <w:vAlign w:val="bottom"/>
          </w:tcPr>
          <w:p>
            <w:pPr>
              <w:spacing w:after="0"/>
              <w:rPr>
                <w:sz w:val="24"/>
                <w:szCs w:val="24"/>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Stockholder</w:t>
            </w:r>
          </w:p>
        </w:tc>
        <w:tc>
          <w:tcPr>
            <w:tcW w:w="160" w:type="dxa"/>
            <w:vAlign w:val="bottom"/>
          </w:tcPr>
          <w:p>
            <w:pPr>
              <w:spacing w:after="0"/>
              <w:rPr>
                <w:sz w:val="24"/>
                <w:szCs w:val="24"/>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Percentage of Class</w:t>
            </w:r>
            <w:r>
              <w:rPr>
                <w:rFonts w:ascii="Arial" w:cs="Arial" w:eastAsia="Arial" w:hAnsi="Arial"/>
                <w:sz w:val="22"/>
                <w:szCs w:val="22"/>
                <w:b w:val="1"/>
                <w:bCs w:val="1"/>
                <w:color w:val="auto"/>
                <w:w w:val="83"/>
                <w:vertAlign w:val="superscript"/>
              </w:rPr>
              <w:t>1</w:t>
            </w:r>
          </w:p>
        </w:tc>
        <w:tc>
          <w:tcPr>
            <w:tcW w:w="80" w:type="dxa"/>
            <w:vAlign w:val="bottom"/>
          </w:tcPr>
          <w:p>
            <w:pPr>
              <w:spacing w:after="0"/>
              <w:rPr>
                <w:sz w:val="24"/>
                <w:szCs w:val="24"/>
                <w:color w:val="auto"/>
              </w:rPr>
            </w:pPr>
          </w:p>
        </w:tc>
        <w:tc>
          <w:tcPr>
            <w:tcW w:w="15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4"/>
              </w:rPr>
              <w:t>Shares Being Offered</w:t>
            </w:r>
          </w:p>
        </w:tc>
        <w:tc>
          <w:tcPr>
            <w:tcW w:w="6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Percentage of Class</w:t>
            </w:r>
          </w:p>
        </w:tc>
        <w:tc>
          <w:tcPr>
            <w:tcW w:w="40" w:type="dxa"/>
            <w:vAlign w:val="bottom"/>
          </w:tcPr>
          <w:p>
            <w:pPr>
              <w:spacing w:after="0"/>
              <w:rPr>
                <w:sz w:val="24"/>
                <w:szCs w:val="24"/>
                <w:color w:val="auto"/>
              </w:rPr>
            </w:pPr>
          </w:p>
        </w:tc>
      </w:tr>
      <w:tr>
        <w:trPr>
          <w:trHeight w:val="250"/>
        </w:trPr>
        <w:tc>
          <w:tcPr>
            <w:tcW w:w="120" w:type="dxa"/>
            <w:vAlign w:val="bottom"/>
            <w:tcBorders>
              <w:bottom w:val="single" w:sz="8" w:color="CCEEFF"/>
            </w:tcBorders>
          </w:tcPr>
          <w:p>
            <w:pPr>
              <w:spacing w:after="0"/>
              <w:rPr>
                <w:sz w:val="21"/>
                <w:szCs w:val="21"/>
                <w:color w:val="auto"/>
              </w:rPr>
            </w:pPr>
          </w:p>
        </w:tc>
        <w:tc>
          <w:tcPr>
            <w:tcW w:w="48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7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r>
    </w:tbl>
    <w:p>
      <w:pPr>
        <w:sectPr>
          <w:pgSz w:w="11900" w:h="16900" w:orient="portrait"/>
          <w:cols w:equalWidth="0" w:num="1">
            <w:col w:w="11420"/>
          </w:cols>
          <w:pgMar w:left="240" w:top="131"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 Unterberg, Towbin Capital</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I, L.P.</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C.E. Unterberg, Towbin</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 Madison Avenue, 10th Floor</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324,677/*(2)</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324,677</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700" w:type="dxa"/>
            <w:vAlign w:val="bottom"/>
            <w:gridSpan w:val="2"/>
          </w:tcPr>
          <w:p>
            <w:pPr>
              <w:spacing w:after="0"/>
              <w:rPr>
                <w:sz w:val="20"/>
                <w:szCs w:val="20"/>
                <w:color w:val="auto"/>
              </w:rPr>
            </w:pPr>
            <w:r>
              <w:rPr>
                <w:rFonts w:ascii="Arial" w:cs="Arial" w:eastAsia="Arial" w:hAnsi="Arial"/>
                <w:sz w:val="18"/>
                <w:szCs w:val="18"/>
                <w:color w:val="auto"/>
              </w:rPr>
              <w:t>Capital Ventures International</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c/o Heights Capital Management</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101 California Street, Suite</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3250 San Francisco, CA 94111</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rPr>
              <w:t>4,870,130/3.87%(3)</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4,870,130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Enable Growth Partners , L.P.</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Ferry Building, Suite 255</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Francisco, CA 94111</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4,139,610/3.31%(4)</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4,139,610</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700" w:type="dxa"/>
            <w:vAlign w:val="bottom"/>
            <w:gridSpan w:val="2"/>
          </w:tcPr>
          <w:p>
            <w:pPr>
              <w:spacing w:after="0"/>
              <w:rPr>
                <w:sz w:val="20"/>
                <w:szCs w:val="20"/>
                <w:color w:val="auto"/>
              </w:rPr>
            </w:pPr>
            <w:r>
              <w:rPr>
                <w:rFonts w:ascii="Arial" w:cs="Arial" w:eastAsia="Arial" w:hAnsi="Arial"/>
                <w:sz w:val="18"/>
                <w:szCs w:val="18"/>
                <w:color w:val="auto"/>
              </w:rPr>
              <w:t>Enable Opportunity Partners, L.P.</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One Ferry Building, Suite 255</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San Francisco, CA 94111</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rPr>
              <w:t>487,012/*(5)</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487,012</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Mason Master, LP</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Embarcadero Center, Suite</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2050 San Francisco, CA 94111</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4,573,540/3.65%(6)</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4,573,540</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700" w:type="dxa"/>
            <w:vAlign w:val="bottom"/>
            <w:gridSpan w:val="2"/>
          </w:tcPr>
          <w:p>
            <w:pPr>
              <w:spacing w:after="0"/>
              <w:rPr>
                <w:sz w:val="20"/>
                <w:szCs w:val="20"/>
                <w:color w:val="auto"/>
              </w:rPr>
            </w:pPr>
            <w:r>
              <w:rPr>
                <w:rFonts w:ascii="Arial" w:cs="Arial" w:eastAsia="Arial" w:hAnsi="Arial"/>
                <w:sz w:val="18"/>
                <w:szCs w:val="18"/>
                <w:color w:val="auto"/>
              </w:rPr>
              <w:t>Fort Mason Partners, LP</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4 Embarcadero Center, Suite</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2050 San Francisco, CA 94111</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rPr>
              <w:t>296,590/*(7)</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296,590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Highbridge International LLC</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Highbridge Capital</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LLC</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 West 57th Street, 27th Floor</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10019</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10,000,000/7.64%(8)</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10,000,000</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700" w:type="dxa"/>
            <w:vAlign w:val="bottom"/>
            <w:gridSpan w:val="2"/>
          </w:tcPr>
          <w:p>
            <w:pPr>
              <w:spacing w:after="0"/>
              <w:rPr>
                <w:sz w:val="20"/>
                <w:szCs w:val="20"/>
                <w:color w:val="auto"/>
              </w:rPr>
            </w:pPr>
            <w:r>
              <w:rPr>
                <w:rFonts w:ascii="Arial" w:cs="Arial" w:eastAsia="Arial" w:hAnsi="Arial"/>
                <w:sz w:val="18"/>
                <w:szCs w:val="18"/>
                <w:color w:val="auto"/>
              </w:rPr>
              <w:t>Investcorp Interlachen</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Multi-Strategy Master Fund Limited</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c/o Interlachen Capital Group LP</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800 Nicollet Mall,</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Suite 2500 Minneapolis, MN 55402</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rPr>
              <w:t>5,681,820/4.49%(9)</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5,681,820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Master Fund Ltd.</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641 Lexington Avenue, 26th</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New York, NY 10022</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3,246,755/2.62%(10)</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3,246,755</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700" w:type="dxa"/>
            <w:vAlign w:val="bottom"/>
            <w:gridSpan w:val="2"/>
          </w:tcPr>
          <w:p>
            <w:pPr>
              <w:spacing w:after="0"/>
              <w:rPr>
                <w:sz w:val="20"/>
                <w:szCs w:val="20"/>
                <w:color w:val="auto"/>
              </w:rPr>
            </w:pPr>
            <w:r>
              <w:rPr>
                <w:rFonts w:ascii="Arial" w:cs="Arial" w:eastAsia="Arial" w:hAnsi="Arial"/>
                <w:sz w:val="18"/>
                <w:szCs w:val="18"/>
                <w:color w:val="auto"/>
              </w:rPr>
              <w:t>LB I Group Inc.</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c/o Eric Salzman, Lehman Brothers</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399 Park Avenue, 9th Floor</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rPr>
              <w:t>4,870,130/3.87%(11)</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4,870,130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Majorie &amp; Clarence E</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Unterberg Foundation Inc.</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C.E. Unterberg, Towbin</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 Madison Avenue, 10th Floor</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811,688/*(12)</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811,688</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700" w:type="dxa"/>
            <w:vAlign w:val="bottom"/>
            <w:gridSpan w:val="2"/>
          </w:tcPr>
          <w:p>
            <w:pPr>
              <w:spacing w:after="0"/>
              <w:rPr>
                <w:sz w:val="20"/>
                <w:szCs w:val="20"/>
                <w:color w:val="auto"/>
              </w:rPr>
            </w:pPr>
            <w:r>
              <w:rPr>
                <w:rFonts w:ascii="Arial" w:cs="Arial" w:eastAsia="Arial" w:hAnsi="Arial"/>
                <w:sz w:val="18"/>
                <w:szCs w:val="18"/>
                <w:color w:val="auto"/>
              </w:rPr>
              <w:t>Menora Mivtachim Insurance Ltd.</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115 Allenby Road</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Tel Aviv Israel</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rPr>
              <w:t>2,573,351/2.08%(13)</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1,623,378</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949,973/0.56%</w:t>
            </w:r>
          </w:p>
        </w:tc>
      </w:tr>
      <w:tr>
        <w:trPr>
          <w:trHeight w:val="218"/>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Pierce Diversified Strategy</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Master Fund LLC, Ena</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Ferry Building, Suite 255</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Francisco, CA 94111</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243,508/*(14)</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243,508</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700" w:type="dxa"/>
            <w:vAlign w:val="bottom"/>
            <w:gridSpan w:val="2"/>
          </w:tcPr>
          <w:p>
            <w:pPr>
              <w:spacing w:after="0"/>
              <w:rPr>
                <w:sz w:val="20"/>
                <w:szCs w:val="20"/>
                <w:color w:val="auto"/>
              </w:rPr>
            </w:pPr>
            <w:r>
              <w:rPr>
                <w:rFonts w:ascii="Arial" w:cs="Arial" w:eastAsia="Arial" w:hAnsi="Arial"/>
                <w:sz w:val="18"/>
                <w:szCs w:val="18"/>
                <w:color w:val="auto"/>
              </w:rPr>
              <w:t>Tempo Master Fund LP</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Two Greenwich Plaza 2nd Floor</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Greenwich, CT 06830</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rPr>
              <w:t>4,870,130/3.87%(15)</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4,870,130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I. Unterberg</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C.E. Unterberg, Towbin</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 Madison Avenue, 10th Floor</w:t>
            </w:r>
          </w:p>
        </w:tc>
        <w:tc>
          <w:tcPr>
            <w:tcW w:w="3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32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811,688/*(16)</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811,688</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700" w:type="dxa"/>
            <w:vAlign w:val="bottom"/>
            <w:gridSpan w:val="2"/>
          </w:tcPr>
          <w:p>
            <w:pPr>
              <w:spacing w:after="0"/>
              <w:rPr>
                <w:sz w:val="20"/>
                <w:szCs w:val="20"/>
                <w:color w:val="auto"/>
              </w:rPr>
            </w:pPr>
            <w:r>
              <w:rPr>
                <w:rFonts w:ascii="Arial" w:cs="Arial" w:eastAsia="Arial" w:hAnsi="Arial"/>
                <w:sz w:val="18"/>
                <w:szCs w:val="18"/>
                <w:color w:val="auto"/>
              </w:rPr>
              <w:t>UT Special Opportunities Fund, L.P.</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c/o C.E. Unterberg Towbin</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350 Madison Avenue, 10th Floor</w:t>
            </w:r>
          </w:p>
        </w:tc>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rPr>
              <w:t>162,337/*(17)</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162,337</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675"/>
        </w:trPr>
        <w:tc>
          <w:tcPr>
            <w:tcW w:w="1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280" w:type="dxa"/>
            <w:vAlign w:val="bottom"/>
          </w:tcPr>
          <w:p>
            <w:pPr>
              <w:jc w:val="right"/>
              <w:ind w:right="2092"/>
              <w:spacing w:after="0"/>
              <w:rPr>
                <w:sz w:val="20"/>
                <w:szCs w:val="20"/>
                <w:color w:val="auto"/>
              </w:rPr>
            </w:pPr>
            <w:r>
              <w:rPr>
                <w:rFonts w:ascii="Arial" w:cs="Arial" w:eastAsia="Arial" w:hAnsi="Arial"/>
                <w:sz w:val="18"/>
                <w:szCs w:val="18"/>
                <w:color w:val="auto"/>
              </w:rPr>
              <w:t>20</w:t>
            </w: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4"/>
        </w:trPr>
        <w:tc>
          <w:tcPr>
            <w:tcW w:w="17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61"/>
        </w:trPr>
        <w:tc>
          <w:tcPr>
            <w:tcW w:w="1760" w:type="dxa"/>
            <w:vAlign w:val="bottom"/>
            <w:shd w:val="clear" w:color="auto" w:fill="808080"/>
          </w:tcPr>
          <w:p>
            <w:pPr>
              <w:spacing w:after="0"/>
              <w:rPr>
                <w:sz w:val="5"/>
                <w:szCs w:val="5"/>
                <w:color w:val="auto"/>
              </w:rPr>
            </w:pPr>
          </w:p>
        </w:tc>
        <w:tc>
          <w:tcPr>
            <w:tcW w:w="2940" w:type="dxa"/>
            <w:vAlign w:val="bottom"/>
            <w:shd w:val="clear" w:color="auto" w:fill="808080"/>
          </w:tcPr>
          <w:p>
            <w:pPr>
              <w:spacing w:after="0"/>
              <w:rPr>
                <w:sz w:val="5"/>
                <w:szCs w:val="5"/>
                <w:color w:val="auto"/>
              </w:rPr>
            </w:pPr>
          </w:p>
        </w:tc>
        <w:tc>
          <w:tcPr>
            <w:tcW w:w="328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r>
      <w:tr>
        <w:trPr>
          <w:trHeight w:val="105"/>
        </w:trPr>
        <w:tc>
          <w:tcPr>
            <w:tcW w:w="1760" w:type="dxa"/>
            <w:vAlign w:val="bottom"/>
            <w:tcBorders>
              <w:bottom w:val="single" w:sz="8" w:color="808080"/>
            </w:tcBorders>
          </w:tcPr>
          <w:p>
            <w:pPr>
              <w:spacing w:after="0"/>
              <w:rPr>
                <w:sz w:val="9"/>
                <w:szCs w:val="9"/>
                <w:color w:val="auto"/>
              </w:rPr>
            </w:pPr>
          </w:p>
        </w:tc>
        <w:tc>
          <w:tcPr>
            <w:tcW w:w="29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00" w:type="dxa"/>
            <w:vAlign w:val="bottom"/>
          </w:tcPr>
          <w:p>
            <w:pPr>
              <w:spacing w:after="0"/>
              <w:rPr>
                <w:sz w:val="9"/>
                <w:szCs w:val="9"/>
                <w:color w:val="auto"/>
              </w:rPr>
            </w:pPr>
          </w:p>
        </w:tc>
      </w:tr>
    </w:tbl>
    <w:p>
      <w:pPr>
        <w:spacing w:after="0" w:line="208"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Denotes less than 1%.</w:t>
      </w:r>
    </w:p>
    <w:p>
      <w:pPr>
        <w:spacing w:after="0" w:line="225" w:lineRule="exact"/>
        <w:rPr>
          <w:rFonts w:ascii="Arial" w:cs="Arial" w:eastAsia="Arial" w:hAnsi="Arial"/>
          <w:sz w:val="18"/>
          <w:szCs w:val="18"/>
          <w:color w:val="auto"/>
        </w:rPr>
      </w:pPr>
    </w:p>
    <w:p>
      <w:pPr>
        <w:ind w:left="1160" w:right="340" w:hanging="567"/>
        <w:spacing w:after="0" w:line="268" w:lineRule="auto"/>
        <w:rPr>
          <w:rFonts w:ascii="Arial" w:cs="Arial" w:eastAsia="Arial" w:hAnsi="Arial"/>
          <w:sz w:val="18"/>
          <w:szCs w:val="18"/>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Beneficial ownership is calculated as of March 31, 2007 in accordance with General Instruction F. to Form 20-F and is based on 120,882,946 ordinary shares outstanding.</w:t>
      </w:r>
    </w:p>
    <w:p>
      <w:pPr>
        <w:spacing w:after="0" w:line="213" w:lineRule="exact"/>
        <w:rPr>
          <w:sz w:val="20"/>
          <w:szCs w:val="20"/>
          <w:color w:val="auto"/>
        </w:rPr>
      </w:pPr>
    </w:p>
    <w:p>
      <w:pPr>
        <w:ind w:left="1160" w:right="300" w:hanging="571"/>
        <w:spacing w:after="0" w:line="235" w:lineRule="auto"/>
        <w:tabs>
          <w:tab w:leader="none" w:pos="116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Includes 64,935 ordinary shares underlying Series I Warrants and 129,871 ordinary shares underlying Series II Warrants. Mr. Andrew Arno, a managing member of General Partner, UTCM, L.L.C., has voting and dispositive authority with respect to these securities. This selling stockholder is an affiliate of C.E. Unterberg Towbin, LLC a registered broker-dealer. This selling stockholder has represented to us that it (i)</w:t>
      </w:r>
    </w:p>
    <w:p>
      <w:pPr>
        <w:sectPr>
          <w:pgSz w:w="11900" w:h="16838" w:orient="portrait"/>
          <w:cols w:equalWidth="0" w:num="1">
            <w:col w:w="11420"/>
          </w:cols>
          <w:pgMar w:left="240" w:top="140" w:right="239" w:bottom="0" w:gutter="0" w:footer="0" w:header="0"/>
        </w:sectPr>
      </w:pPr>
    </w:p>
    <w:bookmarkStart w:id="14" w:name="page15"/>
    <w:bookmarkEnd w:id="14"/>
    <w:p>
      <w:pPr>
        <w:ind w:left="580" w:right="240"/>
        <w:spacing w:after="0" w:line="268" w:lineRule="auto"/>
        <w:rPr>
          <w:sz w:val="20"/>
          <w:szCs w:val="20"/>
          <w:color w:val="auto"/>
        </w:rPr>
      </w:pPr>
      <w:r>
        <w:rPr>
          <w:rFonts w:ascii="Arial" w:cs="Arial" w:eastAsia="Arial" w:hAnsi="Arial"/>
          <w:sz w:val="18"/>
          <w:szCs w:val="18"/>
          <w:color w:val="auto"/>
        </w:rPr>
        <w:t>purchased the securities in the ordinary course of business and (ii) did not have an agreement or understanding, directly or indirectly, with any person to distribute the securities at the time it purchased the securities.</w:t>
      </w:r>
    </w:p>
    <w:p>
      <w:pPr>
        <w:spacing w:after="0" w:line="213" w:lineRule="exact"/>
        <w:rPr>
          <w:sz w:val="20"/>
          <w:szCs w:val="20"/>
          <w:color w:val="auto"/>
        </w:rPr>
      </w:pPr>
    </w:p>
    <w:p>
      <w:pPr>
        <w:ind w:left="580" w:right="60" w:hanging="571"/>
        <w:spacing w:after="0" w:line="249" w:lineRule="auto"/>
        <w:tabs>
          <w:tab w:leader="none" w:pos="58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Includes 974,026 ordinary shares underlying Series I Warrants and 1,948,052 ordinary shares underlying Series II Warrants. Heights Capital Management, Inc., the authorized agent of Capital Ventures International (“CVI”), has discretionary authority to vote and dispose of the shares held by CVI and may be deemed to be the beneficial owner of these shares. Mr. Martin Kobinger, in his capacity as Investment Manager of Heights Capital Management, Inc., may also be deemed to have investment discretion and voting power over the shares held by CVI. Mr. Kobinger disclaims any such beneficial ownership of the shares. This selling stockholder is under common control with one or more NASD members, none of whom are currently expected to participate in the sale pursuant to this prospectus of ordinary shares purchased by the selling stockholder in this offering.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31" w:lineRule="exact"/>
        <w:rPr>
          <w:sz w:val="20"/>
          <w:szCs w:val="20"/>
          <w:color w:val="auto"/>
        </w:rPr>
      </w:pPr>
    </w:p>
    <w:p>
      <w:pPr>
        <w:ind w:left="580" w:right="40" w:hanging="571"/>
        <w:spacing w:after="0" w:line="220" w:lineRule="auto"/>
        <w:tabs>
          <w:tab w:leader="none" w:pos="58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Includes 827,922 ordinary shares underlying Series I Warrants and 1,655,844 ordinary shares underlying Series II Warrants. Mr. Mitch Levine, managing partner of this selling stockholder, has voting and dispositive authority with respect to these securities. Mr. Levine disclaims beneficial ownership of these securities except to the extent of his pecuniary interest therein, if any.</w:t>
      </w:r>
    </w:p>
    <w:p>
      <w:pPr>
        <w:spacing w:after="0" w:line="238" w:lineRule="exact"/>
        <w:rPr>
          <w:sz w:val="20"/>
          <w:szCs w:val="20"/>
          <w:color w:val="auto"/>
        </w:rPr>
      </w:pPr>
    </w:p>
    <w:p>
      <w:pPr>
        <w:ind w:left="580" w:right="40" w:hanging="571"/>
        <w:spacing w:after="0" w:line="210" w:lineRule="auto"/>
        <w:tabs>
          <w:tab w:leader="none" w:pos="5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Includes 97,402 ordinary shares underlying Series I Warrants and 194,805 ordinary shares underlying Series II Warrants. Mr. Mitch Levine, managing partner of this selling stockholder, has voting and dispositive authority with respect to these securities. Mr. Levine disclaims beneficial ownership of these securities except to the extent of his pecuniary interest therein, if any.</w:t>
      </w:r>
    </w:p>
    <w:p>
      <w:pPr>
        <w:spacing w:after="0" w:line="237" w:lineRule="exact"/>
        <w:rPr>
          <w:sz w:val="20"/>
          <w:szCs w:val="20"/>
          <w:color w:val="auto"/>
        </w:rPr>
      </w:pPr>
    </w:p>
    <w:p>
      <w:pPr>
        <w:ind w:left="580" w:right="20" w:hanging="571"/>
        <w:spacing w:after="0" w:line="247" w:lineRule="auto"/>
        <w:tabs>
          <w:tab w:leader="none" w:pos="580"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color w:val="auto"/>
        </w:rPr>
        <w:t>Includes 914,708 ordinary shares underlying Series I Warrants and 1,829,416 ordinary shares underlying Series II Warrants. Fort Mason Capital, LLC, serves as the general partner of Fort Mason Master, LP, and, in such capacity, exercises sole voting and dispositive authority with respect to such shares. Mr. Daniel German serves as the sole managing member of Fort Mason Capital, LLC. Fort Mason Capital, LLC, and Mr. German each disclaim beneficial ownership of these securities except to the extent of its or his pecuniary interest therein, if any.</w:t>
      </w:r>
    </w:p>
    <w:p>
      <w:pPr>
        <w:spacing w:after="0" w:line="200" w:lineRule="exact"/>
        <w:rPr>
          <w:sz w:val="20"/>
          <w:szCs w:val="20"/>
          <w:color w:val="auto"/>
        </w:rPr>
      </w:pPr>
    </w:p>
    <w:p>
      <w:pPr>
        <w:spacing w:after="0" w:line="24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right="40" w:hanging="571"/>
        <w:spacing w:after="0" w:line="247" w:lineRule="auto"/>
        <w:tabs>
          <w:tab w:leader="none" w:pos="580" w:val="left"/>
        </w:tabs>
        <w:numPr>
          <w:ilvl w:val="0"/>
          <w:numId w:val="19"/>
        </w:numPr>
        <w:rPr>
          <w:rFonts w:ascii="Arial" w:cs="Arial" w:eastAsia="Arial" w:hAnsi="Arial"/>
          <w:sz w:val="26"/>
          <w:szCs w:val="26"/>
          <w:color w:val="auto"/>
          <w:vertAlign w:val="superscript"/>
        </w:rPr>
      </w:pPr>
      <w:r>
        <w:rPr>
          <w:rFonts w:ascii="Arial" w:cs="Arial" w:eastAsia="Arial" w:hAnsi="Arial"/>
          <w:sz w:val="16"/>
          <w:szCs w:val="16"/>
          <w:color w:val="auto"/>
        </w:rPr>
        <w:t>Includes 59,318 ordinary shares underlying Series I Warrants and 118,636 ordinary shares underlying Series II Warrants. Fort Mason Capital, LLC, serves as the general partner of Fort Mason Partners, LP, and, in such capacity, exercises sole voting and dispositive authority with respect to such shares. Mr. Daniel German serves as the sole managing member of Fort Mason Capital, LLC. Fort Mason Capital, LLC, and Mr. German each disclaim beneficial ownership of these securities except to the extent of its or his pecuniary interest therein, if any.</w:t>
      </w:r>
    </w:p>
    <w:p>
      <w:pPr>
        <w:spacing w:after="0" w:line="232" w:lineRule="exact"/>
        <w:rPr>
          <w:sz w:val="20"/>
          <w:szCs w:val="20"/>
          <w:color w:val="auto"/>
        </w:rPr>
      </w:pPr>
    </w:p>
    <w:p>
      <w:pPr>
        <w:ind w:left="580" w:hanging="571"/>
        <w:spacing w:after="0" w:line="267" w:lineRule="auto"/>
        <w:tabs>
          <w:tab w:leader="none" w:pos="58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Includes 2,000,000 ordinary shares underlying Series I Warrants and 4,000,000 ordinary shares underlying Series II Warrants. Highbridge Capital Management, LLC is the trading manager of Highbridge International LLC and has voting control and investment discretion over the securities held by Highbridge International LLC. Mr. Glenn Dubin and Mr. Henry Swieca control Highbridge Capital Management, LLC, and have voting control and investment discretion over the securities held by Highbridge International LLC. Each of Highbridge Capital Management, LLC, Mr. Dubin and Mr. Swieca disclaims beneficial ownership of the securities held by Highbridge International LLC. Notwithstanding the amount listed for the selling stockholder, with respect to the warrants held by the selling stockholder, such amount is subject to the exercise limitation set forth in the warrants which prohibits the exercise of the warrants if such action would result in the selling stockholder and other persons with whom such selling stockholder’s ownership would be aggregated for purposes of beneficial ownership rules, owning in excess of 4.99% of our outstanding ordinary shares immediately after such exercise.</w:t>
      </w:r>
    </w:p>
    <w:p>
      <w:pPr>
        <w:spacing w:after="0" w:line="218" w:lineRule="exact"/>
        <w:rPr>
          <w:sz w:val="20"/>
          <w:szCs w:val="20"/>
          <w:color w:val="auto"/>
        </w:rPr>
      </w:pPr>
    </w:p>
    <w:p>
      <w:pPr>
        <w:ind w:left="580" w:hanging="571"/>
        <w:spacing w:after="0" w:line="228" w:lineRule="auto"/>
        <w:tabs>
          <w:tab w:leader="none" w:pos="5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Includes 1,136,364 ordinary shares underlying Series I Warrants and 2,272,728 ordinary shares underlying Series II Warrants. Interlachen Capital Group LP is the trading manager of Investcorp Interlachen Multi-Strategy Master Fund Limited and has voting and investment discretion over securities held by Investcorp Interlachen Multi-Strategy Master Fund Limited. Andrew Fraley, in his role as Chief Investment Officer of Interlachen Capital Group LP, has voting control and investment discretion over securities held by Investcorp Interlachen Multi-Strategy Master Fund Limited. Interlachen Capital Group LP and Andrew Fraley disclaim beneficial ownership of the securities held by Investcorp Interlachen Multi-Strategy Master Fund Limited.</w:t>
      </w:r>
    </w:p>
    <w:p>
      <w:pPr>
        <w:spacing w:after="0" w:line="240" w:lineRule="exact"/>
        <w:rPr>
          <w:sz w:val="20"/>
          <w:szCs w:val="20"/>
          <w:color w:val="auto"/>
        </w:rPr>
      </w:pPr>
    </w:p>
    <w:p>
      <w:pPr>
        <w:ind w:left="580" w:right="580" w:hanging="571"/>
        <w:spacing w:after="0" w:line="210" w:lineRule="auto"/>
        <w:tabs>
          <w:tab w:leader="none" w:pos="5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Includes 649,351 ordinary shares underlying Series I Warrants and 1,298,702 ordinary shares underlying Series II Warrants. Mr. Joshua Silverman, an authorized representative of Iroquois Master Fund Ltd., has the dispositive and voting authority over the shares held by the corporation.</w:t>
      </w:r>
    </w:p>
    <w:p>
      <w:pPr>
        <w:spacing w:after="0" w:line="237" w:lineRule="exact"/>
        <w:rPr>
          <w:rFonts w:ascii="Arial" w:cs="Arial" w:eastAsia="Arial" w:hAnsi="Arial"/>
          <w:sz w:val="29"/>
          <w:szCs w:val="29"/>
          <w:color w:val="auto"/>
          <w:vertAlign w:val="superscript"/>
        </w:rPr>
      </w:pPr>
    </w:p>
    <w:p>
      <w:pPr>
        <w:ind w:left="580" w:hanging="571"/>
        <w:spacing w:after="0" w:line="224" w:lineRule="auto"/>
        <w:tabs>
          <w:tab w:leader="none" w:pos="5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Includes 974,026 ordinary shares underlying Series I Warrants and 1,948,052 ordinary shares underlying Series II Warrants. Lehman Brothers Holdings, Inc., a public reporting company, has voting and dispositive authority over the shares held by this selling stockholder. LB I Group Inc. is an affiliate of Lehman Brothers Inc.,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39" w:lineRule="exact"/>
        <w:rPr>
          <w:rFonts w:ascii="Arial" w:cs="Arial" w:eastAsia="Arial" w:hAnsi="Arial"/>
          <w:sz w:val="29"/>
          <w:szCs w:val="29"/>
          <w:color w:val="auto"/>
          <w:vertAlign w:val="superscript"/>
        </w:rPr>
      </w:pPr>
    </w:p>
    <w:p>
      <w:pPr>
        <w:ind w:left="580" w:right="40" w:hanging="571"/>
        <w:spacing w:after="0" w:line="224" w:lineRule="auto"/>
        <w:tabs>
          <w:tab w:leader="none" w:pos="5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Includes 162,338 ordinary shares underlying Series I Warrants and 324,675 ordinary shares underlying Series II Warrants. Thomas I. Unterberg, President of the selling stockholder, has voting and dispositive authority with respect to these securities. Mr. Unterberg is Chairman of C.E. Unterberg Towbin Holding Co.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39" w:lineRule="exact"/>
        <w:rPr>
          <w:rFonts w:ascii="Arial" w:cs="Arial" w:eastAsia="Arial" w:hAnsi="Arial"/>
          <w:sz w:val="29"/>
          <w:szCs w:val="29"/>
          <w:color w:val="auto"/>
          <w:vertAlign w:val="superscript"/>
        </w:rPr>
      </w:pPr>
    </w:p>
    <w:p>
      <w:pPr>
        <w:ind w:left="580" w:right="20" w:hanging="571"/>
        <w:spacing w:after="0" w:line="244" w:lineRule="auto"/>
        <w:tabs>
          <w:tab w:leader="none" w:pos="58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Includes 324,676 ordinary shares underlying Series I Warrants and 649,351 ordinary shares underlying Series II Warrants and 949,973 ordinary shares held by the selling stockholder prior to the private placement described above. Menorah Mivtachim Holdings Ltd., a public company registered with the Israel Securities Authority, is the holder of 97% of the selling stockholder. Mr. Menahem Gurevitch owns, directly and indirectly, 63.6% of the shares of Menorah Mivtachim Holdings Ltd. Accordingly, Mr. Gurevitch may be deemed to have the sole voting and dispositive power as to the shares held by the selling stockholder. Certain mutual, pension and provident funds, managed by Menorah Mivtachim Finance Ltd., a wholly-owned subsidiary of Menorah Mivtachim Holdings Ltd., also hold our ordinary shares. The selling stockholder disclaims beneficial ownership of these securities.</w:t>
      </w:r>
    </w:p>
    <w:p>
      <w:pPr>
        <w:sectPr>
          <w:pgSz w:w="11900" w:h="16838" w:orient="portrait"/>
          <w:cols w:equalWidth="0" w:num="1">
            <w:col w:w="10800"/>
          </w:cols>
          <w:pgMar w:left="820" w:top="131" w:right="279" w:bottom="0" w:gutter="0" w:footer="0" w:header="0"/>
        </w:sectPr>
      </w:pPr>
    </w:p>
    <w:bookmarkStart w:id="15" w:name="page16"/>
    <w:bookmarkEnd w:id="15"/>
    <w:p>
      <w:pPr>
        <w:ind w:left="1160" w:right="80" w:hanging="571"/>
        <w:spacing w:after="0" w:line="210" w:lineRule="auto"/>
        <w:tabs>
          <w:tab w:leader="none" w:pos="116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Includes 48,702 ordinary shares underlying Series I Warrants and 97,403 ordinary shares underlying Series II Warrants. Mr. Mitch Levine, managing partner of this selling stockholder, has voting and dispositive authority with respect to these securities. Mr. Levine disclaims beneficial ownership of these securities except to the extent of his pecuniary interest therein, if any.</w:t>
      </w:r>
    </w:p>
    <w:p>
      <w:pPr>
        <w:spacing w:after="0" w:line="237" w:lineRule="exact"/>
        <w:rPr>
          <w:rFonts w:ascii="Arial" w:cs="Arial" w:eastAsia="Arial" w:hAnsi="Arial"/>
          <w:sz w:val="29"/>
          <w:szCs w:val="29"/>
          <w:color w:val="auto"/>
          <w:vertAlign w:val="superscript"/>
        </w:rPr>
      </w:pPr>
    </w:p>
    <w:p>
      <w:pPr>
        <w:ind w:left="1160" w:hanging="571"/>
        <w:spacing w:after="0" w:line="210" w:lineRule="auto"/>
        <w:tabs>
          <w:tab w:leader="none" w:pos="116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Includes 974,026 ordinary shares underlying Series I Warrants and 1,948,052 ordinary shares underlying Series II Warrants. Mr. Andrew Barnard, on behalf of JD Capital Management, LLC, the investment manager of this selling stockholder has voting and dispositive authority with respect to these securities.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480" w:hanging="571"/>
        <w:spacing w:after="0" w:line="218" w:lineRule="auto"/>
        <w:tabs>
          <w:tab w:leader="none" w:pos="116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Includes 162,338 ordinary shares underlying Series I Warrants and 324,675 ordinary shares underlying Series II Warrants. Mr. Unterberg is Chairman of C.E. Unterberg Towbin Holding Co. a registered broker-dealer. Mr. Unterberg has represented to us that he (i) purchased the securities in the ordinary course of business and (ii) did not have an agreement or understanding, directly or indirectly, with any person to distribute the securities at the time he purchased the securities.</w:t>
      </w:r>
    </w:p>
    <w:p>
      <w:pPr>
        <w:spacing w:after="0" w:line="240" w:lineRule="exact"/>
        <w:rPr>
          <w:rFonts w:ascii="Arial" w:cs="Arial" w:eastAsia="Arial" w:hAnsi="Arial"/>
          <w:sz w:val="29"/>
          <w:szCs w:val="29"/>
          <w:color w:val="auto"/>
          <w:vertAlign w:val="superscript"/>
        </w:rPr>
      </w:pPr>
    </w:p>
    <w:p>
      <w:pPr>
        <w:ind w:left="1160" w:right="280" w:hanging="571"/>
        <w:spacing w:after="0" w:line="236" w:lineRule="auto"/>
        <w:tabs>
          <w:tab w:leader="none" w:pos="116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Includes 32,467 ordinary shares underlying Series I Warrants and 64,935 ordinary shares underlying Series II Warrants. Mr. Andrew Arno, a managing member of General Partner, UTCM, L.L.C., has voting and dispositive authority with respect to these securities. This selling stockholder is an affiliate of C.E. Unterberg Towbin, LLC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99"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Our authorized share capital consists of 800 million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7"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9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no less than twenty one days) of shareholders present in person or by proxy and holding shares conferring, in the aggregate, at least a majority of the votes actually cast on such resolutions.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articles of association is to engage in any lawful activity.</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0"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of March 31, 2007, 120,882,946 of our ordinary shares were outstanding. The above numbers of outstanding ordinary shares do not include 1.3 million treasury shares held by us through a trustee.</w:t>
      </w:r>
    </w:p>
    <w:p>
      <w:pPr>
        <w:sectPr>
          <w:pgSz w:w="11900" w:h="16838" w:orient="portrait"/>
          <w:cols w:equalWidth="0" w:num="1">
            <w:col w:w="11420"/>
          </w:cols>
          <w:pgMar w:left="240" w:top="374" w:right="239" w:bottom="0" w:gutter="0" w:footer="0" w:header="0"/>
        </w:sectPr>
      </w:pPr>
    </w:p>
    <w:bookmarkStart w:id="16" w:name="page17"/>
    <w:bookmarkEnd w:id="16"/>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31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31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under the laws of their countries of residence of holding or selling our securities.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Israeli Capital Gains Tax</w:t>
      </w:r>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Until the end of the year 2002 and provided we maintained our status as an “Industrial Corporation”, capital gains from the sale of our securities were generally exempt from Israeli Capital Gains Tax. This exemption did not apply to a shareholder whose taxable income was determined pursuant to the Israeli Income Tax Law (Inflationary Adjustments) 1985, or to a person whose gains from selling or otherwise disposing of our securities were deemed to be business income.</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January 1, 2006 an amendment to the Israeli tax regime became effective (the “2006 Tax Reform”). The 2006 Tax Reform significantly changed the tax rates applicable to income derived from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1"/>
        <w:spacing w:after="0" w:line="335" w:lineRule="auto"/>
        <w:rPr>
          <w:sz w:val="20"/>
          <w:szCs w:val="20"/>
          <w:color w:val="auto"/>
        </w:rPr>
      </w:pPr>
      <w:r>
        <w:rPr>
          <w:rFonts w:ascii="Arial" w:cs="Arial" w:eastAsia="Arial" w:hAnsi="Arial"/>
          <w:sz w:val="15"/>
          <w:szCs w:val="15"/>
          <w:color w:val="auto"/>
        </w:rPr>
        <w:t>According to the 2006 Tax Reform, an individual is subject to a 20% tax rate on real capital gains derived from the sale of shares, as long as the individual is not a “substantial shareholder” (generally a shareholder with 10% or more of the right to profits, right to nominate a director or voting rights) in the company issuing the shares. The rate on the gains from publicly traded shares applicable to gains that were realized between January 1, 2003 and January 1, 2006 was 15%.</w:t>
      </w:r>
    </w:p>
    <w:p>
      <w:pPr>
        <w:spacing w:after="0" w:line="142"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 substantial shareholder will be subject to tax at a rate of 25%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 shareholder.</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Corporations will be subject to corporate tax rates in respect of total income, including capital gains, with the corporate tax rate reduced gradually from 34% in 2005 to 25% in 2010. However, between 2006 and 2009,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will generally be taxed at a rate of 25% on their capital gains from the sale of their securities.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7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some instances where our shareholders may be liable to Israeli tax on the sale of their ordinary shares, the payment of the consideration may be subject to the withholding of Israeli tax at the source.</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Pursuant to the treaty between the Governments of the United States and Israel with respect to taxes on income, or the U.S.-Israel tax treaty, the sale, exchange or disposition of our ordinary shares by a person who qualifies as a resident of the United States under the treaty and who is entitled to claim the benefits afforded to him by the treaty, will generally not be subject to Israeli capital gains tax. This exemption shall not apply to a person who held, directly or indirectly, shares representing 10% or more of the voting power in our company during any part of the 12-month period preceding the sale, exchange or disposition, subject to certain conditions. A sale, exchange or disposition of our shares by a U.S. resident qualified under the treaty, who held, directly or indirectly, shares representing 10% or more of the voting power in our company at any time during the preceding 12-month period would be subject to Israeli tax, to the extent applicable; however, under the treaty, this U.S. resident would be permitted to claim a credit for these taxes against the U.S. income tax with respect to the sale, exchange or disposition, subject to the limitations in U.S. laws applicable to foreign tax credits.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Israeli Tax on Interest Income and on Original Issuance Discount</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Interest and Original Issuance Discount (OID) on our convertible debentures will, in general, be subject to Israeli tax of up to 20% if received by an individual. This reduced rate of tax will not apply if the interest and OID are business income in the hands of the recipient, if the interest is recorded or should be recorded in the individual’s accounting books, if the recipient is a substantial shareholder of our company, if financing expenses related to the purchase of the</w:t>
      </w:r>
    </w:p>
    <w:p>
      <w:pPr>
        <w:sectPr>
          <w:pgSz w:w="11900" w:h="16904" w:orient="portrait"/>
          <w:cols w:equalWidth="0" w:num="1">
            <w:col w:w="11400"/>
          </w:cols>
          <w:pgMar w:left="240" w:top="131" w:right="259" w:bottom="0" w:gutter="0" w:footer="0" w:header="0"/>
        </w:sectPr>
      </w:pPr>
    </w:p>
    <w:bookmarkStart w:id="17" w:name="page18"/>
    <w:bookmarkEnd w:id="17"/>
    <w:p>
      <w:pPr>
        <w:ind w:right="80"/>
        <w:spacing w:after="0" w:line="254" w:lineRule="auto"/>
        <w:rPr>
          <w:sz w:val="20"/>
          <w:szCs w:val="20"/>
          <w:color w:val="auto"/>
        </w:rPr>
      </w:pPr>
      <w:r>
        <w:rPr>
          <w:rFonts w:ascii="Arial" w:cs="Arial" w:eastAsia="Arial" w:hAnsi="Arial"/>
          <w:sz w:val="18"/>
          <w:szCs w:val="18"/>
          <w:color w:val="auto"/>
        </w:rPr>
        <w:t>debentures were deducted by the individual in the calculation of the individual’s Israeli taxable income, or if the individual is an employee, supplier, or service provider of the company and the tax authorities have not been persuaded that the payment of interest was not affected by the relationship between the parties. In such cases the regular rate of tax on Interest and OID of up to 49% will apply to the individual. Interest and OID paid to corporations will be subject to corporate tax at the regular rates of 31% in 2006, 29% in 2007, 27% in 2008, 26% in 2009 and 25% in 2010 and thereafter. As a result of the provisions related to tax withholding, as explained below, foreign resident individuals and corporations will be subject to tax of 25% or less, according to the relevant treaty relating to their domicile country.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regulations promulgated as part of the 2006 Tax Reform, withholding tax at source from debenture interest and OID paid to resident individuals will, in general, be at a rate of 20%. However, if the individual receiving the interest and OID is a substantial shareholder, an employee, supplier or service provider of the company, tax will be withheld at the marginal rates applicable to individuals. Corporations will be subject to withholding tax at the applicable rate of corporate tax as set out above. Withholding tax at source from debenture interest and OID paid to non-resident individuals or corporations will be at a rate of 25% or less, according to the relevant treaty relating to their domicile country. In any event, under the US-Israel Tax Treaty, the maximum Israeli tax withheld on interest and OID paid on our convertible debentures due 2006 to a US treaty resident (other than a US bank, savings institution or company) is 17.5%.</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Israeli Tax on Dividend Income</w:t>
      </w:r>
    </w:p>
    <w:p>
      <w:pPr>
        <w:spacing w:after="0" w:line="225"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On distributions of dividends other than bonus shares, or stock dividends, to Israeli individuals and foreign resident individuals and corporations we would be required to withhold income tax at the rate of 20%. If the income out of which the dividend is being paid is attributable to an Approved Enterprise under the Law for the Encouragement of Capital Investments, 1959, the rate is 15%. A different rate may be provided for in a treaty between Israel and the shareholder’s country of residence.</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PFIC Rules</w:t>
      </w:r>
    </w:p>
    <w:p>
      <w:pPr>
        <w:spacing w:after="0" w:line="225"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16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do not believe that we satisfied either of the tests for PFIC status in 2006 or in any prior year. However, there can be no assurance that we will not be a PFIC in 2007 or a later year. If, for example, the “passive income” earned by us exceeds 75% or more of our “gross income”, we will be a PFIC under the “income test”. Passive income for PFIC purposes includes, among other things, gross interest, dividends, royalties, rent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172"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Global Market is a qualifying exchange. U.S. holders are strongly urged to consult their own tax advisers regarding the possible application and consequences of the PFIC rules.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1998, we have not declared or paid cash dividends on any of our shares and we have no current intention of paying any cash dividends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facility agreement that we entered into with our banks, as amended, prohibits the payment of dividends.</w:t>
      </w:r>
    </w:p>
    <w:p>
      <w:pPr>
        <w:spacing w:after="0" w:line="219"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312" w:lineRule="exact"/>
        <w:rPr>
          <w:sz w:val="20"/>
          <w:szCs w:val="20"/>
          <w:color w:val="auto"/>
        </w:rPr>
      </w:pPr>
    </w:p>
    <w:p>
      <w:pPr>
        <w:ind w:right="520" w:firstLine="348"/>
        <w:spacing w:after="0" w:line="332" w:lineRule="auto"/>
        <w:rPr>
          <w:sz w:val="20"/>
          <w:szCs w:val="20"/>
          <w:color w:val="auto"/>
        </w:rPr>
      </w:pPr>
      <w:r>
        <w:rPr>
          <w:rFonts w:ascii="Arial" w:cs="Arial" w:eastAsia="Arial" w:hAnsi="Arial"/>
          <w:sz w:val="16"/>
          <w:szCs w:val="16"/>
          <w:color w:val="auto"/>
        </w:rPr>
        <w:t>The validity of the securities offered in this prospectus will be passed upon for us by Yigal Arnon &amp; Co., our Israeli counsel. In addition, certain other matters in connection with this offering with respect to United States law will be passed upon for us by Eilenberg Krause &amp; Paul LLP, our U.S. counsel.</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312"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audited consolidated financial statements incorporated in this prospectus by reference from the company’s Annual Report on Form 20-F for the year ended December 31, 2005 and the company’s report on Form 6-K filed on February 8, 2007, have been audited by Brightman Almagor &amp; Co., a member firm of Deloitte Touche Tohmatsu, an independent registered public accounting firm, as stated in their reports, which are incorporated herein by reference (which reports express an unqualified opinion and include an explanatory paragraph about the differences between accounting principles generally accepted in Israel and in the United States of America), and have been so incorporated in reliance upon the reports of such firm given upon their authority as experts in accounting and auditing.</w:t>
      </w:r>
    </w:p>
    <w:p>
      <w:pPr>
        <w:sectPr>
          <w:pgSz w:w="11900" w:h="16838" w:orient="portrait"/>
          <w:cols w:equalWidth="0" w:num="1">
            <w:col w:w="11400"/>
          </w:cols>
          <w:pgMar w:left="240" w:top="131" w:right="259" w:bottom="0" w:gutter="0" w:footer="0" w:header="0"/>
        </w:sectPr>
      </w:pPr>
    </w:p>
    <w:bookmarkStart w:id="18" w:name="page19"/>
    <w:bookmarkEnd w:id="18"/>
    <w:p>
      <w:pPr>
        <w:jc w:val="center"/>
        <w:ind w:right="6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286"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It may be difficult to enforce a U.S. judgment against us, our officers and directors and some of the experts named in this prospectus or to assert U.S. securities law claims in Israel.”</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BY REFERENCE</w:t>
      </w:r>
    </w:p>
    <w:p>
      <w:pPr>
        <w:spacing w:after="0" w:line="2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filed a registration statement on Form F-3 with the Securities and Exchange Commission in connection with this offering. In addition, we file reports with, and furnish information to, the Securities and Exchange Commission. You may read and copy the registration statement and any other documents we have filed at the Securities and Exchange Commission, including any exhibits and schedules, at the Securities and Exchange Commission’s public reference room at 100 F Street N.E., Washington, D.C. 20549. You may call the Securities and Exchange Commission at 1-800-SEC-0330 for further information on this public reference room. As a foreign private issuer, all documents which were filed after November 4, 2002 on the Securities and Exchange Commission’s EDGAR system are available for retrieval on the Securities and Exchange Commission’s website at www.sec.gov. These Securities and Exchange Commission filings are also available to the public on the Israel Securities Authority’s Magna website at www.magna.isa.gov.il and from commercial document retrieval services. We also generally make available on our own web site (www.towersemi.com) our quarterly and year-end financial statements as well as other information.</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We incorporate by reference the documents listed below and amendments to them. These documents and their amendments were previously filed with the Securities and Exchange Commission.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1720" w:right="20" w:hanging="567"/>
        <w:spacing w:after="0" w:line="268" w:lineRule="auto"/>
        <w:rPr>
          <w:sz w:val="20"/>
          <w:szCs w:val="20"/>
          <w:color w:val="auto"/>
        </w:rPr>
      </w:pPr>
      <w:r>
        <w:rPr>
          <w:rFonts w:ascii="Arial" w:cs="Arial" w:eastAsia="Arial" w:hAnsi="Arial"/>
          <w:sz w:val="18"/>
          <w:szCs w:val="18"/>
          <w:color w:val="auto"/>
        </w:rPr>
        <w:t>—Annual report on Form 20-F for the year ended December 31, 2005, filed on July 13, 2006, to the extent the information in that report has not been updated or superseded by this prospectus;</w:t>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2006 No. 2 (filed on July 24,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2006 No. 3 (filed on July 26,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(filed on August 2,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No. 1 (filed on August 9,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No. 3 (filed on August 24,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No. 4 (filed on August 28,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2 (filed on September 12,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3 (filed on September 13,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4 (filed on September 18,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5 (filed on September 25,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6 (filed on September 26,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7 (filed on September 28,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October 2006 No. 1 (filed on October 18,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1 (filed on November 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2 (filed on November 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3 (filed on November 2,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4 (filed on November 6,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5 (filed on November 7, 2006).</w:t>
      </w:r>
    </w:p>
    <w:p>
      <w:pPr>
        <w:sectPr>
          <w:pgSz w:w="11900" w:h="16838" w:orient="portrait"/>
          <w:cols w:equalWidth="0" w:num="1">
            <w:col w:w="11420"/>
          </w:cols>
          <w:pgMar w:left="240" w:top="125" w:right="239" w:bottom="0" w:gutter="0" w:footer="0" w:header="0"/>
        </w:sectPr>
      </w:pPr>
    </w:p>
    <w:bookmarkStart w:id="19" w:name="page20"/>
    <w:bookmarkEnd w:id="19"/>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6 (filed on November 7,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8 (filed on November 24, 2006).</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December 2006 No. 2 (filed on December 21,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December 2006 No. 3 (filed on December 21,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December 2006 No. 4 (filed on December 28,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January 2007 No. 2 (filed on January 23, 2007).</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February 2007 No. 2 (filed on February 8, 2007).</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February 2007 No. 3 (filed on February 12, 2007).</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March 2007 No. 1 (filed on March 15, 2007).</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May 2007 No. 2 (filed on May 2, 2007).</w:t>
      </w:r>
    </w:p>
    <w:p>
      <w:pPr>
        <w:spacing w:after="0" w:line="252" w:lineRule="exact"/>
        <w:rPr>
          <w:sz w:val="20"/>
          <w:szCs w:val="20"/>
          <w:color w:val="auto"/>
        </w:rPr>
      </w:pPr>
    </w:p>
    <w:p>
      <w:pPr>
        <w:ind w:left="1720" w:right="24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any report on Form 6-K, or parts thereof, meeting the requirements of Form F-3 filed after the date of the initial registration statement and prior to its effectiveness, which states that it, or any part thereof, is being incorporated by reference herein.</w:t>
      </w:r>
    </w:p>
    <w:p>
      <w:pPr>
        <w:spacing w:after="0" w:line="38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prospectus shall also be deemed to incorporate by reference all subsequent annual reports filed on Form 20-F, Form 40-F or Form 10-K, and all subsequent filings on Forms 10-Q and 8-K filed by the registrant pursuant to the Exchange Act, prior to the termination of the offering made by this prospectus. We may incorporate by reference into this prospectus, any Form 6-K meeting the requirements of Form F-3 which is submitted to the Securities and Exchange Commission after the date of the filing of the registration statement being filed in connection with this offering and before the date of termination of this offering. Any such Form 6-K which we intend to so incorporate shall state in such form that it is being incorporated by reference into this prospectus.</w:t>
      </w:r>
    </w:p>
    <w:p>
      <w:pPr>
        <w:spacing w:after="0" w:line="170"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Arial" w:cs="Arial" w:eastAsia="Arial" w:hAnsi="Arial"/>
          <w:sz w:val="16"/>
          <w:szCs w:val="16"/>
          <w:u w:val="single" w:color="auto"/>
          <w:color w:val="auto"/>
        </w:rPr>
        <w:t>www.towersemi.com</w:t>
      </w:r>
      <w:r>
        <w:rPr>
          <w:rFonts w:ascii="Arial" w:cs="Arial" w:eastAsia="Arial" w:hAnsi="Arial"/>
          <w:sz w:val="16"/>
          <w:szCs w:val="16"/>
          <w:color w:val="auto"/>
        </w:rPr>
        <w:t>. Click on “Investor Relations” and then “Filings.”</w:t>
      </w:r>
    </w:p>
    <w:p>
      <w:pPr>
        <w:spacing w:after="0" w:line="161"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 xml:space="preserve">A copy of this prospectus, our memorandum of association and our articles of association, are available for inspection at our offices at Hamada Avenue, Ramat Gavriel Industrial Park, Migdal Haemek, Israel and on the Israel Securities Authority’s Magna website, </w:t>
      </w:r>
      <w:r>
        <w:rPr>
          <w:rFonts w:ascii="Arial" w:cs="Arial" w:eastAsia="Arial" w:hAnsi="Arial"/>
          <w:sz w:val="16"/>
          <w:szCs w:val="16"/>
          <w:u w:val="single" w:color="auto"/>
          <w:color w:val="auto"/>
        </w:rPr>
        <w:t>www.magna.isa.gov.il</w:t>
      </w:r>
      <w:r>
        <w:rPr>
          <w:rFonts w:ascii="Arial" w:cs="Arial" w:eastAsia="Arial" w:hAnsi="Arial"/>
          <w:sz w:val="16"/>
          <w:szCs w:val="16"/>
          <w:color w:val="auto"/>
        </w:rPr>
        <w:t>.</w:t>
      </w:r>
    </w:p>
    <w:p>
      <w:pPr>
        <w:spacing w:after="0" w:line="139"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294005</wp:posOffset>
            </wp:positionV>
            <wp:extent cx="2058035" cy="677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47,012,993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148590</wp:posOffset>
            </wp:positionV>
            <wp:extent cx="11061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194945</wp:posOffset>
            </wp:positionV>
            <wp:extent cx="11061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40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or sale is not permitted. You should not assume that the information in this prospectus is accurate as of any date other than the date that appears below.</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May 23, 2007</w:t>
      </w:r>
    </w:p>
    <w:p>
      <w:pPr>
        <w:sectPr>
          <w:pgSz w:w="11900" w:h="16838" w:orient="portrait"/>
          <w:cols w:equalWidth="0" w:num="1">
            <w:col w:w="11360"/>
          </w:cols>
          <w:pgMar w:left="240" w:top="131" w:right="299" w:bottom="1440"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60"/>
      </w:cols>
      <w:pgMar w:left="240" w:top="13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emdash "/>
      <w:numFmt w:val="bullet"/>
      <w:start w:val="1"/>
    </w:lvl>
  </w:abstractNum>
  <w:abstractNum w:abstractNumId="1">
    <w:nsid w:val="7FDCC233"/>
    <w:multiLevelType w:val="hybridMultilevel"/>
    <w:lvl w:ilvl="0">
      <w:lvlJc w:val="left"/>
      <w:lvlText w:val="\emdash "/>
      <w:numFmt w:val="bullet"/>
      <w:start w:val="1"/>
    </w:lvl>
  </w:abstractNum>
  <w:abstractNum w:abstractNumId="2">
    <w:nsid w:val="1BEFD79F"/>
    <w:multiLevelType w:val="hybridMultilevel"/>
    <w:lvl w:ilvl="0">
      <w:lvlJc w:val="left"/>
      <w:lvlText w:val="\emdash "/>
      <w:numFmt w:val="bullet"/>
      <w:start w:val="1"/>
    </w:lvl>
  </w:abstractNum>
  <w:abstractNum w:abstractNumId="3">
    <w:nsid w:val="41A7C4C9"/>
    <w:multiLevelType w:val="hybridMultilevel"/>
    <w:lvl w:ilvl="0">
      <w:lvlJc w:val="left"/>
      <w:lvlText w:val="\emdash "/>
      <w:numFmt w:val="bullet"/>
      <w:start w:val="1"/>
    </w:lvl>
  </w:abstractNum>
  <w:abstractNum w:abstractNumId="4">
    <w:nsid w:val="6B68079A"/>
    <w:multiLevelType w:val="hybridMultilevel"/>
    <w:lvl w:ilvl="0">
      <w:lvlJc w:val="left"/>
      <w:lvlText w:val="\emdash "/>
      <w:numFmt w:val="bullet"/>
      <w:start w:val="1"/>
    </w:lvl>
  </w:abstractNum>
  <w:abstractNum w:abstractNumId="5">
    <w:nsid w:val="4E6AFB66"/>
    <w:multiLevelType w:val="hybridMultilevel"/>
    <w:lvl w:ilvl="0">
      <w:lvlJc w:val="left"/>
      <w:lvlText w:val="\emdash "/>
      <w:numFmt w:val="bullet"/>
      <w:start w:val="1"/>
    </w:lvl>
  </w:abstractNum>
  <w:abstractNum w:abstractNumId="6">
    <w:nsid w:val="25E45D32"/>
    <w:multiLevelType w:val="hybridMultilevel"/>
    <w:lvl w:ilvl="0">
      <w:lvlJc w:val="left"/>
      <w:lvlText w:val="\emdash "/>
      <w:numFmt w:val="bullet"/>
      <w:start w:val="1"/>
    </w:lvl>
  </w:abstractNum>
  <w:abstractNum w:abstractNumId="7">
    <w:nsid w:val="519B500D"/>
    <w:multiLevelType w:val="hybridMultilevel"/>
    <w:lvl w:ilvl="0">
      <w:lvlJc w:val="left"/>
      <w:lvlText w:val="\emdash "/>
      <w:numFmt w:val="bullet"/>
      <w:start w:val="1"/>
    </w:lvl>
  </w:abstractNum>
  <w:abstractNum w:abstractNumId="8">
    <w:nsid w:val="431BD7B7"/>
    <w:multiLevelType w:val="hybridMultilevel"/>
    <w:lvl w:ilvl="0">
      <w:lvlJc w:val="left"/>
      <w:lvlText w:val="\emdash "/>
      <w:numFmt w:val="bullet"/>
      <w:start w:val="1"/>
    </w:lvl>
  </w:abstractNum>
  <w:abstractNum w:abstractNumId="9">
    <w:nsid w:val="3F2DBA31"/>
    <w:multiLevelType w:val="hybridMultilevel"/>
    <w:lvl w:ilvl="0">
      <w:lvlJc w:val="left"/>
      <w:lvlText w:val="(%1)"/>
      <w:numFmt w:val="lowerRoman"/>
      <w:start w:val="1"/>
    </w:lvl>
  </w:abstractNum>
  <w:abstractNum w:abstractNumId="10">
    <w:nsid w:val="7C83E458"/>
    <w:multiLevelType w:val="hybridMultilevel"/>
    <w:lvl w:ilvl="0">
      <w:lvlJc w:val="left"/>
      <w:lvlText w:val="(%1)"/>
      <w:numFmt w:val="lowerRoman"/>
      <w:start w:val="5"/>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lvl w:ilvl="1">
      <w:lvlJc w:val="left"/>
      <w:lvlText w:val="%2"/>
      <w:numFmt w:val="decimal"/>
      <w:start w:val="1"/>
    </w:lvl>
  </w:abstractNum>
  <w:abstractNum w:abstractNumId="13">
    <w:nsid w:val="436C6125"/>
    <w:multiLevelType w:val="hybridMultilevel"/>
    <w:lvl w:ilvl="0">
      <w:lvlJc w:val="left"/>
      <w:lvlText w:val="2"/>
      <w:numFmt w:val="bullet"/>
      <w:start w:val="1"/>
    </w:lvl>
  </w:abstractNum>
  <w:abstractNum w:abstractNumId="14">
    <w:nsid w:val="628C895D"/>
    <w:multiLevelType w:val="hybridMultilevel"/>
    <w:lvl w:ilvl="0">
      <w:lvlJc w:val="left"/>
      <w:lvlText w:val="3"/>
      <w:numFmt w:val="bullet"/>
      <w:start w:val="1"/>
    </w:lvl>
  </w:abstractNum>
  <w:abstractNum w:abstractNumId="15">
    <w:nsid w:val="333AB105"/>
    <w:multiLevelType w:val="hybridMultilevel"/>
    <w:lvl w:ilvl="0">
      <w:lvlJc w:val="left"/>
      <w:lvlText w:val="4"/>
      <w:numFmt w:val="bullet"/>
      <w:start w:val="1"/>
    </w:lvl>
  </w:abstractNum>
  <w:abstractNum w:abstractNumId="16">
    <w:nsid w:val="721DA317"/>
    <w:multiLevelType w:val="hybridMultilevel"/>
    <w:lvl w:ilvl="0">
      <w:lvlJc w:val="left"/>
      <w:lvlText w:val="5"/>
      <w:numFmt w:val="bullet"/>
      <w:start w:val="1"/>
    </w:lvl>
  </w:abstractNum>
  <w:abstractNum w:abstractNumId="17">
    <w:nsid w:val="2443A858"/>
    <w:multiLevelType w:val="hybridMultilevel"/>
    <w:lvl w:ilvl="0">
      <w:lvlJc w:val="left"/>
      <w:lvlText w:val="6"/>
      <w:numFmt w:val="bullet"/>
      <w:start w:val="1"/>
    </w:lvl>
  </w:abstractNum>
  <w:abstractNum w:abstractNumId="18">
    <w:nsid w:val="2D1D5AE9"/>
    <w:multiLevelType w:val="hybridMultilevel"/>
    <w:lvl w:ilvl="0">
      <w:lvlJc w:val="left"/>
      <w:lvlText w:val="7"/>
      <w:numFmt w:val="bullet"/>
      <w:start w:val="1"/>
    </w:lvl>
  </w:abstractNum>
  <w:abstractNum w:abstractNumId="19">
    <w:nsid w:val="6763845E"/>
    <w:multiLevelType w:val="hybridMultilevel"/>
    <w:lvl w:ilvl="0">
      <w:lvlJc w:val="left"/>
      <w:lvlText w:val="8"/>
      <w:numFmt w:val="bullet"/>
      <w:start w:val="1"/>
    </w:lvl>
  </w:abstractNum>
  <w:abstractNum w:abstractNumId="20">
    <w:nsid w:val="75A2A8D4"/>
    <w:multiLevelType w:val="hybridMultilevel"/>
    <w:lvl w:ilvl="0">
      <w:lvlJc w:val="left"/>
      <w:lvlText w:val="9"/>
      <w:numFmt w:val="bullet"/>
      <w:start w:val="1"/>
    </w:lvl>
  </w:abstractNum>
  <w:abstractNum w:abstractNumId="21">
    <w:nsid w:val="8EDBDAB"/>
    <w:multiLevelType w:val="hybridMultilevel"/>
    <w:lvl w:ilvl="0">
      <w:lvlJc w:val="left"/>
      <w:lvlText w:val="%1"/>
      <w:numFmt w:val="decimal"/>
      <w:start w:val="10"/>
    </w:lvl>
  </w:abstractNum>
  <w:abstractNum w:abstractNumId="22">
    <w:nsid w:val="79838CB2"/>
    <w:multiLevelType w:val="hybridMultilevel"/>
    <w:lvl w:ilvl="0">
      <w:lvlJc w:val="left"/>
      <w:lvlText w:val="%1"/>
      <w:numFmt w:val="decimal"/>
      <w:start w:val="14"/>
    </w:lvl>
  </w:abstractNum>
  <w:abstractNum w:abstractNumId="23">
    <w:nsid w:val="4353D0CD"/>
    <w:multiLevelType w:val="hybridMultilevel"/>
    <w:lvl w:ilvl="0">
      <w:lvlJc w:val="left"/>
      <w:lvlText w:val="%1"/>
      <w:numFmt w:val="decimal"/>
      <w:start w:val="16"/>
    </w:lvl>
  </w:abstractNum>
  <w:abstractNum w:abstractNumId="24">
    <w:nsid w:val="B03E0C6"/>
    <w:multiLevelType w:val="hybridMultilevel"/>
    <w:lvl w:ilvl="0">
      <w:lvlJc w:val="left"/>
      <w:lvlText w:val="\emdash "/>
      <w:numFmt w:val="bullet"/>
      <w:start w:val="1"/>
    </w:lvl>
  </w:abstractNum>
  <w:abstractNum w:abstractNumId="25">
    <w:nsid w:val="189A769B"/>
    <w:multiLevelType w:val="hybridMultilevel"/>
    <w:lvl w:ilvl="0">
      <w:lvlJc w:val="left"/>
      <w:lvlText w:val="\emdash "/>
      <w:numFmt w:val="bullet"/>
      <w:start w:val="1"/>
    </w:lvl>
  </w:abstractNum>
  <w:abstractNum w:abstractNumId="26">
    <w:nsid w:val="54E49EB4"/>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2019-12-14T04:16:43Z</dcterms:created>
  <dcterms:modified xsi:type="dcterms:W3CDTF">2019-12-14T04:16:43Z</dcterms:modified>
</cp:coreProperties>
</file>