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For the month of March 2026 No.6</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23" w:lineRule="exact"/>
        <w:rPr>
          <w:sz w:val="24"/>
          <w:szCs w:val="24"/>
          <w:color w:val="auto"/>
        </w:rPr>
      </w:pPr>
    </w:p>
    <w:p>
      <w:pPr>
        <w:ind w:left="3880"/>
        <w:spacing w:after="0" w:line="207" w:lineRule="exact"/>
        <w:tabs>
          <w:tab w:leader="none" w:pos="50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On March 25, 2026, the Registrant and Nuvoton Technology Corporation Japan Announce Strategic Business Restructuring of TPSCo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284480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780" w:top="347" w:right="7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25,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7152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1525" cy="428625"/>
                    </a:xfrm>
                    <a:prstGeom prst="rect">
                      <a:avLst/>
                    </a:prstGeom>
                    <a:noFill/>
                  </pic:spPr>
                </pic:pic>
              </a:graphicData>
            </a:graphic>
          </wp:anchor>
        </w:drawing>
        <w:drawing>
          <wp:anchor simplePos="0" relativeHeight="251657728" behindDoc="1" locked="0" layoutInCell="0" allowOverlap="1">
            <wp:simplePos x="0" y="0"/>
            <wp:positionH relativeFrom="page">
              <wp:posOffset>5866130</wp:posOffset>
            </wp:positionH>
            <wp:positionV relativeFrom="page">
              <wp:posOffset>346075</wp:posOffset>
            </wp:positionV>
            <wp:extent cx="1474470"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9705"/>
                    </a:xfrm>
                    <a:prstGeom prst="rect">
                      <a:avLst/>
                    </a:prstGeom>
                    <a:noFill/>
                  </pic:spPr>
                </pic:pic>
              </a:graphicData>
            </a:graphic>
          </wp:anchor>
        </w:drawing>
        <w:t>Tower Semiconductor and Nuvoton Technology Corporation Japan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Announce Strategic Business Restructuring of TPSCo</w:t>
      </w:r>
    </w:p>
    <w:p>
      <w:pPr>
        <w:spacing w:after="0" w:line="226"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b w:val="1"/>
          <w:bCs w:val="1"/>
          <w:color w:val="auto"/>
        </w:rPr>
        <w:t xml:space="preserve">Migdal HaEmek, Israel and Kyoto, Japan, March 25,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herein “Tower”), a leading foundry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value analog semiconductor solutions, and </w:t>
      </w:r>
      <w:r>
        <w:rPr>
          <w:rFonts w:ascii="Times New Roman" w:cs="Times New Roman" w:eastAsia="Times New Roman" w:hAnsi="Times New Roman"/>
          <w:sz w:val="18"/>
          <w:szCs w:val="18"/>
          <w:b w:val="1"/>
          <w:bCs w:val="1"/>
          <w:color w:val="auto"/>
        </w:rPr>
        <w:t>Nuvoton Technology Corporation</w:t>
      </w:r>
      <w:r>
        <w:rPr>
          <w:rFonts w:ascii="Times New Roman" w:cs="Times New Roman" w:eastAsia="Times New Roman" w:hAnsi="Times New Roman"/>
          <w:sz w:val="18"/>
          <w:szCs w:val="18"/>
          <w:color w:val="auto"/>
        </w:rPr>
        <w:t xml:space="preserve"> (TSE:4919, herein “Nuvoton”), a leading semiconductor solutions provider, today announced that Nuvoton Technology Corporation Japan (NTCJ), a wholly owned subsidiary of Nuvoton, together with Tower and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Partners Semiconductor Co., Ltd. (TPSCo), </w:t>
      </w:r>
      <w:r>
        <w:rPr>
          <w:rFonts w:ascii="Times New Roman" w:cs="Times New Roman" w:eastAsia="Times New Roman" w:hAnsi="Times New Roman"/>
          <w:sz w:val="18"/>
          <w:szCs w:val="18"/>
          <w:color w:val="auto"/>
        </w:rPr>
        <w:t>have entered into a framework agreement to implement a strategic restructuring of TPSCo’s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w:t>
      </w:r>
    </w:p>
    <w:p>
      <w:pPr>
        <w:spacing w:after="0" w:line="229"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TPSCo, headquartered in Japan, is a Japanese corporation in which Tower holds a 51% equity interest and NTCJ holds the remaining 49% equity interest. TPSCo provides wafer processing and assembly services and currently operates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inch fabrication facility in Uozu, Japan, and an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inch fabrication facility in Tonami, Japan.</w:t>
      </w:r>
    </w:p>
    <w:p>
      <w:pPr>
        <w:spacing w:after="0" w:line="172"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Under the framework agreement, upon closing of the transaction, Tower will gain full ownership and operational control of TPSCo’s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inch fab and foundry business, while TPSCo’s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inch fab and foundry business will remain within TPSCo, which will become a wholly owned subsidiary of NTCJ, for consideration of $25 million payment by NTCJ to Tower on the closing date. The companies will work collaboratively to ensure continuity without interruption of customer engagements, ongoing operations and development programs, as well as employee stability, across both facilities. In addition, each party will provide production services to the other party that currently fabricates products at the other party’s facility, for its customers, among other services to enable the business of each separate facility.</w:t>
      </w:r>
    </w:p>
    <w:p>
      <w:pPr>
        <w:spacing w:after="0" w:line="172"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This strategic restructuring is intended to better align each company’s assets with its respective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business strategy, enhance operational focus, and strengthen global competitiveness in response to evolving market and customer requirements.</w:t>
      </w:r>
    </w:p>
    <w:p>
      <w:pPr>
        <w:spacing w:after="0" w:line="2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is expected to close on April 1, 2027, subject to the satisfaction of customary closing conditions and receipt of applicable regulatory approvals.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Nuvoton</w:t>
      </w:r>
    </w:p>
    <w:p>
      <w:pPr>
        <w:spacing w:after="0" w:line="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Nuvoton Technology Corporation (Nuvoton) was founded to bring innovative semiconductor solutions to the market. Nuvoton was spun-off as a Winbond Electronics affiliate in July 2008 and went public in September 2010 on the Taiwan Stock Exchange (TWSE). Nuvoton focuses on the developments of microcontroller/audio, cloud security, battery monitoring, component, visual sensing and IoT with security ICs and has strong market share in Industrial, Automotive, Communication, Consumer and Computer markets. Nuvoton owns 6-inch wafer fabs equipped with diversified processing technologies to provide professional wafer foundry services. Nuvoton provides products with a high performance/cost ratio for its customers by leveraging flexible technology, advanced design capability, and integration of digital and analog technologies. Nuvoton values long term relationships with its partners and customers and is dedicated to continuous innovation of its products, processes, and services. Nuvoton has established subsidiaries in the USA, China, Israel, India, Singapore, Korea, Japan and Germany to strengthen regional customer support and global management. For more information, please visit </w:t>
      </w:r>
      <w:r>
        <w:rPr>
          <w:rFonts w:ascii="Times New Roman" w:cs="Times New Roman" w:eastAsia="Times New Roman" w:hAnsi="Times New Roman"/>
          <w:sz w:val="18"/>
          <w:szCs w:val="18"/>
          <w:u w:val="single" w:color="auto"/>
          <w:color w:val="auto"/>
        </w:rPr>
        <w:t>http://www.nuvoton.com</w:t>
      </w:r>
    </w:p>
    <w:p>
      <w:pPr>
        <w:spacing w:after="0" w:line="1" w:lineRule="exact"/>
        <w:rPr>
          <w:sz w:val="20"/>
          <w:szCs w:val="20"/>
          <w:color w:val="auto"/>
        </w:rPr>
      </w:pPr>
    </w:p>
    <w:p>
      <w:pPr>
        <w:ind w:firstLine="8"/>
        <w:spacing w:after="0" w:line="292" w:lineRule="auto"/>
        <w:tabs>
          <w:tab w:leader="none" w:pos="16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Nuvoton is a registered trademark of Nuvoton Technology Corporation (Nuvoton Technology Corp.), rights and other trademarks and other writings referred to herein, are the property of their original owners.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Certain of the statements in this release regarding the framework agreement with respect to TPSCo, including the expected closing of the transactions contemplated by the framework agreement and the expected timing thereof are forward-looking statements. Forward-looking statements are made based on Nuvoton management’s expectations and beliefs concerning future events affecting Nuvoton and are subject to uncertainties such as obtaining regulatory approvals and the timing thereof, all of which are difficult to predict and many of which are beyond Nuvoton’s control. Accordingly, actual results and events may vary materially from those indicated in forward-looking statements, and you should not rely on forward-looking statements as predictions of future results or events. Any forward-looking statements speak only as of the date of this release. Nuvoton assumes no obligation to update forward-looking statements to reflect changes in assumptions or changes in other factors affecting forward-looking information, except to the extent required by applicable securities laws. If Nuvoton does update one or more forward-looking statements, no inference should be drawn that Nuvoton will make additional updates with respect to those or other forward-looking statements.</w:t>
      </w:r>
    </w:p>
    <w:p>
      <w:pPr>
        <w:sectPr>
          <w:pgSz w:w="11900" w:h="16838" w:orient="portrait"/>
          <w:cols w:equalWidth="0" w:num="1">
            <w:col w:w="11240"/>
          </w:cols>
          <w:pgMar w:left="320" w:top="1229"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Nuvoton Spokesperson: </w:t>
      </w:r>
      <w:r>
        <w:rPr>
          <w:rFonts w:ascii="Times New Roman" w:cs="Times New Roman" w:eastAsia="Times New Roman" w:hAnsi="Times New Roman"/>
          <w:sz w:val="17"/>
          <w:szCs w:val="17"/>
          <w:color w:val="auto"/>
        </w:rPr>
        <w:t>Hsiu-Fen Lai Vice President | Email: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HFLai@nuvoton.com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Tel: +886-3-5770066 ext. 32013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Nuvoton News Contact: </w:t>
      </w:r>
      <w:r>
        <w:rPr>
          <w:rFonts w:ascii="Times New Roman" w:cs="Times New Roman" w:eastAsia="Times New Roman" w:hAnsi="Times New Roman"/>
          <w:sz w:val="18"/>
          <w:szCs w:val="18"/>
          <w:color w:val="auto"/>
        </w:rPr>
        <w:t>Hao C. Huang |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CHHuang23@nuvoton.com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Tel: +886-3-5770066 ext.22017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2026-03-25T08:02:20Z</dcterms:created>
  <dcterms:modified xsi:type="dcterms:W3CDTF">2026-03-25T08:02:20Z</dcterms:modified>
</cp:coreProperties>
</file>