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September 2009 No. 1</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September 02, 2009, the registrant announces Higher Third Quarter Revenue Guidance.</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476" w:right="279" w:bottom="356"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September 02,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60"/>
          </w:cols>
          <w:pgMar w:left="240" w:top="476" w:right="279" w:bottom="356"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Tower Semiconductor Announces Higher</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Third Quarter Revenue Guidance</w:t>
      </w:r>
    </w:p>
    <w:p>
      <w:pPr>
        <w:ind w:left="3140"/>
        <w:spacing w:after="0"/>
        <w:rPr>
          <w:sz w:val="20"/>
          <w:szCs w:val="20"/>
          <w:color w:val="auto"/>
        </w:rPr>
      </w:pPr>
      <w:r>
        <w:rPr>
          <w:rFonts w:ascii="Arial" w:cs="Arial" w:eastAsia="Arial" w:hAnsi="Arial"/>
          <w:sz w:val="18"/>
          <w:szCs w:val="18"/>
          <w:b w:val="1"/>
          <w:bCs w:val="1"/>
          <w:color w:val="auto"/>
        </w:rPr>
        <w:t>Third Quarter Revenue Guidance Calls for 30% Sequential Growth</w:t>
      </w:r>
    </w:p>
    <w:p>
      <w:pPr>
        <w:spacing w:after="0" w:line="1"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and 34% Year-over-Year Growth, Representing Company Record Revenue</w:t>
      </w:r>
    </w:p>
    <w:p>
      <w:pPr>
        <w:spacing w:after="0" w:line="213" w:lineRule="exact"/>
        <w:rPr>
          <w:sz w:val="24"/>
          <w:szCs w:val="24"/>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MIGDAL HAEMEK, Israel – September 2, 2009 </w:t>
      </w:r>
      <w:r>
        <w:rPr>
          <w:rFonts w:ascii="Arial" w:cs="Arial" w:eastAsia="Arial" w:hAnsi="Arial"/>
          <w:sz w:val="16"/>
          <w:szCs w:val="16"/>
          <w:color w:val="auto"/>
        </w:rPr>
        <w:t>– Tower Semiconductor Ltd. (NASDAQ:</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TSEM</w:t>
      </w:r>
      <w:r>
        <w:rPr>
          <w:rFonts w:ascii="Arial" w:cs="Arial" w:eastAsia="Arial" w:hAnsi="Arial"/>
          <w:sz w:val="16"/>
          <w:szCs w:val="16"/>
          <w:color w:val="auto"/>
        </w:rPr>
        <w:t>, TASE: TSEM), an independent specialty foundry,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it expects third quarter revenue to exceed the company’s previous guidance given on August 12, 2009 due to increased customer demand. The company now expects third quarter revenue to be between $77 million and $80 million, which is higher than the previous guidance with a mid-range representing a 30% increase from previous quarter revenues of $60.6 million and a 34% increase year over year, representing company record revenue.</w:t>
      </w:r>
    </w:p>
    <w:p>
      <w:pPr>
        <w:spacing w:after="0" w:line="163"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Russell Ellwanger, chief executive officer of Tower Semiconductor, said: “We are experiencing increased customer demand in most all product segments and increased utilization rates in all three of our fabs (fab1, fab2, Newport Beach). The new mid-range guidance of $78.5 million would be the highest revenue in the company’s history, coupled with greatly improved Ebitda performance. The fourth quarter promises continued strong quarter over quarter and year over year growth.”</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4"/>
          <w:szCs w:val="24"/>
          <w:color w:val="auto"/>
        </w:rPr>
      </w:pPr>
    </w:p>
    <w:p>
      <w:pPr>
        <w:ind w:right="80"/>
        <w:spacing w:after="0" w:line="288" w:lineRule="auto"/>
        <w:rPr>
          <w:sz w:val="20"/>
          <w:szCs w:val="20"/>
          <w:color w:val="auto"/>
        </w:rPr>
      </w:pPr>
      <w:r>
        <w:rPr>
          <w:rFonts w:ascii="Arial" w:cs="Arial" w:eastAsia="Arial" w:hAnsi="Arial"/>
          <w:sz w:val="16"/>
          <w:szCs w:val="16"/>
          <w:color w:val="auto"/>
        </w:rPr>
        <w:t xml:space="preserve">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476" w:right="279" w:bottom="356" w:gutter="0" w:footer="0" w:header="0"/>
          <w:type w:val="continuous"/>
        </w:sectPr>
      </w:pPr>
    </w:p>
    <w:bookmarkStart w:id="1" w:name="page2"/>
    <w:bookmarkEnd w:id="1"/>
    <w:p>
      <w:pPr>
        <w:ind w:right="80"/>
        <w:spacing w:after="0" w:line="255" w:lineRule="auto"/>
        <w:rPr>
          <w:sz w:val="20"/>
          <w:szCs w:val="20"/>
          <w:color w:val="auto"/>
        </w:rPr>
      </w:pPr>
      <w:r>
        <w:rPr>
          <w:rFonts w:ascii="Arial" w:cs="Arial" w:eastAsia="Arial" w:hAnsi="Arial"/>
          <w:sz w:val="18"/>
          <w:szCs w:val="18"/>
          <w:color w:val="auto"/>
        </w:rPr>
        <w:t>As applied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is no assurance that results for the full quarter will be in line with the company’s current expectations. Potential risk and uncertainties that may affect the final results include (i) possible significant production event that may prevent uninterrupted production and timely product delivery, due to operating our facilities at high utilization rates or any other reason, (ii) failure to receive orders currently expected, (iii) cancellation of orders, (iv) our ability to accurately forecast financial performance, which is affected by limited order backlog, (v) credit to customers for product returns or any other reason and (vi) business interruption due to fire, the security situation in Israel and other events beyond the company’s control. A more complete discussion of risks and uncertainties that may affect the accuracy of forward-looking statements included in this press release or which may otherwise affect our business is included under the heading “Risk Factors” in the company’s most recent filing on Form 20-F as was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Noit Levi, +972 4 604 7066</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noitle@towersemi.com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GK Investor Relations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Kenny Green, (646) 201 9246</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info@gkir.com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2019-12-10T12:29:13Z</dcterms:created>
  <dcterms:modified xsi:type="dcterms:W3CDTF">2019-12-10T12:29:13Z</dcterms:modified>
</cp:coreProperties>
</file>