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33.jpeg" ContentType="image/jpeg"/>
  <Override PartName="/word/media/image6.jpeg" ContentType="image/jpeg"/>
  <Override PartName="/word/media/image34.jpeg" ContentType="image/jpeg"/>
  <Override PartName="/word/media/image28.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9.jpeg" ContentType="image/jpeg"/>
  <Override PartName="/word/media/image11.jpeg" ContentType="image/jpeg"/>
  <Override PartName="/word/media/image30.jpeg" ContentType="image/jpeg"/>
  <Override PartName="/word/media/image47.jpeg" ContentType="image/jpeg"/>
  <Override PartName="/word/media/image31.jpeg" ContentType="image/jpeg"/>
  <Override PartName="/word/media/image48.jpeg" ContentType="image/jpeg"/>
  <Override PartName="/word/media/image32.jpeg" ContentType="image/jpeg"/>
  <Override PartName="/word/media/image5.jpeg" ContentType="image/jpeg"/>
  <Override PartName="/word/media/image26.jpeg" ContentType="image/jpeg"/>
  <Override PartName="/word/media/image49.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27.jpeg" ContentType="image/jpeg"/>
  <Override PartName="/word/media/image5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24" w:space="1" w:color="000000"/>
        </w:rPr>
      </w:pPr>
      <w:bookmarkStart w:id="0" w:name="zk2636219.htm"/>
      <w:bookmarkStart w:id="1" w:name="kszk2636219"/>
      <w:bookmarkEnd w:id="0"/>
      <w:bookmarkEnd w:id="1"/>
      <w:r>
        <w:rPr>
          <w:bdr w:val="single" w:sz="24"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smallCaps/>
          <w:sz w:val="28"/>
        </w:rPr>
      </w:pPr>
      <w:r>
        <w:rPr>
          <w:rFonts w:ascii="Times New Roman;Times;Serif" w:hAnsi="Times New Roman;Times;Serif"/>
          <w:b/>
          <w:i w:val="false"/>
          <w:smallCaps/>
          <w:sz w:val="28"/>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w:t>
      </w:r>
      <w:r>
        <w:rPr>
          <w:rFonts w:ascii="Times New Roman;Times;Serif" w:hAnsi="Times New Roman;Times;Serif"/>
          <w:b w:val="false"/>
          <w:i w:val="false"/>
          <w:caps w:val="false"/>
          <w:smallCaps w:val="false"/>
          <w:sz w:val="20"/>
        </w:rPr>
        <w:t xml:space="preserve">ashington, D.C. </w:t>
      </w:r>
      <w:r>
        <w:rPr>
          <w:rFonts w:ascii="Times New Roman;Times;Serif" w:hAnsi="Times New Roman;Times;Serif"/>
          <w:b w:val="false"/>
          <w:i w:val="false"/>
          <w:smallCaps/>
          <w:sz w:val="20"/>
        </w:rPr>
        <w:t>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8"/>
        </w:rPr>
      </w:pPr>
      <w:r>
        <w:rPr>
          <w:rFonts w:ascii="Times New Roman;Times;Serif" w:hAnsi="Times New Roman;Times;Serif"/>
          <w:b/>
          <w:i w:val="false"/>
          <w:smallCaps/>
          <w:sz w:val="28"/>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REPORT OF FOREIGN PRIVATE ISSUER PURSUANT TO RULE 13</w:t>
      </w:r>
      <w:r>
        <w:rPr>
          <w:rFonts w:ascii="Times New Roman;Times;Serif" w:hAnsi="Times New Roman;Times;Serif"/>
          <w:b/>
          <w:i w:val="false"/>
          <w:caps w:val="false"/>
          <w:smallCaps w:val="false"/>
          <w:sz w:val="20"/>
        </w:rPr>
        <w:t>a</w:t>
      </w:r>
      <w:r>
        <w:rPr>
          <w:rFonts w:ascii="Times New Roman;Times;Serif" w:hAnsi="Times New Roman;Times;Serif"/>
          <w:b/>
          <w:i w:val="false"/>
          <w:smallCaps/>
          <w:sz w:val="20"/>
        </w:rPr>
        <w:t>-16 OR 15</w:t>
      </w:r>
      <w:r>
        <w:rPr>
          <w:rFonts w:ascii="Times New Roman;Times;Serif" w:hAnsi="Times New Roman;Times;Serif"/>
          <w:b/>
          <w:i w:val="false"/>
          <w:caps w:val="false"/>
          <w:smallCaps w:val="false"/>
          <w:sz w:val="20"/>
        </w:rPr>
        <w:t>d</w:t>
      </w:r>
      <w:r>
        <w:rPr>
          <w:rFonts w:ascii="Times New Roman;Times;Serif" w:hAnsi="Times New Roman;Times;Serif"/>
          <w:b/>
          <w:i w:val="false"/>
          <w:smallCaps/>
          <w:sz w:val="20"/>
        </w:rPr>
        <w:t>-16</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F</w:t>
      </w:r>
      <w:r>
        <w:rPr>
          <w:rFonts w:ascii="Times New Roman;Times;Serif" w:hAnsi="Times New Roman;Times;Serif"/>
          <w:b w:val="false"/>
          <w:i w:val="false"/>
          <w:caps w:val="false"/>
          <w:smallCaps w:val="false"/>
          <w:sz w:val="20"/>
        </w:rPr>
        <w:t>or the month of October 2026 No.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0-24790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TOWER SEMICONDUCTOR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Ramat Gavriel Industrial Park</w:t>
      </w:r>
    </w:p>
    <w:p>
      <w:pPr>
        <w:pStyle w:val="TextBody"/>
        <w:bidi w:val="0"/>
        <w:spacing w:before="0" w:after="0"/>
        <w:jc w:val="center"/>
        <w:rPr>
          <w:rFonts w:ascii="Courier New;Courier;Monospace" w:hAnsi="Courier New;Courier;Monospace"/>
          <w:b w:val="false"/>
          <w:i w:val="false"/>
          <w:caps w:val="false"/>
          <w:smallCaps w:val="false"/>
          <w:sz w:val="20"/>
        </w:rPr>
      </w:pPr>
      <w:r>
        <w:rPr>
          <w:rFonts w:ascii="Courier New;Courier;Monospace" w:hAnsi="Courier New;Courier;Monospace"/>
          <w:b w:val="false"/>
          <w:i w:val="false"/>
          <w:caps w:val="false"/>
          <w:smallCaps w:val="false"/>
          <w:sz w:val="20"/>
        </w:rPr>
        <w:tab/>
      </w:r>
      <w:r>
        <w:rPr>
          <w:rFonts w:ascii="Times New Roman;Times;Serif" w:hAnsi="Times New Roman;Times;Serif"/>
          <w:b/>
          <w:i w:val="false"/>
          <w:caps w:val="false"/>
          <w:smallCaps w:val="false"/>
          <w:sz w:val="20"/>
        </w:rPr>
        <w:t>P.O. Box 619, Migdal Haemek, Israel 2310502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firstLine="71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Form 20-F ☒    Form 40-F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will hold an Extraordinary General Meeting of Shareholders on November 25, 2026 at 3 p.m. (Israel time) at the Registrant’s offices in Migdal Haemek, Israel. In connection with the meeting, the Registrant will mail to holders of record of the Registrant’s ordinary shares, as of the close of business on October 19, 2026 (i) a Notice of Extraordinary General Meeting and Proxy Statement and (ii) a Proxy Card.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Times;Serif" w:hAnsi="Times New Roman;Times;Serif"/>
          <w:b w:val="false"/>
          <w:i w:val="false"/>
          <w:caps w:val="false"/>
          <w:smallCaps w:val="false"/>
          <w:sz w:val="20"/>
        </w:rPr>
        <w:t xml:space="preserve">Attached hereto as Exhibits </w:t>
      </w:r>
      <w:hyperlink w:anchor="exhibit_99-1.htm">
        <w:r>
          <w:rPr>
            <w:rStyle w:val="InternetLink"/>
            <w:rFonts w:ascii="Times New Roman;Times;Serif" w:hAnsi="Times New Roman;Times;Serif"/>
            <w:b w:val="false"/>
            <w:i w:val="false"/>
            <w:caps w:val="false"/>
            <w:smallCaps w:val="false"/>
            <w:sz w:val="20"/>
          </w:rPr>
          <w:t>99.1</w:t>
        </w:r>
      </w:hyperlink>
      <w:r>
        <w:rPr>
          <w:rFonts w:ascii="Times New Roman;Times;Serif" w:hAnsi="Times New Roman;Times;Serif"/>
          <w:b w:val="false"/>
          <w:i w:val="false"/>
          <w:caps w:val="false"/>
          <w:smallCaps w:val="false"/>
          <w:sz w:val="20"/>
        </w:rPr>
        <w:t xml:space="preserve"> and </w:t>
      </w:r>
      <w:hyperlink w:anchor="exhibit_99-2.htm">
        <w:r>
          <w:rPr>
            <w:rStyle w:val="InternetLink"/>
            <w:rFonts w:ascii="Times New Roman;Times;Serif" w:hAnsi="Times New Roman;Times;Serif"/>
            <w:b w:val="false"/>
            <w:i w:val="false"/>
            <w:caps w:val="false"/>
            <w:smallCaps w:val="false"/>
            <w:sz w:val="20"/>
          </w:rPr>
          <w:t>99.2</w:t>
        </w:r>
      </w:hyperlink>
      <w:r>
        <w:rPr>
          <w:rFonts w:ascii="Times New Roman;Times;Serif" w:hAnsi="Times New Roman;Times;Serif"/>
          <w:b w:val="false"/>
          <w:i w:val="false"/>
          <w:caps w:val="false"/>
          <w:smallCaps w:val="false"/>
          <w:sz w:val="20"/>
        </w:rPr>
        <w:t xml:space="preserve"> are, respectively, the (i) Notice of Annual General Meeting and Proxy Statement and (ii) Proxy Card.</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10"/>
        <w:jc w:val="left"/>
        <w:rPr>
          <w:caps w:val="false"/>
          <w:smallCaps w:val="false"/>
        </w:rPr>
      </w:pPr>
      <w:r>
        <w:rPr>
          <w:caps w:val="false"/>
          <w:smallCaps w:val="false"/>
        </w:rPr>
        <w:t> </w:t>
      </w:r>
    </w:p>
    <w:tbl>
      <w:tblPr>
        <w:tblW w:w="6144" w:type="dxa"/>
        <w:jc w:val="left"/>
        <w:tblInd w:w="0" w:type="dxa"/>
        <w:tblLayout w:type="fixed"/>
        <w:tblCellMar>
          <w:top w:w="0" w:type="dxa"/>
          <w:left w:w="0" w:type="dxa"/>
          <w:bottom w:w="0" w:type="dxa"/>
          <w:right w:w="0" w:type="dxa"/>
        </w:tblCellMar>
      </w:tblPr>
      <w:tblGrid>
        <w:gridCol w:w="2270"/>
        <w:gridCol w:w="997"/>
        <w:gridCol w:w="2629"/>
        <w:gridCol w:w="248"/>
      </w:tblGrid>
      <w:tr>
        <w:trPr/>
        <w:tc>
          <w:tcPr>
            <w:tcW w:w="2270" w:type="dxa"/>
            <w:tcBorders/>
            <w:vAlign w:val="center"/>
          </w:tcPr>
          <w:p>
            <w:pPr>
              <w:pStyle w:val="TableContents"/>
              <w:bidi w:val="0"/>
              <w:spacing w:before="0" w:after="283"/>
              <w:jc w:val="left"/>
              <w:rPr/>
            </w:pPr>
            <w:r>
              <w:rPr/>
              <w:t> </w:t>
            </w:r>
          </w:p>
        </w:tc>
        <w:tc>
          <w:tcPr>
            <w:tcW w:w="3874" w:type="dxa"/>
            <w:gridSpan w:val="3"/>
            <w:tcBorders/>
            <w:vAlign w:val="center"/>
          </w:tcPr>
          <w:p>
            <w:pPr>
              <w:pStyle w:val="TableContents"/>
              <w:bidi w:val="0"/>
              <w:spacing w:before="0" w:after="283"/>
              <w:jc w:val="left"/>
              <w:rPr>
                <w:b/>
              </w:rPr>
            </w:pPr>
            <w:r>
              <w:rPr>
                <w:b/>
              </w:rPr>
              <w:t>TOWER SEMICONDUCTOR LTD.</w:t>
            </w:r>
          </w:p>
        </w:tc>
      </w:tr>
      <w:tr>
        <w:trPr/>
        <w:tc>
          <w:tcPr>
            <w:tcW w:w="2270"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left"/>
              <w:rPr/>
            </w:pPr>
            <w:r>
              <w:rPr/>
              <w:t> </w:t>
            </w:r>
          </w:p>
        </w:tc>
        <w:tc>
          <w:tcPr>
            <w:tcW w:w="2877" w:type="dxa"/>
            <w:gridSpan w:val="2"/>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Date: October 13, 2026</w:t>
            </w:r>
          </w:p>
        </w:tc>
        <w:tc>
          <w:tcPr>
            <w:tcW w:w="997" w:type="dxa"/>
            <w:tcBorders/>
            <w:vAlign w:val="center"/>
          </w:tcPr>
          <w:p>
            <w:pPr>
              <w:pStyle w:val="TableContents"/>
              <w:bidi w:val="0"/>
              <w:spacing w:before="0" w:after="283"/>
              <w:jc w:val="left"/>
              <w:rPr/>
            </w:pPr>
            <w:r>
              <w:rPr/>
              <w:t>By:</w:t>
            </w:r>
          </w:p>
        </w:tc>
        <w:tc>
          <w:tcPr>
            <w:tcW w:w="2629" w:type="dxa"/>
            <w:tcBorders>
              <w:bottom w:val="single" w:sz="8" w:space="0" w:color="000000"/>
            </w:tcBorders>
            <w:tcMar>
              <w:bottom w:w="28" w:type="dxa"/>
            </w:tcMar>
            <w:vAlign w:val="center"/>
          </w:tcPr>
          <w:p>
            <w:pPr>
              <w:pStyle w:val="TableContents"/>
              <w:bidi w:val="0"/>
              <w:spacing w:before="0" w:after="283"/>
              <w:jc w:val="left"/>
              <w:rPr/>
            </w:pPr>
            <w:r>
              <w:rPr/>
              <w:t>/s/ Nati Somekh</w:t>
            </w:r>
          </w:p>
        </w:tc>
        <w:tc>
          <w:tcPr>
            <w:tcW w:w="248"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left"/>
              <w:rPr/>
            </w:pPr>
            <w:r>
              <w:rPr/>
              <w:t> </w:t>
            </w:r>
          </w:p>
        </w:tc>
        <w:tc>
          <w:tcPr>
            <w:tcW w:w="2877" w:type="dxa"/>
            <w:gridSpan w:val="2"/>
            <w:tcBorders/>
            <w:vAlign w:val="center"/>
          </w:tcPr>
          <w:p>
            <w:pPr>
              <w:pStyle w:val="TableContents"/>
              <w:bidi w:val="0"/>
              <w:spacing w:before="0" w:after="283"/>
              <w:jc w:val="left"/>
              <w:rPr/>
            </w:pPr>
            <w:r>
              <w:rPr/>
              <w:t>Name: Nati Somekh</w:t>
            </w:r>
          </w:p>
        </w:tc>
      </w:tr>
      <w:tr>
        <w:trPr/>
        <w:tc>
          <w:tcPr>
            <w:tcW w:w="2270"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left"/>
              <w:rPr/>
            </w:pPr>
            <w:r>
              <w:rPr/>
              <w:t> </w:t>
            </w:r>
          </w:p>
        </w:tc>
        <w:tc>
          <w:tcPr>
            <w:tcW w:w="2877" w:type="dxa"/>
            <w:gridSpan w:val="2"/>
            <w:tcBorders/>
            <w:vAlign w:val="center"/>
          </w:tcPr>
          <w:p>
            <w:pPr>
              <w:pStyle w:val="TableContents"/>
              <w:bidi w:val="0"/>
              <w:spacing w:before="0" w:after="283"/>
              <w:jc w:val="left"/>
              <w:rPr/>
            </w:pPr>
            <w:r>
              <w:rPr/>
              <w:t>Title: Corporate Secretary</w:t>
            </w:r>
          </w:p>
        </w:tc>
      </w:tr>
    </w:tbl>
    <w:p>
      <w:pPr>
        <w:pStyle w:val="TextBody"/>
        <w:bidi w:val="0"/>
        <w:spacing w:before="0" w:after="0"/>
        <w:ind w:left="0" w:right="0" w:firstLine="71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240" w:after="60"/>
        <w:jc w:val="left"/>
        <w:rPr>
          <w:bdr w:val="single" w:sz="16" w:space="1" w:color="000000"/>
        </w:rPr>
      </w:pPr>
      <w:bookmarkStart w:id="2" w:name="exhibit_99-1.htm"/>
      <w:bookmarkStart w:id="3" w:name="ksexhibit_991"/>
      <w:bookmarkEnd w:id="2"/>
      <w:bookmarkEnd w:id="3"/>
      <w:r>
        <w:rPr>
          <w:bdr w:val="single" w:sz="16" w:space="1" w:color="000000"/>
        </w:rPr>
        <w:t> </w:t>
      </w:r>
      <w:r>
        <w:br w:type="page"/>
      </w:r>
    </w:p>
    <w:p>
      <w:pPr>
        <w:pStyle w:val="TextBody"/>
        <w:bidi w:val="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99.1</w:t>
      </w:r>
    </w:p>
    <w:p>
      <w:pPr>
        <w:pStyle w:val="TextBody"/>
        <w:bidi w:val="0"/>
        <w:jc w:val="center"/>
        <w:rPr>
          <w:caps w:val="false"/>
          <w:smallCaps w:val="false"/>
        </w:rPr>
      </w:pPr>
      <w:r>
        <w:rPr>
          <w:caps w:val="false"/>
          <w:smallCaps w:val="false"/>
        </w:rPr>
        <w:drawing>
          <wp:inline distT="0" distB="0" distL="0" distR="0">
            <wp:extent cx="7553325" cy="10687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553325" cy="1068705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7553325" cy="106870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553325" cy="1068705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6073140" cy="858774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073140" cy="858774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7620000" cy="10953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620000" cy="1095375"/>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004BAA"/>
          <w:sz w:val="36"/>
        </w:rPr>
      </w:pPr>
      <w:r>
        <w:rPr>
          <w:rFonts w:ascii="Arial;Helvetica;Sans-Serif" w:hAnsi="Arial;Helvetica;Sans-Serif"/>
          <w:b/>
          <w:i w:val="false"/>
          <w:caps w:val="false"/>
          <w:smallCaps w:val="false"/>
          <w:color w:val="004BAA"/>
          <w:sz w:val="36"/>
        </w:rPr>
        <w:t>Table of Contents</w:t>
      </w:r>
    </w:p>
    <w:p>
      <w:pPr>
        <w:pStyle w:val="TextBody"/>
        <w:bidi w:val="0"/>
        <w:spacing w:before="200" w:after="283"/>
        <w:jc w:val="left"/>
        <w:rPr>
          <w:bdr w:val="single" w:sz="24" w:space="1" w:color="004AAA"/>
        </w:rPr>
      </w:pPr>
      <w:r>
        <w:rPr>
          <w:bdr w:val="single" w:sz="24" w:space="1" w:color="004AAA"/>
        </w:rPr>
        <w:t> </w:t>
      </w:r>
    </w:p>
    <w:p>
      <w:pPr>
        <w:pStyle w:val="TextBody"/>
        <w:bidi w:val="0"/>
        <w:spacing w:before="0" w:after="0"/>
        <w:ind w:left="0" w:right="0" w:hanging="0"/>
        <w:jc w:val="both"/>
        <w:rPr>
          <w:caps w:val="false"/>
          <w:smallCaps w:val="false"/>
          <w:color w:val="004BAA"/>
        </w:rPr>
      </w:pPr>
      <w:r>
        <w:rPr>
          <w:caps w:val="false"/>
          <w:smallCaps w:val="false"/>
          <w:color w:val="004BAA"/>
        </w:rPr>
        <w:t> </w:t>
      </w:r>
    </w:p>
    <w:tbl>
      <w:tblPr>
        <w:tblW w:w="8770" w:type="dxa"/>
        <w:jc w:val="left"/>
        <w:tblInd w:w="0" w:type="dxa"/>
        <w:tblLayout w:type="fixed"/>
        <w:tblCellMar>
          <w:top w:w="0" w:type="dxa"/>
          <w:left w:w="0" w:type="dxa"/>
          <w:bottom w:w="0" w:type="dxa"/>
          <w:right w:w="0" w:type="dxa"/>
        </w:tblCellMar>
      </w:tblPr>
      <w:tblGrid>
        <w:gridCol w:w="8375"/>
        <w:gridCol w:w="395"/>
      </w:tblGrid>
      <w:tr>
        <w:trPr/>
        <w:tc>
          <w:tcPr>
            <w:tcW w:w="8375" w:type="dxa"/>
            <w:tcBorders/>
            <w:vAlign w:val="center"/>
          </w:tcPr>
          <w:p>
            <w:pPr>
              <w:pStyle w:val="TableContents"/>
              <w:bidi w:val="0"/>
              <w:spacing w:before="0" w:after="283"/>
              <w:jc w:val="both"/>
              <w:rPr/>
            </w:pPr>
            <w:hyperlink w:anchor="A101">
              <w:r>
                <w:rPr>
                  <w:rStyle w:val="InternetLink"/>
                  <w:rFonts w:ascii="Arial;Helvetica;Sans-Serif" w:hAnsi="Arial;Helvetica;Sans-Serif"/>
                  <w:b/>
                  <w:i w:val="false"/>
                  <w:caps w:val="false"/>
                  <w:smallCaps w:val="false"/>
                  <w:color w:val="004BAA"/>
                  <w:sz w:val="22"/>
                </w:rPr>
                <w:t>Proxy Statement</w:t>
              </w:r>
            </w:hyperlink>
          </w:p>
        </w:tc>
        <w:tc>
          <w:tcPr>
            <w:tcW w:w="395" w:type="dxa"/>
            <w:tcBorders/>
            <w:vAlign w:val="center"/>
          </w:tcPr>
          <w:p>
            <w:pPr>
              <w:pStyle w:val="TableContents"/>
              <w:bidi w:val="0"/>
              <w:spacing w:before="0" w:after="283"/>
              <w:jc w:val="right"/>
              <w:rPr>
                <w:rFonts w:ascii="Arial;Helvetica;Sans-Serif" w:hAnsi="Arial;Helvetica;Sans-Serif"/>
                <w:b/>
                <w:i w:val="false"/>
                <w:caps w:val="false"/>
                <w:smallCaps w:val="false"/>
                <w:color w:val="595959"/>
                <w:sz w:val="22"/>
              </w:rPr>
            </w:pPr>
            <w:r>
              <w:rPr>
                <w:rFonts w:ascii="Arial;Helvetica;Sans-Serif" w:hAnsi="Arial;Helvetica;Sans-Serif"/>
                <w:b/>
                <w:i w:val="false"/>
                <w:caps w:val="false"/>
                <w:smallCaps w:val="false"/>
                <w:color w:val="595959"/>
                <w:sz w:val="22"/>
              </w:rPr>
              <w:t>5</w:t>
            </w:r>
          </w:p>
        </w:tc>
      </w:tr>
      <w:tr>
        <w:trPr/>
        <w:tc>
          <w:tcPr>
            <w:tcW w:w="8375" w:type="dxa"/>
            <w:tcBorders/>
            <w:vAlign w:val="center"/>
          </w:tcPr>
          <w:p>
            <w:pPr>
              <w:pStyle w:val="TableContents"/>
              <w:bidi w:val="0"/>
              <w:spacing w:before="0" w:after="283"/>
              <w:jc w:val="both"/>
              <w:rPr>
                <w:caps w:val="false"/>
                <w:smallCaps w:val="false"/>
                <w:color w:val="004BAA"/>
              </w:rPr>
            </w:pPr>
            <w:r>
              <w:rPr>
                <w:caps w:val="false"/>
                <w:smallCaps w:val="false"/>
                <w:color w:val="004BAA"/>
              </w:rPr>
              <w:t> </w:t>
            </w:r>
          </w:p>
        </w:tc>
        <w:tc>
          <w:tcPr>
            <w:tcW w:w="395" w:type="dxa"/>
            <w:tcBorders/>
            <w:vAlign w:val="center"/>
          </w:tcPr>
          <w:p>
            <w:pPr>
              <w:pStyle w:val="TableContents"/>
              <w:bidi w:val="0"/>
              <w:spacing w:before="0" w:after="283"/>
              <w:jc w:val="right"/>
              <w:rPr>
                <w:caps w:val="false"/>
                <w:smallCaps w:val="false"/>
                <w:color w:val="004BAA"/>
              </w:rPr>
            </w:pPr>
            <w:r>
              <w:rPr>
                <w:caps w:val="false"/>
                <w:smallCaps w:val="false"/>
                <w:color w:val="004BAA"/>
              </w:rPr>
              <w:t> </w:t>
            </w:r>
          </w:p>
        </w:tc>
      </w:tr>
      <w:tr>
        <w:trPr/>
        <w:tc>
          <w:tcPr>
            <w:tcW w:w="8375" w:type="dxa"/>
            <w:tcBorders/>
            <w:vAlign w:val="center"/>
          </w:tcPr>
          <w:p>
            <w:pPr>
              <w:pStyle w:val="TableContents"/>
              <w:bidi w:val="0"/>
              <w:spacing w:before="0" w:after="283"/>
              <w:jc w:val="both"/>
              <w:rPr/>
            </w:pPr>
            <w:hyperlink w:anchor="A102">
              <w:r>
                <w:rPr>
                  <w:rStyle w:val="InternetLink"/>
                  <w:rFonts w:ascii="Arial;Helvetica;Sans-Serif" w:hAnsi="Arial;Helvetica;Sans-Serif"/>
                  <w:b w:val="false"/>
                  <w:i w:val="false"/>
                  <w:caps w:val="false"/>
                  <w:smallCaps w:val="false"/>
                  <w:color w:val="1A1A1A"/>
                  <w:sz w:val="20"/>
                </w:rPr>
                <w:t>How You Can Vote</w:t>
              </w:r>
            </w:hyperlink>
          </w:p>
        </w:tc>
        <w:tc>
          <w:tcPr>
            <w:tcW w:w="395"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595959"/>
                <w:sz w:val="20"/>
              </w:rPr>
            </w:pPr>
            <w:r>
              <w:rPr>
                <w:rFonts w:ascii="Arial;Helvetica;Sans-Serif" w:hAnsi="Arial;Helvetica;Sans-Serif"/>
                <w:b w:val="false"/>
                <w:i w:val="false"/>
                <w:caps w:val="false"/>
                <w:smallCaps w:val="false"/>
                <w:color w:val="595959"/>
                <w:sz w:val="20"/>
              </w:rPr>
              <w:t>6</w:t>
            </w:r>
          </w:p>
        </w:tc>
      </w:tr>
      <w:tr>
        <w:trPr/>
        <w:tc>
          <w:tcPr>
            <w:tcW w:w="8375" w:type="dxa"/>
            <w:tcBorders/>
            <w:vAlign w:val="center"/>
          </w:tcPr>
          <w:p>
            <w:pPr>
              <w:pStyle w:val="TableContents"/>
              <w:bidi w:val="0"/>
              <w:spacing w:before="0" w:after="283"/>
              <w:jc w:val="both"/>
              <w:rPr>
                <w:caps w:val="false"/>
                <w:smallCaps w:val="false"/>
                <w:color w:val="1A1A1A"/>
              </w:rPr>
            </w:pPr>
            <w:r>
              <w:rPr>
                <w:caps w:val="false"/>
                <w:smallCaps w:val="false"/>
                <w:color w:val="1A1A1A"/>
              </w:rPr>
              <w:t> </w:t>
            </w:r>
          </w:p>
        </w:tc>
        <w:tc>
          <w:tcPr>
            <w:tcW w:w="395" w:type="dxa"/>
            <w:tcBorders/>
            <w:vAlign w:val="center"/>
          </w:tcPr>
          <w:p>
            <w:pPr>
              <w:pStyle w:val="TableContents"/>
              <w:bidi w:val="0"/>
              <w:spacing w:before="0" w:after="283"/>
              <w:jc w:val="right"/>
              <w:rPr>
                <w:caps w:val="false"/>
                <w:smallCaps w:val="false"/>
                <w:color w:val="1A1A1A"/>
              </w:rPr>
            </w:pPr>
            <w:r>
              <w:rPr>
                <w:caps w:val="false"/>
                <w:smallCaps w:val="false"/>
                <w:color w:val="1A1A1A"/>
              </w:rPr>
              <w:t> </w:t>
            </w:r>
          </w:p>
        </w:tc>
      </w:tr>
      <w:tr>
        <w:trPr/>
        <w:tc>
          <w:tcPr>
            <w:tcW w:w="8375" w:type="dxa"/>
            <w:tcBorders/>
            <w:vAlign w:val="center"/>
          </w:tcPr>
          <w:p>
            <w:pPr>
              <w:pStyle w:val="TableContents"/>
              <w:bidi w:val="0"/>
              <w:spacing w:before="0" w:after="283"/>
              <w:jc w:val="both"/>
              <w:rPr/>
            </w:pPr>
            <w:hyperlink w:anchor="A103">
              <w:r>
                <w:rPr>
                  <w:rStyle w:val="InternetLink"/>
                  <w:rFonts w:ascii="Arial;Helvetica;Sans-Serif" w:hAnsi="Arial;Helvetica;Sans-Serif"/>
                  <w:b w:val="false"/>
                  <w:i w:val="false"/>
                  <w:caps w:val="false"/>
                  <w:smallCaps w:val="false"/>
                  <w:color w:val="1A1A1A"/>
                  <w:sz w:val="20"/>
                </w:rPr>
                <w:t>Expenses and Solicitation</w:t>
              </w:r>
            </w:hyperlink>
          </w:p>
        </w:tc>
        <w:tc>
          <w:tcPr>
            <w:tcW w:w="395"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595959"/>
                <w:sz w:val="20"/>
              </w:rPr>
            </w:pPr>
            <w:r>
              <w:rPr>
                <w:rFonts w:ascii="Arial;Helvetica;Sans-Serif" w:hAnsi="Arial;Helvetica;Sans-Serif"/>
                <w:b w:val="false"/>
                <w:i w:val="false"/>
                <w:caps w:val="false"/>
                <w:smallCaps w:val="false"/>
                <w:color w:val="595959"/>
                <w:sz w:val="20"/>
              </w:rPr>
              <w:t>7</w:t>
            </w:r>
          </w:p>
        </w:tc>
      </w:tr>
      <w:tr>
        <w:trPr/>
        <w:tc>
          <w:tcPr>
            <w:tcW w:w="8375" w:type="dxa"/>
            <w:tcBorders/>
            <w:vAlign w:val="center"/>
          </w:tcPr>
          <w:p>
            <w:pPr>
              <w:pStyle w:val="TableContents"/>
              <w:bidi w:val="0"/>
              <w:spacing w:before="0" w:after="283"/>
              <w:jc w:val="both"/>
              <w:rPr>
                <w:caps w:val="false"/>
                <w:smallCaps w:val="false"/>
                <w:color w:val="1A1A1A"/>
              </w:rPr>
            </w:pPr>
            <w:r>
              <w:rPr>
                <w:caps w:val="false"/>
                <w:smallCaps w:val="false"/>
                <w:color w:val="1A1A1A"/>
              </w:rPr>
              <w:t> </w:t>
            </w:r>
          </w:p>
        </w:tc>
        <w:tc>
          <w:tcPr>
            <w:tcW w:w="395" w:type="dxa"/>
            <w:tcBorders/>
            <w:vAlign w:val="center"/>
          </w:tcPr>
          <w:p>
            <w:pPr>
              <w:pStyle w:val="TableContents"/>
              <w:bidi w:val="0"/>
              <w:spacing w:before="0" w:after="283"/>
              <w:jc w:val="right"/>
              <w:rPr>
                <w:caps w:val="false"/>
                <w:smallCaps w:val="false"/>
                <w:color w:val="1A1A1A"/>
              </w:rPr>
            </w:pPr>
            <w:r>
              <w:rPr>
                <w:caps w:val="false"/>
                <w:smallCaps w:val="false"/>
                <w:color w:val="1A1A1A"/>
              </w:rPr>
              <w:t> </w:t>
            </w:r>
          </w:p>
        </w:tc>
      </w:tr>
      <w:tr>
        <w:trPr/>
        <w:tc>
          <w:tcPr>
            <w:tcW w:w="8375" w:type="dxa"/>
            <w:tcBorders/>
            <w:vAlign w:val="center"/>
          </w:tcPr>
          <w:p>
            <w:pPr>
              <w:pStyle w:val="TableContents"/>
              <w:bidi w:val="0"/>
              <w:spacing w:before="0" w:after="283"/>
              <w:jc w:val="both"/>
              <w:rPr/>
            </w:pPr>
            <w:hyperlink w:anchor="A104">
              <w:r>
                <w:rPr>
                  <w:rStyle w:val="InternetLink"/>
                  <w:rFonts w:ascii="Arial;Helvetica;Sans-Serif" w:hAnsi="Arial;Helvetica;Sans-Serif"/>
                  <w:b w:val="false"/>
                  <w:i w:val="false"/>
                  <w:caps w:val="false"/>
                  <w:smallCaps w:val="false"/>
                  <w:color w:val="1A1A1A"/>
                  <w:sz w:val="20"/>
                </w:rPr>
                <w:t>Change or Revocation of Proxy</w:t>
              </w:r>
            </w:hyperlink>
          </w:p>
        </w:tc>
        <w:tc>
          <w:tcPr>
            <w:tcW w:w="395"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595959"/>
                <w:sz w:val="20"/>
              </w:rPr>
            </w:pPr>
            <w:r>
              <w:rPr>
                <w:rFonts w:ascii="Arial;Helvetica;Sans-Serif" w:hAnsi="Arial;Helvetica;Sans-Serif"/>
                <w:b w:val="false"/>
                <w:i w:val="false"/>
                <w:caps w:val="false"/>
                <w:smallCaps w:val="false"/>
                <w:color w:val="595959"/>
                <w:sz w:val="20"/>
              </w:rPr>
              <w:t>7</w:t>
            </w:r>
          </w:p>
        </w:tc>
      </w:tr>
      <w:tr>
        <w:trPr/>
        <w:tc>
          <w:tcPr>
            <w:tcW w:w="8375" w:type="dxa"/>
            <w:tcBorders/>
            <w:vAlign w:val="center"/>
          </w:tcPr>
          <w:p>
            <w:pPr>
              <w:pStyle w:val="TableContents"/>
              <w:bidi w:val="0"/>
              <w:spacing w:before="0" w:after="283"/>
              <w:jc w:val="both"/>
              <w:rPr>
                <w:caps w:val="false"/>
                <w:smallCaps w:val="false"/>
                <w:color w:val="1A1A1A"/>
              </w:rPr>
            </w:pPr>
            <w:r>
              <w:rPr>
                <w:caps w:val="false"/>
                <w:smallCaps w:val="false"/>
                <w:color w:val="1A1A1A"/>
              </w:rPr>
              <w:t> </w:t>
            </w:r>
          </w:p>
        </w:tc>
        <w:tc>
          <w:tcPr>
            <w:tcW w:w="395" w:type="dxa"/>
            <w:tcBorders/>
            <w:vAlign w:val="center"/>
          </w:tcPr>
          <w:p>
            <w:pPr>
              <w:pStyle w:val="TableContents"/>
              <w:bidi w:val="0"/>
              <w:spacing w:before="0" w:after="283"/>
              <w:jc w:val="right"/>
              <w:rPr>
                <w:caps w:val="false"/>
                <w:smallCaps w:val="false"/>
                <w:color w:val="1A1A1A"/>
              </w:rPr>
            </w:pPr>
            <w:r>
              <w:rPr>
                <w:caps w:val="false"/>
                <w:smallCaps w:val="false"/>
                <w:color w:val="1A1A1A"/>
              </w:rPr>
              <w:t> </w:t>
            </w:r>
          </w:p>
        </w:tc>
      </w:tr>
      <w:tr>
        <w:trPr/>
        <w:tc>
          <w:tcPr>
            <w:tcW w:w="8375" w:type="dxa"/>
            <w:tcBorders/>
            <w:vAlign w:val="center"/>
          </w:tcPr>
          <w:p>
            <w:pPr>
              <w:pStyle w:val="TableContents"/>
              <w:bidi w:val="0"/>
              <w:spacing w:before="0" w:after="283"/>
              <w:jc w:val="both"/>
              <w:rPr/>
            </w:pPr>
            <w:hyperlink w:anchor="A105">
              <w:r>
                <w:rPr>
                  <w:rStyle w:val="InternetLink"/>
                  <w:rFonts w:ascii="Arial;Helvetica;Sans-Serif" w:hAnsi="Arial;Helvetica;Sans-Serif"/>
                  <w:b w:val="false"/>
                  <w:i w:val="false"/>
                  <w:caps w:val="false"/>
                  <w:smallCaps w:val="false"/>
                  <w:color w:val="1A1A1A"/>
                  <w:sz w:val="20"/>
                </w:rPr>
                <w:t>Quorum</w:t>
              </w:r>
            </w:hyperlink>
          </w:p>
        </w:tc>
        <w:tc>
          <w:tcPr>
            <w:tcW w:w="395"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595959"/>
                <w:sz w:val="20"/>
              </w:rPr>
            </w:pPr>
            <w:r>
              <w:rPr>
                <w:rFonts w:ascii="Arial;Helvetica;Sans-Serif" w:hAnsi="Arial;Helvetica;Sans-Serif"/>
                <w:b w:val="false"/>
                <w:i w:val="false"/>
                <w:caps w:val="false"/>
                <w:smallCaps w:val="false"/>
                <w:color w:val="595959"/>
                <w:sz w:val="20"/>
              </w:rPr>
              <w:t>8</w:t>
            </w:r>
          </w:p>
        </w:tc>
      </w:tr>
      <w:tr>
        <w:trPr/>
        <w:tc>
          <w:tcPr>
            <w:tcW w:w="8375" w:type="dxa"/>
            <w:tcBorders/>
            <w:vAlign w:val="center"/>
          </w:tcPr>
          <w:p>
            <w:pPr>
              <w:pStyle w:val="TableContents"/>
              <w:bidi w:val="0"/>
              <w:spacing w:before="0" w:after="283"/>
              <w:jc w:val="both"/>
              <w:rPr>
                <w:caps w:val="false"/>
                <w:smallCaps w:val="false"/>
                <w:color w:val="1A1A1A"/>
              </w:rPr>
            </w:pPr>
            <w:r>
              <w:rPr>
                <w:caps w:val="false"/>
                <w:smallCaps w:val="false"/>
                <w:color w:val="1A1A1A"/>
              </w:rPr>
              <w:t> </w:t>
            </w:r>
          </w:p>
        </w:tc>
        <w:tc>
          <w:tcPr>
            <w:tcW w:w="395" w:type="dxa"/>
            <w:tcBorders/>
            <w:vAlign w:val="center"/>
          </w:tcPr>
          <w:p>
            <w:pPr>
              <w:pStyle w:val="TableContents"/>
              <w:bidi w:val="0"/>
              <w:spacing w:before="0" w:after="283"/>
              <w:jc w:val="right"/>
              <w:rPr>
                <w:caps w:val="false"/>
                <w:smallCaps w:val="false"/>
                <w:color w:val="1A1A1A"/>
              </w:rPr>
            </w:pPr>
            <w:r>
              <w:rPr>
                <w:caps w:val="false"/>
                <w:smallCaps w:val="false"/>
                <w:color w:val="1A1A1A"/>
              </w:rPr>
              <w:t> </w:t>
            </w:r>
          </w:p>
        </w:tc>
      </w:tr>
      <w:tr>
        <w:trPr/>
        <w:tc>
          <w:tcPr>
            <w:tcW w:w="8375" w:type="dxa"/>
            <w:tcBorders/>
            <w:vAlign w:val="center"/>
          </w:tcPr>
          <w:p>
            <w:pPr>
              <w:pStyle w:val="TableContents"/>
              <w:bidi w:val="0"/>
              <w:spacing w:before="0" w:after="283"/>
              <w:jc w:val="both"/>
              <w:rPr/>
            </w:pPr>
            <w:hyperlink w:anchor="A106">
              <w:r>
                <w:rPr>
                  <w:rStyle w:val="InternetLink"/>
                  <w:rFonts w:ascii="Arial;Helvetica;Sans-Serif" w:hAnsi="Arial;Helvetica;Sans-Serif"/>
                  <w:b w:val="false"/>
                  <w:i w:val="false"/>
                  <w:caps w:val="false"/>
                  <w:smallCaps w:val="false"/>
                  <w:color w:val="1A1A1A"/>
                  <w:sz w:val="20"/>
                </w:rPr>
                <w:t>Vote Required for Approval of the Proposal</w:t>
              </w:r>
            </w:hyperlink>
          </w:p>
        </w:tc>
        <w:tc>
          <w:tcPr>
            <w:tcW w:w="395"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595959"/>
                <w:sz w:val="20"/>
              </w:rPr>
            </w:pPr>
            <w:r>
              <w:rPr>
                <w:rFonts w:ascii="Arial;Helvetica;Sans-Serif" w:hAnsi="Arial;Helvetica;Sans-Serif"/>
                <w:b w:val="false"/>
                <w:i w:val="false"/>
                <w:caps w:val="false"/>
                <w:smallCaps w:val="false"/>
                <w:color w:val="595959"/>
                <w:sz w:val="20"/>
              </w:rPr>
              <w:t>9</w:t>
            </w:r>
          </w:p>
        </w:tc>
      </w:tr>
      <w:tr>
        <w:trPr/>
        <w:tc>
          <w:tcPr>
            <w:tcW w:w="8375" w:type="dxa"/>
            <w:tcBorders/>
            <w:vAlign w:val="center"/>
          </w:tcPr>
          <w:p>
            <w:pPr>
              <w:pStyle w:val="TableContents"/>
              <w:bidi w:val="0"/>
              <w:spacing w:before="0" w:after="283"/>
              <w:jc w:val="both"/>
              <w:rPr>
                <w:caps w:val="false"/>
                <w:smallCaps w:val="false"/>
                <w:color w:val="1A1A1A"/>
              </w:rPr>
            </w:pPr>
            <w:r>
              <w:rPr>
                <w:caps w:val="false"/>
                <w:smallCaps w:val="false"/>
                <w:color w:val="1A1A1A"/>
              </w:rPr>
              <w:t> </w:t>
            </w:r>
          </w:p>
        </w:tc>
        <w:tc>
          <w:tcPr>
            <w:tcW w:w="395" w:type="dxa"/>
            <w:tcBorders/>
            <w:vAlign w:val="center"/>
          </w:tcPr>
          <w:p>
            <w:pPr>
              <w:pStyle w:val="TableContents"/>
              <w:bidi w:val="0"/>
              <w:spacing w:before="0" w:after="283"/>
              <w:jc w:val="right"/>
              <w:rPr>
                <w:caps w:val="false"/>
                <w:smallCaps w:val="false"/>
                <w:color w:val="1A1A1A"/>
              </w:rPr>
            </w:pPr>
            <w:r>
              <w:rPr>
                <w:caps w:val="false"/>
                <w:smallCaps w:val="false"/>
                <w:color w:val="1A1A1A"/>
              </w:rPr>
              <w:t> </w:t>
            </w:r>
          </w:p>
        </w:tc>
      </w:tr>
      <w:tr>
        <w:trPr/>
        <w:tc>
          <w:tcPr>
            <w:tcW w:w="8375" w:type="dxa"/>
            <w:tcBorders/>
            <w:vAlign w:val="center"/>
          </w:tcPr>
          <w:p>
            <w:pPr>
              <w:pStyle w:val="TableContents"/>
              <w:bidi w:val="0"/>
              <w:spacing w:before="0" w:after="283"/>
              <w:jc w:val="both"/>
              <w:rPr/>
            </w:pPr>
            <w:hyperlink w:anchor="A107">
              <w:r>
                <w:rPr>
                  <w:rStyle w:val="InternetLink"/>
                  <w:rFonts w:ascii="Arial;Helvetica;Sans-Serif" w:hAnsi="Arial;Helvetica;Sans-Serif"/>
                  <w:b w:val="false"/>
                  <w:i w:val="false"/>
                  <w:caps w:val="false"/>
                  <w:smallCaps w:val="false"/>
                  <w:color w:val="1A1A1A"/>
                  <w:sz w:val="20"/>
                </w:rPr>
                <w:t>Security Ownership of Certain Beneficial Owners and Management</w:t>
              </w:r>
            </w:hyperlink>
          </w:p>
        </w:tc>
        <w:tc>
          <w:tcPr>
            <w:tcW w:w="395"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595959"/>
                <w:sz w:val="20"/>
              </w:rPr>
            </w:pPr>
            <w:r>
              <w:rPr>
                <w:rFonts w:ascii="Arial;Helvetica;Sans-Serif" w:hAnsi="Arial;Helvetica;Sans-Serif"/>
                <w:b w:val="false"/>
                <w:i w:val="false"/>
                <w:caps w:val="false"/>
                <w:smallCaps w:val="false"/>
                <w:color w:val="595959"/>
                <w:sz w:val="20"/>
              </w:rPr>
              <w:t>9</w:t>
            </w:r>
          </w:p>
        </w:tc>
      </w:tr>
      <w:tr>
        <w:trPr/>
        <w:tc>
          <w:tcPr>
            <w:tcW w:w="8375" w:type="dxa"/>
            <w:tcBorders/>
            <w:vAlign w:val="center"/>
          </w:tcPr>
          <w:p>
            <w:pPr>
              <w:pStyle w:val="TableContents"/>
              <w:bidi w:val="0"/>
              <w:spacing w:before="0" w:after="283"/>
              <w:jc w:val="both"/>
              <w:rPr>
                <w:caps w:val="false"/>
                <w:smallCaps w:val="false"/>
                <w:color w:val="1A1A1A"/>
              </w:rPr>
            </w:pPr>
            <w:r>
              <w:rPr>
                <w:caps w:val="false"/>
                <w:smallCaps w:val="false"/>
                <w:color w:val="1A1A1A"/>
              </w:rPr>
              <w:t> </w:t>
            </w:r>
          </w:p>
        </w:tc>
        <w:tc>
          <w:tcPr>
            <w:tcW w:w="395" w:type="dxa"/>
            <w:tcBorders/>
            <w:vAlign w:val="center"/>
          </w:tcPr>
          <w:p>
            <w:pPr>
              <w:pStyle w:val="TableContents"/>
              <w:bidi w:val="0"/>
              <w:spacing w:before="0" w:after="283"/>
              <w:jc w:val="right"/>
              <w:rPr>
                <w:caps w:val="false"/>
                <w:smallCaps w:val="false"/>
                <w:color w:val="1A1A1A"/>
              </w:rPr>
            </w:pPr>
            <w:r>
              <w:rPr>
                <w:caps w:val="false"/>
                <w:smallCaps w:val="false"/>
                <w:color w:val="1A1A1A"/>
              </w:rPr>
              <w:t> </w:t>
            </w:r>
          </w:p>
        </w:tc>
      </w:tr>
      <w:tr>
        <w:trPr/>
        <w:tc>
          <w:tcPr>
            <w:tcW w:w="8375" w:type="dxa"/>
            <w:tcBorders/>
            <w:vAlign w:val="center"/>
          </w:tcPr>
          <w:p>
            <w:pPr>
              <w:pStyle w:val="TableContents"/>
              <w:bidi w:val="0"/>
              <w:spacing w:before="0" w:after="283"/>
              <w:jc w:val="both"/>
              <w:rPr/>
            </w:pPr>
            <w:hyperlink w:anchor="A108">
              <w:r>
                <w:rPr>
                  <w:rStyle w:val="InternetLink"/>
                  <w:rFonts w:ascii="Arial;Helvetica;Sans-Serif" w:hAnsi="Arial;Helvetica;Sans-Serif"/>
                  <w:b/>
                  <w:i w:val="false"/>
                  <w:caps w:val="false"/>
                  <w:smallCaps w:val="false"/>
                  <w:color w:val="004BAA"/>
                  <w:sz w:val="22"/>
                </w:rPr>
                <w:t>Proposal 1 — Approval of Amended and Restated Compensation Policy</w:t>
              </w:r>
            </w:hyperlink>
          </w:p>
        </w:tc>
        <w:tc>
          <w:tcPr>
            <w:tcW w:w="395" w:type="dxa"/>
            <w:tcBorders/>
            <w:vAlign w:val="center"/>
          </w:tcPr>
          <w:p>
            <w:pPr>
              <w:pStyle w:val="TableContents"/>
              <w:bidi w:val="0"/>
              <w:spacing w:before="0" w:after="283"/>
              <w:jc w:val="right"/>
              <w:rPr>
                <w:rFonts w:ascii="Arial;Helvetica;Sans-Serif" w:hAnsi="Arial;Helvetica;Sans-Serif"/>
                <w:b/>
                <w:i w:val="false"/>
                <w:caps w:val="false"/>
                <w:smallCaps w:val="false"/>
                <w:color w:val="595959"/>
                <w:sz w:val="22"/>
              </w:rPr>
            </w:pPr>
            <w:r>
              <w:rPr>
                <w:rFonts w:ascii="Arial;Helvetica;Sans-Serif" w:hAnsi="Arial;Helvetica;Sans-Serif"/>
                <w:b/>
                <w:i w:val="false"/>
                <w:caps w:val="false"/>
                <w:smallCaps w:val="false"/>
                <w:color w:val="595959"/>
                <w:sz w:val="22"/>
              </w:rPr>
              <w:t>11</w:t>
            </w:r>
          </w:p>
        </w:tc>
      </w:tr>
      <w:tr>
        <w:trPr/>
        <w:tc>
          <w:tcPr>
            <w:tcW w:w="8375" w:type="dxa"/>
            <w:tcBorders/>
            <w:vAlign w:val="center"/>
          </w:tcPr>
          <w:p>
            <w:pPr>
              <w:pStyle w:val="TableContents"/>
              <w:bidi w:val="0"/>
              <w:spacing w:before="0" w:after="283"/>
              <w:jc w:val="both"/>
              <w:rPr>
                <w:caps w:val="false"/>
                <w:smallCaps w:val="false"/>
                <w:color w:val="004BAA"/>
              </w:rPr>
            </w:pPr>
            <w:r>
              <w:rPr>
                <w:caps w:val="false"/>
                <w:smallCaps w:val="false"/>
                <w:color w:val="004BAA"/>
              </w:rPr>
              <w:t> </w:t>
            </w:r>
          </w:p>
        </w:tc>
        <w:tc>
          <w:tcPr>
            <w:tcW w:w="395" w:type="dxa"/>
            <w:tcBorders/>
            <w:vAlign w:val="center"/>
          </w:tcPr>
          <w:p>
            <w:pPr>
              <w:pStyle w:val="TableContents"/>
              <w:bidi w:val="0"/>
              <w:spacing w:before="0" w:after="283"/>
              <w:jc w:val="right"/>
              <w:rPr>
                <w:caps w:val="false"/>
                <w:smallCaps w:val="false"/>
                <w:color w:val="004BAA"/>
              </w:rPr>
            </w:pPr>
            <w:r>
              <w:rPr>
                <w:caps w:val="false"/>
                <w:smallCaps w:val="false"/>
                <w:color w:val="004BAA"/>
              </w:rPr>
              <w:t> </w:t>
            </w:r>
          </w:p>
        </w:tc>
      </w:tr>
      <w:tr>
        <w:trPr/>
        <w:tc>
          <w:tcPr>
            <w:tcW w:w="8375" w:type="dxa"/>
            <w:tcBorders/>
            <w:vAlign w:val="center"/>
          </w:tcPr>
          <w:p>
            <w:pPr>
              <w:pStyle w:val="TableContents"/>
              <w:bidi w:val="0"/>
              <w:spacing w:before="0" w:after="283"/>
              <w:jc w:val="both"/>
              <w:rPr/>
            </w:pPr>
            <w:hyperlink w:anchor="A109">
              <w:r>
                <w:rPr>
                  <w:rStyle w:val="InternetLink"/>
                  <w:rFonts w:ascii="Arial;Helvetica;Sans-Serif" w:hAnsi="Arial;Helvetica;Sans-Serif"/>
                  <w:b w:val="false"/>
                  <w:i w:val="false"/>
                  <w:caps w:val="false"/>
                  <w:smallCaps w:val="false"/>
                  <w:color w:val="1A1A1A"/>
                  <w:sz w:val="20"/>
                </w:rPr>
                <w:t>Background</w:t>
              </w:r>
            </w:hyperlink>
          </w:p>
        </w:tc>
        <w:tc>
          <w:tcPr>
            <w:tcW w:w="395"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595959"/>
                <w:sz w:val="20"/>
              </w:rPr>
            </w:pPr>
            <w:r>
              <w:rPr>
                <w:rFonts w:ascii="Arial;Helvetica;Sans-Serif" w:hAnsi="Arial;Helvetica;Sans-Serif"/>
                <w:b w:val="false"/>
                <w:i w:val="false"/>
                <w:caps w:val="false"/>
                <w:smallCaps w:val="false"/>
                <w:color w:val="595959"/>
                <w:sz w:val="20"/>
              </w:rPr>
              <w:t>12</w:t>
            </w:r>
          </w:p>
        </w:tc>
      </w:tr>
      <w:tr>
        <w:trPr/>
        <w:tc>
          <w:tcPr>
            <w:tcW w:w="8375" w:type="dxa"/>
            <w:tcBorders/>
            <w:vAlign w:val="center"/>
          </w:tcPr>
          <w:p>
            <w:pPr>
              <w:pStyle w:val="TableContents"/>
              <w:bidi w:val="0"/>
              <w:spacing w:before="0" w:after="283"/>
              <w:jc w:val="both"/>
              <w:rPr>
                <w:caps w:val="false"/>
                <w:smallCaps w:val="false"/>
                <w:color w:val="1A1A1A"/>
              </w:rPr>
            </w:pPr>
            <w:r>
              <w:rPr>
                <w:caps w:val="false"/>
                <w:smallCaps w:val="false"/>
                <w:color w:val="1A1A1A"/>
              </w:rPr>
              <w:t> </w:t>
            </w:r>
          </w:p>
        </w:tc>
        <w:tc>
          <w:tcPr>
            <w:tcW w:w="395" w:type="dxa"/>
            <w:tcBorders/>
            <w:vAlign w:val="center"/>
          </w:tcPr>
          <w:p>
            <w:pPr>
              <w:pStyle w:val="TableContents"/>
              <w:bidi w:val="0"/>
              <w:spacing w:before="0" w:after="283"/>
              <w:jc w:val="right"/>
              <w:rPr>
                <w:caps w:val="false"/>
                <w:smallCaps w:val="false"/>
                <w:color w:val="1A1A1A"/>
              </w:rPr>
            </w:pPr>
            <w:r>
              <w:rPr>
                <w:caps w:val="false"/>
                <w:smallCaps w:val="false"/>
                <w:color w:val="1A1A1A"/>
              </w:rPr>
              <w:t> </w:t>
            </w:r>
          </w:p>
        </w:tc>
      </w:tr>
      <w:tr>
        <w:trPr/>
        <w:tc>
          <w:tcPr>
            <w:tcW w:w="8375" w:type="dxa"/>
            <w:tcBorders/>
            <w:vAlign w:val="center"/>
          </w:tcPr>
          <w:p>
            <w:pPr>
              <w:pStyle w:val="TableContents"/>
              <w:bidi w:val="0"/>
              <w:spacing w:before="0" w:after="283"/>
              <w:jc w:val="both"/>
              <w:rPr/>
            </w:pPr>
            <w:hyperlink w:anchor="A110">
              <w:r>
                <w:rPr>
                  <w:rStyle w:val="InternetLink"/>
                  <w:rFonts w:ascii="Arial;Helvetica;Sans-Serif" w:hAnsi="Arial;Helvetica;Sans-Serif"/>
                  <w:b w:val="false"/>
                  <w:i w:val="false"/>
                  <w:caps w:val="false"/>
                  <w:smallCaps w:val="false"/>
                  <w:color w:val="1A1A1A"/>
                  <w:sz w:val="20"/>
                </w:rPr>
                <w:t>Tower’s Growth Since Approval of the 2023 Compensation Policy</w:t>
              </w:r>
            </w:hyperlink>
          </w:p>
        </w:tc>
        <w:tc>
          <w:tcPr>
            <w:tcW w:w="395"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1A1A1A"/>
                <w:sz w:val="20"/>
              </w:rPr>
            </w:pPr>
            <w:r>
              <w:rPr>
                <w:rFonts w:ascii="Arial;Helvetica;Sans-Serif" w:hAnsi="Arial;Helvetica;Sans-Serif"/>
                <w:b w:val="false"/>
                <w:i w:val="false"/>
                <w:caps w:val="false"/>
                <w:smallCaps w:val="false"/>
                <w:color w:val="1A1A1A"/>
                <w:sz w:val="20"/>
              </w:rPr>
              <w:t>12</w:t>
            </w:r>
          </w:p>
        </w:tc>
      </w:tr>
      <w:tr>
        <w:trPr/>
        <w:tc>
          <w:tcPr>
            <w:tcW w:w="8375" w:type="dxa"/>
            <w:tcBorders/>
            <w:vAlign w:val="center"/>
          </w:tcPr>
          <w:p>
            <w:pPr>
              <w:pStyle w:val="TableContents"/>
              <w:bidi w:val="0"/>
              <w:spacing w:before="0" w:after="283"/>
              <w:jc w:val="both"/>
              <w:rPr>
                <w:caps w:val="false"/>
                <w:smallCaps w:val="false"/>
                <w:color w:val="1A1A1A"/>
              </w:rPr>
            </w:pPr>
            <w:r>
              <w:rPr>
                <w:caps w:val="false"/>
                <w:smallCaps w:val="false"/>
                <w:color w:val="1A1A1A"/>
              </w:rPr>
              <w:t> </w:t>
            </w:r>
          </w:p>
        </w:tc>
        <w:tc>
          <w:tcPr>
            <w:tcW w:w="395" w:type="dxa"/>
            <w:tcBorders/>
            <w:vAlign w:val="center"/>
          </w:tcPr>
          <w:p>
            <w:pPr>
              <w:pStyle w:val="TableContents"/>
              <w:bidi w:val="0"/>
              <w:spacing w:before="0" w:after="283"/>
              <w:jc w:val="right"/>
              <w:rPr>
                <w:caps w:val="false"/>
                <w:smallCaps w:val="false"/>
                <w:color w:val="1A1A1A"/>
              </w:rPr>
            </w:pPr>
            <w:r>
              <w:rPr>
                <w:caps w:val="false"/>
                <w:smallCaps w:val="false"/>
                <w:color w:val="1A1A1A"/>
              </w:rPr>
              <w:t> </w:t>
            </w:r>
          </w:p>
        </w:tc>
      </w:tr>
      <w:tr>
        <w:trPr/>
        <w:tc>
          <w:tcPr>
            <w:tcW w:w="8375" w:type="dxa"/>
            <w:tcBorders/>
            <w:vAlign w:val="center"/>
          </w:tcPr>
          <w:p>
            <w:pPr>
              <w:pStyle w:val="TableContents"/>
              <w:bidi w:val="0"/>
              <w:spacing w:before="0" w:after="283"/>
              <w:jc w:val="both"/>
              <w:rPr/>
            </w:pPr>
            <w:hyperlink w:anchor="A111">
              <w:r>
                <w:rPr>
                  <w:rStyle w:val="InternetLink"/>
                  <w:rFonts w:ascii="Arial;Helvetica;Sans-Serif" w:hAnsi="Arial;Helvetica;Sans-Serif"/>
                  <w:b w:val="false"/>
                  <w:i w:val="false"/>
                  <w:caps w:val="false"/>
                  <w:smallCaps w:val="false"/>
                  <w:color w:val="1A1A1A"/>
                  <w:sz w:val="20"/>
                </w:rPr>
                <w:t>Shareholder Engagement Following the July 2026 Meeting</w:t>
              </w:r>
            </w:hyperlink>
          </w:p>
        </w:tc>
        <w:tc>
          <w:tcPr>
            <w:tcW w:w="395"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595959"/>
                <w:sz w:val="20"/>
              </w:rPr>
            </w:pPr>
            <w:r>
              <w:rPr>
                <w:rFonts w:ascii="Arial;Helvetica;Sans-Serif" w:hAnsi="Arial;Helvetica;Sans-Serif"/>
                <w:b w:val="false"/>
                <w:i w:val="false"/>
                <w:caps w:val="false"/>
                <w:smallCaps w:val="false"/>
                <w:color w:val="595959"/>
                <w:sz w:val="20"/>
              </w:rPr>
              <w:t>14</w:t>
            </w:r>
          </w:p>
        </w:tc>
      </w:tr>
      <w:tr>
        <w:trPr/>
        <w:tc>
          <w:tcPr>
            <w:tcW w:w="8375" w:type="dxa"/>
            <w:tcBorders/>
            <w:vAlign w:val="center"/>
          </w:tcPr>
          <w:p>
            <w:pPr>
              <w:pStyle w:val="TableContents"/>
              <w:bidi w:val="0"/>
              <w:spacing w:before="0" w:after="283"/>
              <w:jc w:val="both"/>
              <w:rPr>
                <w:caps w:val="false"/>
                <w:smallCaps w:val="false"/>
                <w:color w:val="1A1A1A"/>
              </w:rPr>
            </w:pPr>
            <w:r>
              <w:rPr>
                <w:caps w:val="false"/>
                <w:smallCaps w:val="false"/>
                <w:color w:val="1A1A1A"/>
              </w:rPr>
              <w:t> </w:t>
            </w:r>
          </w:p>
        </w:tc>
        <w:tc>
          <w:tcPr>
            <w:tcW w:w="395" w:type="dxa"/>
            <w:tcBorders/>
            <w:vAlign w:val="center"/>
          </w:tcPr>
          <w:p>
            <w:pPr>
              <w:pStyle w:val="TableContents"/>
              <w:bidi w:val="0"/>
              <w:spacing w:before="0" w:after="283"/>
              <w:jc w:val="right"/>
              <w:rPr>
                <w:caps w:val="false"/>
                <w:smallCaps w:val="false"/>
                <w:color w:val="1A1A1A"/>
              </w:rPr>
            </w:pPr>
            <w:r>
              <w:rPr>
                <w:caps w:val="false"/>
                <w:smallCaps w:val="false"/>
                <w:color w:val="1A1A1A"/>
              </w:rPr>
              <w:t> </w:t>
            </w:r>
          </w:p>
        </w:tc>
      </w:tr>
      <w:tr>
        <w:trPr/>
        <w:tc>
          <w:tcPr>
            <w:tcW w:w="8375" w:type="dxa"/>
            <w:tcBorders/>
            <w:vAlign w:val="center"/>
          </w:tcPr>
          <w:p>
            <w:pPr>
              <w:pStyle w:val="TableContents"/>
              <w:bidi w:val="0"/>
              <w:spacing w:before="0" w:after="283"/>
              <w:jc w:val="both"/>
              <w:rPr/>
            </w:pPr>
            <w:hyperlink w:anchor="A112">
              <w:r>
                <w:rPr>
                  <w:rStyle w:val="InternetLink"/>
                  <w:rFonts w:ascii="Arial;Helvetica;Sans-Serif" w:hAnsi="Arial;Helvetica;Sans-Serif"/>
                  <w:b w:val="false"/>
                  <w:i w:val="false"/>
                  <w:caps w:val="false"/>
                  <w:smallCaps w:val="false"/>
                  <w:color w:val="1A1A1A"/>
                  <w:sz w:val="20"/>
                </w:rPr>
                <w:t>Amended Compensation Policy</w:t>
              </w:r>
            </w:hyperlink>
          </w:p>
        </w:tc>
        <w:tc>
          <w:tcPr>
            <w:tcW w:w="395"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595959"/>
                <w:sz w:val="20"/>
              </w:rPr>
            </w:pPr>
            <w:r>
              <w:rPr>
                <w:rFonts w:ascii="Arial;Helvetica;Sans-Serif" w:hAnsi="Arial;Helvetica;Sans-Serif"/>
                <w:b w:val="false"/>
                <w:i w:val="false"/>
                <w:caps w:val="false"/>
                <w:smallCaps w:val="false"/>
                <w:color w:val="595959"/>
                <w:sz w:val="20"/>
              </w:rPr>
              <w:t>15</w:t>
            </w:r>
          </w:p>
        </w:tc>
      </w:tr>
      <w:tr>
        <w:trPr/>
        <w:tc>
          <w:tcPr>
            <w:tcW w:w="8375" w:type="dxa"/>
            <w:tcBorders/>
            <w:vAlign w:val="center"/>
          </w:tcPr>
          <w:p>
            <w:pPr>
              <w:pStyle w:val="TableContents"/>
              <w:bidi w:val="0"/>
              <w:spacing w:before="0" w:after="283"/>
              <w:jc w:val="both"/>
              <w:rPr>
                <w:caps w:val="false"/>
                <w:smallCaps w:val="false"/>
                <w:color w:val="1A1A1A"/>
              </w:rPr>
            </w:pPr>
            <w:r>
              <w:rPr>
                <w:caps w:val="false"/>
                <w:smallCaps w:val="false"/>
                <w:color w:val="1A1A1A"/>
              </w:rPr>
              <w:t> </w:t>
            </w:r>
          </w:p>
        </w:tc>
        <w:tc>
          <w:tcPr>
            <w:tcW w:w="395" w:type="dxa"/>
            <w:tcBorders/>
            <w:vAlign w:val="center"/>
          </w:tcPr>
          <w:p>
            <w:pPr>
              <w:pStyle w:val="TableContents"/>
              <w:bidi w:val="0"/>
              <w:spacing w:before="0" w:after="283"/>
              <w:jc w:val="right"/>
              <w:rPr>
                <w:caps w:val="false"/>
                <w:smallCaps w:val="false"/>
                <w:color w:val="1A1A1A"/>
              </w:rPr>
            </w:pPr>
            <w:r>
              <w:rPr>
                <w:caps w:val="false"/>
                <w:smallCaps w:val="false"/>
                <w:color w:val="1A1A1A"/>
              </w:rPr>
              <w:t> </w:t>
            </w:r>
          </w:p>
        </w:tc>
      </w:tr>
      <w:tr>
        <w:trPr/>
        <w:tc>
          <w:tcPr>
            <w:tcW w:w="8375" w:type="dxa"/>
            <w:tcBorders/>
            <w:vAlign w:val="center"/>
          </w:tcPr>
          <w:p>
            <w:pPr>
              <w:pStyle w:val="TableContents"/>
              <w:bidi w:val="0"/>
              <w:spacing w:before="0" w:after="283"/>
              <w:jc w:val="both"/>
              <w:rPr/>
            </w:pPr>
            <w:hyperlink w:anchor="A113">
              <w:r>
                <w:rPr>
                  <w:rStyle w:val="InternetLink"/>
                  <w:rFonts w:ascii="Arial;Helvetica;Sans-Serif" w:hAnsi="Arial;Helvetica;Sans-Serif"/>
                  <w:b w:val="false"/>
                  <w:i w:val="false"/>
                  <w:caps w:val="false"/>
                  <w:smallCaps w:val="false"/>
                  <w:color w:val="1A1A1A"/>
                  <w:sz w:val="20"/>
                </w:rPr>
                <w:t>Market Benchmarking Framework</w:t>
              </w:r>
            </w:hyperlink>
          </w:p>
        </w:tc>
        <w:tc>
          <w:tcPr>
            <w:tcW w:w="395"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595959"/>
                <w:sz w:val="20"/>
              </w:rPr>
            </w:pPr>
            <w:r>
              <w:rPr>
                <w:rFonts w:ascii="Arial;Helvetica;Sans-Serif" w:hAnsi="Arial;Helvetica;Sans-Serif"/>
                <w:b w:val="false"/>
                <w:i w:val="false"/>
                <w:caps w:val="false"/>
                <w:smallCaps w:val="false"/>
                <w:color w:val="595959"/>
                <w:sz w:val="20"/>
              </w:rPr>
              <w:t>20</w:t>
            </w:r>
          </w:p>
        </w:tc>
      </w:tr>
      <w:tr>
        <w:trPr/>
        <w:tc>
          <w:tcPr>
            <w:tcW w:w="8375" w:type="dxa"/>
            <w:tcBorders/>
            <w:vAlign w:val="center"/>
          </w:tcPr>
          <w:p>
            <w:pPr>
              <w:pStyle w:val="TableContents"/>
              <w:bidi w:val="0"/>
              <w:spacing w:before="0" w:after="283"/>
              <w:jc w:val="both"/>
              <w:rPr>
                <w:caps w:val="false"/>
                <w:smallCaps w:val="false"/>
                <w:color w:val="1A1A1A"/>
              </w:rPr>
            </w:pPr>
            <w:r>
              <w:rPr>
                <w:caps w:val="false"/>
                <w:smallCaps w:val="false"/>
                <w:color w:val="1A1A1A"/>
              </w:rPr>
              <w:t> </w:t>
            </w:r>
          </w:p>
        </w:tc>
        <w:tc>
          <w:tcPr>
            <w:tcW w:w="395" w:type="dxa"/>
            <w:tcBorders/>
            <w:vAlign w:val="center"/>
          </w:tcPr>
          <w:p>
            <w:pPr>
              <w:pStyle w:val="TableContents"/>
              <w:bidi w:val="0"/>
              <w:spacing w:before="0" w:after="283"/>
              <w:jc w:val="right"/>
              <w:rPr>
                <w:caps w:val="false"/>
                <w:smallCaps w:val="false"/>
                <w:color w:val="1A1A1A"/>
              </w:rPr>
            </w:pPr>
            <w:r>
              <w:rPr>
                <w:caps w:val="false"/>
                <w:smallCaps w:val="false"/>
                <w:color w:val="1A1A1A"/>
              </w:rPr>
              <w:t> </w:t>
            </w:r>
          </w:p>
        </w:tc>
      </w:tr>
      <w:tr>
        <w:trPr/>
        <w:tc>
          <w:tcPr>
            <w:tcW w:w="8375" w:type="dxa"/>
            <w:tcBorders/>
            <w:vAlign w:val="center"/>
          </w:tcPr>
          <w:p>
            <w:pPr>
              <w:pStyle w:val="TableContents"/>
              <w:bidi w:val="0"/>
              <w:spacing w:before="0" w:after="283"/>
              <w:jc w:val="both"/>
              <w:rPr/>
            </w:pPr>
            <w:hyperlink w:anchor="A114">
              <w:r>
                <w:rPr>
                  <w:rStyle w:val="InternetLink"/>
                  <w:rFonts w:ascii="Arial;Helvetica;Sans-Serif" w:hAnsi="Arial;Helvetica;Sans-Serif"/>
                  <w:b w:val="false"/>
                  <w:i w:val="false"/>
                  <w:caps w:val="false"/>
                  <w:smallCaps w:val="false"/>
                  <w:color w:val="1A1A1A"/>
                  <w:sz w:val="20"/>
                </w:rPr>
                <w:t>Global/U.S. Compensation Peer Group</w:t>
              </w:r>
            </w:hyperlink>
          </w:p>
        </w:tc>
        <w:tc>
          <w:tcPr>
            <w:tcW w:w="395"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1A1A1A"/>
                <w:sz w:val="20"/>
              </w:rPr>
            </w:pPr>
            <w:r>
              <w:rPr>
                <w:rFonts w:ascii="Arial;Helvetica;Sans-Serif" w:hAnsi="Arial;Helvetica;Sans-Serif"/>
                <w:b w:val="false"/>
                <w:i w:val="false"/>
                <w:caps w:val="false"/>
                <w:smallCaps w:val="false"/>
                <w:color w:val="1A1A1A"/>
                <w:sz w:val="20"/>
              </w:rPr>
              <w:t>21</w:t>
            </w:r>
          </w:p>
        </w:tc>
      </w:tr>
      <w:tr>
        <w:trPr/>
        <w:tc>
          <w:tcPr>
            <w:tcW w:w="8375" w:type="dxa"/>
            <w:tcBorders/>
            <w:vAlign w:val="center"/>
          </w:tcPr>
          <w:p>
            <w:pPr>
              <w:pStyle w:val="TableContents"/>
              <w:bidi w:val="0"/>
              <w:spacing w:before="0" w:after="283"/>
              <w:jc w:val="both"/>
              <w:rPr>
                <w:caps w:val="false"/>
                <w:smallCaps w:val="false"/>
                <w:color w:val="1A1A1A"/>
              </w:rPr>
            </w:pPr>
            <w:r>
              <w:rPr>
                <w:caps w:val="false"/>
                <w:smallCaps w:val="false"/>
                <w:color w:val="1A1A1A"/>
              </w:rPr>
              <w:t> </w:t>
            </w:r>
          </w:p>
        </w:tc>
        <w:tc>
          <w:tcPr>
            <w:tcW w:w="395" w:type="dxa"/>
            <w:tcBorders/>
            <w:vAlign w:val="center"/>
          </w:tcPr>
          <w:p>
            <w:pPr>
              <w:pStyle w:val="TableContents"/>
              <w:bidi w:val="0"/>
              <w:spacing w:before="0" w:after="283"/>
              <w:jc w:val="right"/>
              <w:rPr>
                <w:caps w:val="false"/>
                <w:smallCaps w:val="false"/>
                <w:color w:val="1A1A1A"/>
              </w:rPr>
            </w:pPr>
            <w:r>
              <w:rPr>
                <w:caps w:val="false"/>
                <w:smallCaps w:val="false"/>
                <w:color w:val="1A1A1A"/>
              </w:rPr>
              <w:t> </w:t>
            </w:r>
          </w:p>
        </w:tc>
      </w:tr>
      <w:tr>
        <w:trPr/>
        <w:tc>
          <w:tcPr>
            <w:tcW w:w="8375" w:type="dxa"/>
            <w:tcBorders/>
            <w:vAlign w:val="center"/>
          </w:tcPr>
          <w:p>
            <w:pPr>
              <w:pStyle w:val="TableContents"/>
              <w:bidi w:val="0"/>
              <w:spacing w:before="0" w:after="283"/>
              <w:jc w:val="both"/>
              <w:rPr/>
            </w:pPr>
            <w:hyperlink w:anchor="a_001">
              <w:r>
                <w:rPr>
                  <w:rStyle w:val="InternetLink"/>
                  <w:rFonts w:ascii="Arial;Helvetica;Sans-Serif" w:hAnsi="Arial;Helvetica;Sans-Serif"/>
                  <w:b w:val="false"/>
                  <w:i w:val="false"/>
                  <w:caps w:val="false"/>
                  <w:smallCaps w:val="false"/>
                  <w:color w:val="1A1A1A"/>
                  <w:sz w:val="20"/>
                </w:rPr>
                <w:t>The Updated Peer Group</w:t>
              </w:r>
            </w:hyperlink>
          </w:p>
        </w:tc>
        <w:tc>
          <w:tcPr>
            <w:tcW w:w="395"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1A1A1A"/>
                <w:sz w:val="20"/>
              </w:rPr>
            </w:pPr>
            <w:r>
              <w:rPr>
                <w:rFonts w:ascii="Arial;Helvetica;Sans-Serif" w:hAnsi="Arial;Helvetica;Sans-Serif"/>
                <w:b w:val="false"/>
                <w:i w:val="false"/>
                <w:caps w:val="false"/>
                <w:smallCaps w:val="false"/>
                <w:color w:val="1A1A1A"/>
                <w:sz w:val="20"/>
              </w:rPr>
              <w:t>22</w:t>
            </w:r>
          </w:p>
        </w:tc>
      </w:tr>
      <w:tr>
        <w:trPr/>
        <w:tc>
          <w:tcPr>
            <w:tcW w:w="8375" w:type="dxa"/>
            <w:tcBorders/>
            <w:vAlign w:val="center"/>
          </w:tcPr>
          <w:p>
            <w:pPr>
              <w:pStyle w:val="TableContents"/>
              <w:bidi w:val="0"/>
              <w:spacing w:before="0" w:after="283"/>
              <w:jc w:val="both"/>
              <w:rPr>
                <w:caps w:val="false"/>
                <w:smallCaps w:val="false"/>
                <w:color w:val="1A1A1A"/>
              </w:rPr>
            </w:pPr>
            <w:r>
              <w:rPr>
                <w:caps w:val="false"/>
                <w:smallCaps w:val="false"/>
                <w:color w:val="1A1A1A"/>
              </w:rPr>
              <w:t> </w:t>
            </w:r>
          </w:p>
        </w:tc>
        <w:tc>
          <w:tcPr>
            <w:tcW w:w="395" w:type="dxa"/>
            <w:tcBorders/>
            <w:vAlign w:val="center"/>
          </w:tcPr>
          <w:p>
            <w:pPr>
              <w:pStyle w:val="TableContents"/>
              <w:bidi w:val="0"/>
              <w:spacing w:before="0" w:after="283"/>
              <w:jc w:val="right"/>
              <w:rPr>
                <w:caps w:val="false"/>
                <w:smallCaps w:val="false"/>
                <w:color w:val="1A1A1A"/>
              </w:rPr>
            </w:pPr>
            <w:r>
              <w:rPr>
                <w:caps w:val="false"/>
                <w:smallCaps w:val="false"/>
                <w:color w:val="1A1A1A"/>
              </w:rPr>
              <w:t> </w:t>
            </w:r>
          </w:p>
        </w:tc>
      </w:tr>
      <w:tr>
        <w:trPr/>
        <w:tc>
          <w:tcPr>
            <w:tcW w:w="8375" w:type="dxa"/>
            <w:tcBorders/>
            <w:vAlign w:val="center"/>
          </w:tcPr>
          <w:p>
            <w:pPr>
              <w:pStyle w:val="TableContents"/>
              <w:bidi w:val="0"/>
              <w:spacing w:before="0" w:after="283"/>
              <w:jc w:val="both"/>
              <w:rPr/>
            </w:pPr>
            <w:hyperlink w:anchor="A115">
              <w:r>
                <w:rPr>
                  <w:rStyle w:val="InternetLink"/>
                  <w:rFonts w:ascii="Arial;Helvetica;Sans-Serif" w:hAnsi="Arial;Helvetica;Sans-Serif"/>
                  <w:b w:val="false"/>
                  <w:i w:val="false"/>
                  <w:caps w:val="false"/>
                  <w:smallCaps w:val="false"/>
                  <w:color w:val="1A1A1A"/>
                  <w:sz w:val="20"/>
                </w:rPr>
                <w:t>Actual Equity Grant Benchmarking</w:t>
              </w:r>
            </w:hyperlink>
          </w:p>
        </w:tc>
        <w:tc>
          <w:tcPr>
            <w:tcW w:w="395"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1A1A1A"/>
                <w:sz w:val="20"/>
              </w:rPr>
            </w:pPr>
            <w:r>
              <w:rPr>
                <w:rFonts w:ascii="Arial;Helvetica;Sans-Serif" w:hAnsi="Arial;Helvetica;Sans-Serif"/>
                <w:b w:val="false"/>
                <w:i w:val="false"/>
                <w:caps w:val="false"/>
                <w:smallCaps w:val="false"/>
                <w:color w:val="1A1A1A"/>
                <w:sz w:val="20"/>
              </w:rPr>
              <w:t>23</w:t>
            </w:r>
          </w:p>
        </w:tc>
      </w:tr>
      <w:tr>
        <w:trPr/>
        <w:tc>
          <w:tcPr>
            <w:tcW w:w="8375" w:type="dxa"/>
            <w:tcBorders/>
            <w:vAlign w:val="center"/>
          </w:tcPr>
          <w:p>
            <w:pPr>
              <w:pStyle w:val="TableContents"/>
              <w:bidi w:val="0"/>
              <w:spacing w:before="0" w:after="283"/>
              <w:jc w:val="both"/>
              <w:rPr>
                <w:caps w:val="false"/>
                <w:smallCaps w:val="false"/>
                <w:color w:val="1A1A1A"/>
              </w:rPr>
            </w:pPr>
            <w:r>
              <w:rPr>
                <w:caps w:val="false"/>
                <w:smallCaps w:val="false"/>
                <w:color w:val="1A1A1A"/>
              </w:rPr>
              <w:t> </w:t>
            </w:r>
          </w:p>
        </w:tc>
        <w:tc>
          <w:tcPr>
            <w:tcW w:w="395" w:type="dxa"/>
            <w:tcBorders/>
            <w:vAlign w:val="center"/>
          </w:tcPr>
          <w:p>
            <w:pPr>
              <w:pStyle w:val="TableContents"/>
              <w:bidi w:val="0"/>
              <w:spacing w:before="0" w:after="283"/>
              <w:jc w:val="right"/>
              <w:rPr>
                <w:caps w:val="false"/>
                <w:smallCaps w:val="false"/>
                <w:color w:val="1A1A1A"/>
              </w:rPr>
            </w:pPr>
            <w:r>
              <w:rPr>
                <w:caps w:val="false"/>
                <w:smallCaps w:val="false"/>
                <w:color w:val="1A1A1A"/>
              </w:rPr>
              <w:t> </w:t>
            </w:r>
          </w:p>
        </w:tc>
      </w:tr>
      <w:tr>
        <w:trPr/>
        <w:tc>
          <w:tcPr>
            <w:tcW w:w="8375" w:type="dxa"/>
            <w:tcBorders/>
            <w:vAlign w:val="center"/>
          </w:tcPr>
          <w:p>
            <w:pPr>
              <w:pStyle w:val="TableContents"/>
              <w:bidi w:val="0"/>
              <w:spacing w:before="0" w:after="283"/>
              <w:jc w:val="both"/>
              <w:rPr/>
            </w:pPr>
            <w:hyperlink w:anchor="A116">
              <w:r>
                <w:rPr>
                  <w:rStyle w:val="InternetLink"/>
                  <w:rFonts w:ascii="Arial;Helvetica;Sans-Serif" w:hAnsi="Arial;Helvetica;Sans-Serif"/>
                  <w:b w:val="false"/>
                  <w:i w:val="false"/>
                  <w:caps w:val="false"/>
                  <w:smallCaps w:val="false"/>
                  <w:color w:val="1A1A1A"/>
                  <w:sz w:val="20"/>
                </w:rPr>
                <w:t>Benchmarking Equity Caps in Compensation Policies Adopted Under the Israeli Companies Law</w:t>
              </w:r>
            </w:hyperlink>
          </w:p>
        </w:tc>
        <w:tc>
          <w:tcPr>
            <w:tcW w:w="395"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1A1A1A"/>
                <w:sz w:val="20"/>
              </w:rPr>
            </w:pPr>
            <w:r>
              <w:rPr>
                <w:rFonts w:ascii="Arial;Helvetica;Sans-Serif" w:hAnsi="Arial;Helvetica;Sans-Serif"/>
                <w:b w:val="false"/>
                <w:i w:val="false"/>
                <w:caps w:val="false"/>
                <w:smallCaps w:val="false"/>
                <w:color w:val="1A1A1A"/>
                <w:sz w:val="20"/>
              </w:rPr>
              <w:t>24</w:t>
            </w:r>
          </w:p>
        </w:tc>
      </w:tr>
      <w:tr>
        <w:trPr/>
        <w:tc>
          <w:tcPr>
            <w:tcW w:w="8375" w:type="dxa"/>
            <w:tcBorders/>
            <w:vAlign w:val="center"/>
          </w:tcPr>
          <w:p>
            <w:pPr>
              <w:pStyle w:val="TableContents"/>
              <w:bidi w:val="0"/>
              <w:spacing w:before="0" w:after="283"/>
              <w:jc w:val="both"/>
              <w:rPr>
                <w:caps w:val="false"/>
                <w:smallCaps w:val="false"/>
                <w:color w:val="1A1A1A"/>
              </w:rPr>
            </w:pPr>
            <w:r>
              <w:rPr>
                <w:caps w:val="false"/>
                <w:smallCaps w:val="false"/>
                <w:color w:val="1A1A1A"/>
              </w:rPr>
              <w:t> </w:t>
            </w:r>
          </w:p>
        </w:tc>
        <w:tc>
          <w:tcPr>
            <w:tcW w:w="395" w:type="dxa"/>
            <w:tcBorders/>
            <w:vAlign w:val="center"/>
          </w:tcPr>
          <w:p>
            <w:pPr>
              <w:pStyle w:val="TableContents"/>
              <w:bidi w:val="0"/>
              <w:spacing w:before="0" w:after="283"/>
              <w:jc w:val="right"/>
              <w:rPr>
                <w:caps w:val="false"/>
                <w:smallCaps w:val="false"/>
                <w:color w:val="1A1A1A"/>
              </w:rPr>
            </w:pPr>
            <w:r>
              <w:rPr>
                <w:caps w:val="false"/>
                <w:smallCaps w:val="false"/>
                <w:color w:val="1A1A1A"/>
              </w:rPr>
              <w:t> </w:t>
            </w:r>
          </w:p>
        </w:tc>
      </w:tr>
      <w:tr>
        <w:trPr/>
        <w:tc>
          <w:tcPr>
            <w:tcW w:w="8375" w:type="dxa"/>
            <w:tcBorders/>
            <w:vAlign w:val="center"/>
          </w:tcPr>
          <w:p>
            <w:pPr>
              <w:pStyle w:val="TableContents"/>
              <w:bidi w:val="0"/>
              <w:spacing w:before="0" w:after="283"/>
              <w:jc w:val="both"/>
              <w:rPr/>
            </w:pPr>
            <w:hyperlink w:anchor="A117">
              <w:r>
                <w:rPr>
                  <w:rStyle w:val="InternetLink"/>
                  <w:rFonts w:ascii="Arial;Helvetica;Sans-Serif" w:hAnsi="Arial;Helvetica;Sans-Serif"/>
                  <w:b w:val="false"/>
                  <w:i w:val="false"/>
                  <w:caps w:val="false"/>
                  <w:smallCaps w:val="false"/>
                  <w:color w:val="1A1A1A"/>
                  <w:sz w:val="20"/>
                </w:rPr>
                <w:t>Governance Safeguards</w:t>
              </w:r>
            </w:hyperlink>
          </w:p>
        </w:tc>
        <w:tc>
          <w:tcPr>
            <w:tcW w:w="395"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595959"/>
                <w:sz w:val="20"/>
              </w:rPr>
            </w:pPr>
            <w:r>
              <w:rPr>
                <w:rFonts w:ascii="Arial;Helvetica;Sans-Serif" w:hAnsi="Arial;Helvetica;Sans-Serif"/>
                <w:b w:val="false"/>
                <w:i w:val="false"/>
                <w:caps w:val="false"/>
                <w:smallCaps w:val="false"/>
                <w:color w:val="595959"/>
                <w:sz w:val="20"/>
              </w:rPr>
              <w:t>27</w:t>
            </w:r>
          </w:p>
        </w:tc>
      </w:tr>
      <w:tr>
        <w:trPr/>
        <w:tc>
          <w:tcPr>
            <w:tcW w:w="8375" w:type="dxa"/>
            <w:tcBorders/>
            <w:vAlign w:val="center"/>
          </w:tcPr>
          <w:p>
            <w:pPr>
              <w:pStyle w:val="TableContents"/>
              <w:bidi w:val="0"/>
              <w:spacing w:before="0" w:after="283"/>
              <w:jc w:val="both"/>
              <w:rPr>
                <w:caps w:val="false"/>
                <w:smallCaps w:val="false"/>
                <w:color w:val="1A1A1A"/>
              </w:rPr>
            </w:pPr>
            <w:r>
              <w:rPr>
                <w:caps w:val="false"/>
                <w:smallCaps w:val="false"/>
                <w:color w:val="1A1A1A"/>
              </w:rPr>
              <w:t> </w:t>
            </w:r>
          </w:p>
        </w:tc>
        <w:tc>
          <w:tcPr>
            <w:tcW w:w="395" w:type="dxa"/>
            <w:tcBorders/>
            <w:vAlign w:val="center"/>
          </w:tcPr>
          <w:p>
            <w:pPr>
              <w:pStyle w:val="TableContents"/>
              <w:bidi w:val="0"/>
              <w:spacing w:before="0" w:after="283"/>
              <w:jc w:val="right"/>
              <w:rPr>
                <w:caps w:val="false"/>
                <w:smallCaps w:val="false"/>
                <w:color w:val="1A1A1A"/>
              </w:rPr>
            </w:pPr>
            <w:r>
              <w:rPr>
                <w:caps w:val="false"/>
                <w:smallCaps w:val="false"/>
                <w:color w:val="1A1A1A"/>
              </w:rPr>
              <w:t> </w:t>
            </w:r>
          </w:p>
        </w:tc>
      </w:tr>
      <w:tr>
        <w:trPr/>
        <w:tc>
          <w:tcPr>
            <w:tcW w:w="8375" w:type="dxa"/>
            <w:tcBorders/>
            <w:vAlign w:val="center"/>
          </w:tcPr>
          <w:p>
            <w:pPr>
              <w:pStyle w:val="TableContents"/>
              <w:bidi w:val="0"/>
              <w:spacing w:before="0" w:after="283"/>
              <w:jc w:val="both"/>
              <w:rPr/>
            </w:pPr>
            <w:hyperlink w:anchor="A118">
              <w:r>
                <w:rPr>
                  <w:rStyle w:val="InternetLink"/>
                  <w:rFonts w:ascii="Arial;Helvetica;Sans-Serif" w:hAnsi="Arial;Helvetica;Sans-Serif"/>
                  <w:b w:val="false"/>
                  <w:i w:val="false"/>
                  <w:caps w:val="false"/>
                  <w:smallCaps w:val="false"/>
                  <w:color w:val="1A1A1A"/>
                  <w:sz w:val="20"/>
                </w:rPr>
                <w:t>The Board’s Decision to Return the Matter to Shareholders</w:t>
              </w:r>
            </w:hyperlink>
          </w:p>
        </w:tc>
        <w:tc>
          <w:tcPr>
            <w:tcW w:w="395"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595959"/>
                <w:sz w:val="20"/>
              </w:rPr>
            </w:pPr>
            <w:r>
              <w:rPr>
                <w:rFonts w:ascii="Arial;Helvetica;Sans-Serif" w:hAnsi="Arial;Helvetica;Sans-Serif"/>
                <w:b w:val="false"/>
                <w:i w:val="false"/>
                <w:caps w:val="false"/>
                <w:smallCaps w:val="false"/>
                <w:color w:val="595959"/>
                <w:sz w:val="20"/>
              </w:rPr>
              <w:t>28</w:t>
            </w:r>
          </w:p>
        </w:tc>
      </w:tr>
      <w:tr>
        <w:trPr/>
        <w:tc>
          <w:tcPr>
            <w:tcW w:w="8375" w:type="dxa"/>
            <w:tcBorders/>
            <w:vAlign w:val="center"/>
          </w:tcPr>
          <w:p>
            <w:pPr>
              <w:pStyle w:val="TableContents"/>
              <w:bidi w:val="0"/>
              <w:spacing w:before="0" w:after="283"/>
              <w:jc w:val="both"/>
              <w:rPr>
                <w:caps w:val="false"/>
                <w:smallCaps w:val="false"/>
                <w:color w:val="1A1A1A"/>
              </w:rPr>
            </w:pPr>
            <w:r>
              <w:rPr>
                <w:caps w:val="false"/>
                <w:smallCaps w:val="false"/>
                <w:color w:val="1A1A1A"/>
              </w:rPr>
              <w:t> </w:t>
            </w:r>
          </w:p>
        </w:tc>
        <w:tc>
          <w:tcPr>
            <w:tcW w:w="395" w:type="dxa"/>
            <w:tcBorders/>
            <w:vAlign w:val="center"/>
          </w:tcPr>
          <w:p>
            <w:pPr>
              <w:pStyle w:val="TableContents"/>
              <w:bidi w:val="0"/>
              <w:spacing w:before="0" w:after="283"/>
              <w:jc w:val="right"/>
              <w:rPr>
                <w:caps w:val="false"/>
                <w:smallCaps w:val="false"/>
                <w:color w:val="1A1A1A"/>
              </w:rPr>
            </w:pPr>
            <w:r>
              <w:rPr>
                <w:caps w:val="false"/>
                <w:smallCaps w:val="false"/>
                <w:color w:val="1A1A1A"/>
              </w:rPr>
              <w:t> </w:t>
            </w:r>
          </w:p>
        </w:tc>
      </w:tr>
      <w:tr>
        <w:trPr/>
        <w:tc>
          <w:tcPr>
            <w:tcW w:w="8375" w:type="dxa"/>
            <w:tcBorders/>
            <w:vAlign w:val="center"/>
          </w:tcPr>
          <w:p>
            <w:pPr>
              <w:pStyle w:val="TableContents"/>
              <w:bidi w:val="0"/>
              <w:spacing w:before="0" w:after="283"/>
              <w:jc w:val="both"/>
              <w:rPr/>
            </w:pPr>
            <w:hyperlink w:anchor="A119">
              <w:r>
                <w:rPr>
                  <w:rStyle w:val="InternetLink"/>
                  <w:rFonts w:ascii="Arial;Helvetica;Sans-Serif" w:hAnsi="Arial;Helvetica;Sans-Serif"/>
                  <w:b w:val="false"/>
                  <w:i w:val="false"/>
                  <w:caps w:val="false"/>
                  <w:smallCaps w:val="false"/>
                  <w:color w:val="1A1A1A"/>
                  <w:sz w:val="20"/>
                </w:rPr>
                <w:t>Proposal / Approval Required / Board Recommendation</w:t>
              </w:r>
            </w:hyperlink>
          </w:p>
        </w:tc>
        <w:tc>
          <w:tcPr>
            <w:tcW w:w="395" w:type="dxa"/>
            <w:tcBorders/>
            <w:vAlign w:val="center"/>
          </w:tcPr>
          <w:p>
            <w:pPr>
              <w:pStyle w:val="TableContents"/>
              <w:bidi w:val="0"/>
              <w:spacing w:before="0" w:after="283"/>
              <w:jc w:val="right"/>
              <w:rPr>
                <w:rFonts w:ascii="Arial;Helvetica;Sans-Serif" w:hAnsi="Arial;Helvetica;Sans-Serif"/>
                <w:b w:val="false"/>
                <w:i w:val="false"/>
                <w:caps w:val="false"/>
                <w:smallCaps w:val="false"/>
                <w:color w:val="595959"/>
                <w:sz w:val="20"/>
              </w:rPr>
            </w:pPr>
            <w:r>
              <w:rPr>
                <w:rFonts w:ascii="Arial;Helvetica;Sans-Serif" w:hAnsi="Arial;Helvetica;Sans-Serif"/>
                <w:b w:val="false"/>
                <w:i w:val="false"/>
                <w:caps w:val="false"/>
                <w:smallCaps w:val="false"/>
                <w:color w:val="595959"/>
                <w:sz w:val="20"/>
              </w:rPr>
              <w:t>29</w:t>
            </w:r>
          </w:p>
        </w:tc>
      </w:tr>
      <w:tr>
        <w:trPr/>
        <w:tc>
          <w:tcPr>
            <w:tcW w:w="8375" w:type="dxa"/>
            <w:tcBorders/>
            <w:vAlign w:val="center"/>
          </w:tcPr>
          <w:p>
            <w:pPr>
              <w:pStyle w:val="TableContents"/>
              <w:bidi w:val="0"/>
              <w:spacing w:before="0" w:after="283"/>
              <w:jc w:val="both"/>
              <w:rPr>
                <w:caps w:val="false"/>
                <w:smallCaps w:val="false"/>
                <w:color w:val="1A1A1A"/>
              </w:rPr>
            </w:pPr>
            <w:r>
              <w:rPr>
                <w:caps w:val="false"/>
                <w:smallCaps w:val="false"/>
                <w:color w:val="1A1A1A"/>
              </w:rPr>
              <w:t> </w:t>
            </w:r>
          </w:p>
        </w:tc>
        <w:tc>
          <w:tcPr>
            <w:tcW w:w="395" w:type="dxa"/>
            <w:tcBorders/>
            <w:vAlign w:val="center"/>
          </w:tcPr>
          <w:p>
            <w:pPr>
              <w:pStyle w:val="TableContents"/>
              <w:bidi w:val="0"/>
              <w:spacing w:before="0" w:after="283"/>
              <w:jc w:val="right"/>
              <w:rPr>
                <w:caps w:val="false"/>
                <w:smallCaps w:val="false"/>
                <w:color w:val="1A1A1A"/>
              </w:rPr>
            </w:pPr>
            <w:r>
              <w:rPr>
                <w:caps w:val="false"/>
                <w:smallCaps w:val="false"/>
                <w:color w:val="1A1A1A"/>
              </w:rPr>
              <w:t> </w:t>
            </w:r>
          </w:p>
        </w:tc>
      </w:tr>
      <w:tr>
        <w:trPr/>
        <w:tc>
          <w:tcPr>
            <w:tcW w:w="8375" w:type="dxa"/>
            <w:tcBorders/>
            <w:vAlign w:val="center"/>
          </w:tcPr>
          <w:p>
            <w:pPr>
              <w:pStyle w:val="TableContents"/>
              <w:bidi w:val="0"/>
              <w:spacing w:before="0" w:after="283"/>
              <w:jc w:val="both"/>
              <w:rPr/>
            </w:pPr>
            <w:hyperlink w:anchor="A120">
              <w:r>
                <w:rPr>
                  <w:rStyle w:val="InternetLink"/>
                  <w:rFonts w:ascii="Arial;Helvetica;Sans-Serif" w:hAnsi="Arial;Helvetica;Sans-Serif"/>
                  <w:b/>
                  <w:i w:val="false"/>
                  <w:caps w:val="false"/>
                  <w:smallCaps w:val="false"/>
                  <w:color w:val="004BAA"/>
                  <w:sz w:val="22"/>
                </w:rPr>
                <w:t>Additional Information</w:t>
              </w:r>
            </w:hyperlink>
          </w:p>
        </w:tc>
        <w:tc>
          <w:tcPr>
            <w:tcW w:w="395" w:type="dxa"/>
            <w:tcBorders/>
            <w:vAlign w:val="center"/>
          </w:tcPr>
          <w:p>
            <w:pPr>
              <w:pStyle w:val="TableContents"/>
              <w:bidi w:val="0"/>
              <w:spacing w:before="0" w:after="283"/>
              <w:jc w:val="right"/>
              <w:rPr>
                <w:rFonts w:ascii="Arial;Helvetica;Sans-Serif" w:hAnsi="Arial;Helvetica;Sans-Serif"/>
                <w:b/>
                <w:i w:val="false"/>
                <w:caps w:val="false"/>
                <w:smallCaps w:val="false"/>
                <w:color w:val="595959"/>
                <w:sz w:val="22"/>
              </w:rPr>
            </w:pPr>
            <w:r>
              <w:rPr>
                <w:rFonts w:ascii="Arial;Helvetica;Sans-Serif" w:hAnsi="Arial;Helvetica;Sans-Serif"/>
                <w:b/>
                <w:i w:val="false"/>
                <w:caps w:val="false"/>
                <w:smallCaps w:val="false"/>
                <w:color w:val="595959"/>
                <w:sz w:val="22"/>
              </w:rPr>
              <w:t>30</w:t>
            </w:r>
          </w:p>
        </w:tc>
      </w:tr>
      <w:tr>
        <w:trPr/>
        <w:tc>
          <w:tcPr>
            <w:tcW w:w="8375" w:type="dxa"/>
            <w:tcBorders/>
            <w:vAlign w:val="center"/>
          </w:tcPr>
          <w:p>
            <w:pPr>
              <w:pStyle w:val="TableContents"/>
              <w:bidi w:val="0"/>
              <w:spacing w:before="0" w:after="283"/>
              <w:jc w:val="both"/>
              <w:rPr>
                <w:caps w:val="false"/>
                <w:smallCaps w:val="false"/>
                <w:color w:val="004BAA"/>
              </w:rPr>
            </w:pPr>
            <w:r>
              <w:rPr>
                <w:caps w:val="false"/>
                <w:smallCaps w:val="false"/>
                <w:color w:val="004BAA"/>
              </w:rPr>
              <w:t> </w:t>
            </w:r>
          </w:p>
        </w:tc>
        <w:tc>
          <w:tcPr>
            <w:tcW w:w="395" w:type="dxa"/>
            <w:tcBorders/>
            <w:vAlign w:val="center"/>
          </w:tcPr>
          <w:p>
            <w:pPr>
              <w:pStyle w:val="TableContents"/>
              <w:bidi w:val="0"/>
              <w:spacing w:before="0" w:after="283"/>
              <w:jc w:val="right"/>
              <w:rPr>
                <w:caps w:val="false"/>
                <w:smallCaps w:val="false"/>
                <w:color w:val="004BAA"/>
              </w:rPr>
            </w:pPr>
            <w:r>
              <w:rPr>
                <w:caps w:val="false"/>
                <w:smallCaps w:val="false"/>
                <w:color w:val="004BAA"/>
              </w:rPr>
              <w:t> </w:t>
            </w:r>
          </w:p>
        </w:tc>
      </w:tr>
      <w:tr>
        <w:trPr/>
        <w:tc>
          <w:tcPr>
            <w:tcW w:w="8375" w:type="dxa"/>
            <w:tcBorders/>
            <w:vAlign w:val="center"/>
          </w:tcPr>
          <w:p>
            <w:pPr>
              <w:pStyle w:val="TableContents"/>
              <w:bidi w:val="0"/>
              <w:spacing w:before="0" w:after="283"/>
              <w:jc w:val="both"/>
              <w:rPr/>
            </w:pPr>
            <w:hyperlink w:anchor="A121">
              <w:r>
                <w:rPr>
                  <w:rStyle w:val="InternetLink"/>
                  <w:rFonts w:ascii="Arial;Helvetica;Sans-Serif" w:hAnsi="Arial;Helvetica;Sans-Serif"/>
                  <w:b/>
                  <w:i w:val="false"/>
                  <w:caps w:val="false"/>
                  <w:smallCaps w:val="false"/>
                  <w:color w:val="004BAA"/>
                  <w:sz w:val="22"/>
                </w:rPr>
                <w:t>Forward-Looking Statements</w:t>
              </w:r>
            </w:hyperlink>
          </w:p>
        </w:tc>
        <w:tc>
          <w:tcPr>
            <w:tcW w:w="395" w:type="dxa"/>
            <w:tcBorders/>
            <w:vAlign w:val="center"/>
          </w:tcPr>
          <w:p>
            <w:pPr>
              <w:pStyle w:val="TableContents"/>
              <w:bidi w:val="0"/>
              <w:spacing w:before="0" w:after="283"/>
              <w:jc w:val="right"/>
              <w:rPr>
                <w:rFonts w:ascii="Arial;Helvetica;Sans-Serif" w:hAnsi="Arial;Helvetica;Sans-Serif"/>
                <w:b/>
                <w:i w:val="false"/>
                <w:caps w:val="false"/>
                <w:smallCaps w:val="false"/>
                <w:color w:val="595959"/>
                <w:sz w:val="22"/>
              </w:rPr>
            </w:pPr>
            <w:r>
              <w:rPr>
                <w:rFonts w:ascii="Arial;Helvetica;Sans-Serif" w:hAnsi="Arial;Helvetica;Sans-Serif"/>
                <w:b/>
                <w:i w:val="false"/>
                <w:caps w:val="false"/>
                <w:smallCaps w:val="false"/>
                <w:color w:val="595959"/>
                <w:sz w:val="22"/>
              </w:rPr>
              <w:t>30</w:t>
            </w:r>
          </w:p>
        </w:tc>
      </w:tr>
      <w:tr>
        <w:trPr/>
        <w:tc>
          <w:tcPr>
            <w:tcW w:w="8375" w:type="dxa"/>
            <w:tcBorders/>
            <w:vAlign w:val="center"/>
          </w:tcPr>
          <w:p>
            <w:pPr>
              <w:pStyle w:val="TableContents"/>
              <w:bidi w:val="0"/>
              <w:spacing w:before="0" w:after="283"/>
              <w:jc w:val="both"/>
              <w:rPr>
                <w:caps w:val="false"/>
                <w:smallCaps w:val="false"/>
                <w:color w:val="004BAA"/>
              </w:rPr>
            </w:pPr>
            <w:r>
              <w:rPr>
                <w:caps w:val="false"/>
                <w:smallCaps w:val="false"/>
                <w:color w:val="004BAA"/>
              </w:rPr>
              <w:t> </w:t>
            </w:r>
          </w:p>
        </w:tc>
        <w:tc>
          <w:tcPr>
            <w:tcW w:w="395" w:type="dxa"/>
            <w:tcBorders/>
            <w:vAlign w:val="center"/>
          </w:tcPr>
          <w:p>
            <w:pPr>
              <w:pStyle w:val="TableContents"/>
              <w:bidi w:val="0"/>
              <w:spacing w:before="0" w:after="283"/>
              <w:jc w:val="right"/>
              <w:rPr>
                <w:caps w:val="false"/>
                <w:smallCaps w:val="false"/>
                <w:color w:val="004BAA"/>
              </w:rPr>
            </w:pPr>
            <w:r>
              <w:rPr>
                <w:caps w:val="false"/>
                <w:smallCaps w:val="false"/>
                <w:color w:val="004BAA"/>
              </w:rPr>
              <w:t> </w:t>
            </w:r>
          </w:p>
        </w:tc>
      </w:tr>
      <w:tr>
        <w:trPr/>
        <w:tc>
          <w:tcPr>
            <w:tcW w:w="8375" w:type="dxa"/>
            <w:tcBorders/>
            <w:vAlign w:val="center"/>
          </w:tcPr>
          <w:p>
            <w:pPr>
              <w:pStyle w:val="TableContents"/>
              <w:bidi w:val="0"/>
              <w:spacing w:before="0" w:after="283"/>
              <w:jc w:val="both"/>
              <w:rPr/>
            </w:pPr>
            <w:hyperlink w:anchor="A122">
              <w:r>
                <w:rPr>
                  <w:rStyle w:val="InternetLink"/>
                  <w:rFonts w:ascii="Arial;Helvetica;Sans-Serif" w:hAnsi="Arial;Helvetica;Sans-Serif"/>
                  <w:b/>
                  <w:i w:val="false"/>
                  <w:caps w:val="false"/>
                  <w:smallCaps w:val="false"/>
                  <w:color w:val="004BAA"/>
                  <w:sz w:val="22"/>
                </w:rPr>
                <w:t>Other Business</w:t>
              </w:r>
            </w:hyperlink>
          </w:p>
        </w:tc>
        <w:tc>
          <w:tcPr>
            <w:tcW w:w="395" w:type="dxa"/>
            <w:tcBorders/>
            <w:vAlign w:val="center"/>
          </w:tcPr>
          <w:p>
            <w:pPr>
              <w:pStyle w:val="TableContents"/>
              <w:bidi w:val="0"/>
              <w:spacing w:before="0" w:after="283"/>
              <w:jc w:val="right"/>
              <w:rPr>
                <w:rFonts w:ascii="Arial;Helvetica;Sans-Serif" w:hAnsi="Arial;Helvetica;Sans-Serif"/>
                <w:b/>
                <w:i w:val="false"/>
                <w:caps w:val="false"/>
                <w:smallCaps w:val="false"/>
                <w:color w:val="595959"/>
                <w:sz w:val="22"/>
              </w:rPr>
            </w:pPr>
            <w:r>
              <w:rPr>
                <w:rFonts w:ascii="Arial;Helvetica;Sans-Serif" w:hAnsi="Arial;Helvetica;Sans-Serif"/>
                <w:b/>
                <w:i w:val="false"/>
                <w:caps w:val="false"/>
                <w:smallCaps w:val="false"/>
                <w:color w:val="595959"/>
                <w:sz w:val="22"/>
              </w:rPr>
              <w:t>31</w:t>
            </w:r>
          </w:p>
        </w:tc>
      </w:tr>
      <w:tr>
        <w:trPr/>
        <w:tc>
          <w:tcPr>
            <w:tcW w:w="8375" w:type="dxa"/>
            <w:tcBorders/>
            <w:vAlign w:val="center"/>
          </w:tcPr>
          <w:p>
            <w:pPr>
              <w:pStyle w:val="TableContents"/>
              <w:bidi w:val="0"/>
              <w:spacing w:before="0" w:after="283"/>
              <w:jc w:val="both"/>
              <w:rPr>
                <w:caps w:val="false"/>
                <w:smallCaps w:val="false"/>
                <w:color w:val="004BAA"/>
              </w:rPr>
            </w:pPr>
            <w:r>
              <w:rPr>
                <w:caps w:val="false"/>
                <w:smallCaps w:val="false"/>
                <w:color w:val="004BAA"/>
              </w:rPr>
              <w:t> </w:t>
            </w:r>
          </w:p>
        </w:tc>
        <w:tc>
          <w:tcPr>
            <w:tcW w:w="395" w:type="dxa"/>
            <w:tcBorders/>
            <w:vAlign w:val="center"/>
          </w:tcPr>
          <w:p>
            <w:pPr>
              <w:pStyle w:val="TableContents"/>
              <w:bidi w:val="0"/>
              <w:spacing w:before="0" w:after="283"/>
              <w:jc w:val="right"/>
              <w:rPr>
                <w:caps w:val="false"/>
                <w:smallCaps w:val="false"/>
                <w:color w:val="004BAA"/>
              </w:rPr>
            </w:pPr>
            <w:r>
              <w:rPr>
                <w:caps w:val="false"/>
                <w:smallCaps w:val="false"/>
                <w:color w:val="004BAA"/>
              </w:rPr>
              <w:t> </w:t>
            </w:r>
          </w:p>
        </w:tc>
      </w:tr>
      <w:tr>
        <w:trPr/>
        <w:tc>
          <w:tcPr>
            <w:tcW w:w="8375" w:type="dxa"/>
            <w:tcBorders/>
            <w:vAlign w:val="center"/>
          </w:tcPr>
          <w:p>
            <w:pPr>
              <w:pStyle w:val="TableContents"/>
              <w:bidi w:val="0"/>
              <w:spacing w:before="0" w:after="283"/>
              <w:jc w:val="both"/>
              <w:rPr/>
            </w:pPr>
            <w:hyperlink w:anchor="A123">
              <w:r>
                <w:rPr>
                  <w:rStyle w:val="InternetLink"/>
                  <w:rFonts w:ascii="Arial;Helvetica;Sans-Serif" w:hAnsi="Arial;Helvetica;Sans-Serif"/>
                  <w:b/>
                  <w:i w:val="false"/>
                  <w:caps w:val="false"/>
                  <w:smallCaps w:val="false"/>
                  <w:color w:val="004BAA"/>
                  <w:sz w:val="22"/>
                </w:rPr>
                <w:t>Exhibit A — Amended and Restated Compensation Policy</w:t>
              </w:r>
            </w:hyperlink>
          </w:p>
        </w:tc>
        <w:tc>
          <w:tcPr>
            <w:tcW w:w="395" w:type="dxa"/>
            <w:tcBorders/>
            <w:vAlign w:val="center"/>
          </w:tcPr>
          <w:p>
            <w:pPr>
              <w:pStyle w:val="TableContents"/>
              <w:bidi w:val="0"/>
              <w:spacing w:before="0" w:after="283"/>
              <w:jc w:val="right"/>
              <w:rPr>
                <w:rFonts w:ascii="Arial;Helvetica;Sans-Serif" w:hAnsi="Arial;Helvetica;Sans-Serif"/>
                <w:b/>
                <w:i w:val="false"/>
                <w:caps w:val="false"/>
                <w:smallCaps w:val="false"/>
                <w:color w:val="595959"/>
                <w:sz w:val="22"/>
              </w:rPr>
            </w:pPr>
            <w:r>
              <w:rPr>
                <w:rFonts w:ascii="Arial;Helvetica;Sans-Serif" w:hAnsi="Arial;Helvetica;Sans-Serif"/>
                <w:b/>
                <w:i w:val="false"/>
                <w:caps w:val="false"/>
                <w:smallCaps w:val="false"/>
                <w:color w:val="595959"/>
                <w:sz w:val="22"/>
              </w:rPr>
              <w:t>A-1</w:t>
            </w:r>
          </w:p>
        </w:tc>
      </w:tr>
    </w:tbl>
    <w:p>
      <w:pPr>
        <w:pStyle w:val="TextBody"/>
        <w:bidi w:val="0"/>
        <w:spacing w:before="0" w:after="0"/>
        <w:ind w:left="0" w:right="0" w:hanging="0"/>
        <w:jc w:val="both"/>
        <w:rPr>
          <w:caps w:val="false"/>
          <w:smallCaps w:val="false"/>
          <w:color w:val="004BAA"/>
        </w:rPr>
      </w:pPr>
      <w:r>
        <w:rPr>
          <w:caps w:val="false"/>
          <w:smallCaps w:val="false"/>
          <w:color w:val="004BAA"/>
        </w:rPr>
        <w:t> </w:t>
      </w:r>
    </w:p>
    <w:p>
      <w:pPr>
        <w:pStyle w:val="TextBody"/>
        <w:bidi w:val="0"/>
        <w:spacing w:before="0" w:after="0"/>
        <w:jc w:val="center"/>
        <w:rPr>
          <w:caps w:val="false"/>
          <w:smallCaps w:val="false"/>
          <w:color w:val="004BAA"/>
        </w:rPr>
      </w:pPr>
      <w:r>
        <w:rPr>
          <w:caps w:val="false"/>
          <w:smallCaps w:val="false"/>
          <w:color w:val="004BAA"/>
        </w:rPr>
        <w:drawing>
          <wp:inline distT="0" distB="0" distL="0" distR="0">
            <wp:extent cx="7620000" cy="10858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620000" cy="1085850"/>
                    </a:xfrm>
                    <a:prstGeom prst="rect">
                      <a:avLst/>
                    </a:prstGeom>
                  </pic:spPr>
                </pic:pic>
              </a:graphicData>
            </a:graphic>
          </wp:inline>
        </w:drawing>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004BAA"/>
        </w:rPr>
      </w:pPr>
      <w:r>
        <w:rPr>
          <w:caps w:val="false"/>
          <w:smallCaps w:val="false"/>
          <w:color w:val="004BAA"/>
        </w:rPr>
        <w:t> </w:t>
      </w:r>
    </w:p>
    <w:p>
      <w:pPr>
        <w:pStyle w:val="TextBody"/>
        <w:bidi w:val="0"/>
        <w:spacing w:before="0" w:after="0"/>
        <w:ind w:left="0" w:right="0" w:hanging="0"/>
        <w:jc w:val="center"/>
        <w:rPr>
          <w:caps w:val="false"/>
          <w:smallCaps w:val="false"/>
          <w:color w:val="004BAA"/>
        </w:rPr>
      </w:pPr>
      <w:r>
        <w:rPr>
          <w:caps w:val="false"/>
          <w:smallCaps w:val="false"/>
          <w:color w:val="004BAA"/>
        </w:rPr>
        <w:drawing>
          <wp:inline distT="0" distB="0" distL="0" distR="0">
            <wp:extent cx="7620000" cy="10953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620000" cy="1095375"/>
                    </a:xfrm>
                    <a:prstGeom prst="rect">
                      <a:avLst/>
                    </a:prstGeom>
                  </pic:spPr>
                </pic:pic>
              </a:graphicData>
            </a:graphic>
          </wp:inline>
        </w:drawing>
      </w:r>
    </w:p>
    <w:p>
      <w:pPr>
        <w:pStyle w:val="TextBody"/>
        <w:bidi w:val="0"/>
        <w:spacing w:before="0" w:after="0"/>
        <w:ind w:left="0" w:right="0" w:hanging="0"/>
        <w:jc w:val="both"/>
        <w:rPr>
          <w:caps w:val="false"/>
          <w:smallCaps w:val="false"/>
          <w:color w:val="004BAA"/>
        </w:rPr>
      </w:pPr>
      <w:r>
        <w:rPr>
          <w:caps w:val="false"/>
          <w:smallCaps w:val="false"/>
          <w:color w:val="004BAA"/>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both"/>
              <w:rPr>
                <w:caps w:val="false"/>
                <w:smallCaps w:val="false"/>
                <w:color w:val="1A1A1A"/>
              </w:rPr>
            </w:pPr>
            <w:r>
              <w:rPr>
                <w:caps w:val="false"/>
                <w:smallCaps w:val="false"/>
                <w:color w:val="1A1A1A"/>
              </w:rPr>
              <w:t> </w:t>
            </w:r>
          </w:p>
        </w:tc>
      </w:tr>
    </w:tbl>
    <w:p>
      <w:pPr>
        <w:pStyle w:val="TextBody"/>
        <w:bidi w:val="0"/>
        <w:spacing w:before="0" w:after="0"/>
        <w:ind w:left="0" w:right="0" w:hanging="0"/>
        <w:jc w:val="left"/>
        <w:rPr>
          <w:caps w:val="false"/>
          <w:smallCaps w:val="false"/>
          <w:color w:val="004BAA"/>
        </w:rPr>
      </w:pPr>
      <w:r>
        <w:rPr>
          <w:caps w:val="false"/>
          <w:smallCaps w:val="false"/>
          <w:color w:val="004BAA"/>
        </w:rPr>
        <w:t> </w:t>
      </w:r>
    </w:p>
    <w:p>
      <w:pPr>
        <w:pStyle w:val="TextBody"/>
        <w:bidi w:val="0"/>
        <w:spacing w:before="0" w:after="0"/>
        <w:ind w:left="0" w:right="0" w:hanging="0"/>
        <w:jc w:val="left"/>
        <w:rPr>
          <w:rFonts w:ascii="Arial;Helvetica;Sans-Serif" w:hAnsi="Arial;Helvetica;Sans-Serif"/>
          <w:b/>
          <w:i w:val="false"/>
          <w:caps w:val="false"/>
          <w:smallCaps w:val="false"/>
          <w:color w:val="004BAA"/>
          <w:sz w:val="36"/>
        </w:rPr>
      </w:pPr>
      <w:bookmarkStart w:id="4" w:name="A101"/>
      <w:bookmarkEnd w:id="4"/>
      <w:r>
        <w:rPr>
          <w:rFonts w:ascii="Arial;Helvetica;Sans-Serif" w:hAnsi="Arial;Helvetica;Sans-Serif"/>
          <w:b/>
          <w:i w:val="false"/>
          <w:caps w:val="false"/>
          <w:smallCaps w:val="false"/>
          <w:color w:val="004BAA"/>
          <w:sz w:val="36"/>
        </w:rPr>
        <w:t>Proxy Statement</w:t>
      </w:r>
    </w:p>
    <w:p>
      <w:pPr>
        <w:pStyle w:val="TextBody"/>
        <w:pBdr>
          <w:bottom w:val="single" w:sz="18" w:space="1" w:color="004BAA"/>
        </w:pBdr>
        <w:bidi w:val="0"/>
        <w:spacing w:before="0" w:after="0"/>
        <w:ind w:left="0" w:right="0" w:hanging="0"/>
        <w:jc w:val="left"/>
        <w:rPr>
          <w:caps w:val="false"/>
          <w:smallCaps w:val="false"/>
          <w:color w:val="004BAA"/>
        </w:rPr>
      </w:pPr>
      <w:r>
        <w:rPr>
          <w:caps w:val="false"/>
          <w:smallCaps w:val="false"/>
          <w:color w:val="004BAA"/>
        </w:rPr>
        <w:t> </w:t>
      </w:r>
    </w:p>
    <w:p>
      <w:pPr>
        <w:pStyle w:val="TextBody"/>
        <w:bidi w:val="0"/>
        <w:spacing w:before="80" w:after="0"/>
        <w:ind w:left="80" w:right="80" w:hanging="0"/>
        <w:jc w:val="left"/>
        <w:rPr>
          <w:rFonts w:ascii="Arial;Helvetica;Sans-Serif" w:hAnsi="Arial;Helvetica;Sans-Serif"/>
          <w:b/>
          <w:i w:val="false"/>
          <w:caps w:val="false"/>
          <w:smallCaps w:val="false"/>
          <w:color w:val="1A1A1A"/>
          <w:sz w:val="22"/>
        </w:rPr>
      </w:pPr>
      <w:r>
        <w:rPr>
          <w:rFonts w:ascii="Arial;Helvetica;Sans-Serif" w:hAnsi="Arial;Helvetica;Sans-Serif"/>
          <w:b/>
          <w:i w:val="false"/>
          <w:caps w:val="false"/>
          <w:smallCaps w:val="false"/>
          <w:color w:val="1A1A1A"/>
          <w:sz w:val="22"/>
        </w:rPr>
        <w:t>Extraordinary General Meeting of Shareholders — To be Held on November 25, 2026</w:t>
      </w:r>
    </w:p>
    <w:p>
      <w:pPr>
        <w:pStyle w:val="TextBody"/>
        <w:bidi w:val="0"/>
        <w:spacing w:before="0" w:after="0"/>
        <w:ind w:left="0" w:right="0" w:hanging="0"/>
        <w:jc w:val="left"/>
        <w:rPr>
          <w:caps w:val="false"/>
          <w:smallCaps w:val="false"/>
          <w:color w:val="1A1A1A"/>
        </w:rPr>
      </w:pPr>
      <w:r>
        <w:rPr>
          <w:caps w:val="false"/>
          <w:smallCaps w:val="false"/>
          <w:color w:val="1A1A1A"/>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This proxy statement (the “Proxy Statement”) is being furnished to the holders of ordinary shares, par value NIS 15.00 per share (the “Ordinary Shares”), of Tower Semiconductor Ltd. (“we,” “us,” “our,” the “Company” or “Tower”) in connection with the solicitation of proxies by the Board of Directors of the Company (the “Board of Directors” or the “Board”) for use at the Extraordinary General Meeting of Shareholders (the “Meeting”) to be held at the offices of the Company, 20 Shaul Amor Street, Ramat Gavriel Industrial Park, Migdal Haemek 2310502, Israel, on November 25, 2026 at 3:00p.m. (Israel time), or at any postponement or adjournment thereof.</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The Meeting has been convened for the sole purpose of considering and voting upon the approval of an amended and restated compensation policy for the Company’s directors and executive officers (the “Amended Compensation Policy”), in accordance with the requirements of the Israeli Companies Law, 1999 (the “Israeli Companies Law”).</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left"/>
        <w:rPr>
          <w:rFonts w:ascii="Arial;Helvetica;Sans-Serif" w:hAnsi="Arial;Helvetica;Sans-Serif"/>
          <w:b/>
          <w:i w:val="false"/>
          <w:caps w:val="false"/>
          <w:smallCaps w:val="false"/>
          <w:color w:val="1A1A1A"/>
          <w:sz w:val="22"/>
        </w:rPr>
      </w:pPr>
      <w:r>
        <w:rPr>
          <w:rFonts w:ascii="Arial;Helvetica;Sans-Serif" w:hAnsi="Arial;Helvetica;Sans-Serif"/>
          <w:b/>
          <w:i w:val="false"/>
          <w:caps w:val="false"/>
          <w:smallCaps w:val="false"/>
          <w:color w:val="1A1A1A"/>
          <w:sz w:val="22"/>
        </w:rPr>
        <w:t>The Board of Directors recommends that you vote “FOR” the proposal on the agenda.</w:t>
      </w:r>
    </w:p>
    <w:p>
      <w:pPr>
        <w:pStyle w:val="TextBody"/>
        <w:bidi w:val="0"/>
        <w:spacing w:before="0" w:after="0"/>
        <w:ind w:left="0" w:right="0" w:hanging="0"/>
        <w:jc w:val="left"/>
        <w:rPr>
          <w:caps w:val="false"/>
          <w:smallCaps w:val="false"/>
          <w:color w:val="1A1A1A"/>
        </w:rPr>
      </w:pPr>
      <w:r>
        <w:rPr>
          <w:caps w:val="false"/>
          <w:smallCaps w:val="false"/>
          <w:color w:val="1A1A1A"/>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You are entitled to vote at the Meeting if you are a shareholder of record at the close of business on October 19, 2026 (the “Record Date”). You are also entitled to vote at the Meeting if you hold Ordinary Shares through a bank, broker or other nominee which is one of our shareholders of record at the close of business on the Record Date or which appears in the participant listing of a securities depository on that date and if you hold Ordinary Shares through a member of the Tel Aviv Stock Exchange (“TASE”) on that date. You can vote your Ordinary Shares by attending the Meeting or by following the instructions under “How You Can Vote” below. Our Board urges you to vote your Ordinary Shares so that they will be counted at the Meeting or at any postponements or adjournments thereof.</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This Proxy Statement, and the accompanying Notice of Extraordinary General Meeting of Shareholders describing the matter to be voted upon at the Meeting along with a proxy card enabling the shareholders to indicate their vote on such matter, are being furnished to the U.S. Securities and Exchange Commission (the “Commission”) as an exhibit to Form 6-K and are available on the Commission’s website at www.sec.gov. This Proxy Statement and the accompanying Notice of Extraordinary General Meeting of Shareholders are also being filed with the Israel Securities Authority (“ISA”) and the TASE and are available on their websites at www.magna.isa.gov.il and maya.tase.co.il, respectively. This Proxy Statement will also be available on our website www.towersemi.com.</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jc w:val="center"/>
        <w:rPr>
          <w:caps w:val="false"/>
          <w:smallCaps w:val="false"/>
          <w:color w:val="1A1A1A"/>
        </w:rPr>
      </w:pPr>
      <w:r>
        <w:rPr>
          <w:caps w:val="false"/>
          <w:smallCaps w:val="false"/>
          <w:color w:val="1A1A1A"/>
        </w:rPr>
        <w:drawing>
          <wp:inline distT="0" distB="0" distL="0" distR="0">
            <wp:extent cx="7620000" cy="10858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620000" cy="1085850"/>
                    </a:xfrm>
                    <a:prstGeom prst="rect">
                      <a:avLst/>
                    </a:prstGeom>
                  </pic:spPr>
                </pic:pic>
              </a:graphicData>
            </a:graphic>
          </wp:inline>
        </w:drawing>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center"/>
        <w:rPr>
          <w:caps w:val="false"/>
          <w:smallCaps w:val="false"/>
          <w:color w:val="1A1A1A"/>
        </w:rPr>
      </w:pPr>
      <w:r>
        <w:rPr>
          <w:caps w:val="false"/>
          <w:smallCaps w:val="false"/>
          <w:color w:val="1A1A1A"/>
        </w:rPr>
        <w:drawing>
          <wp:inline distT="0" distB="0" distL="0" distR="0">
            <wp:extent cx="7620000" cy="10953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620000" cy="1095375"/>
                    </a:xfrm>
                    <a:prstGeom prst="rect">
                      <a:avLst/>
                    </a:prstGeom>
                  </pic:spPr>
                </pic:pic>
              </a:graphicData>
            </a:graphic>
          </wp:inline>
        </w:drawing>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left"/>
        <w:rPr>
          <w:rFonts w:ascii="Arial;Helvetica;Sans-Serif" w:hAnsi="Arial;Helvetica;Sans-Serif"/>
          <w:b/>
          <w:i w:val="false"/>
          <w:caps w:val="false"/>
          <w:smallCaps w:val="false"/>
          <w:color w:val="006297"/>
          <w:sz w:val="26"/>
        </w:rPr>
      </w:pPr>
      <w:bookmarkStart w:id="5" w:name="A102"/>
      <w:bookmarkEnd w:id="5"/>
      <w:r>
        <w:rPr>
          <w:rFonts w:ascii="Arial;Helvetica;Sans-Serif" w:hAnsi="Arial;Helvetica;Sans-Serif"/>
          <w:b/>
          <w:i w:val="false"/>
          <w:caps w:val="false"/>
          <w:smallCaps w:val="false"/>
          <w:color w:val="006297"/>
          <w:sz w:val="26"/>
        </w:rPr>
        <w:t>How You Can Vote</w:t>
      </w:r>
    </w:p>
    <w:p>
      <w:pPr>
        <w:pStyle w:val="TextBody"/>
        <w:bidi w:val="0"/>
        <w:spacing w:before="0" w:after="0"/>
        <w:ind w:left="0" w:right="0" w:hanging="0"/>
        <w:jc w:val="left"/>
        <w:rPr>
          <w:caps w:val="false"/>
          <w:smallCaps w:val="false"/>
          <w:color w:val="006297"/>
        </w:rPr>
      </w:pPr>
      <w:r>
        <w:rPr>
          <w:caps w:val="false"/>
          <w:smallCaps w:val="false"/>
          <w:color w:val="006297"/>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Whether or not you plan to attend the Meeting, we urge you to vote by proxy to ensure your vote is counted. You may still attend the Meeting if you vote by proxy.</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caps w:val="false"/>
          <w:smallCaps w:val="false"/>
          <w:color w:val="1A1A1A"/>
          <w:sz w:val="22"/>
        </w:rPr>
        <w:t>Record Holders</w:t>
      </w:r>
      <w:r>
        <w:rPr>
          <w:rFonts w:ascii="Arial;Helvetica;Sans-Serif" w:hAnsi="Arial;Helvetica;Sans-Serif"/>
          <w:b w:val="false"/>
          <w:i w:val="false"/>
          <w:caps w:val="false"/>
          <w:smallCaps w:val="false"/>
          <w:color w:val="1A1A1A"/>
          <w:sz w:val="22"/>
        </w:rPr>
        <w:t>. Shareholders of record can vote either in person at the Meeting or by proxy (whether or not you attend the Meeting), by completing, dating, signing and returning the enclosed proxy card in the postage-paid envelope provided. These proxy materials are being sent directly to shareholders of record. All Ordinary Shares represented by a properly executed proxy in the form enclosed received prior to the Meeting (that is not revoked in accordance with the procedures described in this Proxy Statement) will be voted in accordance with the instructions of the shareholder executing the proxy. A shareholder may vote in favor of, against, or may abstain from voting on, the proposal set forth in this Proxy Statement and the accompanying Notice of Meeting. Shareholders should specify their choice on the accompanying proxy card. If no specific instruction is given with respect to the matter to be acted upon, the shares represented by a properly signed proxy will be voted FOR the proposal set forth in the accompanying Notice of Meeting.</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caps w:val="false"/>
          <w:smallCaps w:val="false"/>
          <w:color w:val="1A1A1A"/>
          <w:sz w:val="22"/>
        </w:rPr>
        <w:t>Beneficial Holders</w:t>
      </w:r>
      <w:r>
        <w:rPr>
          <w:rFonts w:ascii="Arial;Helvetica;Sans-Serif" w:hAnsi="Arial;Helvetica;Sans-Serif"/>
          <w:b w:val="false"/>
          <w:i w:val="false"/>
          <w:caps w:val="false"/>
          <w:smallCaps w:val="false"/>
          <w:color w:val="1A1A1A"/>
          <w:sz w:val="22"/>
        </w:rPr>
        <w:t>. If you are a beneficial owner of shares (i.e., you hold shares in “street name”), these proxy materials are being forwarded to you together with a voting instruction form by the broker, trustee or nominee or an agent hired by the broker, trustee or nominee. Please complete, date, sign and return your voting instruction form in the postage-paid envelope provided by your brokerage firm, bank or other similar organization, or, if the brokerage firm, bank or other similar organization offers Internet or telephone voting, please follow the instructions on the voting instruction form to vote via Internet or telephone. To vote your shares directly at the Meeting, as a beneficial holder you must obtain a “legal proxy” from the broker, trustee or nominee that holds your Ordinary Shares, giving you the right to vote the shares at the Meeting.</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caps w:val="false"/>
          <w:smallCaps w:val="false"/>
          <w:color w:val="1A1A1A"/>
          <w:sz w:val="22"/>
        </w:rPr>
        <w:t>Shares Traded on the TASE</w:t>
      </w:r>
      <w:r>
        <w:rPr>
          <w:rFonts w:ascii="Arial;Helvetica;Sans-Serif" w:hAnsi="Arial;Helvetica;Sans-Serif"/>
          <w:b w:val="false"/>
          <w:i w:val="false"/>
          <w:caps w:val="false"/>
          <w:smallCaps w:val="false"/>
          <w:color w:val="1A1A1A"/>
          <w:sz w:val="22"/>
        </w:rPr>
        <w:t>. A shareholder whose shares are registered with a TASE member may vote in person at the Meeting or via proxy. Shareholders who hold shares through a TASE member are entitled to receive from the TASE member who holds the shares on the shareholder’s behalf, by e-mail, for no charge, a link to the text of the proxy card, unless the shareholder has given notice that he or she or it is not so interested or is interested in receiving the proxy card by mail for a delivery fee, provided that these instructions must apply to the entire securities account of the shareholder (not to specific securities held within the account) and are provided prior to the Record Date. Shareholders who hold shares through members of the TASE (whether attending the Meeting in person or voting via proxy) must present at the Meeting or deliver to the Company an ownership certificate issued by the applicable TASE member confirming their ownership of our Ordinary Shares as of the Record Date, as required by the Israeli Companies Regulations (Proof of Ownership of Shares for Voting at General Meeting) of 2000, as amended. Alternatively, shareholders who hold Ordinary Shares through a TASE member may also vote electronically via the electronic voting system of the ISA (the “Electronic System”) after receiving a personal identifying number, an access code and additional information regarding the Meeting from the relevant TASE member and after carrying out a secured identification process, up to six hours before the time set for the Meeting.</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jc w:val="center"/>
        <w:rPr>
          <w:caps w:val="false"/>
          <w:smallCaps w:val="false"/>
          <w:color w:val="1A1A1A"/>
        </w:rPr>
      </w:pPr>
      <w:r>
        <w:rPr>
          <w:caps w:val="false"/>
          <w:smallCaps w:val="false"/>
          <w:color w:val="1A1A1A"/>
        </w:rPr>
        <w:drawing>
          <wp:inline distT="0" distB="0" distL="0" distR="0">
            <wp:extent cx="7620000" cy="10858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620000" cy="1085850"/>
                    </a:xfrm>
                    <a:prstGeom prst="rect">
                      <a:avLst/>
                    </a:prstGeom>
                  </pic:spPr>
                </pic:pic>
              </a:graphicData>
            </a:graphic>
          </wp:inline>
        </w:drawing>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center"/>
        <w:rPr>
          <w:caps w:val="false"/>
          <w:smallCaps w:val="false"/>
          <w:color w:val="1A1A1A"/>
        </w:rPr>
      </w:pPr>
      <w:r>
        <w:rPr>
          <w:caps w:val="false"/>
          <w:smallCaps w:val="false"/>
          <w:color w:val="1A1A1A"/>
        </w:rPr>
        <w:drawing>
          <wp:inline distT="0" distB="0" distL="0" distR="0">
            <wp:extent cx="7620000" cy="10953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620000" cy="1095375"/>
                    </a:xfrm>
                    <a:prstGeom prst="rect">
                      <a:avLst/>
                    </a:prstGeom>
                  </pic:spPr>
                </pic:pic>
              </a:graphicData>
            </a:graphic>
          </wp:inline>
        </w:drawing>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left"/>
        <w:rPr>
          <w:rFonts w:ascii="Arial;Helvetica;Sans-Serif" w:hAnsi="Arial;Helvetica;Sans-Serif"/>
          <w:b/>
          <w:i w:val="false"/>
          <w:caps w:val="false"/>
          <w:smallCaps w:val="false"/>
          <w:color w:val="006297"/>
          <w:sz w:val="26"/>
        </w:rPr>
      </w:pPr>
      <w:bookmarkStart w:id="6" w:name="A103"/>
      <w:bookmarkEnd w:id="6"/>
      <w:r>
        <w:rPr>
          <w:rFonts w:ascii="Arial;Helvetica;Sans-Serif" w:hAnsi="Arial;Helvetica;Sans-Serif"/>
          <w:b/>
          <w:i w:val="false"/>
          <w:caps w:val="false"/>
          <w:smallCaps w:val="false"/>
          <w:color w:val="006297"/>
          <w:sz w:val="26"/>
        </w:rPr>
        <w:t>Expenses and Solicitation</w:t>
      </w:r>
    </w:p>
    <w:p>
      <w:pPr>
        <w:pStyle w:val="TextBody"/>
        <w:bidi w:val="0"/>
        <w:spacing w:before="0" w:after="0"/>
        <w:ind w:left="0" w:right="0" w:hanging="0"/>
        <w:jc w:val="left"/>
        <w:rPr>
          <w:caps w:val="false"/>
          <w:smallCaps w:val="false"/>
          <w:color w:val="006297"/>
        </w:rPr>
      </w:pPr>
      <w:r>
        <w:rPr>
          <w:caps w:val="false"/>
          <w:smallCaps w:val="false"/>
          <w:color w:val="006297"/>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The Board is soliciting proxies for use at the Meeting. We expect to solicit proxies by mail and to mail this Proxy Statement and the accompanying proxy card to shareholders as soon as practicable after the Record Date. Proxies may also be solicited in person, by telephone or electronic communication, by our directors, officers and employees. We will bear the cost of the preparation and mailing of proxy materials and the solicitation of proxies. We will, upon request, reimburse banks, brokerage houses, other institutions, nominees, and fiduciaries for their reasonable expenses in forwarding solicitation materials to beneficial owners in accordance with the regulations of the Commission.</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left"/>
        <w:rPr>
          <w:rFonts w:ascii="Arial;Helvetica;Sans-Serif" w:hAnsi="Arial;Helvetica;Sans-Serif"/>
          <w:b/>
          <w:i w:val="false"/>
          <w:caps w:val="false"/>
          <w:smallCaps w:val="false"/>
          <w:color w:val="006297"/>
          <w:sz w:val="26"/>
        </w:rPr>
      </w:pPr>
      <w:bookmarkStart w:id="7" w:name="A104"/>
      <w:bookmarkEnd w:id="7"/>
      <w:r>
        <w:rPr>
          <w:rFonts w:ascii="Arial;Helvetica;Sans-Serif" w:hAnsi="Arial;Helvetica;Sans-Serif"/>
          <w:b/>
          <w:i w:val="false"/>
          <w:caps w:val="false"/>
          <w:smallCaps w:val="false"/>
          <w:color w:val="006297"/>
          <w:sz w:val="26"/>
        </w:rPr>
        <w:t>Change or Revocation of Proxy</w:t>
      </w:r>
    </w:p>
    <w:p>
      <w:pPr>
        <w:pStyle w:val="TextBody"/>
        <w:bidi w:val="0"/>
        <w:spacing w:before="0" w:after="0"/>
        <w:ind w:left="0" w:right="0" w:hanging="0"/>
        <w:jc w:val="left"/>
        <w:rPr>
          <w:caps w:val="false"/>
          <w:smallCaps w:val="false"/>
          <w:color w:val="006297"/>
        </w:rPr>
      </w:pPr>
      <w:r>
        <w:rPr>
          <w:caps w:val="false"/>
          <w:smallCaps w:val="false"/>
          <w:color w:val="006297"/>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Any shareholder of record at the close of business on the Record Date that has returned the accompanying proxy may revoke such proxy at any time prior to the Meeting by: (i) giving written notice to us of such revocation; (ii) voting in person at the Meeting or requesting the return of the proxy at the Meeting; or (iii) executing and delivering to us a later-dated proxy prior to the Meeting. Written revocations and later-dated proxies should be sent to the Company at 20 Shaul Amor Street, Ramat Gavriel Industrial Park, Post Office Box 619, Migdal Haemek 2310502, Israel, Attention: Corporate Counsel. Attendance at the Meeting will not cause your previously granted proxy to be revoked unless you specifically so request.</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If your shares are held in “street name,” you should follow the directions of, or contact, your broker, bank, trustee or nominee if you wish to revoke or modify previously submitted voting instructions or, if you have obtained a legal proxy from your broker, bank, trustee or nominee giving you the right to vote your shares, by attending the Meeting and voting in person.</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If your shares are held through a member of the TASE, you may change your voting instructions (i) by attending the Meeting and voting in person, by presenting a valid ownership certificate (as of the Record Date); (ii) by delivering a later-dated duly executed proxy, together with a valid ownership certificate (as of the Record Date), to the Company’s offices; or (iii) by following the relevant instructions for changing your vote via the Electronic System by no later than six hours before the time set for the Meeting.</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left"/>
        <w:rPr>
          <w:rFonts w:ascii="Arial;Helvetica;Sans-Serif" w:hAnsi="Arial;Helvetica;Sans-Serif"/>
          <w:b/>
          <w:i w:val="false"/>
          <w:caps w:val="false"/>
          <w:smallCaps w:val="false"/>
          <w:color w:val="006297"/>
          <w:sz w:val="26"/>
        </w:rPr>
      </w:pPr>
      <w:bookmarkStart w:id="8" w:name="A105"/>
      <w:bookmarkEnd w:id="8"/>
      <w:r>
        <w:rPr>
          <w:rFonts w:ascii="Arial;Helvetica;Sans-Serif" w:hAnsi="Arial;Helvetica;Sans-Serif"/>
          <w:b/>
          <w:i w:val="false"/>
          <w:caps w:val="false"/>
          <w:smallCaps w:val="false"/>
          <w:color w:val="006297"/>
          <w:sz w:val="26"/>
        </w:rPr>
        <w:t>Quorum</w:t>
      </w:r>
    </w:p>
    <w:p>
      <w:pPr>
        <w:pStyle w:val="TextBody"/>
        <w:bidi w:val="0"/>
        <w:spacing w:before="0" w:after="0"/>
        <w:ind w:left="0" w:right="0" w:hanging="0"/>
        <w:jc w:val="left"/>
        <w:rPr>
          <w:caps w:val="false"/>
          <w:smallCaps w:val="false"/>
          <w:color w:val="006297"/>
        </w:rPr>
      </w:pPr>
      <w:r>
        <w:rPr>
          <w:caps w:val="false"/>
          <w:smallCaps w:val="false"/>
          <w:color w:val="006297"/>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Two or more shareholders present, in person, by proxy or voting instruction form or voting via the Electronic System, who hold or represent together at least 33% of the voting rights of our issued share capital will constitute a quorum for the Meeting. If within half an hour of the time scheduled for the Meeting a quorum is not present, the Meeting shall stand adjourned for one week, to December 2, 2026, at the same time and place, without it being necessary to notify the shareholders. If a quorum is not present at the adjourned Meeting within half an hour of the scheduled time, the persons present, in person, by proxy or voting instruction form or voting via the Electronic System (regardless of the voting power represented by their shares), shall collectively constitute a quorum.</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jc w:val="center"/>
        <w:rPr>
          <w:caps w:val="false"/>
          <w:smallCaps w:val="false"/>
          <w:color w:val="1A1A1A"/>
        </w:rPr>
      </w:pPr>
      <w:r>
        <w:rPr>
          <w:caps w:val="false"/>
          <w:smallCaps w:val="false"/>
          <w:color w:val="1A1A1A"/>
        </w:rPr>
        <w:drawing>
          <wp:inline distT="0" distB="0" distL="0" distR="0">
            <wp:extent cx="7620000" cy="10953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620000" cy="1095375"/>
                    </a:xfrm>
                    <a:prstGeom prst="rect">
                      <a:avLst/>
                    </a:prstGeom>
                  </pic:spPr>
                </pic:pic>
              </a:graphicData>
            </a:graphic>
          </wp:inline>
        </w:drawing>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center"/>
        <w:rPr>
          <w:caps w:val="false"/>
          <w:smallCaps w:val="false"/>
          <w:color w:val="1A1A1A"/>
        </w:rPr>
      </w:pPr>
      <w:r>
        <w:rPr>
          <w:caps w:val="false"/>
          <w:smallCaps w:val="false"/>
          <w:color w:val="1A1A1A"/>
        </w:rPr>
        <w:drawing>
          <wp:inline distT="0" distB="0" distL="0" distR="0">
            <wp:extent cx="7620000" cy="10953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620000" cy="1095375"/>
                    </a:xfrm>
                    <a:prstGeom prst="rect">
                      <a:avLst/>
                    </a:prstGeom>
                  </pic:spPr>
                </pic:pic>
              </a:graphicData>
            </a:graphic>
          </wp:inline>
        </w:drawing>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Abstentions and broker non-votes will be counted towards the quorum. Broker non-votes occur when brokers that hold their customers’ shares in street name sign and submit proxies for such shares and vote such shares on some matters but not on others. This occurs when brokers have not received any instructions from their customers, in which case the brokers, as the holders of record, are only permitted to vote on “routine” matters, and not on non-routine matters (such as the approval of the Amended Compensation Policy). Because the approval of the Amended Compensation Policy is the only matter on the agenda for the Meeting, and brokers cannot vote on it without instructions from their customers as it is not a “routine” matter, we do not expect there to be any broker non-votes at the Meeting. Unsigned or unreturned proxies, including those not returned by banks, brokers, or other record holders, will not be counted for quorum purposes.</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left"/>
        <w:rPr>
          <w:rFonts w:ascii="Arial;Helvetica;Sans-Serif" w:hAnsi="Arial;Helvetica;Sans-Serif"/>
          <w:b/>
          <w:i w:val="false"/>
          <w:caps w:val="false"/>
          <w:smallCaps w:val="false"/>
          <w:color w:val="006297"/>
          <w:sz w:val="26"/>
        </w:rPr>
      </w:pPr>
      <w:bookmarkStart w:id="9" w:name="A106"/>
      <w:bookmarkEnd w:id="9"/>
      <w:r>
        <w:rPr>
          <w:rFonts w:ascii="Arial;Helvetica;Sans-Serif" w:hAnsi="Arial;Helvetica;Sans-Serif"/>
          <w:b/>
          <w:i w:val="false"/>
          <w:caps w:val="false"/>
          <w:smallCaps w:val="false"/>
          <w:color w:val="006297"/>
          <w:sz w:val="26"/>
        </w:rPr>
        <w:t>Vote Required for Approval of the Proposal</w:t>
      </w:r>
    </w:p>
    <w:p>
      <w:pPr>
        <w:pStyle w:val="TextBody"/>
        <w:bidi w:val="0"/>
        <w:spacing w:before="0" w:after="0"/>
        <w:ind w:left="0" w:right="0" w:hanging="0"/>
        <w:jc w:val="left"/>
        <w:rPr>
          <w:caps w:val="false"/>
          <w:smallCaps w:val="false"/>
          <w:color w:val="006297"/>
        </w:rPr>
      </w:pPr>
      <w:r>
        <w:rPr>
          <w:caps w:val="false"/>
          <w:smallCaps w:val="false"/>
          <w:color w:val="006297"/>
        </w:rPr>
        <w:t> </w:t>
      </w:r>
    </w:p>
    <w:tbl>
      <w:tblPr>
        <w:tblW w:w="10205" w:type="dxa"/>
        <w:jc w:val="left"/>
        <w:tblInd w:w="-10" w:type="dxa"/>
        <w:tblLayout w:type="fixed"/>
        <w:tblCellMar>
          <w:top w:w="140" w:type="dxa"/>
          <w:left w:w="200" w:type="dxa"/>
          <w:bottom w:w="140" w:type="dxa"/>
          <w:right w:w="200" w:type="dxa"/>
        </w:tblCellMar>
      </w:tblPr>
      <w:tblGrid>
        <w:gridCol w:w="10205"/>
      </w:tblGrid>
      <w:tr>
        <w:trPr/>
        <w:tc>
          <w:tcPr>
            <w:tcW w:w="10205" w:type="dxa"/>
            <w:tcBorders>
              <w:top w:val="single" w:sz="8" w:space="0" w:color="004BAA"/>
              <w:left w:val="single" w:sz="8" w:space="0" w:color="004BAA"/>
              <w:bottom w:val="single" w:sz="8" w:space="0" w:color="004BAA"/>
              <w:right w:val="single" w:sz="8" w:space="0" w:color="004BA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color w:val="004BAA"/>
                <w:sz w:val="24"/>
              </w:rPr>
            </w:pPr>
            <w:r>
              <w:rPr>
                <w:rFonts w:ascii="Times New Roman;Times;Serif" w:hAnsi="Times New Roman;Times;Serif"/>
                <w:b/>
                <w:i w:val="false"/>
                <w:caps w:val="false"/>
                <w:smallCaps w:val="false"/>
                <w:color w:val="004BAA"/>
                <w:sz w:val="24"/>
              </w:rPr>
              <w:t>Voting Requirement Summary</w:t>
            </w:r>
          </w:p>
          <w:p>
            <w:pPr>
              <w:pStyle w:val="TableContents"/>
              <w:bidi w:val="0"/>
              <w:spacing w:before="0" w:after="0"/>
              <w:ind w:left="0" w:right="0" w:hanging="0"/>
              <w:jc w:val="left"/>
              <w:rPr>
                <w:caps w:val="false"/>
                <w:smallCaps w:val="false"/>
                <w:color w:val="004BAA"/>
              </w:rPr>
            </w:pPr>
            <w:r>
              <w:rPr>
                <w:caps w:val="false"/>
                <w:smallCaps w:val="false"/>
                <w:color w:val="004BAA"/>
              </w:rPr>
              <w:t> </w:t>
            </w:r>
          </w:p>
          <w:p>
            <w:pPr>
              <w:pStyle w:val="TableContents"/>
              <w:bidi w:val="0"/>
              <w:spacing w:before="0" w:after="0"/>
              <w:ind w:left="403" w:right="0" w:hanging="403"/>
              <w:jc w:val="left"/>
              <w:rPr>
                <w:caps w:val="false"/>
                <w:smallCaps w:val="false"/>
                <w:color w:val="1A1A1A"/>
              </w:rPr>
            </w:pPr>
            <w:r>
              <w:rPr>
                <w:caps w:val="false"/>
                <w:smallCaps w:val="false"/>
                <w:color w:val="00A55D"/>
              </w:rPr>
              <w:t>✓     </w:t>
            </w:r>
            <w:r>
              <w:rPr>
                <w:rFonts w:ascii="Times New Roman;Times;Serif" w:hAnsi="Times New Roman;Times;Serif"/>
                <w:b w:val="false"/>
                <w:i w:val="false"/>
                <w:caps w:val="false"/>
                <w:smallCaps w:val="false"/>
                <w:color w:val="1A1A1A"/>
                <w:sz w:val="20"/>
              </w:rPr>
              <w:t>Ordinary vote: a majority of the Ordinary Shares represented at the Meeting and voting on the matter.</w:t>
            </w:r>
          </w:p>
          <w:p>
            <w:pPr>
              <w:pStyle w:val="TableContents"/>
              <w:bidi w:val="0"/>
              <w:spacing w:before="0" w:after="0"/>
              <w:ind w:left="403" w:right="0" w:hanging="403"/>
              <w:jc w:val="left"/>
              <w:rPr>
                <w:caps w:val="false"/>
                <w:smallCaps w:val="false"/>
                <w:color w:val="1A1A1A"/>
              </w:rPr>
            </w:pPr>
            <w:r>
              <w:rPr>
                <w:caps w:val="false"/>
                <w:smallCaps w:val="false"/>
                <w:color w:val="1A1A1A"/>
              </w:rPr>
              <w:t> </w:t>
            </w:r>
          </w:p>
          <w:p>
            <w:pPr>
              <w:pStyle w:val="TableContents"/>
              <w:bidi w:val="0"/>
              <w:spacing w:before="0" w:after="0"/>
              <w:ind w:left="403" w:right="0" w:hanging="403"/>
              <w:jc w:val="left"/>
              <w:rPr>
                <w:caps w:val="false"/>
                <w:smallCaps w:val="false"/>
                <w:color w:val="1A1A1A"/>
              </w:rPr>
            </w:pPr>
            <w:r>
              <w:rPr>
                <w:caps w:val="false"/>
                <w:smallCaps w:val="false"/>
                <w:color w:val="00A55D"/>
              </w:rPr>
              <w:t>✓     </w:t>
            </w:r>
            <w:r>
              <w:rPr>
                <w:rFonts w:ascii="Times New Roman;Times;Serif" w:hAnsi="Times New Roman;Times;Serif"/>
                <w:b w:val="false"/>
                <w:i w:val="false"/>
                <w:caps w:val="false"/>
                <w:smallCaps w:val="false"/>
                <w:color w:val="1A1A1A"/>
                <w:sz w:val="20"/>
              </w:rPr>
              <w:t>Special Majority (also required): either (a) a majority of the shares voted by non-controlling and non-interested shareholders (excluding abstentions), or (b) opposing votes cast by non-controlling and non-interested shareholders do not exceed 2% of the Company’s total voting rights.</w:t>
            </w:r>
          </w:p>
        </w:tc>
      </w:tr>
    </w:tbl>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Each Ordinary Share is entitled to one vote on the matter to be voted on at the Meeting.</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The affirmative vote of holders of a majority of the Ordinary Shares represented at the Meeting and voting on the matter, in person or by proxy, voting instruction form or via the Electronic System, is required to approve the proposal.</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In addition, under the Israeli Companies Law, the approval of the proposal is also subject to the fulfillment of one of the following additional voting requirements: (i) at least a majority of the Ordinary Shares of the non-controlling shareholders and shareholders who do not have a personal interest in the matter (excluding abstentions), voted in favor of the proposal; or (ii) the total votes cast in opposition to the proposal by the non-controlling shareholders and non-interested shareholders do not exceed 2% of the total voting rights in the Company (the “Special Majority”).</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jc w:val="center"/>
        <w:rPr>
          <w:caps w:val="false"/>
          <w:smallCaps w:val="false"/>
          <w:color w:val="1A1A1A"/>
        </w:rPr>
      </w:pPr>
      <w:r>
        <w:rPr>
          <w:caps w:val="false"/>
          <w:smallCaps w:val="false"/>
          <w:color w:val="1A1A1A"/>
        </w:rPr>
        <w:drawing>
          <wp:inline distT="0" distB="0" distL="0" distR="0">
            <wp:extent cx="7620000" cy="10763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620000" cy="1076325"/>
                    </a:xfrm>
                    <a:prstGeom prst="rect">
                      <a:avLst/>
                    </a:prstGeom>
                  </pic:spPr>
                </pic:pic>
              </a:graphicData>
            </a:graphic>
          </wp:inline>
        </w:drawing>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center"/>
        <w:rPr>
          <w:caps w:val="false"/>
          <w:smallCaps w:val="false"/>
          <w:color w:val="1A1A1A"/>
        </w:rPr>
      </w:pPr>
      <w:r>
        <w:rPr>
          <w:caps w:val="false"/>
          <w:smallCaps w:val="false"/>
          <w:color w:val="1A1A1A"/>
        </w:rPr>
        <w:drawing>
          <wp:inline distT="0" distB="0" distL="0" distR="0">
            <wp:extent cx="7620000" cy="10953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620000" cy="1095375"/>
                    </a:xfrm>
                    <a:prstGeom prst="rect">
                      <a:avLst/>
                    </a:prstGeom>
                  </pic:spPr>
                </pic:pic>
              </a:graphicData>
            </a:graphic>
          </wp:inline>
        </w:drawing>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 xml:space="preserve">As of the filing date of this Proxy Statement, we are not aware of any shareholder that would be deemed to be a controlling shareholder of the Company for purposes of the proposal. Under the Israeli Companies Law, each shareholder voting on the proposal is required to inform us prior to voting on the proposal at the Meeting, whether or not such shareholder has a “personal interest” (within the meaning of the Israeli Companies Law) in such proposal; otherwise, a shareholder’s vote will not be counted for the purposes of such proposal. </w:t>
      </w:r>
      <w:r>
        <w:rPr>
          <w:rFonts w:ascii="Arial;Helvetica;Sans-Serif" w:hAnsi="Arial;Helvetica;Sans-Serif"/>
          <w:b/>
          <w:i w:val="false"/>
          <w:caps w:val="false"/>
          <w:smallCaps w:val="false"/>
          <w:color w:val="1A1A1A"/>
          <w:sz w:val="22"/>
        </w:rPr>
        <w:t>However, in accordance with regulations promulgated under the Israeli Companies Law, a shareholder who votes by proxy or voting instruction form will be deemed to have confirmed that such shareholder does not have a “personal interest” in the proposal, unless the shareholder has delivered a written notice to the Company notifying otherwise no later than 10:00 a.m. (Israel time) on November 25, 2026. Any such written notice must be sent to the Company via registered mail at 20 Shaul Amor Street, Ramat Gavriel Industrial Park, Post Office Box 619, Migdal Haemek 2310502, Israel, Attention: Corporate Counsel</w:t>
      </w:r>
      <w:r>
        <w:rPr>
          <w:rFonts w:ascii="Arial;Helvetica;Sans-Serif" w:hAnsi="Arial;Helvetica;Sans-Serif"/>
          <w:b w:val="false"/>
          <w:i w:val="false"/>
          <w:caps w:val="false"/>
          <w:smallCaps w:val="false"/>
          <w:color w:val="1A1A1A"/>
          <w:sz w:val="22"/>
        </w:rPr>
        <w:t>. All shareholders voting via the Electronic System are required to indicate via the Electronic System, or, if voting in person at the Meeting, inform us prior to voting on the matter at the Meeting, whether or not the shareholder has a personal interest in such proposal; otherwise, any such shareholder’s vote will not be counted for the purposes of such proposal.</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Under the Israeli Companies Law, a “personal interest” of a shareholder in an act or transaction of a company (i) includes a personal interest of (a) any of the shareholder’s relatives (i.e., any spouse, sibling, parent, grandparent or descendant of the shareholder, any descendant, sibling or parent of a spouse of the shareholder and the spouse of any of the foregoing); and (b) a company with respect to which the shareholder or any of the shareholder’s relatives (as defined above) owns at least 5% of the outstanding shares or voting rights, serves as a director or chief executive officer or has the right to appoint one or more directors or the chief executive officer; and (ii) excludes a personal interest arising solely from the ownership of shares. Under the Israeli Companies Law, in the case of a person voting by proxy, “personal interest” includes the personal interest of either the proxy holder or the shareholder granting the proxy, whether or not the proxy holder has discretion how to vote.</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left"/>
        <w:rPr>
          <w:rFonts w:ascii="Arial;Helvetica;Sans-Serif" w:hAnsi="Arial;Helvetica;Sans-Serif"/>
          <w:b/>
          <w:i w:val="false"/>
          <w:caps w:val="false"/>
          <w:smallCaps w:val="false"/>
          <w:color w:val="006297"/>
          <w:sz w:val="26"/>
        </w:rPr>
      </w:pPr>
      <w:bookmarkStart w:id="10" w:name="A107"/>
      <w:bookmarkEnd w:id="10"/>
      <w:r>
        <w:rPr>
          <w:rFonts w:ascii="Arial;Helvetica;Sans-Serif" w:hAnsi="Arial;Helvetica;Sans-Serif"/>
          <w:b/>
          <w:i w:val="false"/>
          <w:caps w:val="false"/>
          <w:smallCaps w:val="false"/>
          <w:color w:val="006297"/>
          <w:sz w:val="26"/>
        </w:rPr>
        <w:t>Security Ownership of Certain Beneficial Owners and Management</w:t>
      </w:r>
    </w:p>
    <w:p>
      <w:pPr>
        <w:pStyle w:val="TextBody"/>
        <w:bidi w:val="0"/>
        <w:spacing w:before="0" w:after="0"/>
        <w:ind w:left="0" w:right="0" w:hanging="0"/>
        <w:jc w:val="left"/>
        <w:rPr>
          <w:caps w:val="false"/>
          <w:smallCaps w:val="false"/>
          <w:color w:val="006297"/>
        </w:rPr>
      </w:pPr>
      <w:r>
        <w:rPr>
          <w:caps w:val="false"/>
          <w:smallCaps w:val="false"/>
          <w:color w:val="006297"/>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The table below provides information relating to the beneficial ownership of our Ordinary Shares as of September 30, 2026 (unless otherwise indicated), by each shareholder known by us to beneficially own 5% or more of our Ordinary Shares. </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Beneficial ownership is determined according to the rules of the Commission, and the information is not necessarily indicative of beneficial ownership for any other purpose. Under such rules, beneficial ownership includes any shares over which the individual or entity possesses sole or shared voting or investment power of that security, or the right to receive the economic benefit of ownership, as well as any shares that the individual has the right to acquire beneficial ownership within 60 days of September 30, 2026, such as through the exercise of any option, warrant or other right or vesting of restricted share units or performance share units.</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jc w:val="center"/>
        <w:rPr>
          <w:caps w:val="false"/>
          <w:smallCaps w:val="false"/>
          <w:color w:val="1A1A1A"/>
        </w:rPr>
      </w:pPr>
      <w:r>
        <w:rPr>
          <w:caps w:val="false"/>
          <w:smallCaps w:val="false"/>
          <w:color w:val="1A1A1A"/>
        </w:rPr>
        <w:drawing>
          <wp:inline distT="0" distB="0" distL="0" distR="0">
            <wp:extent cx="7620000" cy="10763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620000" cy="1076325"/>
                    </a:xfrm>
                    <a:prstGeom prst="rect">
                      <a:avLst/>
                    </a:prstGeom>
                  </pic:spPr>
                </pic:pic>
              </a:graphicData>
            </a:graphic>
          </wp:inline>
        </w:drawing>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center"/>
        <w:rPr>
          <w:caps w:val="false"/>
          <w:smallCaps w:val="false"/>
          <w:color w:val="1A1A1A"/>
        </w:rPr>
      </w:pPr>
      <w:r>
        <w:rPr>
          <w:caps w:val="false"/>
          <w:smallCaps w:val="false"/>
          <w:color w:val="1A1A1A"/>
        </w:rPr>
        <w:drawing>
          <wp:inline distT="0" distB="0" distL="0" distR="0">
            <wp:extent cx="7620000" cy="10953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620000" cy="1095375"/>
                    </a:xfrm>
                    <a:prstGeom prst="rect">
                      <a:avLst/>
                    </a:prstGeom>
                  </pic:spPr>
                </pic:pic>
              </a:graphicData>
            </a:graphic>
          </wp:inline>
        </w:drawing>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The percentage of Ordinary Shares beneficially owned is calculated based on 113,517,666 Ordinary Shares outstanding as of September 30, 2026. Ordinary Shares that a person has the right to acquire within 60 days of September 30, 2026 are deemed outstanding for purposes of computing the beneficial percentage ownership of the person holding such securities but are not deemed outstanding for purposes of computing the beneficial ownership percentage of any other person.</w:t>
      </w:r>
    </w:p>
    <w:p>
      <w:pPr>
        <w:pStyle w:val="TextBody"/>
        <w:bidi w:val="0"/>
        <w:spacing w:before="0" w:after="0"/>
        <w:ind w:left="0" w:right="0" w:hanging="0"/>
        <w:jc w:val="both"/>
        <w:rPr>
          <w:caps w:val="false"/>
          <w:smallCaps w:val="false"/>
          <w:color w:val="1A1A1A"/>
        </w:rPr>
      </w:pPr>
      <w:r>
        <w:rPr>
          <w:caps w:val="false"/>
          <w:smallCaps w:val="false"/>
          <w:color w:val="1A1A1A"/>
        </w:rPr>
        <w:t> </w:t>
      </w:r>
    </w:p>
    <w:tbl>
      <w:tblPr>
        <w:tblW w:w="7365" w:type="dxa"/>
        <w:jc w:val="left"/>
        <w:tblInd w:w="-10" w:type="dxa"/>
        <w:tblLayout w:type="fixed"/>
        <w:tblCellMar>
          <w:top w:w="160" w:type="dxa"/>
          <w:left w:w="120" w:type="dxa"/>
          <w:bottom w:w="160" w:type="dxa"/>
          <w:right w:w="120" w:type="dxa"/>
        </w:tblCellMar>
      </w:tblPr>
      <w:tblGrid>
        <w:gridCol w:w="4340"/>
        <w:gridCol w:w="1805"/>
        <w:gridCol w:w="1220"/>
      </w:tblGrid>
      <w:tr>
        <w:trPr/>
        <w:tc>
          <w:tcPr>
            <w:tcW w:w="4340" w:type="dxa"/>
            <w:tcBorders>
              <w:top w:val="single" w:sz="8" w:space="0" w:color="BFBFBF"/>
              <w:left w:val="single" w:sz="8" w:space="0" w:color="BFBFBF"/>
              <w:bottom w:val="single" w:sz="8" w:space="0" w:color="BFBFBF"/>
              <w:right w:val="single" w:sz="8" w:space="0" w:color="BFBFBF"/>
            </w:tcBorders>
            <w:shd w:fill="004BAA" w:val="clear"/>
            <w:vAlign w:val="center"/>
          </w:tcPr>
          <w:p>
            <w:pPr>
              <w:pStyle w:val="TableContents"/>
              <w:bidi w:val="0"/>
              <w:spacing w:before="0" w:after="283"/>
              <w:jc w:val="left"/>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Name of Beneficial Owner</w:t>
            </w:r>
          </w:p>
        </w:tc>
        <w:tc>
          <w:tcPr>
            <w:tcW w:w="1805" w:type="dxa"/>
            <w:tcBorders>
              <w:top w:val="single" w:sz="8" w:space="0" w:color="BFBFBF"/>
              <w:bottom w:val="single" w:sz="8" w:space="0" w:color="BFBFBF"/>
              <w:right w:val="single" w:sz="8" w:space="0" w:color="BFBFBF"/>
            </w:tcBorders>
            <w:shd w:fill="004BAA" w:val="clear"/>
            <w:tcMar>
              <w:left w:w="0" w:type="dxa"/>
            </w:tcMar>
            <w:vAlign w:val="center"/>
          </w:tcPr>
          <w:p>
            <w:pPr>
              <w:pStyle w:val="TableContents"/>
              <w:bidi w:val="0"/>
              <w:spacing w:before="0" w:after="283"/>
              <w:jc w:val="left"/>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 xml:space="preserve">Ordinary Shares </w:t>
              <w:br/>
              <w:t>Beneficially Owned</w:t>
            </w:r>
          </w:p>
        </w:tc>
        <w:tc>
          <w:tcPr>
            <w:tcW w:w="1220" w:type="dxa"/>
            <w:tcBorders>
              <w:top w:val="single" w:sz="8" w:space="0" w:color="BFBFBF"/>
              <w:bottom w:val="single" w:sz="8" w:space="0" w:color="BFBFBF"/>
              <w:right w:val="single" w:sz="8" w:space="0" w:color="BFBFBF"/>
            </w:tcBorders>
            <w:shd w:fill="004BAA" w:val="clear"/>
            <w:tcMar>
              <w:left w:w="0" w:type="dxa"/>
            </w:tcMar>
            <w:vAlign w:val="center"/>
          </w:tcPr>
          <w:p>
            <w:pPr>
              <w:pStyle w:val="TableContents"/>
              <w:bidi w:val="0"/>
              <w:spacing w:before="0" w:after="283"/>
              <w:jc w:val="left"/>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 xml:space="preserve">% of Shares </w:t>
              <w:br/>
              <w:t>Outstanding</w:t>
            </w:r>
          </w:p>
        </w:tc>
      </w:tr>
      <w:tr>
        <w:trPr/>
        <w:tc>
          <w:tcPr>
            <w:tcW w:w="4340" w:type="dxa"/>
            <w:tcBorders>
              <w:left w:val="single" w:sz="8" w:space="0" w:color="BFBFBF"/>
              <w:bottom w:val="single" w:sz="8" w:space="0" w:color="BFBFBF"/>
              <w:right w:val="single" w:sz="8" w:space="0" w:color="BFBFBF"/>
            </w:tcBorders>
            <w:tcMar>
              <w:top w:w="0" w:type="dxa"/>
            </w:tcMar>
            <w:vAlign w:val="center"/>
          </w:tcPr>
          <w:p>
            <w:pPr>
              <w:pStyle w:val="TableContents"/>
              <w:bidi w:val="0"/>
              <w:spacing w:before="0" w:after="283"/>
              <w:jc w:val="both"/>
              <w:rPr>
                <w:rFonts w:ascii="Arial;Helvetica;Sans-Serif" w:hAnsi="Arial;Helvetica;Sans-Serif"/>
                <w:b w:val="false"/>
                <w:i w:val="false"/>
                <w:caps w:val="false"/>
                <w:smallCaps w:val="false"/>
                <w:color w:val="1A1A1A"/>
                <w:sz w:val="18"/>
              </w:rPr>
            </w:pPr>
            <w:r>
              <w:rPr>
                <w:rFonts w:ascii="Arial;Helvetica;Sans-Serif" w:hAnsi="Arial;Helvetica;Sans-Serif"/>
                <w:b w:val="false"/>
                <w:i w:val="false"/>
                <w:caps w:val="false"/>
                <w:smallCaps w:val="false"/>
                <w:color w:val="1A1A1A"/>
                <w:sz w:val="18"/>
              </w:rPr>
              <w:t>(1) Harel Insurance Investments &amp; Financial Services</w:t>
            </w:r>
          </w:p>
        </w:tc>
        <w:tc>
          <w:tcPr>
            <w:tcW w:w="1805" w:type="dxa"/>
            <w:tcBorders>
              <w:bottom w:val="single" w:sz="8" w:space="0" w:color="BFBFBF"/>
              <w:right w:val="single" w:sz="8" w:space="0" w:color="BFBFBF"/>
            </w:tcBorders>
            <w:tcMar>
              <w:top w:w="0" w:type="dxa"/>
              <w:left w:w="0" w:type="dxa"/>
            </w:tcMar>
            <w:vAlign w:val="center"/>
          </w:tcPr>
          <w:p>
            <w:pPr>
              <w:pStyle w:val="TableContents"/>
              <w:bidi w:val="0"/>
              <w:spacing w:before="0" w:after="283"/>
              <w:jc w:val="both"/>
              <w:rPr>
                <w:rFonts w:ascii="Arial;Helvetica;Sans-Serif" w:hAnsi="Arial;Helvetica;Sans-Serif"/>
                <w:b w:val="false"/>
                <w:i w:val="false"/>
                <w:caps w:val="false"/>
                <w:smallCaps w:val="false"/>
                <w:color w:val="1A1A1A"/>
                <w:sz w:val="18"/>
              </w:rPr>
            </w:pPr>
            <w:r>
              <w:rPr>
                <w:rFonts w:ascii="Arial;Helvetica;Sans-Serif" w:hAnsi="Arial;Helvetica;Sans-Serif"/>
                <w:b w:val="false"/>
                <w:i w:val="false"/>
                <w:caps w:val="false"/>
                <w:smallCaps w:val="false"/>
                <w:color w:val="1A1A1A"/>
                <w:sz w:val="18"/>
              </w:rPr>
              <w:t>7,164,672</w:t>
            </w:r>
          </w:p>
        </w:tc>
        <w:tc>
          <w:tcPr>
            <w:tcW w:w="1220" w:type="dxa"/>
            <w:tcBorders>
              <w:bottom w:val="single" w:sz="8" w:space="0" w:color="BFBFBF"/>
              <w:right w:val="single" w:sz="8" w:space="0" w:color="BFBFBF"/>
            </w:tcBorders>
            <w:tcMar>
              <w:top w:w="0" w:type="dxa"/>
              <w:left w:w="0" w:type="dxa"/>
            </w:tcMar>
            <w:vAlign w:val="center"/>
          </w:tcPr>
          <w:p>
            <w:pPr>
              <w:pStyle w:val="TableContents"/>
              <w:bidi w:val="0"/>
              <w:spacing w:before="0" w:after="283"/>
              <w:jc w:val="both"/>
              <w:rPr>
                <w:rFonts w:ascii="Arial;Helvetica;Sans-Serif" w:hAnsi="Arial;Helvetica;Sans-Serif"/>
                <w:b w:val="false"/>
                <w:i w:val="false"/>
                <w:caps w:val="false"/>
                <w:smallCaps w:val="false"/>
                <w:color w:val="1A1A1A"/>
                <w:sz w:val="18"/>
              </w:rPr>
            </w:pPr>
            <w:r>
              <w:rPr>
                <w:rFonts w:ascii="Arial;Helvetica;Sans-Serif" w:hAnsi="Arial;Helvetica;Sans-Serif"/>
                <w:b w:val="false"/>
                <w:i w:val="false"/>
                <w:caps w:val="false"/>
                <w:smallCaps w:val="false"/>
                <w:color w:val="1A1A1A"/>
                <w:sz w:val="18"/>
              </w:rPr>
              <w:t>6.31%</w:t>
            </w:r>
          </w:p>
        </w:tc>
      </w:tr>
      <w:tr>
        <w:trPr/>
        <w:tc>
          <w:tcPr>
            <w:tcW w:w="4340" w:type="dxa"/>
            <w:tcBorders>
              <w:left w:val="single" w:sz="8" w:space="0" w:color="BFBFBF"/>
              <w:bottom w:val="single" w:sz="8" w:space="0" w:color="BFBFBF"/>
              <w:right w:val="single" w:sz="8" w:space="0" w:color="BFBFBF"/>
            </w:tcBorders>
            <w:shd w:fill="F4F4F4" w:val="clear"/>
            <w:tcMar>
              <w:top w:w="0" w:type="dxa"/>
            </w:tcMar>
            <w:vAlign w:val="center"/>
          </w:tcPr>
          <w:p>
            <w:pPr>
              <w:pStyle w:val="TableContents"/>
              <w:bidi w:val="0"/>
              <w:spacing w:before="0" w:after="283"/>
              <w:jc w:val="both"/>
              <w:rPr>
                <w:rFonts w:ascii="Arial;Helvetica;Sans-Serif" w:hAnsi="Arial;Helvetica;Sans-Serif"/>
                <w:b w:val="false"/>
                <w:i w:val="false"/>
                <w:caps w:val="false"/>
                <w:smallCaps w:val="false"/>
                <w:color w:val="1A1A1A"/>
                <w:sz w:val="18"/>
              </w:rPr>
            </w:pPr>
            <w:r>
              <w:rPr>
                <w:rFonts w:ascii="Arial;Helvetica;Sans-Serif" w:hAnsi="Arial;Helvetica;Sans-Serif"/>
                <w:b w:val="false"/>
                <w:i w:val="false"/>
                <w:caps w:val="false"/>
                <w:smallCaps w:val="false"/>
                <w:color w:val="1A1A1A"/>
                <w:sz w:val="18"/>
              </w:rPr>
              <w:t>(2) T. Rowe Price Associates, Inc.</w:t>
            </w:r>
          </w:p>
        </w:tc>
        <w:tc>
          <w:tcPr>
            <w:tcW w:w="1805" w:type="dxa"/>
            <w:tcBorders>
              <w:bottom w:val="single" w:sz="8" w:space="0" w:color="BFBFBF"/>
              <w:right w:val="single" w:sz="8" w:space="0" w:color="BFBFBF"/>
            </w:tcBorders>
            <w:shd w:fill="F4F4F4" w:val="clear"/>
            <w:tcMar>
              <w:top w:w="0" w:type="dxa"/>
              <w:left w:w="0" w:type="dxa"/>
            </w:tcMar>
            <w:vAlign w:val="center"/>
          </w:tcPr>
          <w:p>
            <w:pPr>
              <w:pStyle w:val="TableContents"/>
              <w:bidi w:val="0"/>
              <w:spacing w:before="0" w:after="283"/>
              <w:jc w:val="both"/>
              <w:rPr>
                <w:rFonts w:ascii="Arial;Helvetica;Sans-Serif" w:hAnsi="Arial;Helvetica;Sans-Serif"/>
                <w:b w:val="false"/>
                <w:i w:val="false"/>
                <w:caps w:val="false"/>
                <w:smallCaps w:val="false"/>
                <w:color w:val="1A1A1A"/>
                <w:sz w:val="18"/>
              </w:rPr>
            </w:pPr>
            <w:r>
              <w:rPr>
                <w:rFonts w:ascii="Arial;Helvetica;Sans-Serif" w:hAnsi="Arial;Helvetica;Sans-Serif"/>
                <w:b w:val="false"/>
                <w:i w:val="false"/>
                <w:caps w:val="false"/>
                <w:smallCaps w:val="false"/>
                <w:color w:val="1A1A1A"/>
                <w:sz w:val="18"/>
              </w:rPr>
              <w:t>7,022,980</w:t>
            </w:r>
          </w:p>
        </w:tc>
        <w:tc>
          <w:tcPr>
            <w:tcW w:w="1220" w:type="dxa"/>
            <w:tcBorders>
              <w:bottom w:val="single" w:sz="8" w:space="0" w:color="BFBFBF"/>
              <w:right w:val="single" w:sz="8" w:space="0" w:color="BFBFBF"/>
            </w:tcBorders>
            <w:shd w:fill="F4F4F4" w:val="clear"/>
            <w:tcMar>
              <w:top w:w="0" w:type="dxa"/>
              <w:left w:w="0" w:type="dxa"/>
            </w:tcMar>
            <w:vAlign w:val="center"/>
          </w:tcPr>
          <w:p>
            <w:pPr>
              <w:pStyle w:val="TableContents"/>
              <w:bidi w:val="0"/>
              <w:spacing w:before="0" w:after="283"/>
              <w:jc w:val="both"/>
              <w:rPr>
                <w:rFonts w:ascii="Arial;Helvetica;Sans-Serif" w:hAnsi="Arial;Helvetica;Sans-Serif"/>
                <w:b w:val="false"/>
                <w:i w:val="false"/>
                <w:caps w:val="false"/>
                <w:smallCaps w:val="false"/>
                <w:color w:val="1A1A1A"/>
                <w:sz w:val="18"/>
              </w:rPr>
            </w:pPr>
            <w:r>
              <w:rPr>
                <w:rFonts w:ascii="Arial;Helvetica;Sans-Serif" w:hAnsi="Arial;Helvetica;Sans-Serif"/>
                <w:b w:val="false"/>
                <w:i w:val="false"/>
                <w:caps w:val="false"/>
                <w:smallCaps w:val="false"/>
                <w:color w:val="1A1A1A"/>
                <w:sz w:val="18"/>
              </w:rPr>
              <w:t>6.19%</w:t>
            </w:r>
          </w:p>
        </w:tc>
      </w:tr>
      <w:tr>
        <w:trPr/>
        <w:tc>
          <w:tcPr>
            <w:tcW w:w="4340" w:type="dxa"/>
            <w:tcBorders>
              <w:left w:val="single" w:sz="8" w:space="0" w:color="BFBFBF"/>
              <w:bottom w:val="single" w:sz="8" w:space="0" w:color="BFBFBF"/>
              <w:right w:val="single" w:sz="8" w:space="0" w:color="BFBFBF"/>
            </w:tcBorders>
            <w:tcMar>
              <w:top w:w="0" w:type="dxa"/>
            </w:tcMar>
            <w:vAlign w:val="center"/>
          </w:tcPr>
          <w:p>
            <w:pPr>
              <w:pStyle w:val="TableContents"/>
              <w:bidi w:val="0"/>
              <w:spacing w:before="0" w:after="283"/>
              <w:jc w:val="both"/>
              <w:rPr>
                <w:rFonts w:ascii="Arial;Helvetica;Sans-Serif" w:hAnsi="Arial;Helvetica;Sans-Serif"/>
                <w:b w:val="false"/>
                <w:i w:val="false"/>
                <w:caps w:val="false"/>
                <w:smallCaps w:val="false"/>
                <w:color w:val="1A1A1A"/>
                <w:sz w:val="18"/>
              </w:rPr>
            </w:pPr>
            <w:r>
              <w:rPr>
                <w:rFonts w:ascii="Arial;Helvetica;Sans-Serif" w:hAnsi="Arial;Helvetica;Sans-Serif"/>
                <w:b w:val="false"/>
                <w:i w:val="false"/>
                <w:caps w:val="false"/>
                <w:smallCaps w:val="false"/>
                <w:color w:val="1A1A1A"/>
                <w:sz w:val="18"/>
              </w:rPr>
              <w:t>(3) Migdal Insurance &amp; Financial Holdings Ltd</w:t>
            </w:r>
          </w:p>
        </w:tc>
        <w:tc>
          <w:tcPr>
            <w:tcW w:w="1805" w:type="dxa"/>
            <w:tcBorders>
              <w:bottom w:val="single" w:sz="8" w:space="0" w:color="BFBFBF"/>
              <w:right w:val="single" w:sz="8" w:space="0" w:color="BFBFBF"/>
            </w:tcBorders>
            <w:tcMar>
              <w:top w:w="0" w:type="dxa"/>
              <w:left w:w="0" w:type="dxa"/>
            </w:tcMar>
            <w:vAlign w:val="center"/>
          </w:tcPr>
          <w:p>
            <w:pPr>
              <w:pStyle w:val="TableContents"/>
              <w:bidi w:val="0"/>
              <w:spacing w:before="0" w:after="283"/>
              <w:jc w:val="both"/>
              <w:rPr>
                <w:rFonts w:ascii="Arial;Helvetica;Sans-Serif" w:hAnsi="Arial;Helvetica;Sans-Serif"/>
                <w:b w:val="false"/>
                <w:i w:val="false"/>
                <w:caps w:val="false"/>
                <w:smallCaps w:val="false"/>
                <w:color w:val="1A1A1A"/>
                <w:sz w:val="18"/>
              </w:rPr>
            </w:pPr>
            <w:r>
              <w:rPr>
                <w:rFonts w:ascii="Arial;Helvetica;Sans-Serif" w:hAnsi="Arial;Helvetica;Sans-Serif"/>
                <w:b w:val="false"/>
                <w:i w:val="false"/>
                <w:caps w:val="false"/>
                <w:smallCaps w:val="false"/>
                <w:color w:val="1A1A1A"/>
                <w:sz w:val="18"/>
              </w:rPr>
              <w:t>6,964,713</w:t>
            </w:r>
          </w:p>
        </w:tc>
        <w:tc>
          <w:tcPr>
            <w:tcW w:w="1220" w:type="dxa"/>
            <w:tcBorders>
              <w:bottom w:val="single" w:sz="8" w:space="0" w:color="BFBFBF"/>
              <w:right w:val="single" w:sz="8" w:space="0" w:color="BFBFBF"/>
            </w:tcBorders>
            <w:tcMar>
              <w:top w:w="0" w:type="dxa"/>
              <w:left w:w="0" w:type="dxa"/>
            </w:tcMar>
            <w:vAlign w:val="center"/>
          </w:tcPr>
          <w:p>
            <w:pPr>
              <w:pStyle w:val="TableContents"/>
              <w:bidi w:val="0"/>
              <w:spacing w:before="0" w:after="283"/>
              <w:jc w:val="both"/>
              <w:rPr>
                <w:rFonts w:ascii="Arial;Helvetica;Sans-Serif" w:hAnsi="Arial;Helvetica;Sans-Serif"/>
                <w:b w:val="false"/>
                <w:i w:val="false"/>
                <w:caps w:val="false"/>
                <w:smallCaps w:val="false"/>
                <w:color w:val="1A1A1A"/>
                <w:sz w:val="18"/>
              </w:rPr>
            </w:pPr>
            <w:r>
              <w:rPr>
                <w:rFonts w:ascii="Arial;Helvetica;Sans-Serif" w:hAnsi="Arial;Helvetica;Sans-Serif"/>
                <w:b w:val="false"/>
                <w:i w:val="false"/>
                <w:caps w:val="false"/>
                <w:smallCaps w:val="false"/>
                <w:color w:val="1A1A1A"/>
                <w:sz w:val="18"/>
              </w:rPr>
              <w:t>6.14%</w:t>
            </w:r>
          </w:p>
        </w:tc>
      </w:tr>
      <w:tr>
        <w:trPr/>
        <w:tc>
          <w:tcPr>
            <w:tcW w:w="4340" w:type="dxa"/>
            <w:tcBorders>
              <w:left w:val="single" w:sz="8" w:space="0" w:color="BFBFBF"/>
              <w:bottom w:val="single" w:sz="8" w:space="0" w:color="BFBFBF"/>
              <w:right w:val="single" w:sz="8" w:space="0" w:color="BFBFBF"/>
            </w:tcBorders>
            <w:shd w:fill="F4F4F4" w:val="clear"/>
            <w:tcMar>
              <w:top w:w="0" w:type="dxa"/>
            </w:tcMar>
            <w:vAlign w:val="center"/>
          </w:tcPr>
          <w:p>
            <w:pPr>
              <w:pStyle w:val="TableContents"/>
              <w:bidi w:val="0"/>
              <w:spacing w:before="0" w:after="283"/>
              <w:jc w:val="both"/>
              <w:rPr>
                <w:rFonts w:ascii="Arial;Helvetica;Sans-Serif" w:hAnsi="Arial;Helvetica;Sans-Serif"/>
                <w:b w:val="false"/>
                <w:i w:val="false"/>
                <w:caps w:val="false"/>
                <w:smallCaps w:val="false"/>
                <w:color w:val="1A1A1A"/>
                <w:sz w:val="18"/>
              </w:rPr>
            </w:pPr>
            <w:r>
              <w:rPr>
                <w:rFonts w:ascii="Arial;Helvetica;Sans-Serif" w:hAnsi="Arial;Helvetica;Sans-Serif"/>
                <w:b w:val="false"/>
                <w:i w:val="false"/>
                <w:caps w:val="false"/>
                <w:smallCaps w:val="false"/>
                <w:color w:val="1A1A1A"/>
                <w:sz w:val="18"/>
              </w:rPr>
              <w:t>(4) Phoenix Holdings Ltd.</w:t>
            </w:r>
          </w:p>
        </w:tc>
        <w:tc>
          <w:tcPr>
            <w:tcW w:w="1805" w:type="dxa"/>
            <w:tcBorders>
              <w:bottom w:val="single" w:sz="8" w:space="0" w:color="BFBFBF"/>
              <w:right w:val="single" w:sz="8" w:space="0" w:color="BFBFBF"/>
            </w:tcBorders>
            <w:shd w:fill="F4F4F4" w:val="clear"/>
            <w:tcMar>
              <w:top w:w="0" w:type="dxa"/>
              <w:left w:w="0" w:type="dxa"/>
            </w:tcMar>
            <w:vAlign w:val="center"/>
          </w:tcPr>
          <w:p>
            <w:pPr>
              <w:pStyle w:val="TableContents"/>
              <w:bidi w:val="0"/>
              <w:spacing w:before="0" w:after="283"/>
              <w:jc w:val="both"/>
              <w:rPr>
                <w:rFonts w:ascii="Arial;Helvetica;Sans-Serif" w:hAnsi="Arial;Helvetica;Sans-Serif"/>
                <w:b w:val="false"/>
                <w:i w:val="false"/>
                <w:caps w:val="false"/>
                <w:smallCaps w:val="false"/>
                <w:color w:val="1A1A1A"/>
                <w:sz w:val="18"/>
              </w:rPr>
            </w:pPr>
            <w:r>
              <w:rPr>
                <w:rFonts w:ascii="Arial;Helvetica;Sans-Serif" w:hAnsi="Arial;Helvetica;Sans-Serif"/>
                <w:b w:val="false"/>
                <w:i w:val="false"/>
                <w:caps w:val="false"/>
                <w:smallCaps w:val="false"/>
                <w:color w:val="1A1A1A"/>
                <w:sz w:val="18"/>
              </w:rPr>
              <w:t>6,494,565</w:t>
            </w:r>
          </w:p>
        </w:tc>
        <w:tc>
          <w:tcPr>
            <w:tcW w:w="1220" w:type="dxa"/>
            <w:tcBorders>
              <w:bottom w:val="single" w:sz="8" w:space="0" w:color="BFBFBF"/>
              <w:right w:val="single" w:sz="8" w:space="0" w:color="BFBFBF"/>
            </w:tcBorders>
            <w:shd w:fill="F4F4F4" w:val="clear"/>
            <w:tcMar>
              <w:top w:w="0" w:type="dxa"/>
              <w:left w:w="0" w:type="dxa"/>
            </w:tcMar>
            <w:vAlign w:val="center"/>
          </w:tcPr>
          <w:p>
            <w:pPr>
              <w:pStyle w:val="TableContents"/>
              <w:bidi w:val="0"/>
              <w:spacing w:before="0" w:after="283"/>
              <w:jc w:val="both"/>
              <w:rPr>
                <w:rFonts w:ascii="Arial;Helvetica;Sans-Serif" w:hAnsi="Arial;Helvetica;Sans-Serif"/>
                <w:b w:val="false"/>
                <w:i w:val="false"/>
                <w:caps w:val="false"/>
                <w:smallCaps w:val="false"/>
                <w:color w:val="1A1A1A"/>
                <w:sz w:val="18"/>
              </w:rPr>
            </w:pPr>
            <w:r>
              <w:rPr>
                <w:rFonts w:ascii="Arial;Helvetica;Sans-Serif" w:hAnsi="Arial;Helvetica;Sans-Serif"/>
                <w:b w:val="false"/>
                <w:i w:val="false"/>
                <w:caps w:val="false"/>
                <w:smallCaps w:val="false"/>
                <w:color w:val="1A1A1A"/>
                <w:sz w:val="18"/>
              </w:rPr>
              <w:t>5.72%</w:t>
            </w:r>
          </w:p>
        </w:tc>
      </w:tr>
      <w:tr>
        <w:trPr/>
        <w:tc>
          <w:tcPr>
            <w:tcW w:w="4340" w:type="dxa"/>
            <w:tcBorders>
              <w:left w:val="single" w:sz="8" w:space="0" w:color="BFBFBF"/>
              <w:bottom w:val="single" w:sz="8" w:space="0" w:color="BFBFBF"/>
              <w:right w:val="single" w:sz="8" w:space="0" w:color="BFBFBF"/>
            </w:tcBorders>
            <w:shd w:fill="F4F4F4" w:val="clear"/>
            <w:tcMar>
              <w:top w:w="0" w:type="dxa"/>
            </w:tcMar>
            <w:vAlign w:val="center"/>
          </w:tcPr>
          <w:p>
            <w:pPr>
              <w:pStyle w:val="TableContents"/>
              <w:bidi w:val="0"/>
              <w:spacing w:before="0" w:after="283"/>
              <w:jc w:val="both"/>
              <w:rPr>
                <w:rFonts w:ascii="Arial;Helvetica;Sans-Serif" w:hAnsi="Arial;Helvetica;Sans-Serif"/>
                <w:b w:val="false"/>
                <w:i w:val="false"/>
                <w:caps w:val="false"/>
                <w:smallCaps w:val="false"/>
                <w:color w:val="1A1A1A"/>
                <w:sz w:val="18"/>
              </w:rPr>
            </w:pPr>
            <w:r>
              <w:rPr>
                <w:rFonts w:ascii="Arial;Helvetica;Sans-Serif" w:hAnsi="Arial;Helvetica;Sans-Serif"/>
                <w:b w:val="false"/>
                <w:i w:val="false"/>
                <w:caps w:val="false"/>
                <w:smallCaps w:val="false"/>
                <w:color w:val="1A1A1A"/>
                <w:sz w:val="18"/>
              </w:rPr>
              <w:t>(5) Menora Mivtachim Holdings Ltd.</w:t>
            </w:r>
          </w:p>
        </w:tc>
        <w:tc>
          <w:tcPr>
            <w:tcW w:w="1805" w:type="dxa"/>
            <w:tcBorders>
              <w:bottom w:val="single" w:sz="8" w:space="0" w:color="BFBFBF"/>
              <w:right w:val="single" w:sz="8" w:space="0" w:color="BFBFBF"/>
            </w:tcBorders>
            <w:shd w:fill="F4F4F4" w:val="clear"/>
            <w:tcMar>
              <w:top w:w="0" w:type="dxa"/>
              <w:left w:w="0" w:type="dxa"/>
            </w:tcMar>
            <w:vAlign w:val="center"/>
          </w:tcPr>
          <w:p>
            <w:pPr>
              <w:pStyle w:val="TableContents"/>
              <w:bidi w:val="0"/>
              <w:spacing w:before="0" w:after="283"/>
              <w:jc w:val="both"/>
              <w:rPr>
                <w:rFonts w:ascii="Arial;Helvetica;Sans-Serif" w:hAnsi="Arial;Helvetica;Sans-Serif"/>
                <w:b w:val="false"/>
                <w:i w:val="false"/>
                <w:caps w:val="false"/>
                <w:smallCaps w:val="false"/>
                <w:color w:val="1A1A1A"/>
                <w:sz w:val="18"/>
              </w:rPr>
            </w:pPr>
            <w:r>
              <w:rPr>
                <w:rFonts w:ascii="Arial;Helvetica;Sans-Serif" w:hAnsi="Arial;Helvetica;Sans-Serif"/>
                <w:b w:val="false"/>
                <w:i w:val="false"/>
                <w:caps w:val="false"/>
                <w:smallCaps w:val="false"/>
                <w:color w:val="1A1A1A"/>
                <w:sz w:val="18"/>
              </w:rPr>
              <w:t>6,281,979</w:t>
            </w:r>
          </w:p>
        </w:tc>
        <w:tc>
          <w:tcPr>
            <w:tcW w:w="1220" w:type="dxa"/>
            <w:tcBorders>
              <w:bottom w:val="single" w:sz="8" w:space="0" w:color="BFBFBF"/>
              <w:right w:val="single" w:sz="8" w:space="0" w:color="BFBFBF"/>
            </w:tcBorders>
            <w:shd w:fill="F4F4F4" w:val="clear"/>
            <w:tcMar>
              <w:top w:w="0" w:type="dxa"/>
              <w:left w:w="0" w:type="dxa"/>
            </w:tcMar>
            <w:vAlign w:val="center"/>
          </w:tcPr>
          <w:p>
            <w:pPr>
              <w:pStyle w:val="TableContents"/>
              <w:bidi w:val="0"/>
              <w:spacing w:before="0" w:after="283"/>
              <w:jc w:val="both"/>
              <w:rPr>
                <w:rFonts w:ascii="Arial;Helvetica;Sans-Serif" w:hAnsi="Arial;Helvetica;Sans-Serif"/>
                <w:b w:val="false"/>
                <w:i w:val="false"/>
                <w:caps w:val="false"/>
                <w:smallCaps w:val="false"/>
                <w:color w:val="1A1A1A"/>
                <w:sz w:val="18"/>
              </w:rPr>
            </w:pPr>
            <w:r>
              <w:rPr>
                <w:rFonts w:ascii="Arial;Helvetica;Sans-Serif" w:hAnsi="Arial;Helvetica;Sans-Serif"/>
                <w:b w:val="false"/>
                <w:i w:val="false"/>
                <w:caps w:val="false"/>
                <w:smallCaps w:val="false"/>
                <w:color w:val="1A1A1A"/>
                <w:sz w:val="18"/>
              </w:rPr>
              <w:t>5.53%</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w:t>
            </w:r>
          </w:p>
        </w:tc>
        <w:tc>
          <w:tcPr>
            <w:tcW w:w="995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Based solely upon, and qualified in its entirety with reference to, a notice provided to the Company by Harel Insurance Investments &amp; Financial Services., reflecting holdings as of September 30, 2026.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w:t>
            </w:r>
          </w:p>
        </w:tc>
        <w:tc>
          <w:tcPr>
            <w:tcW w:w="994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Based solely upon, and qualified in its entirety with reference to, a notice provided to the Company, by T. Rowe Price Associates, Inc., reflecting beneficial ownership as of June 30, 2026.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w:t>
            </w:r>
          </w:p>
        </w:tc>
        <w:tc>
          <w:tcPr>
            <w:tcW w:w="9948"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Based solely upon, and qualified in its entirety with reference to, a notice provided to the Company by Migdal Insurance &amp; Financial Holdings Ltd., reflecting holdings as of September 30, 2026.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10858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620000" cy="1085850"/>
                    </a:xfrm>
                    <a:prstGeom prst="rect">
                      <a:avLst/>
                    </a:prstGeom>
                  </pic:spPr>
                </pic:pic>
              </a:graphicData>
            </a:graphic>
          </wp:inline>
        </w:drawing>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10953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7620000" cy="1095375"/>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(4)</w:t>
            </w:r>
          </w:p>
        </w:tc>
        <w:tc>
          <w:tcPr>
            <w:tcW w:w="9943"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Based solely upon, and qualified in its entirety with reference to, a notice provided to the Company by Phoenix Holdings Ltd reflecting holdings as of September 30, 2026.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(5)</w:t>
            </w:r>
          </w:p>
        </w:tc>
        <w:tc>
          <w:tcPr>
            <w:tcW w:w="9946"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Based solely upon, and qualified in its entirety with reference to, a notice provided to the Company by Menora Mivtachim Holdings Ltd. reflecting holdings as of September 30, 2026.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As of September 30, 2026, no individual director or senior manager beneficially owned (as defined in Rule 13d-3 under the Securities Exchange Act of 1934, as amended) one percent or more of our Ordinary Shares.</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left"/>
        <w:rPr>
          <w:rFonts w:ascii="Arial;Helvetica;Sans-Serif" w:hAnsi="Arial;Helvetica;Sans-Serif"/>
          <w:b/>
          <w:i w:val="false"/>
          <w:caps w:val="false"/>
          <w:smallCaps w:val="false"/>
          <w:color w:val="004BAA"/>
          <w:sz w:val="36"/>
        </w:rPr>
      </w:pPr>
      <w:bookmarkStart w:id="11" w:name="A108"/>
      <w:bookmarkEnd w:id="11"/>
      <w:r>
        <w:rPr>
          <w:rFonts w:ascii="Arial;Helvetica;Sans-Serif" w:hAnsi="Arial;Helvetica;Sans-Serif"/>
          <w:b/>
          <w:i w:val="false"/>
          <w:caps w:val="false"/>
          <w:smallCaps w:val="false"/>
          <w:color w:val="004BAA"/>
          <w:sz w:val="36"/>
        </w:rPr>
        <w:t>Proposal 1</w:t>
      </w:r>
    </w:p>
    <w:p>
      <w:pPr>
        <w:pStyle w:val="TextBody"/>
        <w:pBdr>
          <w:bottom w:val="single" w:sz="18" w:space="1" w:color="004BAA"/>
        </w:pBdr>
        <w:bidi w:val="0"/>
        <w:spacing w:before="0" w:after="0"/>
        <w:ind w:left="0" w:right="0" w:hanging="0"/>
        <w:jc w:val="left"/>
        <w:rPr>
          <w:caps w:val="false"/>
          <w:smallCaps w:val="false"/>
          <w:color w:val="004BAA"/>
        </w:rPr>
      </w:pPr>
      <w:r>
        <w:rPr>
          <w:caps w:val="false"/>
          <w:smallCaps w:val="false"/>
          <w:color w:val="004BAA"/>
        </w:rPr>
        <w:t> </w:t>
      </w:r>
    </w:p>
    <w:p>
      <w:pPr>
        <w:pStyle w:val="TextBody"/>
        <w:bidi w:val="0"/>
        <w:spacing w:before="0" w:after="0"/>
        <w:ind w:left="0" w:right="0" w:hanging="0"/>
        <w:jc w:val="left"/>
        <w:rPr>
          <w:caps w:val="false"/>
          <w:smallCaps w:val="false"/>
          <w:color w:val="006297"/>
        </w:rPr>
      </w:pPr>
      <w:r>
        <w:rPr>
          <w:caps w:val="false"/>
          <w:smallCaps w:val="false"/>
          <w:color w:val="006297"/>
        </w:rPr>
        <w:t> </w:t>
      </w:r>
    </w:p>
    <w:p>
      <w:pPr>
        <w:pStyle w:val="TextBody"/>
        <w:bidi w:val="0"/>
        <w:spacing w:before="0" w:after="0"/>
        <w:ind w:left="0" w:right="0" w:hanging="0"/>
        <w:jc w:val="left"/>
        <w:rPr>
          <w:rFonts w:ascii="Arial;Helvetica;Sans-Serif" w:hAnsi="Arial;Helvetica;Sans-Serif"/>
          <w:b/>
          <w:i w:val="false"/>
          <w:caps w:val="false"/>
          <w:smallCaps w:val="false"/>
          <w:color w:val="006297"/>
          <w:sz w:val="26"/>
        </w:rPr>
      </w:pPr>
      <w:r>
        <w:rPr>
          <w:rFonts w:ascii="Arial;Helvetica;Sans-Serif" w:hAnsi="Arial;Helvetica;Sans-Serif"/>
          <w:b/>
          <w:i w:val="false"/>
          <w:caps w:val="false"/>
          <w:smallCaps w:val="false"/>
          <w:color w:val="006297"/>
          <w:sz w:val="26"/>
        </w:rPr>
        <w:t>APPROVAL OF AMENDED AND RESTATED COMPENSATION POLICY FOR DIRECTORS AND EXECUTIVE OFFICERS</w:t>
      </w:r>
    </w:p>
    <w:p>
      <w:pPr>
        <w:pStyle w:val="TextBody"/>
        <w:bidi w:val="0"/>
        <w:spacing w:before="0" w:after="0"/>
        <w:ind w:left="0" w:right="0" w:hanging="0"/>
        <w:jc w:val="left"/>
        <w:rPr>
          <w:caps w:val="false"/>
          <w:smallCaps w:val="false"/>
          <w:color w:val="006297"/>
        </w:rPr>
      </w:pPr>
      <w:r>
        <w:rPr>
          <w:caps w:val="false"/>
          <w:smallCaps w:val="false"/>
          <w:color w:val="006297"/>
        </w:rPr>
        <w:t> </w:t>
      </w:r>
    </w:p>
    <w:tbl>
      <w:tblPr>
        <w:tblW w:w="10205" w:type="dxa"/>
        <w:jc w:val="left"/>
        <w:tblInd w:w="-10" w:type="dxa"/>
        <w:tblLayout w:type="fixed"/>
        <w:tblCellMar>
          <w:top w:w="140" w:type="dxa"/>
          <w:left w:w="200" w:type="dxa"/>
          <w:bottom w:w="140" w:type="dxa"/>
          <w:right w:w="200" w:type="dxa"/>
        </w:tblCellMar>
      </w:tblPr>
      <w:tblGrid>
        <w:gridCol w:w="10205"/>
      </w:tblGrid>
      <w:tr>
        <w:trPr/>
        <w:tc>
          <w:tcPr>
            <w:tcW w:w="10205" w:type="dxa"/>
            <w:tcBorders>
              <w:top w:val="single" w:sz="8" w:space="0" w:color="004BAA"/>
              <w:left w:val="single" w:sz="8" w:space="0" w:color="004BAA"/>
              <w:bottom w:val="single" w:sz="8" w:space="0" w:color="004BAA"/>
              <w:right w:val="single" w:sz="8" w:space="0" w:color="004BAA"/>
            </w:tcBorders>
            <w:vAlign w:val="center"/>
          </w:tcPr>
          <w:p>
            <w:pPr>
              <w:pStyle w:val="TableContents"/>
              <w:bidi w:val="0"/>
              <w:spacing w:before="0" w:after="0"/>
              <w:ind w:left="0" w:right="0" w:hanging="0"/>
              <w:jc w:val="both"/>
              <w:rPr>
                <w:rFonts w:ascii="Arial;Helvetica;Sans-Serif" w:hAnsi="Arial;Helvetica;Sans-Serif"/>
                <w:b/>
                <w:i/>
                <w:caps w:val="false"/>
                <w:smallCaps w:val="false"/>
                <w:color w:val="004BAA"/>
                <w:sz w:val="22"/>
              </w:rPr>
            </w:pPr>
            <w:r>
              <w:rPr>
                <w:rFonts w:ascii="Arial;Helvetica;Sans-Serif" w:hAnsi="Arial;Helvetica;Sans-Serif"/>
                <w:b/>
                <w:i/>
                <w:caps w:val="false"/>
                <w:smallCaps w:val="false"/>
                <w:color w:val="004BAA"/>
                <w:sz w:val="22"/>
              </w:rPr>
              <w:t>Executive Summary</w:t>
            </w:r>
          </w:p>
          <w:p>
            <w:pPr>
              <w:pStyle w:val="TableContents"/>
              <w:bidi w:val="0"/>
              <w:spacing w:before="0" w:after="0"/>
              <w:ind w:left="0" w:right="0" w:hanging="0"/>
              <w:jc w:val="both"/>
              <w:rPr>
                <w:caps w:val="false"/>
                <w:smallCaps w:val="false"/>
                <w:color w:val="004BAA"/>
              </w:rPr>
            </w:pPr>
            <w:r>
              <w:rPr>
                <w:caps w:val="false"/>
                <w:smallCaps w:val="false"/>
                <w:color w:val="004BAA"/>
              </w:rPr>
              <w:t> </w:t>
            </w:r>
          </w:p>
          <w:p>
            <w:pPr>
              <w:pStyle w:val="TableContents"/>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i w:val="false"/>
                <w:caps w:val="false"/>
                <w:smallCaps w:val="false"/>
                <w:color w:val="1A1A1A"/>
                <w:sz w:val="22"/>
              </w:rPr>
              <w:t>What’s being voted on</w:t>
            </w:r>
            <w:r>
              <w:rPr>
                <w:rFonts w:ascii="Arial;Helvetica;Sans-Serif" w:hAnsi="Arial;Helvetica;Sans-Serif"/>
                <w:b w:val="false"/>
                <w:i w:val="false"/>
                <w:caps w:val="false"/>
                <w:smallCaps w:val="false"/>
                <w:color w:val="1A1A1A"/>
                <w:sz w:val="22"/>
              </w:rPr>
              <w:t>: approval of an amended and restated compensation policy for Tower’s directors and executive officers, as required every three years under the Israeli Companies Law.</w:t>
            </w:r>
          </w:p>
          <w:p>
            <w:pPr>
              <w:pStyle w:val="TableContents"/>
              <w:bidi w:val="0"/>
              <w:spacing w:before="0" w:after="0"/>
              <w:ind w:left="0" w:right="0" w:hanging="0"/>
              <w:jc w:val="both"/>
              <w:rPr>
                <w:caps w:val="false"/>
                <w:smallCaps w:val="false"/>
                <w:color w:val="1A1A1A"/>
              </w:rPr>
            </w:pPr>
            <w:r>
              <w:rPr>
                <w:caps w:val="false"/>
                <w:smallCaps w:val="false"/>
                <w:color w:val="1A1A1A"/>
              </w:rPr>
              <w:t> </w:t>
            </w:r>
          </w:p>
          <w:p>
            <w:pPr>
              <w:pStyle w:val="TableContents"/>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i w:val="false"/>
                <w:caps w:val="false"/>
                <w:smallCaps w:val="false"/>
                <w:color w:val="1A1A1A"/>
                <w:sz w:val="22"/>
              </w:rPr>
              <w:t>Why now</w:t>
            </w:r>
            <w:r>
              <w:rPr>
                <w:rFonts w:ascii="Arial;Helvetica;Sans-Serif" w:hAnsi="Arial;Helvetica;Sans-Serif"/>
                <w:b w:val="false"/>
                <w:i w:val="false"/>
                <w:caps w:val="false"/>
                <w:smallCaps w:val="false"/>
                <w:color w:val="1A1A1A"/>
                <w:sz w:val="22"/>
              </w:rPr>
              <w:t>: the Company’s most recent compensation policy for officers and directors, approved by the shareholders at the annual general meeting held in July 2023 and subsequently amended by the shareholders in July 2024 (the “2023 Compensation Policy”) reached the end of its three-year term, and a revised compensation policy presented at the July 2026 annual general meeting of shareholders (the “July 2026 Proposed Policy”) did not receive the required shareholder approval.</w:t>
            </w:r>
          </w:p>
          <w:p>
            <w:pPr>
              <w:pStyle w:val="TableContents"/>
              <w:bidi w:val="0"/>
              <w:spacing w:before="0" w:after="0"/>
              <w:ind w:left="0" w:right="0" w:hanging="0"/>
              <w:jc w:val="both"/>
              <w:rPr>
                <w:caps w:val="false"/>
                <w:smallCaps w:val="false"/>
                <w:color w:val="1A1A1A"/>
              </w:rPr>
            </w:pPr>
            <w:r>
              <w:rPr>
                <w:caps w:val="false"/>
                <w:smallCaps w:val="false"/>
                <w:color w:val="1A1A1A"/>
              </w:rPr>
              <w:t> </w:t>
            </w:r>
          </w:p>
          <w:p>
            <w:pPr>
              <w:pStyle w:val="TableContents"/>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i w:val="false"/>
                <w:caps w:val="false"/>
                <w:smallCaps w:val="false"/>
                <w:color w:val="1A1A1A"/>
                <w:sz w:val="22"/>
              </w:rPr>
              <w:t>What changed</w:t>
            </w:r>
            <w:r>
              <w:rPr>
                <w:rFonts w:ascii="Arial;Helvetica;Sans-Serif" w:hAnsi="Arial;Helvetica;Sans-Serif"/>
                <w:b w:val="false"/>
                <w:i w:val="false"/>
                <w:caps w:val="false"/>
                <w:smallCaps w:val="false"/>
                <w:color w:val="1A1A1A"/>
                <w:sz w:val="22"/>
              </w:rPr>
              <w:t>: following an extensive shareholder engagement process and review of benchmark and related information, the Compensation Committee and the Board of Directors withdrew two proposed modifications from the July 2026 Proposed Policy: (1) an increase in the Chief Executive Officer’s maximum potential bonus upside opportunity, and (2) an increase in the maximum permitted sign-on bonus for executive officers, maintaining both elements at the 2023 Compensation Policy levels. No other provision of the July 2026 Proposed Policy was modified and no new provision has been proposed.</w:t>
            </w:r>
          </w:p>
          <w:p>
            <w:pPr>
              <w:pStyle w:val="TableContents"/>
              <w:bidi w:val="0"/>
              <w:spacing w:before="0" w:after="0"/>
              <w:ind w:left="0" w:right="0" w:hanging="0"/>
              <w:jc w:val="both"/>
              <w:rPr>
                <w:caps w:val="false"/>
                <w:smallCaps w:val="false"/>
                <w:color w:val="1A1A1A"/>
              </w:rPr>
            </w:pPr>
            <w:r>
              <w:rPr>
                <w:caps w:val="false"/>
                <w:smallCaps w:val="false"/>
                <w:color w:val="1A1A1A"/>
              </w:rPr>
              <w:t> </w:t>
            </w:r>
          </w:p>
          <w:p>
            <w:pPr>
              <w:pStyle w:val="TableContents"/>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i w:val="false"/>
                <w:caps w:val="false"/>
                <w:smallCaps w:val="false"/>
                <w:color w:val="1A1A1A"/>
                <w:sz w:val="22"/>
              </w:rPr>
              <w:t>Board recommendation:</w:t>
            </w:r>
            <w:r>
              <w:rPr>
                <w:rFonts w:ascii="Arial;Helvetica;Sans-Serif" w:hAnsi="Arial;Helvetica;Sans-Serif"/>
                <w:b w:val="false"/>
                <w:i w:val="false"/>
                <w:caps w:val="false"/>
                <w:smallCaps w:val="false"/>
                <w:color w:val="1A1A1A"/>
                <w:sz w:val="22"/>
              </w:rPr>
              <w:t xml:space="preserve"> FOR.</w:t>
            </w:r>
          </w:p>
        </w:tc>
      </w:tr>
    </w:tbl>
    <w:p>
      <w:pPr>
        <w:pStyle w:val="TextBody"/>
        <w:bidi w:val="0"/>
        <w:spacing w:before="0" w:after="0"/>
        <w:ind w:left="0" w:right="0" w:hanging="0"/>
        <w:jc w:val="left"/>
        <w:rPr>
          <w:caps w:val="false"/>
          <w:smallCaps w:val="false"/>
          <w:color w:val="006297"/>
        </w:rPr>
      </w:pPr>
      <w:r>
        <w:rPr>
          <w:caps w:val="false"/>
          <w:smallCaps w:val="false"/>
          <w:color w:val="006297"/>
        </w:rPr>
        <w:t> </w:t>
      </w:r>
    </w:p>
    <w:p>
      <w:pPr>
        <w:pStyle w:val="TextBody"/>
        <w:bidi w:val="0"/>
        <w:spacing w:before="0" w:after="0"/>
        <w:jc w:val="center"/>
        <w:rPr>
          <w:caps w:val="false"/>
          <w:smallCaps w:val="false"/>
          <w:color w:val="006297"/>
        </w:rPr>
      </w:pPr>
      <w:r>
        <w:rPr>
          <w:caps w:val="false"/>
          <w:smallCaps w:val="false"/>
          <w:color w:val="006297"/>
        </w:rPr>
        <w:drawing>
          <wp:inline distT="0" distB="0" distL="0" distR="0">
            <wp:extent cx="7620000" cy="10953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7620000" cy="1095375"/>
                    </a:xfrm>
                    <a:prstGeom prst="rect">
                      <a:avLst/>
                    </a:prstGeom>
                  </pic:spPr>
                </pic:pic>
              </a:graphicData>
            </a:graphic>
          </wp:inline>
        </w:drawing>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6297"/>
        </w:rPr>
      </w:pPr>
      <w:r>
        <w:rPr>
          <w:caps w:val="false"/>
          <w:smallCaps w:val="false"/>
          <w:color w:val="006297"/>
        </w:rPr>
        <w:t> </w:t>
      </w:r>
    </w:p>
    <w:p>
      <w:pPr>
        <w:pStyle w:val="TextBody"/>
        <w:bidi w:val="0"/>
        <w:spacing w:before="0" w:after="0"/>
        <w:ind w:left="0" w:right="0" w:hanging="0"/>
        <w:jc w:val="center"/>
        <w:rPr>
          <w:caps w:val="false"/>
          <w:smallCaps w:val="false"/>
          <w:color w:val="006297"/>
        </w:rPr>
      </w:pPr>
      <w:r>
        <w:rPr>
          <w:caps w:val="false"/>
          <w:smallCaps w:val="false"/>
          <w:color w:val="006297"/>
        </w:rPr>
        <w:drawing>
          <wp:inline distT="0" distB="0" distL="0" distR="0">
            <wp:extent cx="7620000" cy="10953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7620000" cy="1095375"/>
                    </a:xfrm>
                    <a:prstGeom prst="rect">
                      <a:avLst/>
                    </a:prstGeom>
                  </pic:spPr>
                </pic:pic>
              </a:graphicData>
            </a:graphic>
          </wp:inline>
        </w:drawing>
      </w:r>
    </w:p>
    <w:p>
      <w:pPr>
        <w:pStyle w:val="TextBody"/>
        <w:bidi w:val="0"/>
        <w:spacing w:before="0" w:after="0"/>
        <w:ind w:left="0" w:right="0" w:hanging="0"/>
        <w:jc w:val="left"/>
        <w:rPr>
          <w:caps w:val="false"/>
          <w:smallCaps w:val="false"/>
          <w:color w:val="006297"/>
        </w:rPr>
      </w:pPr>
      <w:r>
        <w:rPr>
          <w:caps w:val="false"/>
          <w:smallCaps w:val="false"/>
          <w:color w:val="006297"/>
        </w:rPr>
        <w:t> </w:t>
      </w:r>
    </w:p>
    <w:p>
      <w:pPr>
        <w:pStyle w:val="TextBody"/>
        <w:bidi w:val="0"/>
        <w:spacing w:before="0" w:after="0"/>
        <w:ind w:left="0" w:right="0" w:hanging="0"/>
        <w:jc w:val="left"/>
        <w:rPr>
          <w:rFonts w:ascii="Arial;Helvetica;Sans-Serif" w:hAnsi="Arial;Helvetica;Sans-Serif"/>
          <w:b/>
          <w:i w:val="false"/>
          <w:caps w:val="false"/>
          <w:smallCaps w:val="false"/>
          <w:color w:val="006297"/>
          <w:sz w:val="26"/>
        </w:rPr>
      </w:pPr>
      <w:bookmarkStart w:id="12" w:name="A109"/>
      <w:bookmarkEnd w:id="12"/>
      <w:r>
        <w:rPr>
          <w:rFonts w:ascii="Arial;Helvetica;Sans-Serif" w:hAnsi="Arial;Helvetica;Sans-Serif"/>
          <w:b/>
          <w:i w:val="false"/>
          <w:caps w:val="false"/>
          <w:smallCaps w:val="false"/>
          <w:color w:val="006297"/>
          <w:sz w:val="26"/>
        </w:rPr>
        <w:t>Background</w:t>
      </w:r>
    </w:p>
    <w:p>
      <w:pPr>
        <w:pStyle w:val="TextBody"/>
        <w:bidi w:val="0"/>
        <w:spacing w:before="0" w:after="0"/>
        <w:ind w:left="0" w:right="0" w:hanging="0"/>
        <w:jc w:val="left"/>
        <w:rPr>
          <w:caps w:val="false"/>
          <w:smallCaps w:val="false"/>
          <w:color w:val="006297"/>
        </w:rPr>
      </w:pPr>
      <w:r>
        <w:rPr>
          <w:caps w:val="false"/>
          <w:smallCaps w:val="false"/>
          <w:color w:val="006297"/>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Under the Israeli Companies Law, a public company is required to adopt a compensation policy, which sets forth the terms of service and employment of directors and officers, including the grant of any benefit, payment or undertaking to provide payment, any exemption from liability, insurance or indemnification, and any severance payment or benefit. The compensation policy must be approved at least once every three years by the board of directors, after considering the recommendations of the compensation committee, and by the shareholders by the Special Majority (see above, “Vote Required for Approval of the Proposal”). In addition, the board of directors is required to periodically examine the compensation policy, as well as the need to adjust the policy in the event of a material change in the circumstances prevailing at the time of the adoption of the compensation policy or for other reasons.</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The Company’s most recent compensation policy, the 2023 Compensation Policy, approved by the shareholders at the annual general meeting held in July 2023 and subsequently amended by the shareholders in July 2024, reached the end of its three-year approval term in July 2026, and therefore, the Company is required under the Israeli Companies Law to obtain renewed shareholder approval of a compensation policy.</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Accordingly, during the first half of 2026, the Compensation Committee and Board of Directors conducted an extensive review of the 2023 Compensation Policy and retained FW Cook, an independent global compensation consultant, to perform executive compensation benchmarking, provide advisory services regarding prevailing global trends in executive compensation, and recommend changes to the 2023 Compensation Policy that aim to enable Tower to attract and retain the talent it needs to continue executing on the Company’s business strategy and growing shareholder value. Following this review, the July 2026 Proposed Policy was presented for shareholder approval at the July 2, 2026 annual general meeting of shareholders (“July 2026 Meeting”); however, the proposal for its approval did not receive the requisite majority under the Israeli Companies Law at the July 2026 Meeting and, accordingly, was not approved by the shareholders.</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left"/>
        <w:rPr>
          <w:rFonts w:ascii="Arial;Helvetica;Sans-Serif" w:hAnsi="Arial;Helvetica;Sans-Serif"/>
          <w:b/>
          <w:i w:val="false"/>
          <w:caps w:val="false"/>
          <w:smallCaps w:val="false"/>
          <w:color w:val="006297"/>
          <w:sz w:val="26"/>
        </w:rPr>
      </w:pPr>
      <w:bookmarkStart w:id="13" w:name="A110"/>
      <w:bookmarkEnd w:id="13"/>
      <w:r>
        <w:rPr>
          <w:rFonts w:ascii="Arial;Helvetica;Sans-Serif" w:hAnsi="Arial;Helvetica;Sans-Serif"/>
          <w:b/>
          <w:i w:val="false"/>
          <w:caps w:val="false"/>
          <w:smallCaps w:val="false"/>
          <w:color w:val="006297"/>
          <w:sz w:val="26"/>
        </w:rPr>
        <w:t>Tower’s Growth Since Approval of the 2023 Compensation Policy</w:t>
      </w:r>
    </w:p>
    <w:p>
      <w:pPr>
        <w:pStyle w:val="TextBody"/>
        <w:bidi w:val="0"/>
        <w:spacing w:before="0" w:after="0"/>
        <w:ind w:left="0" w:right="0" w:hanging="0"/>
        <w:jc w:val="left"/>
        <w:rPr>
          <w:caps w:val="false"/>
          <w:smallCaps w:val="false"/>
          <w:color w:val="006297"/>
        </w:rPr>
      </w:pPr>
      <w:r>
        <w:rPr>
          <w:caps w:val="false"/>
          <w:smallCaps w:val="false"/>
          <w:color w:val="006297"/>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 xml:space="preserve">Since the adoption of the 2023 Compensation Policy in July 2023 and the subsequent shareholder-approved amendment in July 2024, the Company has experienced significant growth and transformation in market share, capacity, and revenue, driven in large part by the rapid expansion of artificial intelligence (AI), data center infrastructure, and radio frequency (“RF”) infrastructure. During this period, the scale of the Company’s business, the complexity of its operations, the differentiation and strategic importance of its technology and intellectual property, and its importance to market leaders and top-tier customers have all increased dramatically. </w:t>
      </w:r>
      <w:r>
        <w:rPr>
          <w:rFonts w:ascii="Arial;Helvetica;Sans-Serif" w:hAnsi="Arial;Helvetica;Sans-Serif"/>
          <w:b/>
          <w:i w:val="false"/>
          <w:caps w:val="false"/>
          <w:smallCaps w:val="false"/>
          <w:color w:val="1A1A1A"/>
          <w:sz w:val="22"/>
        </w:rPr>
        <w:t>Furthermore, the Company’s market capitalization increased to $25.7 billion as of September 30, 2026 from $4.5 billion when the 2023 Compensation Policy was last amended by the shareholders on July 31, 2024, representing an increase of 471%</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jc w:val="center"/>
        <w:rPr>
          <w:caps w:val="false"/>
          <w:smallCaps w:val="false"/>
          <w:color w:val="1A1A1A"/>
        </w:rPr>
      </w:pPr>
      <w:r>
        <w:rPr>
          <w:caps w:val="false"/>
          <w:smallCaps w:val="false"/>
          <w:color w:val="1A1A1A"/>
        </w:rPr>
        <w:drawing>
          <wp:inline distT="0" distB="0" distL="0" distR="0">
            <wp:extent cx="7620000" cy="10858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7620000" cy="1085850"/>
                    </a:xfrm>
                    <a:prstGeom prst="rect">
                      <a:avLst/>
                    </a:prstGeom>
                  </pic:spPr>
                </pic:pic>
              </a:graphicData>
            </a:graphic>
          </wp:inline>
        </w:drawing>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center"/>
        <w:rPr>
          <w:caps w:val="false"/>
          <w:smallCaps w:val="false"/>
          <w:color w:val="1A1A1A"/>
        </w:rPr>
      </w:pPr>
      <w:r>
        <w:rPr>
          <w:caps w:val="false"/>
          <w:smallCaps w:val="false"/>
          <w:color w:val="1A1A1A"/>
        </w:rPr>
        <w:drawing>
          <wp:inline distT="0" distB="0" distL="0" distR="0">
            <wp:extent cx="7620000" cy="10953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7620000" cy="1095375"/>
                    </a:xfrm>
                    <a:prstGeom prst="rect">
                      <a:avLst/>
                    </a:prstGeom>
                  </pic:spPr>
                </pic:pic>
              </a:graphicData>
            </a:graphic>
          </wp:inline>
        </w:drawing>
      </w:r>
      <w:r>
        <w:rPr>
          <w:caps w:val="false"/>
          <w:smallCaps w:val="false"/>
          <w:color w:val="1A1A1A"/>
        </w:rPr>
        <w:t> </w:t>
      </w:r>
    </w:p>
    <w:p>
      <w:pPr>
        <w:pStyle w:val="TextBody"/>
        <w:bidi w:val="0"/>
        <w:spacing w:before="0" w:after="0"/>
        <w:jc w:val="center"/>
        <w:rPr>
          <w:caps w:val="false"/>
          <w:smallCaps w:val="false"/>
          <w:color w:val="1A1A1A"/>
        </w:rPr>
      </w:pPr>
      <w:r>
        <w:rPr>
          <w:caps w:val="false"/>
          <w:smallCaps w:val="false"/>
          <w:color w:val="1A1A1A"/>
        </w:rPr>
        <w:t> </w:t>
      </w:r>
    </w:p>
    <w:p>
      <w:pPr>
        <w:pStyle w:val="TextBody"/>
        <w:bidi w:val="0"/>
        <w:spacing w:before="0" w:after="0"/>
        <w:jc w:val="center"/>
        <w:rPr>
          <w:caps w:val="false"/>
          <w:smallCaps w:val="false"/>
          <w:color w:val="1A1A1A"/>
        </w:rPr>
      </w:pPr>
      <w:r>
        <w:rPr>
          <w:caps w:val="false"/>
          <w:smallCaps w:val="false"/>
          <w:color w:val="1A1A1A"/>
        </w:rPr>
        <w:t> </w:t>
      </w:r>
      <w:r>
        <w:rPr>
          <w:caps w:val="false"/>
          <w:smallCaps w:val="false"/>
          <w:color w:val="1A1A1A"/>
        </w:rPr>
        <w:drawing>
          <wp:inline distT="0" distB="0" distL="0" distR="0">
            <wp:extent cx="5162550" cy="27051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5162550" cy="2705100"/>
                    </a:xfrm>
                    <a:prstGeom prst="rect">
                      <a:avLst/>
                    </a:prstGeom>
                  </pic:spPr>
                </pic:pic>
              </a:graphicData>
            </a:graphic>
          </wp:inline>
        </w:drawing>
      </w:r>
    </w:p>
    <w:p>
      <w:pPr>
        <w:pStyle w:val="TextBody"/>
        <w:bidi w:val="0"/>
        <w:spacing w:before="0" w:after="0"/>
        <w:jc w:val="center"/>
        <w:rPr>
          <w:caps w:val="false"/>
          <w:smallCaps w:val="false"/>
          <w:color w:val="1A1A1A"/>
        </w:rPr>
      </w:pPr>
      <w:r>
        <w:rPr>
          <w:caps w:val="false"/>
          <w:smallCaps w:val="false"/>
          <w:color w:val="1A1A1A"/>
        </w:rPr>
        <w:t> </w:t>
      </w:r>
    </w:p>
    <w:p>
      <w:pPr>
        <w:pStyle w:val="TextBody"/>
        <w:bidi w:val="0"/>
        <w:spacing w:before="0" w:after="0"/>
        <w:jc w:val="center"/>
        <w:rPr>
          <w:caps w:val="false"/>
          <w:smallCaps w:val="false"/>
          <w:color w:val="1A1A1A"/>
        </w:rPr>
      </w:pPr>
      <w:r>
        <w:rPr>
          <w:caps w:val="false"/>
          <w:smallCaps w:val="false"/>
          <w:color w:val="1A1A1A"/>
        </w:rPr>
        <w:t> </w:t>
      </w:r>
    </w:p>
    <w:p>
      <w:pPr>
        <w:pStyle w:val="TextBody"/>
        <w:bidi w:val="0"/>
        <w:spacing w:before="0" w:after="0"/>
        <w:jc w:val="center"/>
        <w:rPr>
          <w:caps w:val="false"/>
          <w:smallCaps w:val="false"/>
          <w:color w:val="1A1A1A"/>
        </w:rPr>
      </w:pPr>
      <w:r>
        <w:rPr>
          <w:caps w:val="false"/>
          <w:smallCaps w:val="false"/>
          <w:color w:val="1A1A1A"/>
        </w:rPr>
        <w:t> </w:t>
      </w:r>
    </w:p>
    <w:p>
      <w:pPr>
        <w:pStyle w:val="TextBody"/>
        <w:bidi w:val="0"/>
        <w:spacing w:before="0" w:after="0"/>
        <w:jc w:val="center"/>
        <w:rPr>
          <w:caps w:val="false"/>
          <w:smallCaps w:val="false"/>
          <w:color w:val="1A1A1A"/>
        </w:rPr>
      </w:pPr>
      <w:r>
        <w:rPr>
          <w:caps w:val="false"/>
          <w:smallCaps w:val="false"/>
          <w:color w:val="1A1A1A"/>
        </w:rPr>
        <w:drawing>
          <wp:inline distT="0" distB="0" distL="0" distR="0">
            <wp:extent cx="5600700" cy="25336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5600700" cy="2533650"/>
                    </a:xfrm>
                    <a:prstGeom prst="rect">
                      <a:avLst/>
                    </a:prstGeom>
                  </pic:spPr>
                </pic:pic>
              </a:graphicData>
            </a:graphic>
          </wp:inline>
        </w:drawing>
      </w:r>
    </w:p>
    <w:p>
      <w:pPr>
        <w:pStyle w:val="TextBody"/>
        <w:bidi w:val="0"/>
        <w:spacing w:before="0" w:after="0"/>
        <w:jc w:val="center"/>
        <w:rPr>
          <w:caps w:val="false"/>
          <w:smallCaps w:val="false"/>
          <w:color w:val="1A1A1A"/>
        </w:rPr>
      </w:pPr>
      <w:r>
        <w:rPr>
          <w:caps w:val="false"/>
          <w:smallCaps w:val="false"/>
          <w:color w:val="1A1A1A"/>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In addition, after the July 2026 Meeting, during the third quarter of 2026, the Company announced that it was raising its 2028 target business model to $3.6 billion in revenue and $1.2 billion in net profit. The 2028 revenue target represents a 130% increase over $1.566 billion in revenue achieved in 2025 and the 2028 net profit target represents a 445% increase over $0.22 billion in net profit achieved in 2025.</w:t>
      </w:r>
    </w:p>
    <w:p>
      <w:pPr>
        <w:pStyle w:val="TextBody"/>
        <w:bidi w:val="0"/>
        <w:spacing w:before="0" w:after="0"/>
        <w:ind w:left="0" w:right="0" w:hanging="0"/>
        <w:jc w:val="both"/>
        <w:rPr>
          <w:caps w:val="false"/>
          <w:smallCaps w:val="false"/>
          <w:color w:val="1A1A1A"/>
        </w:rPr>
      </w:pPr>
      <w:r>
        <w:rPr>
          <w:caps w:val="false"/>
          <w:smallCaps w:val="false"/>
          <w:color w:val="1A1A1A"/>
        </w:rPr>
        <w:t> </w:t>
      </w:r>
    </w:p>
    <w:tbl>
      <w:tblPr>
        <w:tblW w:w="5150" w:type="dxa"/>
        <w:jc w:val="left"/>
        <w:tblInd w:w="0" w:type="dxa"/>
        <w:tblLayout w:type="fixed"/>
        <w:tblCellMar>
          <w:top w:w="80" w:type="dxa"/>
          <w:left w:w="0" w:type="dxa"/>
          <w:bottom w:w="0" w:type="dxa"/>
          <w:right w:w="0" w:type="dxa"/>
        </w:tblCellMar>
      </w:tblPr>
      <w:tblGrid>
        <w:gridCol w:w="1610"/>
        <w:gridCol w:w="605"/>
        <w:gridCol w:w="1505"/>
        <w:gridCol w:w="1430"/>
      </w:tblGrid>
      <w:tr>
        <w:trPr/>
        <w:tc>
          <w:tcPr>
            <w:tcW w:w="1610" w:type="dxa"/>
            <w:tcBorders>
              <w:top w:val="single" w:sz="8" w:space="0" w:color="0D4670"/>
            </w:tcBorders>
            <w:shd w:fill="004BAA" w:val="clear"/>
            <w:vAlign w:val="center"/>
          </w:tcPr>
          <w:p>
            <w:pPr>
              <w:pStyle w:val="TableContents"/>
              <w:bidi w:val="0"/>
              <w:spacing w:before="0" w:after="283"/>
              <w:jc w:val="center"/>
              <w:rPr>
                <w:caps w:val="false"/>
                <w:smallCaps w:val="false"/>
                <w:color w:val="1A1A1A"/>
              </w:rPr>
            </w:pPr>
            <w:r>
              <w:rPr>
                <w:caps w:val="false"/>
                <w:smallCaps w:val="false"/>
                <w:color w:val="1A1A1A"/>
              </w:rPr>
              <w:t> </w:t>
            </w:r>
          </w:p>
        </w:tc>
        <w:tc>
          <w:tcPr>
            <w:tcW w:w="605" w:type="dxa"/>
            <w:tcBorders>
              <w:top w:val="single" w:sz="8" w:space="0" w:color="0D4670"/>
            </w:tcBorders>
            <w:shd w:fill="004BAA" w:val="clear"/>
            <w:vAlign w:val="center"/>
          </w:tcPr>
          <w:p>
            <w:pPr>
              <w:pStyle w:val="TableContents"/>
              <w:bidi w:val="0"/>
              <w:spacing w:before="0" w:after="283"/>
              <w:jc w:val="center"/>
              <w:rPr>
                <w:caps w:val="false"/>
                <w:smallCaps w:val="false"/>
                <w:color w:val="1A1A1A"/>
              </w:rPr>
            </w:pPr>
            <w:r>
              <w:rPr>
                <w:caps w:val="false"/>
                <w:smallCaps w:val="false"/>
                <w:color w:val="1A1A1A"/>
              </w:rPr>
              <w:t> </w:t>
            </w:r>
          </w:p>
        </w:tc>
        <w:tc>
          <w:tcPr>
            <w:tcW w:w="1505" w:type="dxa"/>
            <w:tcBorders>
              <w:top w:val="single" w:sz="8" w:space="0" w:color="0D4670"/>
            </w:tcBorders>
            <w:shd w:fill="B5DDF9" w:val="clear"/>
            <w:vAlign w:val="center"/>
          </w:tcPr>
          <w:p>
            <w:pPr>
              <w:pStyle w:val="TableContents"/>
              <w:bidi w:val="0"/>
              <w:spacing w:before="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2028 Target</w:t>
            </w:r>
          </w:p>
        </w:tc>
        <w:tc>
          <w:tcPr>
            <w:tcW w:w="1430" w:type="dxa"/>
            <w:tcBorders>
              <w:top w:val="single" w:sz="8" w:space="0" w:color="0D4670"/>
            </w:tcBorders>
            <w:shd w:fill="004BAA" w:val="clear"/>
            <w:vAlign w:val="center"/>
          </w:tcPr>
          <w:p>
            <w:pPr>
              <w:pStyle w:val="TableContents"/>
              <w:bidi w:val="0"/>
              <w:spacing w:before="0" w:after="283"/>
              <w:jc w:val="center"/>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2028 Target</w:t>
            </w:r>
          </w:p>
        </w:tc>
      </w:tr>
      <w:tr>
        <w:trPr/>
        <w:tc>
          <w:tcPr>
            <w:tcW w:w="1610" w:type="dxa"/>
            <w:tcBorders>
              <w:bottom w:val="single" w:sz="8" w:space="0" w:color="0D4670"/>
            </w:tcBorders>
            <w:shd w:fill="004BAA" w:val="clear"/>
            <w:tcMar>
              <w:top w:w="0" w:type="dxa"/>
              <w:bottom w:w="80" w:type="dxa"/>
            </w:tcMar>
            <w:vAlign w:val="center"/>
          </w:tcPr>
          <w:p>
            <w:pPr>
              <w:pStyle w:val="TableContents"/>
              <w:bidi w:val="0"/>
              <w:spacing w:before="0" w:after="283"/>
              <w:jc w:val="center"/>
              <w:rPr>
                <w:caps w:val="false"/>
                <w:smallCaps w:val="false"/>
                <w:color w:val="1A1A1A"/>
              </w:rPr>
            </w:pPr>
            <w:r>
              <w:rPr>
                <w:caps w:val="false"/>
                <w:smallCaps w:val="false"/>
                <w:color w:val="1A1A1A"/>
              </w:rPr>
              <w:t> </w:t>
            </w:r>
          </w:p>
        </w:tc>
        <w:tc>
          <w:tcPr>
            <w:tcW w:w="605" w:type="dxa"/>
            <w:tcBorders>
              <w:bottom w:val="single" w:sz="8" w:space="0" w:color="0D4670"/>
            </w:tcBorders>
            <w:shd w:fill="004BAA" w:val="clear"/>
            <w:tcMar>
              <w:top w:w="0" w:type="dxa"/>
              <w:bottom w:w="8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2025</w:t>
            </w:r>
          </w:p>
        </w:tc>
        <w:tc>
          <w:tcPr>
            <w:tcW w:w="1505" w:type="dxa"/>
            <w:tcBorders>
              <w:bottom w:val="single" w:sz="8" w:space="0" w:color="0D4670"/>
            </w:tcBorders>
            <w:shd w:fill="B5DDF9" w:val="clear"/>
            <w:tcMar>
              <w:top w:w="0" w:type="dxa"/>
              <w:bottom w:w="80" w:type="dxa"/>
            </w:tcMar>
            <w:vAlign w:val="center"/>
          </w:tcPr>
          <w:p>
            <w:pPr>
              <w:pStyle w:val="TableContents"/>
              <w:bidi w:val="0"/>
              <w:spacing w:before="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Business Model</w:t>
            </w:r>
          </w:p>
        </w:tc>
        <w:tc>
          <w:tcPr>
            <w:tcW w:w="1430" w:type="dxa"/>
            <w:tcBorders>
              <w:bottom w:val="single" w:sz="8" w:space="0" w:color="0D4670"/>
            </w:tcBorders>
            <w:shd w:fill="004BAA" w:val="clear"/>
            <w:tcMar>
              <w:top w:w="0" w:type="dxa"/>
              <w:bottom w:w="8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vs. 2025 Actual</w:t>
            </w:r>
          </w:p>
        </w:tc>
      </w:tr>
      <w:tr>
        <w:trPr/>
        <w:tc>
          <w:tcPr>
            <w:tcW w:w="1610" w:type="dxa"/>
            <w:tcBorders>
              <w:bottom w:val="single" w:sz="8" w:space="0" w:color="7F7F7F"/>
            </w:tcBorders>
            <w:shd w:fill="D9D9D9" w:val="clear"/>
            <w:tcMar>
              <w:top w:w="0" w:type="dxa"/>
              <w:bottom w:w="160" w:type="dxa"/>
            </w:tcMar>
            <w:vAlign w:val="center"/>
          </w:tcPr>
          <w:p>
            <w:pPr>
              <w:pStyle w:val="TableContents"/>
              <w:bidi w:val="0"/>
              <w:spacing w:before="0" w:after="283"/>
              <w:jc w:val="left"/>
              <w:rPr>
                <w:rFonts w:ascii="Arial;Helvetica;Sans-Serif" w:hAnsi="Arial;Helvetica;Sans-Serif"/>
                <w:b/>
                <w:i w:val="false"/>
                <w:caps w:val="false"/>
                <w:smallCaps w:val="false"/>
                <w:color w:val="1A1A1A"/>
                <w:sz w:val="20"/>
              </w:rPr>
            </w:pPr>
            <w:r>
              <w:rPr>
                <w:rFonts w:ascii="Arial;Helvetica;Sans-Serif" w:hAnsi="Arial;Helvetica;Sans-Serif"/>
                <w:b/>
                <w:i w:val="false"/>
                <w:caps w:val="false"/>
                <w:smallCaps w:val="false"/>
                <w:color w:val="1A1A1A"/>
                <w:sz w:val="20"/>
              </w:rPr>
              <w:t>Revenue ($B)</w:t>
            </w:r>
          </w:p>
        </w:tc>
        <w:tc>
          <w:tcPr>
            <w:tcW w:w="605" w:type="dxa"/>
            <w:tcBorders>
              <w:bottom w:val="single" w:sz="8" w:space="0" w:color="7F7F7F"/>
            </w:tcBorders>
            <w:shd w:fill="D9D9D9" w:val="clear"/>
            <w:tcMar>
              <w:top w:w="0" w:type="dxa"/>
              <w:bottom w:w="16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$1.566</w:t>
            </w:r>
          </w:p>
        </w:tc>
        <w:tc>
          <w:tcPr>
            <w:tcW w:w="1505" w:type="dxa"/>
            <w:tcBorders>
              <w:bottom w:val="single" w:sz="8" w:space="0" w:color="7F7F7F"/>
            </w:tcBorders>
            <w:shd w:fill="B5DDF9" w:val="clear"/>
            <w:tcMar>
              <w:top w:w="0" w:type="dxa"/>
              <w:bottom w:w="160"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$3.6</w:t>
            </w:r>
          </w:p>
        </w:tc>
        <w:tc>
          <w:tcPr>
            <w:tcW w:w="1430" w:type="dxa"/>
            <w:tcBorders>
              <w:bottom w:val="single" w:sz="8" w:space="0" w:color="7F7F7F"/>
            </w:tcBorders>
            <w:shd w:fill="D9D9D9" w:val="clear"/>
            <w:tcMar>
              <w:top w:w="0" w:type="dxa"/>
              <w:bottom w:w="16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2.3x</w:t>
            </w:r>
          </w:p>
        </w:tc>
      </w:tr>
      <w:tr>
        <w:trPr/>
        <w:tc>
          <w:tcPr>
            <w:tcW w:w="1610" w:type="dxa"/>
            <w:tcBorders>
              <w:bottom w:val="single" w:sz="8" w:space="0" w:color="7F7F7F"/>
            </w:tcBorders>
            <w:tcMar>
              <w:top w:w="0" w:type="dxa"/>
              <w:bottom w:w="160" w:type="dxa"/>
            </w:tcMar>
            <w:vAlign w:val="center"/>
          </w:tcPr>
          <w:p>
            <w:pPr>
              <w:pStyle w:val="TableContents"/>
              <w:bidi w:val="0"/>
              <w:spacing w:before="0" w:after="283"/>
              <w:jc w:val="left"/>
              <w:rPr>
                <w:rFonts w:ascii="Arial;Helvetica;Sans-Serif" w:hAnsi="Arial;Helvetica;Sans-Serif"/>
                <w:b/>
                <w:i w:val="false"/>
                <w:caps w:val="false"/>
                <w:smallCaps w:val="false"/>
                <w:color w:val="1A1A1A"/>
                <w:sz w:val="20"/>
              </w:rPr>
            </w:pPr>
            <w:r>
              <w:rPr>
                <w:rFonts w:ascii="Arial;Helvetica;Sans-Serif" w:hAnsi="Arial;Helvetica;Sans-Serif"/>
                <w:b/>
                <w:i w:val="false"/>
                <w:caps w:val="false"/>
                <w:smallCaps w:val="false"/>
                <w:color w:val="1A1A1A"/>
                <w:sz w:val="20"/>
              </w:rPr>
              <w:t>Net Profit ($B)</w:t>
            </w:r>
          </w:p>
        </w:tc>
        <w:tc>
          <w:tcPr>
            <w:tcW w:w="605" w:type="dxa"/>
            <w:tcBorders>
              <w:bottom w:val="single" w:sz="8" w:space="0" w:color="7F7F7F"/>
            </w:tcBorders>
            <w:tcMar>
              <w:top w:w="0" w:type="dxa"/>
              <w:bottom w:w="16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$0.22</w:t>
            </w:r>
          </w:p>
        </w:tc>
        <w:tc>
          <w:tcPr>
            <w:tcW w:w="1505" w:type="dxa"/>
            <w:tcBorders>
              <w:bottom w:val="single" w:sz="8" w:space="0" w:color="7F7F7F"/>
            </w:tcBorders>
            <w:shd w:fill="B5DDF9" w:val="clear"/>
            <w:tcMar>
              <w:top w:w="0" w:type="dxa"/>
              <w:bottom w:w="160"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$1.2</w:t>
            </w:r>
          </w:p>
        </w:tc>
        <w:tc>
          <w:tcPr>
            <w:tcW w:w="1430" w:type="dxa"/>
            <w:tcBorders>
              <w:bottom w:val="single" w:sz="8" w:space="0" w:color="7F7F7F"/>
            </w:tcBorders>
            <w:tcMar>
              <w:top w:w="0" w:type="dxa"/>
              <w:bottom w:w="16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5.4x</w:t>
            </w:r>
          </w:p>
        </w:tc>
      </w:tr>
      <w:tr>
        <w:trPr/>
        <w:tc>
          <w:tcPr>
            <w:tcW w:w="1610" w:type="dxa"/>
            <w:tcBorders/>
            <w:shd w:fill="D9D9D9" w:val="clear"/>
            <w:tcMar>
              <w:top w:w="0" w:type="dxa"/>
            </w:tcMar>
            <w:vAlign w:val="center"/>
          </w:tcPr>
          <w:p>
            <w:pPr>
              <w:pStyle w:val="TableContents"/>
              <w:bidi w:val="0"/>
              <w:spacing w:before="0" w:after="283"/>
              <w:jc w:val="left"/>
              <w:rPr>
                <w:rFonts w:ascii="Arial;Helvetica;Sans-Serif" w:hAnsi="Arial;Helvetica;Sans-Serif"/>
                <w:b/>
                <w:i w:val="false"/>
                <w:caps w:val="false"/>
                <w:smallCaps w:val="false"/>
                <w:color w:val="1A1A1A"/>
                <w:sz w:val="20"/>
              </w:rPr>
            </w:pPr>
            <w:r>
              <w:rPr>
                <w:rFonts w:ascii="Arial;Helvetica;Sans-Serif" w:hAnsi="Arial;Helvetica;Sans-Serif"/>
                <w:b/>
                <w:i w:val="false"/>
                <w:caps w:val="false"/>
                <w:smallCaps w:val="false"/>
                <w:color w:val="1A1A1A"/>
                <w:sz w:val="20"/>
              </w:rPr>
              <w:t>Net Profit Margin</w:t>
            </w:r>
          </w:p>
        </w:tc>
        <w:tc>
          <w:tcPr>
            <w:tcW w:w="605" w:type="dxa"/>
            <w:tcBorders/>
            <w:shd w:fill="D9D9D9"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14.1%</w:t>
            </w:r>
          </w:p>
        </w:tc>
        <w:tc>
          <w:tcPr>
            <w:tcW w:w="1505" w:type="dxa"/>
            <w:tcBorders/>
            <w:shd w:fill="B5DDF9" w:val="clear"/>
            <w:tcMar>
              <w:top w:w="0" w:type="dxa"/>
            </w:tcMar>
            <w:vAlign w:val="center"/>
          </w:tcPr>
          <w:p>
            <w:pPr>
              <w:pStyle w:val="TableContents"/>
              <w:bidi w:val="0"/>
              <w:spacing w:before="0" w:after="283"/>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33.3%</w:t>
            </w:r>
          </w:p>
        </w:tc>
        <w:tc>
          <w:tcPr>
            <w:tcW w:w="1430" w:type="dxa"/>
            <w:tcBorders/>
            <w:shd w:fill="D9D9D9" w:val="clear"/>
            <w:tcMar>
              <w:top w:w="0" w:type="dxa"/>
            </w:tcMar>
            <w:vAlign w:val="center"/>
          </w:tcPr>
          <w:p>
            <w:pPr>
              <w:pStyle w:val="TableContents"/>
              <w:bidi w:val="0"/>
              <w:spacing w:before="0" w:after="283"/>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2.4x</w:t>
            </w:r>
          </w:p>
        </w:tc>
      </w:tr>
    </w:tbl>
    <w:p>
      <w:pPr>
        <w:pStyle w:val="TextBody"/>
        <w:bidi w:val="0"/>
        <w:spacing w:before="0" w:after="283"/>
        <w:jc w:val="left"/>
        <w:rPr/>
      </w:pPr>
      <w:r>
        <w:rPr/>
        <w:t> </w:t>
      </w:r>
    </w:p>
    <w:p>
      <w:pPr>
        <w:pStyle w:val="TextBody"/>
        <w:bidi w:val="0"/>
        <w:jc w:val="center"/>
        <w:rPr/>
      </w:pPr>
      <w:r>
        <w:rPr/>
        <w:drawing>
          <wp:inline distT="0" distB="0" distL="0" distR="0">
            <wp:extent cx="7620000" cy="10858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7620000" cy="1085850"/>
                    </a:xfrm>
                    <a:prstGeom prst="rect">
                      <a:avLst/>
                    </a:prstGeom>
                  </pic:spPr>
                </pic:pic>
              </a:graphicData>
            </a:graphic>
          </wp:inline>
        </w:drawing>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drawing>
          <wp:inline distT="0" distB="0" distL="0" distR="0">
            <wp:extent cx="7620000" cy="10953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7620000" cy="1095375"/>
                    </a:xfrm>
                    <a:prstGeom prst="rect">
                      <a:avLst/>
                    </a:prstGeom>
                  </pic:spPr>
                </pic:pic>
              </a:graphicData>
            </a:graphic>
          </wp:inline>
        </w:drawing>
      </w:r>
    </w:p>
    <w:p>
      <w:pPr>
        <w:pStyle w:val="TextBody"/>
        <w:bidi w:val="0"/>
        <w:spacing w:before="0" w:after="283"/>
        <w:jc w:val="left"/>
        <w:rPr/>
      </w:pPr>
      <w:r>
        <w:rPr/>
        <w:t> </w:t>
      </w:r>
    </w:p>
    <w:p>
      <w:pPr>
        <w:pStyle w:val="TextBody"/>
        <w:bidi w:val="0"/>
        <w:jc w:val="center"/>
        <w:rPr/>
      </w:pPr>
      <w:r>
        <w:rPr/>
        <w:drawing>
          <wp:inline distT="0" distB="0" distL="0" distR="0">
            <wp:extent cx="5210175" cy="26765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5210175" cy="2676525"/>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left"/>
        <w:rPr>
          <w:rFonts w:ascii="Arial;Helvetica;Sans-Serif" w:hAnsi="Arial;Helvetica;Sans-Serif"/>
          <w:b/>
          <w:i w:val="false"/>
          <w:caps w:val="false"/>
          <w:smallCaps w:val="false"/>
          <w:color w:val="006297"/>
          <w:sz w:val="26"/>
        </w:rPr>
      </w:pPr>
      <w:bookmarkStart w:id="14" w:name="A111"/>
      <w:bookmarkEnd w:id="14"/>
      <w:r>
        <w:rPr>
          <w:rFonts w:ascii="Arial;Helvetica;Sans-Serif" w:hAnsi="Arial;Helvetica;Sans-Serif"/>
          <w:b/>
          <w:i w:val="false"/>
          <w:caps w:val="false"/>
          <w:smallCaps w:val="false"/>
          <w:color w:val="006297"/>
          <w:sz w:val="26"/>
        </w:rPr>
        <w:t>Shareholder Engagement Following the July 2026 Meeting</w:t>
      </w:r>
    </w:p>
    <w:p>
      <w:pPr>
        <w:pStyle w:val="TextBody"/>
        <w:bidi w:val="0"/>
        <w:spacing w:before="0" w:after="0"/>
        <w:ind w:left="0" w:right="0" w:hanging="0"/>
        <w:jc w:val="left"/>
        <w:rPr>
          <w:caps w:val="false"/>
          <w:smallCaps w:val="false"/>
          <w:color w:val="006297"/>
        </w:rPr>
      </w:pPr>
      <w:r>
        <w:rPr>
          <w:caps w:val="false"/>
          <w:smallCaps w:val="false"/>
          <w:color w:val="006297"/>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Following the July 2026 Meeting, the Compensation Committee and the Board of Directors carefully reviewed the outcome of the shareholder vote and the feedback received regarding the July 2026 Proposed Policy. As part of this review, the Company conducted a broad shareholder engagement process to better understand the concerns underlying the vote and to identify potential changes to the 2026 Proposed Compensation Policy that may more closely align the Company’s compensation framework with shareholder expectations.</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The Company contacted 26 shareholders, representing approximately 49% of the Company’s outstanding Ordinary Shares, and held discussions with 11 shareholders, representing approximately 29% of the Company’s outstanding Ordinary Shares. The Chair of the Compensation Committee, the Company’s Chief Legal Officer and the Company’s Senior Vice President of Investor Relations, Public Relations and Human Resources participated in these discussions.</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Shareholders with whom the Company held discussions generally expressed support for the Company, its management and its progress to date in terms of business development, growth and shareholder value. They noted that it would be helpful to receive additional information, to the extent possible, to assess the rigor of performance targets and the alignment of pay with performance.</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jc w:val="center"/>
        <w:rPr>
          <w:caps w:val="false"/>
          <w:smallCaps w:val="false"/>
          <w:color w:val="1A1A1A"/>
        </w:rPr>
      </w:pPr>
      <w:r>
        <w:rPr>
          <w:caps w:val="false"/>
          <w:smallCaps w:val="false"/>
          <w:color w:val="1A1A1A"/>
        </w:rPr>
        <w:drawing>
          <wp:inline distT="0" distB="0" distL="0" distR="0">
            <wp:extent cx="7620000" cy="10953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7620000" cy="1095375"/>
                    </a:xfrm>
                    <a:prstGeom prst="rect">
                      <a:avLst/>
                    </a:prstGeom>
                  </pic:spPr>
                </pic:pic>
              </a:graphicData>
            </a:graphic>
          </wp:inline>
        </w:drawing>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7620000" cy="10953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7620000" cy="1095375"/>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The feedback received through this engagement was reviewed by the Compensation Committee and the Board of Directors and informed their further consideration of the changes that had been proposed in the July 2026 Proposed Policy. Following this process, the Compensation Committee and the Board of Directors determined to withdraw two of the proposed amendments included in the July 2026 Proposed Policy and to submit the resulting amended and restated compensation policy to shareholders for approval (the “Amended Compensation Policy”).</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 xml:space="preserve">The full text of the Amended Compensation Policy is attached as </w:t>
      </w:r>
      <w:r>
        <w:rPr>
          <w:rFonts w:ascii="Arial;Helvetica;Sans-Serif" w:hAnsi="Arial;Helvetica;Sans-Serif"/>
          <w:b w:val="false"/>
          <w:i w:val="false"/>
          <w:caps w:val="false"/>
          <w:smallCaps w:val="false"/>
          <w:color w:val="1A1A1A"/>
          <w:sz w:val="22"/>
          <w:u w:val="single"/>
        </w:rPr>
        <w:t>Exhibit A</w:t>
      </w:r>
      <w:r>
        <w:rPr>
          <w:rFonts w:ascii="Arial;Helvetica;Sans-Serif" w:hAnsi="Arial;Helvetica;Sans-Serif"/>
          <w:b w:val="false"/>
          <w:i w:val="false"/>
          <w:caps w:val="false"/>
          <w:smallCaps w:val="false"/>
          <w:color w:val="1A1A1A"/>
          <w:sz w:val="22"/>
        </w:rPr>
        <w:t xml:space="preserve"> to this Proxy Statement, marked to show the changes from the 2023 Compensation Policy as amended by shareholders in July 2024.</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left"/>
        <w:rPr>
          <w:rFonts w:ascii="Arial;Helvetica;Sans-Serif" w:hAnsi="Arial;Helvetica;Sans-Serif"/>
          <w:b/>
          <w:i w:val="false"/>
          <w:caps w:val="false"/>
          <w:smallCaps w:val="false"/>
          <w:color w:val="006297"/>
          <w:sz w:val="26"/>
        </w:rPr>
      </w:pPr>
      <w:bookmarkStart w:id="15" w:name="A112"/>
      <w:bookmarkEnd w:id="15"/>
      <w:r>
        <w:rPr>
          <w:rFonts w:ascii="Arial;Helvetica;Sans-Serif" w:hAnsi="Arial;Helvetica;Sans-Serif"/>
          <w:b/>
          <w:i w:val="false"/>
          <w:caps w:val="false"/>
          <w:smallCaps w:val="false"/>
          <w:color w:val="006297"/>
          <w:sz w:val="26"/>
        </w:rPr>
        <w:t>Amended Compensation Policy</w:t>
      </w:r>
    </w:p>
    <w:p>
      <w:pPr>
        <w:pStyle w:val="TextBody"/>
        <w:bidi w:val="0"/>
        <w:spacing w:before="0" w:after="0"/>
        <w:ind w:left="0" w:right="0" w:hanging="0"/>
        <w:jc w:val="left"/>
        <w:rPr>
          <w:caps w:val="false"/>
          <w:smallCaps w:val="false"/>
          <w:color w:val="006297"/>
        </w:rPr>
      </w:pPr>
      <w:r>
        <w:rPr>
          <w:caps w:val="false"/>
          <w:smallCaps w:val="false"/>
          <w:color w:val="006297"/>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The Amended Compensation Policy being submitted for approval at the Meeting is substantially similar to the July 2026 Proposed Policy, with two important changes, each of which withdraws a proposed amendment and preserves the corresponding provision included in the 2023 Compensation Policy, following discussions with shareholders and review of other information. No new provision has been introduced, and no other provision of the July 2026 Proposed Policy has been modified.</w:t>
      </w:r>
    </w:p>
    <w:p>
      <w:pPr>
        <w:pStyle w:val="TextBody"/>
        <w:bidi w:val="0"/>
        <w:spacing w:before="0" w:after="0"/>
        <w:ind w:left="0" w:right="0" w:hanging="0"/>
        <w:jc w:val="both"/>
        <w:rPr>
          <w:caps w:val="false"/>
          <w:smallCaps w:val="false"/>
          <w:color w:val="1A1A1A"/>
        </w:rPr>
      </w:pPr>
      <w:r>
        <w:rPr>
          <w:caps w:val="false"/>
          <w:smallCaps w:val="false"/>
          <w:color w:val="1A1A1A"/>
        </w:rPr>
        <w:t> </w:t>
      </w:r>
    </w:p>
    <w:tbl>
      <w:tblPr>
        <w:tblW w:w="10205" w:type="dxa"/>
        <w:jc w:val="left"/>
        <w:tblInd w:w="-10" w:type="dxa"/>
        <w:tblLayout w:type="fixed"/>
        <w:tblCellMar>
          <w:top w:w="140" w:type="dxa"/>
          <w:left w:w="200" w:type="dxa"/>
          <w:bottom w:w="140" w:type="dxa"/>
          <w:right w:w="200" w:type="dxa"/>
        </w:tblCellMar>
      </w:tblPr>
      <w:tblGrid>
        <w:gridCol w:w="10205"/>
      </w:tblGrid>
      <w:tr>
        <w:trPr/>
        <w:tc>
          <w:tcPr>
            <w:tcW w:w="10205" w:type="dxa"/>
            <w:tcBorders>
              <w:top w:val="single" w:sz="8" w:space="0" w:color="00A55D"/>
              <w:left w:val="single" w:sz="8" w:space="0" w:color="00A55D"/>
              <w:bottom w:val="single" w:sz="8" w:space="0" w:color="00A55D"/>
              <w:right w:val="single" w:sz="8" w:space="0" w:color="00A55D"/>
            </w:tcBorders>
            <w:vAlign w:val="center"/>
          </w:tcPr>
          <w:p>
            <w:pPr>
              <w:pStyle w:val="TableContents"/>
              <w:bidi w:val="0"/>
              <w:spacing w:before="0" w:after="0"/>
              <w:ind w:left="0" w:right="0" w:hanging="0"/>
              <w:jc w:val="both"/>
              <w:rPr>
                <w:rFonts w:ascii="Arial;Helvetica;Sans-Serif" w:hAnsi="Arial;Helvetica;Sans-Serif"/>
                <w:b/>
                <w:i w:val="false"/>
                <w:caps w:val="false"/>
                <w:smallCaps w:val="false"/>
                <w:color w:val="008F70"/>
                <w:sz w:val="22"/>
              </w:rPr>
            </w:pPr>
            <w:r>
              <w:rPr>
                <w:rFonts w:ascii="Arial;Helvetica;Sans-Serif" w:hAnsi="Arial;Helvetica;Sans-Serif"/>
                <w:b/>
                <w:i w:val="false"/>
                <w:caps w:val="false"/>
                <w:smallCaps w:val="false"/>
                <w:color w:val="008F70"/>
                <w:sz w:val="22"/>
              </w:rPr>
              <w:t>What Changed Since the July 2026 Meeting</w:t>
            </w:r>
          </w:p>
          <w:p>
            <w:pPr>
              <w:pStyle w:val="TableContents"/>
              <w:bidi w:val="0"/>
              <w:spacing w:before="0" w:after="0"/>
              <w:ind w:left="0" w:right="0" w:hanging="0"/>
              <w:jc w:val="both"/>
              <w:rPr>
                <w:caps w:val="false"/>
                <w:smallCaps w:val="false"/>
                <w:color w:val="008F70"/>
              </w:rPr>
            </w:pPr>
            <w:r>
              <w:rPr>
                <w:caps w:val="false"/>
                <w:smallCaps w:val="false"/>
                <w:color w:val="008F70"/>
              </w:rPr>
              <w:t> </w:t>
            </w:r>
          </w:p>
          <w:p>
            <w:pPr>
              <w:pStyle w:val="TableContents"/>
              <w:bidi w:val="0"/>
              <w:spacing w:before="0" w:after="0"/>
              <w:ind w:left="363" w:right="0" w:hanging="363"/>
              <w:jc w:val="both"/>
              <w:rPr>
                <w:caps w:val="false"/>
                <w:smallCaps w:val="false"/>
                <w:color w:val="1A1A1A"/>
              </w:rPr>
            </w:pPr>
            <w:r>
              <w:rPr>
                <w:caps w:val="false"/>
                <w:smallCaps w:val="false"/>
                <w:color w:val="00A55D"/>
              </w:rPr>
              <w:t>✓  </w:t>
            </w:r>
            <w:r>
              <w:rPr>
                <w:rFonts w:ascii="Arial;Helvetica;Sans-Serif" w:hAnsi="Arial;Helvetica;Sans-Serif"/>
                <w:b/>
                <w:i w:val="false"/>
                <w:caps w:val="false"/>
                <w:smallCaps w:val="false"/>
                <w:color w:val="00A55D"/>
                <w:sz w:val="22"/>
              </w:rPr>
              <w:t xml:space="preserve">Withdrawn: </w:t>
            </w:r>
            <w:r>
              <w:rPr>
                <w:rFonts w:ascii="Arial;Helvetica;Sans-Serif" w:hAnsi="Arial;Helvetica;Sans-Serif"/>
                <w:b w:val="false"/>
                <w:i w:val="false"/>
                <w:caps w:val="false"/>
                <w:smallCaps w:val="false"/>
                <w:color w:val="1A1A1A"/>
                <w:sz w:val="22"/>
              </w:rPr>
              <w:t>Chief Executive Officer increase in maximum potential bonus upside opportunity. The Amended Compensation Policy withdraws the increased potential bonus upside for the Chief Executive Officer that was proposed in the July 2026 Proposed Policy. Accordingly, the Chief Executive Officer’s maximum bonus upside opportunity will remain at the level provided in the 2023 Compensation Policy, of 21 months’ salary for the “A” portion (based on measurable Company criteria) and 3 months’ salary for the “B” portion (based on individual performance), which level has not changed since the first compensation policy that was adopted by the Company in 2013.</w:t>
            </w:r>
          </w:p>
          <w:p>
            <w:pPr>
              <w:pStyle w:val="TableContents"/>
              <w:bidi w:val="0"/>
              <w:spacing w:before="0" w:after="0"/>
              <w:ind w:left="363" w:right="0" w:hanging="363"/>
              <w:jc w:val="both"/>
              <w:rPr>
                <w:caps w:val="false"/>
                <w:smallCaps w:val="false"/>
                <w:color w:val="1A1A1A"/>
              </w:rPr>
            </w:pPr>
            <w:r>
              <w:rPr>
                <w:caps w:val="false"/>
                <w:smallCaps w:val="false"/>
                <w:color w:val="1A1A1A"/>
              </w:rPr>
              <w:t> </w:t>
            </w:r>
          </w:p>
          <w:p>
            <w:pPr>
              <w:pStyle w:val="TableContents"/>
              <w:bidi w:val="0"/>
              <w:spacing w:before="0" w:after="0"/>
              <w:ind w:left="363" w:right="0" w:hanging="363"/>
              <w:jc w:val="both"/>
              <w:rPr>
                <w:caps w:val="false"/>
                <w:smallCaps w:val="false"/>
                <w:color w:val="1A1A1A"/>
              </w:rPr>
            </w:pPr>
            <w:r>
              <w:rPr>
                <w:caps w:val="false"/>
                <w:smallCaps w:val="false"/>
                <w:color w:val="00A55D"/>
              </w:rPr>
              <w:t>✓  </w:t>
            </w:r>
            <w:r>
              <w:rPr>
                <w:rFonts w:ascii="Arial;Helvetica;Sans-Serif" w:hAnsi="Arial;Helvetica;Sans-Serif"/>
                <w:b/>
                <w:i w:val="false"/>
                <w:caps w:val="false"/>
                <w:smallCaps w:val="false"/>
                <w:color w:val="00A55D"/>
                <w:sz w:val="22"/>
              </w:rPr>
              <w:t xml:space="preserve">Withdrawn: </w:t>
            </w:r>
            <w:r>
              <w:rPr>
                <w:rFonts w:ascii="Arial;Helvetica;Sans-Serif" w:hAnsi="Arial;Helvetica;Sans-Serif"/>
                <w:b w:val="false"/>
                <w:i w:val="false"/>
                <w:caps w:val="false"/>
                <w:smallCaps w:val="false"/>
                <w:color w:val="1A1A1A"/>
                <w:sz w:val="22"/>
              </w:rPr>
              <w:t>Increased maximum permitted sign-on bonus grant. The Amended Compensation Policy withdraws the increased maximum permitted sign-on bonus that was proposed in the July 2026 Proposed Policy. Accordingly, the maximum permitted sign-on bonus will remain at the level provided in the 2023 Compensation Policy, namely, cash or equity with an aggregate value of up to one annual base salary, which level includes any potential make-whole awards and has not changed since the first compensation policy that was adopted by the Company in 2013.</w:t>
            </w:r>
          </w:p>
        </w:tc>
      </w:tr>
    </w:tbl>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The compensation policy establishes a framework of maximum permitted limits and does not require the Company to approve or pay any specific amount of actual compensation. The actual compensation granted to the Company&amp;rsquo;s executive officers has never reached the maximum permitted total compensation limits. The compensation policy provides the Compensation Committee and the Board of Directors with the ability to design competitive compensation arrangements within these caps, providing the flexibility needed to navigate the highly competitive global talent landscape and support shareholder value creation. The Amended Compensation Policy being brought for approval at the Meeting is intended to ensure that the Company can continue to attract, retain, and motivate the leadership talent necessary to support the Company&amp;rsquo;s continued growth and enhance its long-term value.</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jc w:val="center"/>
        <w:rPr>
          <w:caps w:val="false"/>
          <w:smallCaps w:val="false"/>
          <w:color w:val="1A1A1A"/>
        </w:rPr>
      </w:pPr>
      <w:r>
        <w:rPr>
          <w:caps w:val="false"/>
          <w:smallCaps w:val="false"/>
          <w:color w:val="1A1A1A"/>
        </w:rPr>
        <w:drawing>
          <wp:inline distT="0" distB="0" distL="0" distR="0">
            <wp:extent cx="7620000" cy="10763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7620000" cy="1076325"/>
                    </a:xfrm>
                    <a:prstGeom prst="rect">
                      <a:avLst/>
                    </a:prstGeom>
                  </pic:spPr>
                </pic:pic>
              </a:graphicData>
            </a:graphic>
          </wp:inline>
        </w:drawing>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jc w:val="center"/>
        <w:rPr>
          <w:caps w:val="false"/>
          <w:smallCaps w:val="false"/>
          <w:color w:val="1A1A1A"/>
        </w:rPr>
      </w:pPr>
      <w:r>
        <w:rPr>
          <w:caps w:val="false"/>
          <w:smallCaps w:val="false"/>
          <w:color w:val="1A1A1A"/>
        </w:rPr>
        <w:drawing>
          <wp:inline distT="0" distB="0" distL="0" distR="0">
            <wp:extent cx="7620000" cy="10953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7620000" cy="1095375"/>
                    </a:xfrm>
                    <a:prstGeom prst="rect">
                      <a:avLst/>
                    </a:prstGeom>
                  </pic:spPr>
                </pic:pic>
              </a:graphicData>
            </a:graphic>
          </wp:inline>
        </w:drawing>
      </w:r>
      <w:r>
        <w:rPr>
          <w:caps w:val="false"/>
          <w:smallCaps w:val="false"/>
          <w:color w:val="1A1A1A"/>
        </w:rPr>
        <w:t> </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 xml:space="preserve">The following is a summary of the amendments reflected in the Amended Compensation Policy, as compared to the 2023 Compensation Policy, as amended by shareholders in July 2024. The summary is qualified in its entirety by reference to the full text of the proposed Amended Compensation Policy, which is attached as </w:t>
      </w:r>
      <w:r>
        <w:rPr>
          <w:rFonts w:ascii="Arial;Helvetica;Sans-Serif" w:hAnsi="Arial;Helvetica;Sans-Serif"/>
          <w:b w:val="false"/>
          <w:i w:val="false"/>
          <w:caps w:val="false"/>
          <w:smallCaps w:val="false"/>
          <w:color w:val="1A1A1A"/>
          <w:sz w:val="22"/>
          <w:u w:val="single"/>
        </w:rPr>
        <w:t>Exhibit A</w:t>
      </w:r>
      <w:r>
        <w:rPr>
          <w:rFonts w:ascii="Arial;Helvetica;Sans-Serif" w:hAnsi="Arial;Helvetica;Sans-Serif"/>
          <w:b w:val="false"/>
          <w:i w:val="false"/>
          <w:caps w:val="false"/>
          <w:smallCaps w:val="false"/>
          <w:color w:val="1A1A1A"/>
          <w:sz w:val="22"/>
        </w:rPr>
        <w:t xml:space="preserve"> to this Proxy Statement.</w:t>
      </w:r>
    </w:p>
    <w:p>
      <w:pPr>
        <w:pStyle w:val="TextBody"/>
        <w:bidi w:val="0"/>
        <w:spacing w:before="0" w:after="0"/>
        <w:ind w:left="0" w:right="0" w:hanging="0"/>
        <w:jc w:val="both"/>
        <w:rPr>
          <w:caps w:val="false"/>
          <w:smallCaps w:val="false"/>
          <w:color w:val="1A1A1A"/>
        </w:rPr>
      </w:pPr>
      <w:r>
        <w:rPr>
          <w:caps w:val="false"/>
          <w:smallCaps w:val="false"/>
          <w:color w:val="1A1A1A"/>
        </w:rPr>
        <w:t> </w:t>
      </w:r>
    </w:p>
    <w:tbl>
      <w:tblPr>
        <w:tblW w:w="10205" w:type="dxa"/>
        <w:jc w:val="left"/>
        <w:tblInd w:w="-10" w:type="dxa"/>
        <w:tblLayout w:type="fixed"/>
        <w:tblCellMar>
          <w:top w:w="200" w:type="dxa"/>
          <w:left w:w="120" w:type="dxa"/>
          <w:bottom w:w="200" w:type="dxa"/>
          <w:right w:w="120" w:type="dxa"/>
        </w:tblCellMar>
      </w:tblPr>
      <w:tblGrid>
        <w:gridCol w:w="830"/>
        <w:gridCol w:w="1809"/>
        <w:gridCol w:w="60"/>
        <w:gridCol w:w="7506"/>
      </w:tblGrid>
      <w:tr>
        <w:trPr/>
        <w:tc>
          <w:tcPr>
            <w:tcW w:w="830" w:type="dxa"/>
            <w:tcBorders>
              <w:top w:val="single" w:sz="8" w:space="0" w:color="BFBFBF"/>
              <w:left w:val="single" w:sz="8" w:space="0" w:color="BFBFBF"/>
              <w:bottom w:val="single" w:sz="8" w:space="0" w:color="BFBFBF"/>
              <w:right w:val="single" w:sz="8" w:space="0" w:color="BFBFBF"/>
            </w:tcBorders>
            <w:shd w:fill="004BAA" w:val="clear"/>
            <w:vAlign w:val="center"/>
          </w:tcPr>
          <w:p>
            <w:pPr>
              <w:pStyle w:val="TableContents"/>
              <w:bidi w:val="0"/>
              <w:spacing w:before="0" w:after="283"/>
              <w:jc w:val="left"/>
              <w:rPr>
                <w:rFonts w:ascii="Arial;Helvetica;Sans-Serif" w:hAnsi="Arial;Helvetica;Sans-Serif"/>
                <w:b/>
                <w:i w:val="false"/>
                <w:caps w:val="false"/>
                <w:smallCaps w:val="false"/>
                <w:color w:val="FFFFFF"/>
                <w:sz w:val="22"/>
              </w:rPr>
            </w:pPr>
            <w:r>
              <w:rPr>
                <w:rFonts w:ascii="Arial;Helvetica;Sans-Serif" w:hAnsi="Arial;Helvetica;Sans-Serif"/>
                <w:b/>
                <w:i w:val="false"/>
                <w:caps w:val="false"/>
                <w:smallCaps w:val="false"/>
                <w:color w:val="FFFFFF"/>
                <w:sz w:val="22"/>
              </w:rPr>
              <w:t>Section</w:t>
            </w:r>
          </w:p>
        </w:tc>
        <w:tc>
          <w:tcPr>
            <w:tcW w:w="1809" w:type="dxa"/>
            <w:tcBorders>
              <w:top w:val="single" w:sz="8" w:space="0" w:color="BFBFBF"/>
              <w:bottom w:val="single" w:sz="8" w:space="0" w:color="BFBFBF"/>
              <w:right w:val="single" w:sz="8" w:space="0" w:color="BFBFBF"/>
            </w:tcBorders>
            <w:shd w:fill="004BAA" w:val="clear"/>
            <w:tcMar>
              <w:left w:w="0" w:type="dxa"/>
            </w:tcMar>
            <w:vAlign w:val="center"/>
          </w:tcPr>
          <w:p>
            <w:pPr>
              <w:pStyle w:val="TableContents"/>
              <w:bidi w:val="0"/>
              <w:spacing w:before="0" w:after="283"/>
              <w:jc w:val="left"/>
              <w:rPr>
                <w:rFonts w:ascii="Arial;Helvetica;Sans-Serif" w:hAnsi="Arial;Helvetica;Sans-Serif"/>
                <w:b/>
                <w:i w:val="false"/>
                <w:caps w:val="false"/>
                <w:smallCaps w:val="false"/>
                <w:color w:val="FFFFFF"/>
                <w:sz w:val="22"/>
              </w:rPr>
            </w:pPr>
            <w:r>
              <w:rPr>
                <w:rFonts w:ascii="Arial;Helvetica;Sans-Serif" w:hAnsi="Arial;Helvetica;Sans-Serif"/>
                <w:b/>
                <w:i w:val="false"/>
                <w:caps w:val="false"/>
                <w:smallCaps w:val="false"/>
                <w:color w:val="FFFFFF"/>
                <w:sz w:val="22"/>
              </w:rPr>
              <w:t>Topic</w:t>
            </w:r>
          </w:p>
        </w:tc>
        <w:tc>
          <w:tcPr>
            <w:tcW w:w="60" w:type="dxa"/>
            <w:tcBorders>
              <w:bottom w:val="single" w:sz="8" w:space="0" w:color="BFBFBF"/>
            </w:tcBorders>
            <w:shd w:fill="004BAA" w:val="clear"/>
            <w:tcMar>
              <w:top w:w="0" w:type="dxa"/>
              <w:left w:w="0" w:type="dxa"/>
              <w:bottom w:w="28" w:type="dxa"/>
              <w:right w:w="0" w:type="dxa"/>
            </w:tcMar>
            <w:vAlign w:val="center"/>
          </w:tcPr>
          <w:p>
            <w:pPr>
              <w:pStyle w:val="TableContents"/>
              <w:bidi w:val="0"/>
              <w:spacing w:before="0" w:after="283"/>
              <w:jc w:val="left"/>
              <w:rPr/>
            </w:pPr>
            <w:r>
              <w:rPr/>
              <w:t> </w:t>
            </w:r>
          </w:p>
        </w:tc>
        <w:tc>
          <w:tcPr>
            <w:tcW w:w="7506" w:type="dxa"/>
            <w:tcBorders>
              <w:top w:val="single" w:sz="8" w:space="0" w:color="BFBFBF"/>
              <w:bottom w:val="single" w:sz="8" w:space="0" w:color="BFBFBF"/>
              <w:right w:val="single" w:sz="8" w:space="0" w:color="BFBFBF"/>
            </w:tcBorders>
            <w:shd w:fill="004BAA" w:val="clear"/>
            <w:tcMar>
              <w:left w:w="0" w:type="dxa"/>
            </w:tcMar>
            <w:vAlign w:val="center"/>
          </w:tcPr>
          <w:p>
            <w:pPr>
              <w:pStyle w:val="TableContents"/>
              <w:bidi w:val="0"/>
              <w:spacing w:before="0" w:after="283"/>
              <w:jc w:val="left"/>
              <w:rPr>
                <w:rFonts w:ascii="Arial;Helvetica;Sans-Serif" w:hAnsi="Arial;Helvetica;Sans-Serif"/>
                <w:b/>
                <w:i w:val="false"/>
                <w:caps w:val="false"/>
                <w:smallCaps w:val="false"/>
                <w:color w:val="FFFFFF"/>
                <w:sz w:val="22"/>
              </w:rPr>
            </w:pPr>
            <w:r>
              <w:rPr>
                <w:rFonts w:ascii="Arial;Helvetica;Sans-Serif" w:hAnsi="Arial;Helvetica;Sans-Serif"/>
                <w:b/>
                <w:i w:val="false"/>
                <w:caps w:val="false"/>
                <w:smallCaps w:val="false"/>
                <w:color w:val="FFFFFF"/>
                <w:sz w:val="22"/>
              </w:rPr>
              <w:t>Summary of Amendment</w:t>
            </w:r>
          </w:p>
        </w:tc>
      </w:tr>
      <w:tr>
        <w:trPr/>
        <w:tc>
          <w:tcPr>
            <w:tcW w:w="830" w:type="dxa"/>
            <w:tcBorders>
              <w:left w:val="single" w:sz="8" w:space="0" w:color="BFBFBF"/>
              <w:bottom w:val="single" w:sz="8" w:space="0" w:color="BFBFBF"/>
              <w:right w:val="single" w:sz="8" w:space="0" w:color="BFBFBF"/>
            </w:tcBorders>
            <w:tcMar>
              <w:top w:w="0" w:type="dxa"/>
            </w:tcMar>
            <w:vAlign w:val="center"/>
          </w:tcPr>
          <w:p>
            <w:pPr>
              <w:pStyle w:val="TableContents"/>
              <w:bidi w:val="0"/>
              <w:spacing w:before="0" w:after="283"/>
              <w:jc w:val="both"/>
              <w:rPr>
                <w:rFonts w:ascii="Arial;Helvetica;Sans-Serif" w:hAnsi="Arial;Helvetica;Sans-Serif"/>
                <w:b/>
                <w:i w:val="false"/>
                <w:caps w:val="false"/>
                <w:smallCaps w:val="false"/>
                <w:color w:val="004BAA"/>
                <w:sz w:val="18"/>
              </w:rPr>
            </w:pPr>
            <w:r>
              <w:rPr>
                <w:rFonts w:ascii="Arial;Helvetica;Sans-Serif" w:hAnsi="Arial;Helvetica;Sans-Serif"/>
                <w:b/>
                <w:i w:val="false"/>
                <w:caps w:val="false"/>
                <w:smallCaps w:val="false"/>
                <w:color w:val="004BAA"/>
                <w:sz w:val="18"/>
              </w:rPr>
              <w:t>4.2</w:t>
            </w:r>
          </w:p>
        </w:tc>
        <w:tc>
          <w:tcPr>
            <w:tcW w:w="1809" w:type="dxa"/>
            <w:tcBorders>
              <w:bottom w:val="single" w:sz="8" w:space="0" w:color="BFBFBF"/>
              <w:right w:val="single" w:sz="8" w:space="0" w:color="BFBFBF"/>
            </w:tcBorders>
            <w:tcMar>
              <w:top w:w="0" w:type="dxa"/>
              <w:left w:w="0" w:type="dxa"/>
            </w:tcMar>
            <w:vAlign w:val="center"/>
          </w:tcPr>
          <w:p>
            <w:pPr>
              <w:pStyle w:val="TableContents"/>
              <w:bidi w:val="0"/>
              <w:spacing w:before="0" w:after="283"/>
              <w:jc w:val="left"/>
              <w:rPr>
                <w:rFonts w:ascii="Arial;Helvetica;Sans-Serif" w:hAnsi="Arial;Helvetica;Sans-Serif"/>
                <w:b/>
                <w:i w:val="false"/>
                <w:caps w:val="false"/>
                <w:smallCaps w:val="false"/>
                <w:color w:val="1A1A1A"/>
                <w:sz w:val="18"/>
              </w:rPr>
            </w:pPr>
            <w:r>
              <w:rPr>
                <w:rFonts w:ascii="Arial;Helvetica;Sans-Serif" w:hAnsi="Arial;Helvetica;Sans-Serif"/>
                <w:b/>
                <w:i w:val="false"/>
                <w:caps w:val="false"/>
                <w:smallCaps w:val="false"/>
                <w:color w:val="1A1A1A"/>
                <w:sz w:val="18"/>
              </w:rPr>
              <w:t>Fixed-to-Variable Compensation Ratio</w:t>
            </w:r>
          </w:p>
        </w:tc>
        <w:tc>
          <w:tcPr>
            <w:tcW w:w="60" w:type="dxa"/>
            <w:tcBorders>
              <w:bottom w:val="single" w:sz="8" w:space="0" w:color="BFBFBF"/>
            </w:tcBorders>
            <w:tcMar>
              <w:top w:w="0" w:type="dxa"/>
              <w:left w:w="0" w:type="dxa"/>
              <w:bottom w:w="28" w:type="dxa"/>
              <w:right w:w="0" w:type="dxa"/>
            </w:tcMar>
            <w:vAlign w:val="center"/>
          </w:tcPr>
          <w:p>
            <w:pPr>
              <w:pStyle w:val="TableContents"/>
              <w:bidi w:val="0"/>
              <w:spacing w:before="0" w:after="283"/>
              <w:jc w:val="left"/>
              <w:rPr/>
            </w:pPr>
            <w:r>
              <w:rPr/>
              <w:t> </w:t>
            </w:r>
          </w:p>
        </w:tc>
        <w:tc>
          <w:tcPr>
            <w:tcW w:w="7506" w:type="dxa"/>
            <w:tcBorders>
              <w:bottom w:val="single" w:sz="8" w:space="0" w:color="BFBFBF"/>
              <w:right w:val="single" w:sz="8" w:space="0" w:color="BFBFBF"/>
            </w:tcBorders>
            <w:tcMar>
              <w:top w:w="0" w:type="dxa"/>
              <w:left w:w="0" w:type="dxa"/>
            </w:tcMar>
            <w:vAlign w:val="center"/>
          </w:tcPr>
          <w:p>
            <w:pPr>
              <w:pStyle w:val="TableContents"/>
              <w:bidi w:val="0"/>
              <w:spacing w:before="0" w:after="283"/>
              <w:jc w:val="both"/>
              <w:rPr>
                <w:rFonts w:ascii="Arial;Helvetica;Sans-Serif" w:hAnsi="Arial;Helvetica;Sans-Serif"/>
                <w:b w:val="false"/>
                <w:i w:val="false"/>
                <w:caps w:val="false"/>
                <w:smallCaps w:val="false"/>
                <w:color w:val="1A1A1A"/>
                <w:sz w:val="18"/>
              </w:rPr>
            </w:pPr>
            <w:r>
              <w:rPr>
                <w:rFonts w:ascii="Arial;Helvetica;Sans-Serif" w:hAnsi="Arial;Helvetica;Sans-Serif"/>
                <w:b w:val="false"/>
                <w:i w:val="false"/>
                <w:caps w:val="false"/>
                <w:smallCaps w:val="false"/>
                <w:color w:val="1A1A1A"/>
                <w:sz w:val="18"/>
              </w:rPr>
              <w:t>The ratio of fixed compensation to total variable compensation that may be awarded over a calendar year has been updated, due to the proposed increase in the maximum value of equity awards and the additional performance-based equity awards that may be granted, to 1:20 for the Chief Executive Officer and 1:14 for each Other Executive Officer.</w:t>
            </w:r>
          </w:p>
        </w:tc>
      </w:tr>
      <w:tr>
        <w:trPr/>
        <w:tc>
          <w:tcPr>
            <w:tcW w:w="830" w:type="dxa"/>
            <w:tcBorders>
              <w:left w:val="single" w:sz="8" w:space="0" w:color="BFBFBF"/>
              <w:right w:val="single" w:sz="8" w:space="0" w:color="BFBFBF"/>
            </w:tcBorders>
            <w:shd w:fill="F4F4F4" w:val="clear"/>
            <w:tcMar>
              <w:top w:w="0" w:type="dxa"/>
              <w:bottom w:w="0" w:type="dxa"/>
            </w:tcMar>
            <w:vAlign w:val="center"/>
          </w:tcPr>
          <w:p>
            <w:pPr>
              <w:pStyle w:val="TableContents"/>
              <w:bidi w:val="0"/>
              <w:spacing w:before="0" w:after="283"/>
              <w:jc w:val="both"/>
              <w:rPr>
                <w:rFonts w:ascii="Arial;Helvetica;Sans-Serif" w:hAnsi="Arial;Helvetica;Sans-Serif"/>
                <w:b/>
                <w:i w:val="false"/>
                <w:caps w:val="false"/>
                <w:smallCaps w:val="false"/>
                <w:color w:val="004BAA"/>
                <w:sz w:val="18"/>
              </w:rPr>
            </w:pPr>
            <w:r>
              <w:rPr>
                <w:rFonts w:ascii="Arial;Helvetica;Sans-Serif" w:hAnsi="Arial;Helvetica;Sans-Serif"/>
                <w:b/>
                <w:i w:val="false"/>
                <w:caps w:val="false"/>
                <w:smallCaps w:val="false"/>
                <w:color w:val="004BAA"/>
                <w:sz w:val="18"/>
              </w:rPr>
              <w:t>9.3</w:t>
            </w:r>
          </w:p>
        </w:tc>
        <w:tc>
          <w:tcPr>
            <w:tcW w:w="1809" w:type="dxa"/>
            <w:tcBorders>
              <w:right w:val="single" w:sz="8" w:space="0" w:color="BFBFBF"/>
            </w:tcBorders>
            <w:shd w:fill="F4F4F4" w:val="clear"/>
            <w:tcMar>
              <w:top w:w="0" w:type="dxa"/>
              <w:left w:w="0" w:type="dxa"/>
              <w:bottom w:w="0" w:type="dxa"/>
            </w:tcMar>
            <w:vAlign w:val="center"/>
          </w:tcPr>
          <w:p>
            <w:pPr>
              <w:pStyle w:val="TableContents"/>
              <w:bidi w:val="0"/>
              <w:spacing w:before="0" w:after="283"/>
              <w:jc w:val="left"/>
              <w:rPr>
                <w:rFonts w:ascii="Arial;Helvetica;Sans-Serif" w:hAnsi="Arial;Helvetica;Sans-Serif"/>
                <w:b/>
                <w:i w:val="false"/>
                <w:caps w:val="false"/>
                <w:smallCaps w:val="false"/>
                <w:color w:val="1A1A1A"/>
                <w:sz w:val="18"/>
              </w:rPr>
            </w:pPr>
            <w:r>
              <w:rPr>
                <w:rFonts w:ascii="Arial;Helvetica;Sans-Serif" w:hAnsi="Arial;Helvetica;Sans-Serif"/>
                <w:b/>
                <w:i w:val="false"/>
                <w:caps w:val="false"/>
                <w:smallCaps w:val="false"/>
                <w:color w:val="1A1A1A"/>
                <w:sz w:val="18"/>
              </w:rPr>
              <w:t>MBO Metric Weightings and Payout Curve (1)</w:t>
            </w:r>
          </w:p>
        </w:tc>
        <w:tc>
          <w:tcPr>
            <w:tcW w:w="60" w:type="dxa"/>
            <w:tcBorders/>
            <w:shd w:fill="F4F4F4" w:val="clear"/>
            <w:tcMar>
              <w:top w:w="0" w:type="dxa"/>
              <w:left w:w="0" w:type="dxa"/>
              <w:bottom w:w="0" w:type="dxa"/>
              <w:right w:w="0" w:type="dxa"/>
            </w:tcMar>
            <w:vAlign w:val="center"/>
          </w:tcPr>
          <w:p>
            <w:pPr>
              <w:pStyle w:val="TableContents"/>
              <w:bidi w:val="0"/>
              <w:spacing w:before="0" w:after="283"/>
              <w:jc w:val="left"/>
              <w:rPr/>
            </w:pPr>
            <w:r>
              <w:rPr/>
              <w:t> </w:t>
            </w:r>
          </w:p>
        </w:tc>
        <w:tc>
          <w:tcPr>
            <w:tcW w:w="7506" w:type="dxa"/>
            <w:tcBorders>
              <w:right w:val="single" w:sz="8" w:space="0" w:color="BFBFBF"/>
            </w:tcBorders>
            <w:shd w:fill="F4F4F4" w:val="clear"/>
            <w:tcMar>
              <w:top w:w="0" w:type="dxa"/>
              <w:left w:w="0" w:type="dxa"/>
              <w:bottom w:w="0" w:type="dxa"/>
            </w:tcMar>
            <w:vAlign w:val="center"/>
          </w:tcPr>
          <w:p>
            <w:pPr>
              <w:pStyle w:val="TableContents"/>
              <w:bidi w:val="0"/>
              <w:spacing w:before="0" w:after="283"/>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The possible weightings applicable to the executive performance objectives (“MBO”) metric categories for purposes of the annual bonus have been broadened to provide the Compensation Committee and the Board of Directors with greater flexibility and to enable consideration of external factors and special emphasis on certain metrics when providing the Company with guidelines for the establishment of future year(s) MBOs, such as the ability to increase the weighting of the financial performance goals, as shown in the table below. </w:t>
            </w:r>
          </w:p>
        </w:tc>
      </w:tr>
    </w:tbl>
    <w:tbl>
      <w:tblPr>
        <w:tblW w:w="6105" w:type="dxa"/>
        <w:jc w:val="left"/>
        <w:tblInd w:w="-10" w:type="dxa"/>
        <w:tblLayout w:type="fixed"/>
        <w:tblCellMar>
          <w:top w:w="0" w:type="dxa"/>
          <w:left w:w="28" w:type="dxa"/>
          <w:bottom w:w="0" w:type="dxa"/>
          <w:right w:w="28" w:type="dxa"/>
        </w:tblCellMar>
      </w:tblPr>
      <w:tblGrid>
        <w:gridCol w:w="75"/>
        <w:gridCol w:w="60"/>
        <w:gridCol w:w="60"/>
        <w:gridCol w:w="2720"/>
        <w:gridCol w:w="1550"/>
        <w:gridCol w:w="1640"/>
      </w:tblGrid>
      <w:tr>
        <w:trPr/>
        <w:tc>
          <w:tcPr>
            <w:tcW w:w="75" w:type="dxa"/>
            <w:tcBorders>
              <w:left w:val="single" w:sz="8" w:space="0" w:color="BFBFBF"/>
              <w:right w:val="single" w:sz="8" w:space="0" w:color="BFBFBF"/>
            </w:tcBorders>
            <w:shd w:fill="F4F4F4" w:val="clear"/>
            <w:vAlign w:val="center"/>
          </w:tcPr>
          <w:p>
            <w:pPr>
              <w:pStyle w:val="TableContents"/>
              <w:bidi w:val="0"/>
              <w:spacing w:before="0" w:after="283"/>
              <w:jc w:val="left"/>
              <w:rPr/>
            </w:pPr>
            <w:r>
              <w:rPr/>
              <w:t> </w:t>
            </w:r>
          </w:p>
        </w:tc>
        <w:tc>
          <w:tcPr>
            <w:tcW w:w="60" w:type="dxa"/>
            <w:tcBorders>
              <w:right w:val="single" w:sz="8" w:space="0" w:color="BFBFBF"/>
            </w:tcBorders>
            <w:shd w:fill="F4F4F4" w:val="clear"/>
            <w:tcMar>
              <w:left w:w="0" w:type="dxa"/>
            </w:tcMar>
            <w:vAlign w:val="center"/>
          </w:tcPr>
          <w:p>
            <w:pPr>
              <w:pStyle w:val="TableContents"/>
              <w:bidi w:val="0"/>
              <w:spacing w:before="0" w:after="283"/>
              <w:jc w:val="left"/>
              <w:rPr/>
            </w:pPr>
            <w:r>
              <w:rPr/>
              <w:t> </w:t>
            </w:r>
          </w:p>
        </w:tc>
        <w:tc>
          <w:tcPr>
            <w:tcW w:w="60" w:type="dxa"/>
            <w:tcBorders/>
            <w:shd w:fill="F4F4F4" w:val="clear"/>
            <w:tcMar>
              <w:left w:w="0" w:type="dxa"/>
              <w:right w:w="0" w:type="dxa"/>
            </w:tcMar>
            <w:vAlign w:val="center"/>
          </w:tcPr>
          <w:p>
            <w:pPr>
              <w:pStyle w:val="TableContents"/>
              <w:bidi w:val="0"/>
              <w:spacing w:before="0" w:after="283"/>
              <w:jc w:val="left"/>
              <w:rPr/>
            </w:pPr>
            <w:r>
              <w:rPr/>
              <w:t> </w:t>
            </w:r>
          </w:p>
        </w:tc>
        <w:tc>
          <w:tcPr>
            <w:tcW w:w="2720" w:type="dxa"/>
            <w:tcBorders>
              <w:top w:val="single" w:sz="8" w:space="0" w:color="BFBFBF"/>
              <w:left w:val="single" w:sz="8" w:space="0" w:color="BFBFBF"/>
              <w:bottom w:val="single" w:sz="8" w:space="0" w:color="BFBFBF"/>
              <w:right w:val="single" w:sz="8" w:space="0" w:color="BFBFBF"/>
            </w:tcBorders>
            <w:shd w:fill="004BAA" w:val="clear"/>
            <w:tcMar>
              <w:top w:w="200" w:type="dxa"/>
              <w:left w:w="108" w:type="dxa"/>
              <w:bottom w:w="200" w:type="dxa"/>
              <w:right w:w="108" w:type="dxa"/>
            </w:tcMar>
            <w:vAlign w:val="center"/>
          </w:tcPr>
          <w:p>
            <w:pPr>
              <w:pStyle w:val="TableContents"/>
              <w:bidi w:val="0"/>
              <w:spacing w:before="0" w:after="283"/>
              <w:jc w:val="left"/>
              <w:rPr>
                <w:rFonts w:ascii="Arial;Helvetica;Sans-Serif" w:hAnsi="Arial;Helvetica;Sans-Serif"/>
                <w:b/>
                <w:i w:val="false"/>
                <w:caps w:val="false"/>
                <w:smallCaps w:val="false"/>
                <w:color w:val="FFFFFF"/>
                <w:sz w:val="22"/>
              </w:rPr>
            </w:pPr>
            <w:r>
              <w:rPr>
                <w:rFonts w:ascii="Arial;Helvetica;Sans-Serif" w:hAnsi="Arial;Helvetica;Sans-Serif"/>
                <w:b/>
                <w:i w:val="false"/>
                <w:caps w:val="false"/>
                <w:smallCaps w:val="false"/>
                <w:color w:val="FFFFFF"/>
                <w:sz w:val="22"/>
              </w:rPr>
              <w:t>Metrics</w:t>
            </w:r>
          </w:p>
        </w:tc>
        <w:tc>
          <w:tcPr>
            <w:tcW w:w="1550" w:type="dxa"/>
            <w:tcBorders>
              <w:top w:val="single" w:sz="8" w:space="0" w:color="BFBFBF"/>
              <w:bottom w:val="single" w:sz="8" w:space="0" w:color="BFBFBF"/>
              <w:right w:val="single" w:sz="8" w:space="0" w:color="BFBFBF"/>
            </w:tcBorders>
            <w:shd w:fill="004BAA" w:val="clear"/>
            <w:tcMar>
              <w:top w:w="200" w:type="dxa"/>
              <w:left w:w="0" w:type="dxa"/>
              <w:bottom w:w="200" w:type="dxa"/>
              <w:right w:w="108" w:type="dxa"/>
            </w:tcMar>
            <w:vAlign w:val="center"/>
          </w:tcPr>
          <w:p>
            <w:pPr>
              <w:pStyle w:val="TableContents"/>
              <w:bidi w:val="0"/>
              <w:spacing w:before="0" w:after="283"/>
              <w:jc w:val="left"/>
              <w:rPr>
                <w:rFonts w:ascii="Arial;Helvetica;Sans-Serif" w:hAnsi="Arial;Helvetica;Sans-Serif"/>
                <w:b/>
                <w:i w:val="false"/>
                <w:caps w:val="false"/>
                <w:smallCaps w:val="false"/>
                <w:color w:val="FFFFFF"/>
                <w:sz w:val="22"/>
              </w:rPr>
            </w:pPr>
            <w:r>
              <w:rPr>
                <w:rFonts w:ascii="Arial;Helvetica;Sans-Serif" w:hAnsi="Arial;Helvetica;Sans-Serif"/>
                <w:b/>
                <w:i w:val="false"/>
                <w:caps w:val="false"/>
                <w:smallCaps w:val="false"/>
                <w:color w:val="FFFFFF"/>
                <w:sz w:val="22"/>
              </w:rPr>
              <w:t>2023</w:t>
              <w:br/>
              <w:t>Compensation</w:t>
              <w:br/>
              <w:t>Policy</w:t>
            </w:r>
          </w:p>
        </w:tc>
        <w:tc>
          <w:tcPr>
            <w:tcW w:w="1640" w:type="dxa"/>
            <w:tcBorders>
              <w:top w:val="single" w:sz="8" w:space="0" w:color="BFBFBF"/>
              <w:bottom w:val="single" w:sz="8" w:space="0" w:color="BFBFBF"/>
              <w:right w:val="single" w:sz="12" w:space="0" w:color="BFBFBF"/>
            </w:tcBorders>
            <w:shd w:fill="004BAA" w:val="clear"/>
            <w:tcMar>
              <w:top w:w="200" w:type="dxa"/>
              <w:left w:w="0" w:type="dxa"/>
              <w:bottom w:w="200" w:type="dxa"/>
              <w:right w:w="108" w:type="dxa"/>
            </w:tcMar>
            <w:vAlign w:val="center"/>
          </w:tcPr>
          <w:p>
            <w:pPr>
              <w:pStyle w:val="TableContents"/>
              <w:bidi w:val="0"/>
              <w:spacing w:before="0" w:after="283"/>
              <w:jc w:val="left"/>
              <w:rPr>
                <w:rFonts w:ascii="Arial;Helvetica;Sans-Serif" w:hAnsi="Arial;Helvetica;Sans-Serif"/>
                <w:b/>
                <w:i w:val="false"/>
                <w:caps w:val="false"/>
                <w:smallCaps w:val="false"/>
                <w:color w:val="FFFFFF"/>
                <w:sz w:val="22"/>
              </w:rPr>
            </w:pPr>
            <w:r>
              <w:rPr>
                <w:rFonts w:ascii="Arial;Helvetica;Sans-Serif" w:hAnsi="Arial;Helvetica;Sans-Serif"/>
                <w:b/>
                <w:i w:val="false"/>
                <w:caps w:val="false"/>
                <w:smallCaps w:val="false"/>
                <w:color w:val="FFFFFF"/>
                <w:sz w:val="22"/>
              </w:rPr>
              <w:t xml:space="preserve">2026 Amended </w:t>
              <w:br/>
              <w:t xml:space="preserve">Compensation </w:t>
              <w:br/>
              <w:t>Policy</w:t>
            </w:r>
          </w:p>
        </w:tc>
      </w:tr>
      <w:tr>
        <w:trPr/>
        <w:tc>
          <w:tcPr>
            <w:tcW w:w="75" w:type="dxa"/>
            <w:tcBorders>
              <w:left w:val="single" w:sz="8" w:space="0" w:color="BFBFBF"/>
              <w:right w:val="single" w:sz="8" w:space="0" w:color="BFBFBF"/>
            </w:tcBorders>
            <w:shd w:fill="F4F4F4" w:val="clear"/>
            <w:vAlign w:val="center"/>
          </w:tcPr>
          <w:p>
            <w:pPr>
              <w:pStyle w:val="TableContents"/>
              <w:bidi w:val="0"/>
              <w:spacing w:before="0" w:after="283"/>
              <w:jc w:val="left"/>
              <w:rPr/>
            </w:pPr>
            <w:r>
              <w:rPr/>
              <w:t> </w:t>
            </w:r>
          </w:p>
        </w:tc>
        <w:tc>
          <w:tcPr>
            <w:tcW w:w="60" w:type="dxa"/>
            <w:tcBorders>
              <w:right w:val="single" w:sz="8" w:space="0" w:color="BFBFBF"/>
            </w:tcBorders>
            <w:shd w:fill="F4F4F4" w:val="clear"/>
            <w:tcMar>
              <w:left w:w="0" w:type="dxa"/>
            </w:tcMar>
            <w:vAlign w:val="center"/>
          </w:tcPr>
          <w:p>
            <w:pPr>
              <w:pStyle w:val="TableContents"/>
              <w:bidi w:val="0"/>
              <w:spacing w:before="0" w:after="283"/>
              <w:jc w:val="left"/>
              <w:rPr/>
            </w:pPr>
            <w:r>
              <w:rPr/>
              <w:t> </w:t>
            </w:r>
          </w:p>
        </w:tc>
        <w:tc>
          <w:tcPr>
            <w:tcW w:w="60" w:type="dxa"/>
            <w:tcBorders/>
            <w:shd w:fill="F4F4F4" w:val="clear"/>
            <w:tcMar>
              <w:left w:w="0" w:type="dxa"/>
              <w:right w:w="0" w:type="dxa"/>
            </w:tcMar>
            <w:vAlign w:val="center"/>
          </w:tcPr>
          <w:p>
            <w:pPr>
              <w:pStyle w:val="TableContents"/>
              <w:bidi w:val="0"/>
              <w:spacing w:before="0" w:after="283"/>
              <w:jc w:val="left"/>
              <w:rPr/>
            </w:pPr>
            <w:r>
              <w:rPr/>
              <w:t> </w:t>
            </w:r>
          </w:p>
        </w:tc>
        <w:tc>
          <w:tcPr>
            <w:tcW w:w="2720" w:type="dxa"/>
            <w:tcBorders>
              <w:left w:val="single" w:sz="8" w:space="0" w:color="BFBFBF"/>
              <w:bottom w:val="single" w:sz="8" w:space="0" w:color="BFBFBF"/>
              <w:right w:val="single" w:sz="8" w:space="0" w:color="BFBFBF"/>
            </w:tcBorders>
            <w:shd w:fill="F4F4F4" w:val="clear"/>
            <w:tcMar>
              <w:left w:w="108" w:type="dxa"/>
              <w:bottom w:w="200" w:type="dxa"/>
              <w:right w:w="108" w:type="dxa"/>
            </w:tcMar>
            <w:vAlign w:val="center"/>
          </w:tcPr>
          <w:p>
            <w:pPr>
              <w:pStyle w:val="TableContents"/>
              <w:bidi w:val="0"/>
              <w:spacing w:before="0" w:after="283"/>
              <w:jc w:val="both"/>
              <w:rPr>
                <w:rFonts w:ascii="Arial;Helvetica;Sans-Serif" w:hAnsi="Arial;Helvetica;Sans-Serif"/>
                <w:b w:val="false"/>
                <w:i w:val="false"/>
                <w:caps w:val="false"/>
                <w:smallCaps w:val="false"/>
                <w:color w:val="1A1A1A"/>
                <w:sz w:val="18"/>
              </w:rPr>
            </w:pPr>
            <w:r>
              <w:rPr>
                <w:rFonts w:ascii="Arial;Helvetica;Sans-Serif" w:hAnsi="Arial;Helvetica;Sans-Serif"/>
                <w:b w:val="false"/>
                <w:i w:val="false"/>
                <w:caps w:val="false"/>
                <w:smallCaps w:val="false"/>
                <w:color w:val="1A1A1A"/>
                <w:sz w:val="18"/>
              </w:rPr>
              <w:t>Financial</w:t>
            </w:r>
          </w:p>
        </w:tc>
        <w:tc>
          <w:tcPr>
            <w:tcW w:w="1550" w:type="dxa"/>
            <w:tcBorders>
              <w:bottom w:val="single" w:sz="8" w:space="0" w:color="BFBFBF"/>
              <w:right w:val="single" w:sz="8" w:space="0" w:color="BFBFBF"/>
            </w:tcBorders>
            <w:shd w:fill="F4F4F4" w:val="clear"/>
            <w:tcMar>
              <w:left w:w="0" w:type="dxa"/>
              <w:bottom w:w="200" w:type="dxa"/>
              <w:right w:w="108" w:type="dxa"/>
            </w:tcMar>
            <w:vAlign w:val="center"/>
          </w:tcPr>
          <w:p>
            <w:pPr>
              <w:pStyle w:val="TableContents"/>
              <w:bidi w:val="0"/>
              <w:spacing w:before="0" w:after="283"/>
              <w:jc w:val="both"/>
              <w:rPr>
                <w:rFonts w:ascii="Arial;Helvetica;Sans-Serif" w:hAnsi="Arial;Helvetica;Sans-Serif"/>
                <w:b w:val="false"/>
                <w:i w:val="false"/>
                <w:caps w:val="false"/>
                <w:smallCaps w:val="false"/>
                <w:color w:val="1A1A1A"/>
                <w:sz w:val="18"/>
              </w:rPr>
            </w:pPr>
            <w:r>
              <w:rPr>
                <w:rFonts w:ascii="Arial;Helvetica;Sans-Serif" w:hAnsi="Arial;Helvetica;Sans-Serif"/>
                <w:b w:val="false"/>
                <w:i w:val="false"/>
                <w:caps w:val="false"/>
                <w:smallCaps w:val="false"/>
                <w:color w:val="1A1A1A"/>
                <w:sz w:val="18"/>
              </w:rPr>
              <w:t>30–70%</w:t>
            </w:r>
          </w:p>
        </w:tc>
        <w:tc>
          <w:tcPr>
            <w:tcW w:w="1640" w:type="dxa"/>
            <w:tcBorders>
              <w:top w:val="single" w:sz="8" w:space="0" w:color="BFBFBF"/>
              <w:bottom w:val="single" w:sz="8" w:space="0" w:color="BFBFBF"/>
              <w:right w:val="single" w:sz="12" w:space="0" w:color="BFBFBF"/>
            </w:tcBorders>
            <w:shd w:fill="F4F4F4" w:val="clear"/>
            <w:tcMar>
              <w:top w:w="200" w:type="dxa"/>
              <w:left w:w="0" w:type="dxa"/>
              <w:bottom w:w="200" w:type="dxa"/>
              <w:right w:w="108" w:type="dxa"/>
            </w:tcMar>
            <w:vAlign w:val="center"/>
          </w:tcPr>
          <w:p>
            <w:pPr>
              <w:pStyle w:val="TableContents"/>
              <w:bidi w:val="0"/>
              <w:spacing w:before="0" w:after="283"/>
              <w:jc w:val="both"/>
              <w:rPr>
                <w:rFonts w:ascii="Arial;Helvetica;Sans-Serif" w:hAnsi="Arial;Helvetica;Sans-Serif"/>
                <w:b w:val="false"/>
                <w:i w:val="false"/>
                <w:caps w:val="false"/>
                <w:smallCaps w:val="false"/>
                <w:color w:val="1A1A1A"/>
                <w:sz w:val="18"/>
              </w:rPr>
            </w:pPr>
            <w:r>
              <w:rPr>
                <w:rFonts w:ascii="Arial;Helvetica;Sans-Serif" w:hAnsi="Arial;Helvetica;Sans-Serif"/>
                <w:b w:val="false"/>
                <w:i w:val="false"/>
                <w:caps w:val="false"/>
                <w:smallCaps w:val="false"/>
                <w:color w:val="1A1A1A"/>
                <w:sz w:val="18"/>
              </w:rPr>
              <w:t>40–90%</w:t>
            </w:r>
          </w:p>
        </w:tc>
      </w:tr>
      <w:tr>
        <w:trPr/>
        <w:tc>
          <w:tcPr>
            <w:tcW w:w="75" w:type="dxa"/>
            <w:tcBorders>
              <w:left w:val="single" w:sz="8" w:space="0" w:color="BFBFBF"/>
              <w:right w:val="single" w:sz="8" w:space="0" w:color="BFBFBF"/>
            </w:tcBorders>
            <w:shd w:fill="F4F4F4" w:val="clear"/>
            <w:vAlign w:val="center"/>
          </w:tcPr>
          <w:p>
            <w:pPr>
              <w:pStyle w:val="TableContents"/>
              <w:bidi w:val="0"/>
              <w:spacing w:before="0" w:after="283"/>
              <w:jc w:val="left"/>
              <w:rPr/>
            </w:pPr>
            <w:r>
              <w:rPr/>
              <w:t> </w:t>
            </w:r>
          </w:p>
        </w:tc>
        <w:tc>
          <w:tcPr>
            <w:tcW w:w="60" w:type="dxa"/>
            <w:tcBorders>
              <w:right w:val="single" w:sz="8" w:space="0" w:color="BFBFBF"/>
            </w:tcBorders>
            <w:shd w:fill="F4F4F4" w:val="clear"/>
            <w:tcMar>
              <w:left w:w="0" w:type="dxa"/>
            </w:tcMar>
            <w:vAlign w:val="center"/>
          </w:tcPr>
          <w:p>
            <w:pPr>
              <w:pStyle w:val="TableContents"/>
              <w:bidi w:val="0"/>
              <w:spacing w:before="0" w:after="283"/>
              <w:jc w:val="left"/>
              <w:rPr/>
            </w:pPr>
            <w:r>
              <w:rPr/>
              <w:t> </w:t>
            </w:r>
          </w:p>
        </w:tc>
        <w:tc>
          <w:tcPr>
            <w:tcW w:w="60" w:type="dxa"/>
            <w:tcBorders>
              <w:right w:val="single" w:sz="8" w:space="0" w:color="BFBFBF"/>
            </w:tcBorders>
            <w:shd w:fill="F4F4F4" w:val="clear"/>
            <w:tcMar>
              <w:left w:w="0" w:type="dxa"/>
            </w:tcMar>
            <w:vAlign w:val="center"/>
          </w:tcPr>
          <w:p>
            <w:pPr>
              <w:pStyle w:val="TableContents"/>
              <w:bidi w:val="0"/>
              <w:spacing w:before="0" w:after="283"/>
              <w:jc w:val="left"/>
              <w:rPr/>
            </w:pPr>
            <w:r>
              <w:rPr/>
              <w:t> </w:t>
            </w:r>
          </w:p>
        </w:tc>
        <w:tc>
          <w:tcPr>
            <w:tcW w:w="2720" w:type="dxa"/>
            <w:tcBorders>
              <w:left w:val="single" w:sz="8" w:space="0" w:color="BFBFBF"/>
              <w:bottom w:val="single" w:sz="8" w:space="0" w:color="BFBFBF"/>
              <w:right w:val="single" w:sz="8" w:space="0" w:color="BFBFBF"/>
            </w:tcBorders>
            <w:shd w:fill="F4F4F4" w:val="clear"/>
            <w:tcMar>
              <w:left w:w="108" w:type="dxa"/>
              <w:bottom w:w="200" w:type="dxa"/>
              <w:right w:w="108" w:type="dxa"/>
            </w:tcMar>
            <w:vAlign w:val="center"/>
          </w:tcPr>
          <w:p>
            <w:pPr>
              <w:pStyle w:val="TableContents"/>
              <w:bidi w:val="0"/>
              <w:spacing w:before="0" w:after="283"/>
              <w:jc w:val="both"/>
              <w:rPr>
                <w:rFonts w:ascii="Arial;Helvetica;Sans-Serif" w:hAnsi="Arial;Helvetica;Sans-Serif"/>
                <w:b w:val="false"/>
                <w:i w:val="false"/>
                <w:caps w:val="false"/>
                <w:smallCaps w:val="false"/>
                <w:color w:val="1A1A1A"/>
                <w:sz w:val="18"/>
              </w:rPr>
            </w:pPr>
            <w:r>
              <w:rPr>
                <w:rFonts w:ascii="Arial;Helvetica;Sans-Serif" w:hAnsi="Arial;Helvetica;Sans-Serif"/>
                <w:b w:val="false"/>
                <w:i w:val="false"/>
                <w:caps w:val="false"/>
                <w:smallCaps w:val="false"/>
                <w:color w:val="1A1A1A"/>
                <w:sz w:val="18"/>
              </w:rPr>
              <w:t>Business - Strategic and Tactical </w:t>
            </w:r>
          </w:p>
        </w:tc>
        <w:tc>
          <w:tcPr>
            <w:tcW w:w="1550" w:type="dxa"/>
            <w:tcBorders>
              <w:bottom w:val="single" w:sz="8" w:space="0" w:color="BFBFBF"/>
              <w:right w:val="single" w:sz="8" w:space="0" w:color="BFBFBF"/>
            </w:tcBorders>
            <w:shd w:fill="F4F4F4" w:val="clear"/>
            <w:tcMar>
              <w:left w:w="0" w:type="dxa"/>
              <w:bottom w:w="200" w:type="dxa"/>
              <w:right w:w="108" w:type="dxa"/>
            </w:tcMar>
            <w:vAlign w:val="center"/>
          </w:tcPr>
          <w:p>
            <w:pPr>
              <w:pStyle w:val="TableContents"/>
              <w:bidi w:val="0"/>
              <w:spacing w:before="0" w:after="283"/>
              <w:jc w:val="both"/>
              <w:rPr>
                <w:rFonts w:ascii="Arial;Helvetica;Sans-Serif" w:hAnsi="Arial;Helvetica;Sans-Serif"/>
                <w:b w:val="false"/>
                <w:i w:val="false"/>
                <w:caps w:val="false"/>
                <w:smallCaps w:val="false"/>
                <w:color w:val="1A1A1A"/>
                <w:sz w:val="18"/>
              </w:rPr>
            </w:pPr>
            <w:r>
              <w:rPr>
                <w:rFonts w:ascii="Arial;Helvetica;Sans-Serif" w:hAnsi="Arial;Helvetica;Sans-Serif"/>
                <w:b w:val="false"/>
                <w:i w:val="false"/>
                <w:caps w:val="false"/>
                <w:smallCaps w:val="false"/>
                <w:color w:val="1A1A1A"/>
                <w:sz w:val="18"/>
              </w:rPr>
              <w:t>15–50%</w:t>
            </w:r>
          </w:p>
        </w:tc>
        <w:tc>
          <w:tcPr>
            <w:tcW w:w="1640" w:type="dxa"/>
            <w:tcBorders>
              <w:top w:val="single" w:sz="8" w:space="0" w:color="BFBFBF"/>
              <w:bottom w:val="single" w:sz="8" w:space="0" w:color="BFBFBF"/>
              <w:right w:val="single" w:sz="12" w:space="0" w:color="BFBFBF"/>
            </w:tcBorders>
            <w:shd w:fill="F4F4F4" w:val="clear"/>
            <w:tcMar>
              <w:top w:w="200" w:type="dxa"/>
              <w:left w:w="0" w:type="dxa"/>
              <w:bottom w:w="200" w:type="dxa"/>
              <w:right w:w="108" w:type="dxa"/>
            </w:tcMar>
            <w:vAlign w:val="center"/>
          </w:tcPr>
          <w:p>
            <w:pPr>
              <w:pStyle w:val="TableContents"/>
              <w:bidi w:val="0"/>
              <w:spacing w:before="0" w:after="283"/>
              <w:jc w:val="both"/>
              <w:rPr>
                <w:rFonts w:ascii="Arial;Helvetica;Sans-Serif" w:hAnsi="Arial;Helvetica;Sans-Serif"/>
                <w:b w:val="false"/>
                <w:i w:val="false"/>
                <w:caps w:val="false"/>
                <w:smallCaps w:val="false"/>
                <w:color w:val="1A1A1A"/>
                <w:sz w:val="18"/>
              </w:rPr>
            </w:pPr>
            <w:r>
              <w:rPr>
                <w:rFonts w:ascii="Arial;Helvetica;Sans-Serif" w:hAnsi="Arial;Helvetica;Sans-Serif"/>
                <w:b w:val="false"/>
                <w:i w:val="false"/>
                <w:caps w:val="false"/>
                <w:smallCaps w:val="false"/>
                <w:color w:val="1A1A1A"/>
                <w:sz w:val="18"/>
              </w:rPr>
              <w:t>0–50%</w:t>
            </w:r>
          </w:p>
        </w:tc>
      </w:tr>
      <w:tr>
        <w:trPr/>
        <w:tc>
          <w:tcPr>
            <w:tcW w:w="75" w:type="dxa"/>
            <w:tcBorders>
              <w:left w:val="single" w:sz="8" w:space="0" w:color="BFBFBF"/>
              <w:bottom w:val="single" w:sz="8" w:space="0" w:color="BFBFBF"/>
              <w:right w:val="single" w:sz="8" w:space="0" w:color="BFBFBF"/>
            </w:tcBorders>
            <w:shd w:fill="F4F4F4" w:val="clear"/>
            <w:tcMar>
              <w:bottom w:w="28" w:type="dxa"/>
            </w:tcMar>
            <w:vAlign w:val="center"/>
          </w:tcPr>
          <w:p>
            <w:pPr>
              <w:pStyle w:val="TableContents"/>
              <w:bidi w:val="0"/>
              <w:spacing w:before="0" w:after="283"/>
              <w:jc w:val="left"/>
              <w:rPr/>
            </w:pPr>
            <w:r>
              <w:rPr/>
              <w:t> </w:t>
            </w:r>
          </w:p>
        </w:tc>
        <w:tc>
          <w:tcPr>
            <w:tcW w:w="60" w:type="dxa"/>
            <w:tcBorders>
              <w:bottom w:val="single" w:sz="8" w:space="0" w:color="BFBFBF"/>
              <w:right w:val="single" w:sz="8" w:space="0" w:color="BFBFBF"/>
            </w:tcBorders>
            <w:shd w:fill="F4F4F4" w:val="clear"/>
            <w:tcMar>
              <w:left w:w="0" w:type="dxa"/>
              <w:bottom w:w="28" w:type="dxa"/>
            </w:tcMar>
            <w:vAlign w:val="center"/>
          </w:tcPr>
          <w:p>
            <w:pPr>
              <w:pStyle w:val="TableContents"/>
              <w:bidi w:val="0"/>
              <w:spacing w:before="0" w:after="283"/>
              <w:jc w:val="left"/>
              <w:rPr/>
            </w:pPr>
            <w:r>
              <w:rPr/>
              <w:t> </w:t>
            </w:r>
          </w:p>
        </w:tc>
        <w:tc>
          <w:tcPr>
            <w:tcW w:w="60" w:type="dxa"/>
            <w:tcBorders>
              <w:bottom w:val="single" w:sz="8" w:space="0" w:color="BFBFBF"/>
            </w:tcBorders>
            <w:shd w:fill="F4F4F4" w:val="clear"/>
            <w:tcMar>
              <w:left w:w="0" w:type="dxa"/>
              <w:bottom w:w="28" w:type="dxa"/>
              <w:right w:w="0" w:type="dxa"/>
            </w:tcMar>
            <w:vAlign w:val="center"/>
          </w:tcPr>
          <w:p>
            <w:pPr>
              <w:pStyle w:val="TableContents"/>
              <w:bidi w:val="0"/>
              <w:spacing w:before="0" w:after="283"/>
              <w:jc w:val="left"/>
              <w:rPr/>
            </w:pPr>
            <w:r>
              <w:rPr/>
              <w:t> </w:t>
            </w:r>
          </w:p>
        </w:tc>
        <w:tc>
          <w:tcPr>
            <w:tcW w:w="2720" w:type="dxa"/>
            <w:tcBorders>
              <w:bottom w:val="single" w:sz="8" w:space="0" w:color="BFBFBF"/>
            </w:tcBorders>
            <w:shd w:fill="F4F4F4" w:val="clear"/>
            <w:tcMar>
              <w:left w:w="0" w:type="dxa"/>
              <w:bottom w:w="28" w:type="dxa"/>
              <w:right w:w="0" w:type="dxa"/>
            </w:tcMar>
            <w:vAlign w:val="center"/>
          </w:tcPr>
          <w:p>
            <w:pPr>
              <w:pStyle w:val="TableContents"/>
              <w:bidi w:val="0"/>
              <w:spacing w:before="0" w:after="283"/>
              <w:jc w:val="both"/>
              <w:rPr>
                <w:caps w:val="false"/>
                <w:smallCaps w:val="false"/>
                <w:color w:val="1A1A1A"/>
              </w:rPr>
            </w:pPr>
            <w:r>
              <w:rPr>
                <w:caps w:val="false"/>
                <w:smallCaps w:val="false"/>
                <w:color w:val="1A1A1A"/>
              </w:rPr>
              <w:t> </w:t>
            </w:r>
          </w:p>
        </w:tc>
        <w:tc>
          <w:tcPr>
            <w:tcW w:w="1550" w:type="dxa"/>
            <w:tcBorders>
              <w:bottom w:val="single" w:sz="8" w:space="0" w:color="BFBFBF"/>
            </w:tcBorders>
            <w:shd w:fill="F4F4F4" w:val="clear"/>
            <w:tcMar>
              <w:left w:w="0" w:type="dxa"/>
              <w:bottom w:w="28" w:type="dxa"/>
              <w:right w:w="0" w:type="dxa"/>
            </w:tcMar>
            <w:vAlign w:val="center"/>
          </w:tcPr>
          <w:p>
            <w:pPr>
              <w:pStyle w:val="TableContents"/>
              <w:bidi w:val="0"/>
              <w:spacing w:before="0" w:after="283"/>
              <w:jc w:val="both"/>
              <w:rPr>
                <w:caps w:val="false"/>
                <w:smallCaps w:val="false"/>
                <w:color w:val="1A1A1A"/>
              </w:rPr>
            </w:pPr>
            <w:r>
              <w:rPr>
                <w:caps w:val="false"/>
                <w:smallCaps w:val="false"/>
                <w:color w:val="1A1A1A"/>
              </w:rPr>
              <w:t> </w:t>
            </w:r>
          </w:p>
        </w:tc>
        <w:tc>
          <w:tcPr>
            <w:tcW w:w="1640" w:type="dxa"/>
            <w:tcBorders>
              <w:top w:val="single" w:sz="8" w:space="0" w:color="BFBFBF"/>
              <w:bottom w:val="single" w:sz="8" w:space="0" w:color="BFBFBF"/>
              <w:right w:val="single" w:sz="12" w:space="0" w:color="BFBFBF"/>
            </w:tcBorders>
            <w:shd w:fill="F4F4F4" w:val="clear"/>
            <w:tcMar>
              <w:top w:w="28" w:type="dxa"/>
              <w:left w:w="0" w:type="dxa"/>
              <w:bottom w:w="28" w:type="dxa"/>
              <w:right w:w="108" w:type="dxa"/>
            </w:tcMar>
            <w:vAlign w:val="center"/>
          </w:tcPr>
          <w:p>
            <w:pPr>
              <w:pStyle w:val="TableContents"/>
              <w:bidi w:val="0"/>
              <w:spacing w:before="0" w:after="283"/>
              <w:jc w:val="both"/>
              <w:rPr>
                <w:caps w:val="false"/>
                <w:smallCaps w:val="false"/>
                <w:color w:val="1A1A1A"/>
              </w:rPr>
            </w:pPr>
            <w:r>
              <w:rPr>
                <w:caps w:val="false"/>
                <w:smallCaps w:val="false"/>
                <w:color w:val="1A1A1A"/>
              </w:rPr>
              <w:t> </w:t>
            </w:r>
          </w:p>
        </w:tc>
      </w:tr>
    </w:tbl>
    <w:p>
      <w:pPr>
        <w:pStyle w:val="TextBody"/>
        <w:bidi w:val="0"/>
        <w:spacing w:before="0" w:after="283"/>
        <w:jc w:val="left"/>
        <w:rPr/>
      </w:pPr>
      <w:r>
        <w:rPr/>
        <w:t> </w:t>
      </w:r>
    </w:p>
    <w:p>
      <w:pPr>
        <w:pStyle w:val="TextBody"/>
        <w:bidi w:val="0"/>
        <w:jc w:val="center"/>
        <w:rPr/>
      </w:pPr>
      <w:r>
        <w:rPr/>
        <w:drawing>
          <wp:inline distT="0" distB="0" distL="0" distR="0">
            <wp:extent cx="7620000" cy="107632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7620000" cy="1076325"/>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drawing>
          <wp:inline distT="0" distB="0" distL="0" distR="0">
            <wp:extent cx="7620000" cy="10953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7620000" cy="1095375"/>
                    </a:xfrm>
                    <a:prstGeom prst="rect">
                      <a:avLst/>
                    </a:prstGeom>
                  </pic:spPr>
                </pic:pic>
              </a:graphicData>
            </a:graphic>
          </wp:inline>
        </w:drawing>
      </w:r>
    </w:p>
    <w:p>
      <w:pPr>
        <w:pStyle w:val="TextBody"/>
        <w:bidi w:val="0"/>
        <w:spacing w:before="0" w:after="283"/>
        <w:jc w:val="left"/>
        <w:rPr/>
      </w:pPr>
      <w:r>
        <w:rPr/>
        <w:t> </w:t>
      </w:r>
    </w:p>
    <w:tbl>
      <w:tblPr>
        <w:tblW w:w="3075" w:type="dxa"/>
        <w:jc w:val="left"/>
        <w:tblInd w:w="-10" w:type="dxa"/>
        <w:tblLayout w:type="fixed"/>
        <w:tblCellMar>
          <w:top w:w="28" w:type="dxa"/>
          <w:left w:w="28" w:type="dxa"/>
          <w:bottom w:w="0" w:type="dxa"/>
          <w:right w:w="28" w:type="dxa"/>
        </w:tblCellMar>
      </w:tblPr>
      <w:tblGrid>
        <w:gridCol w:w="75"/>
        <w:gridCol w:w="60"/>
        <w:gridCol w:w="60"/>
        <w:gridCol w:w="1550"/>
        <w:gridCol w:w="710"/>
        <w:gridCol w:w="620"/>
      </w:tblGrid>
      <w:tr>
        <w:trPr/>
        <w:tc>
          <w:tcPr>
            <w:tcW w:w="75" w:type="dxa"/>
            <w:tcBorders>
              <w:top w:val="single" w:sz="8" w:space="0" w:color="BFBFBF"/>
              <w:left w:val="single" w:sz="8" w:space="0" w:color="BFBFBF"/>
              <w:right w:val="single" w:sz="8" w:space="0" w:color="BFBFBF"/>
            </w:tcBorders>
            <w:shd w:fill="F4F4F4" w:val="clear"/>
            <w:vAlign w:val="center"/>
          </w:tcPr>
          <w:p>
            <w:pPr>
              <w:pStyle w:val="TableContents"/>
              <w:bidi w:val="0"/>
              <w:spacing w:before="0" w:after="283"/>
              <w:jc w:val="left"/>
              <w:rPr/>
            </w:pPr>
            <w:r>
              <w:rPr/>
              <w:t> </w:t>
            </w:r>
          </w:p>
        </w:tc>
        <w:tc>
          <w:tcPr>
            <w:tcW w:w="60" w:type="dxa"/>
            <w:tcBorders>
              <w:top w:val="single" w:sz="8" w:space="0" w:color="BFBFBF"/>
              <w:right w:val="single" w:sz="8" w:space="0" w:color="BFBFBF"/>
            </w:tcBorders>
            <w:shd w:fill="F4F4F4" w:val="clear"/>
            <w:tcMar>
              <w:left w:w="0" w:type="dxa"/>
            </w:tcMar>
            <w:vAlign w:val="center"/>
          </w:tcPr>
          <w:p>
            <w:pPr>
              <w:pStyle w:val="TableContents"/>
              <w:bidi w:val="0"/>
              <w:spacing w:before="0" w:after="283"/>
              <w:jc w:val="left"/>
              <w:rPr/>
            </w:pPr>
            <w:r>
              <w:rPr/>
              <w:t> </w:t>
            </w:r>
          </w:p>
        </w:tc>
        <w:tc>
          <w:tcPr>
            <w:tcW w:w="60" w:type="dxa"/>
            <w:tcBorders>
              <w:top w:val="single" w:sz="8" w:space="0" w:color="BFBFBF"/>
            </w:tcBorders>
            <w:shd w:fill="F4F4F4" w:val="clear"/>
            <w:tcMar>
              <w:left w:w="0" w:type="dxa"/>
              <w:right w:w="0" w:type="dxa"/>
            </w:tcMar>
            <w:vAlign w:val="center"/>
          </w:tcPr>
          <w:p>
            <w:pPr>
              <w:pStyle w:val="TableContents"/>
              <w:bidi w:val="0"/>
              <w:spacing w:before="0" w:after="283"/>
              <w:jc w:val="left"/>
              <w:rPr/>
            </w:pPr>
            <w:r>
              <w:rPr/>
              <w:t> </w:t>
            </w:r>
          </w:p>
        </w:tc>
        <w:tc>
          <w:tcPr>
            <w:tcW w:w="1550" w:type="dxa"/>
            <w:tcBorders>
              <w:top w:val="single" w:sz="8" w:space="0" w:color="BFBFBF"/>
            </w:tcBorders>
            <w:shd w:fill="F4F4F4" w:val="clear"/>
            <w:tcMar>
              <w:left w:w="0" w:type="dxa"/>
              <w:right w:w="0" w:type="dxa"/>
            </w:tcMar>
            <w:vAlign w:val="center"/>
          </w:tcPr>
          <w:p>
            <w:pPr>
              <w:pStyle w:val="TableContents"/>
              <w:bidi w:val="0"/>
              <w:spacing w:before="0" w:after="283"/>
              <w:jc w:val="both"/>
              <w:rPr>
                <w:caps w:val="false"/>
                <w:smallCaps w:val="false"/>
                <w:color w:val="1A1A1A"/>
              </w:rPr>
            </w:pPr>
            <w:r>
              <w:rPr>
                <w:caps w:val="false"/>
                <w:smallCaps w:val="false"/>
                <w:color w:val="1A1A1A"/>
              </w:rPr>
              <w:t> </w:t>
            </w:r>
          </w:p>
        </w:tc>
        <w:tc>
          <w:tcPr>
            <w:tcW w:w="710" w:type="dxa"/>
            <w:tcBorders>
              <w:top w:val="single" w:sz="8" w:space="0" w:color="BFBFBF"/>
            </w:tcBorders>
            <w:shd w:fill="F4F4F4" w:val="clear"/>
            <w:tcMar>
              <w:left w:w="0" w:type="dxa"/>
              <w:right w:w="0" w:type="dxa"/>
            </w:tcMar>
            <w:vAlign w:val="center"/>
          </w:tcPr>
          <w:p>
            <w:pPr>
              <w:pStyle w:val="TableContents"/>
              <w:bidi w:val="0"/>
              <w:spacing w:before="0" w:after="283"/>
              <w:jc w:val="both"/>
              <w:rPr>
                <w:caps w:val="false"/>
                <w:smallCaps w:val="false"/>
                <w:color w:val="1A1A1A"/>
              </w:rPr>
            </w:pPr>
            <w:r>
              <w:rPr>
                <w:caps w:val="false"/>
                <w:smallCaps w:val="false"/>
                <w:color w:val="1A1A1A"/>
              </w:rPr>
              <w:t> </w:t>
            </w:r>
          </w:p>
        </w:tc>
        <w:tc>
          <w:tcPr>
            <w:tcW w:w="620" w:type="dxa"/>
            <w:tcBorders>
              <w:top w:val="single" w:sz="8" w:space="0" w:color="BFBFBF"/>
              <w:right w:val="single" w:sz="8" w:space="0" w:color="BFBFBF"/>
            </w:tcBorders>
            <w:shd w:fill="F4F4F4" w:val="clear"/>
            <w:tcMar>
              <w:left w:w="0" w:type="dxa"/>
              <w:right w:w="108" w:type="dxa"/>
            </w:tcMar>
            <w:vAlign w:val="center"/>
          </w:tcPr>
          <w:p>
            <w:pPr>
              <w:pStyle w:val="TableContents"/>
              <w:bidi w:val="0"/>
              <w:spacing w:before="0" w:after="283"/>
              <w:jc w:val="both"/>
              <w:rPr>
                <w:caps w:val="false"/>
                <w:smallCaps w:val="false"/>
                <w:color w:val="1A1A1A"/>
              </w:rPr>
            </w:pPr>
            <w:r>
              <w:rPr>
                <w:caps w:val="false"/>
                <w:smallCaps w:val="false"/>
                <w:color w:val="1A1A1A"/>
              </w:rPr>
              <w:t> </w:t>
            </w:r>
          </w:p>
        </w:tc>
      </w:tr>
      <w:tr>
        <w:trPr/>
        <w:tc>
          <w:tcPr>
            <w:tcW w:w="75" w:type="dxa"/>
            <w:tcBorders>
              <w:left w:val="single" w:sz="8" w:space="0" w:color="BFBFBF"/>
              <w:right w:val="single" w:sz="8" w:space="0" w:color="BFBFBF"/>
            </w:tcBorders>
            <w:shd w:fill="F4F4F4" w:val="clear"/>
            <w:tcMar>
              <w:top w:w="0" w:type="dxa"/>
            </w:tcMar>
            <w:vAlign w:val="center"/>
          </w:tcPr>
          <w:p>
            <w:pPr>
              <w:pStyle w:val="TableContents"/>
              <w:bidi w:val="0"/>
              <w:spacing w:before="0" w:after="283"/>
              <w:jc w:val="left"/>
              <w:rPr/>
            </w:pPr>
            <w:r>
              <w:rPr/>
              <w:t> </w:t>
            </w:r>
          </w:p>
        </w:tc>
        <w:tc>
          <w:tcPr>
            <w:tcW w:w="60" w:type="dxa"/>
            <w:tcBorders>
              <w:right w:val="single" w:sz="8" w:space="0" w:color="BFBFBF"/>
            </w:tcBorders>
            <w:shd w:fill="F4F4F4" w:val="clear"/>
            <w:tcMar>
              <w:top w:w="0" w:type="dxa"/>
              <w:left w:w="0" w:type="dxa"/>
            </w:tcMar>
            <w:vAlign w:val="center"/>
          </w:tcPr>
          <w:p>
            <w:pPr>
              <w:pStyle w:val="TableContents"/>
              <w:bidi w:val="0"/>
              <w:spacing w:before="0" w:after="283"/>
              <w:jc w:val="left"/>
              <w:rPr/>
            </w:pPr>
            <w:r>
              <w:rPr/>
              <w:t> </w:t>
            </w:r>
          </w:p>
        </w:tc>
        <w:tc>
          <w:tcPr>
            <w:tcW w:w="60" w:type="dxa"/>
            <w:tcBorders/>
            <w:shd w:fill="F4F4F4" w:val="clear"/>
            <w:tcMar>
              <w:top w:w="0" w:type="dxa"/>
              <w:left w:w="0" w:type="dxa"/>
              <w:right w:w="0" w:type="dxa"/>
            </w:tcMar>
            <w:vAlign w:val="center"/>
          </w:tcPr>
          <w:p>
            <w:pPr>
              <w:pStyle w:val="TableContents"/>
              <w:bidi w:val="0"/>
              <w:spacing w:before="0" w:after="283"/>
              <w:jc w:val="left"/>
              <w:rPr/>
            </w:pPr>
            <w:r>
              <w:rPr/>
              <w:t> </w:t>
            </w:r>
          </w:p>
        </w:tc>
        <w:tc>
          <w:tcPr>
            <w:tcW w:w="1550" w:type="dxa"/>
            <w:tcBorders>
              <w:left w:val="single" w:sz="8" w:space="0" w:color="BFBFBF"/>
              <w:bottom w:val="single" w:sz="8" w:space="0" w:color="BFBFBF"/>
              <w:right w:val="single" w:sz="8" w:space="0" w:color="BFBFBF"/>
            </w:tcBorders>
            <w:shd w:fill="F4F4F4" w:val="clear"/>
            <w:tcMar>
              <w:top w:w="0" w:type="dxa"/>
              <w:left w:w="108" w:type="dxa"/>
              <w:bottom w:w="200" w:type="dxa"/>
              <w:right w:w="108" w:type="dxa"/>
            </w:tcMar>
            <w:vAlign w:val="center"/>
          </w:tcPr>
          <w:p>
            <w:pPr>
              <w:pStyle w:val="TableContents"/>
              <w:bidi w:val="0"/>
              <w:spacing w:before="0" w:after="283"/>
              <w:jc w:val="both"/>
              <w:rPr>
                <w:rFonts w:ascii="Arial;Helvetica;Sans-Serif" w:hAnsi="Arial;Helvetica;Sans-Serif"/>
                <w:b w:val="false"/>
                <w:i w:val="false"/>
                <w:caps w:val="false"/>
                <w:smallCaps w:val="false"/>
                <w:color w:val="1A1A1A"/>
                <w:sz w:val="18"/>
              </w:rPr>
            </w:pPr>
            <w:r>
              <w:rPr>
                <w:rFonts w:ascii="Arial;Helvetica;Sans-Serif" w:hAnsi="Arial;Helvetica;Sans-Serif"/>
                <w:b w:val="false"/>
                <w:i w:val="false"/>
                <w:caps w:val="false"/>
                <w:smallCaps w:val="false"/>
                <w:color w:val="1A1A1A"/>
                <w:sz w:val="18"/>
              </w:rPr>
              <w:t>Operations</w:t>
            </w:r>
          </w:p>
        </w:tc>
        <w:tc>
          <w:tcPr>
            <w:tcW w:w="710" w:type="dxa"/>
            <w:tcBorders>
              <w:bottom w:val="single" w:sz="8" w:space="0" w:color="BFBFBF"/>
              <w:right w:val="single" w:sz="8" w:space="0" w:color="BFBFBF"/>
            </w:tcBorders>
            <w:shd w:fill="F4F4F4" w:val="clear"/>
            <w:tcMar>
              <w:top w:w="0" w:type="dxa"/>
              <w:left w:w="0" w:type="dxa"/>
              <w:bottom w:w="200" w:type="dxa"/>
              <w:right w:w="108" w:type="dxa"/>
            </w:tcMar>
            <w:vAlign w:val="center"/>
          </w:tcPr>
          <w:p>
            <w:pPr>
              <w:pStyle w:val="TableContents"/>
              <w:bidi w:val="0"/>
              <w:spacing w:before="0" w:after="283"/>
              <w:jc w:val="both"/>
              <w:rPr>
                <w:rFonts w:ascii="Arial;Helvetica;Sans-Serif" w:hAnsi="Arial;Helvetica;Sans-Serif"/>
                <w:b w:val="false"/>
                <w:i w:val="false"/>
                <w:caps w:val="false"/>
                <w:smallCaps w:val="false"/>
                <w:color w:val="1A1A1A"/>
                <w:sz w:val="18"/>
              </w:rPr>
            </w:pPr>
            <w:r>
              <w:rPr>
                <w:rFonts w:ascii="Arial;Helvetica;Sans-Serif" w:hAnsi="Arial;Helvetica;Sans-Serif"/>
                <w:b w:val="false"/>
                <w:i w:val="false"/>
                <w:caps w:val="false"/>
                <w:smallCaps w:val="false"/>
                <w:color w:val="1A1A1A"/>
                <w:sz w:val="18"/>
              </w:rPr>
              <w:t>10–40%</w:t>
            </w:r>
          </w:p>
        </w:tc>
        <w:tc>
          <w:tcPr>
            <w:tcW w:w="620" w:type="dxa"/>
            <w:tcBorders>
              <w:bottom w:val="single" w:sz="8" w:space="0" w:color="BFBFBF"/>
              <w:right w:val="single" w:sz="12" w:space="0" w:color="BFBFBF"/>
            </w:tcBorders>
            <w:shd w:fill="F4F4F4" w:val="clear"/>
            <w:tcMar>
              <w:top w:w="0" w:type="dxa"/>
              <w:left w:w="0" w:type="dxa"/>
              <w:bottom w:w="200" w:type="dxa"/>
              <w:right w:w="108" w:type="dxa"/>
            </w:tcMar>
            <w:vAlign w:val="center"/>
          </w:tcPr>
          <w:p>
            <w:pPr>
              <w:pStyle w:val="TableContents"/>
              <w:bidi w:val="0"/>
              <w:spacing w:before="0" w:after="283"/>
              <w:jc w:val="both"/>
              <w:rPr>
                <w:rFonts w:ascii="Arial;Helvetica;Sans-Serif" w:hAnsi="Arial;Helvetica;Sans-Serif"/>
                <w:b w:val="false"/>
                <w:i w:val="false"/>
                <w:caps w:val="false"/>
                <w:smallCaps w:val="false"/>
                <w:color w:val="1A1A1A"/>
                <w:sz w:val="18"/>
              </w:rPr>
            </w:pPr>
            <w:r>
              <w:rPr>
                <w:rFonts w:ascii="Arial;Helvetica;Sans-Serif" w:hAnsi="Arial;Helvetica;Sans-Serif"/>
                <w:b w:val="false"/>
                <w:i w:val="false"/>
                <w:caps w:val="false"/>
                <w:smallCaps w:val="false"/>
                <w:color w:val="1A1A1A"/>
                <w:sz w:val="18"/>
              </w:rPr>
              <w:t>0–40%</w:t>
            </w:r>
          </w:p>
        </w:tc>
      </w:tr>
      <w:tr>
        <w:trPr/>
        <w:tc>
          <w:tcPr>
            <w:tcW w:w="75" w:type="dxa"/>
            <w:tcBorders>
              <w:left w:val="single" w:sz="8" w:space="0" w:color="BFBFBF"/>
              <w:right w:val="single" w:sz="8" w:space="0" w:color="BFBFBF"/>
            </w:tcBorders>
            <w:shd w:fill="F4F4F4" w:val="clear"/>
            <w:tcMar>
              <w:top w:w="0" w:type="dxa"/>
            </w:tcMar>
            <w:vAlign w:val="center"/>
          </w:tcPr>
          <w:p>
            <w:pPr>
              <w:pStyle w:val="TableContents"/>
              <w:bidi w:val="0"/>
              <w:spacing w:before="0" w:after="283"/>
              <w:jc w:val="left"/>
              <w:rPr/>
            </w:pPr>
            <w:r>
              <w:rPr/>
              <w:t> </w:t>
            </w:r>
          </w:p>
        </w:tc>
        <w:tc>
          <w:tcPr>
            <w:tcW w:w="60" w:type="dxa"/>
            <w:tcBorders>
              <w:right w:val="single" w:sz="8" w:space="0" w:color="BFBFBF"/>
            </w:tcBorders>
            <w:shd w:fill="F4F4F4" w:val="clear"/>
            <w:tcMar>
              <w:top w:w="0" w:type="dxa"/>
              <w:left w:w="0" w:type="dxa"/>
            </w:tcMar>
            <w:vAlign w:val="center"/>
          </w:tcPr>
          <w:p>
            <w:pPr>
              <w:pStyle w:val="TableContents"/>
              <w:bidi w:val="0"/>
              <w:spacing w:before="0" w:after="283"/>
              <w:jc w:val="left"/>
              <w:rPr/>
            </w:pPr>
            <w:r>
              <w:rPr/>
              <w:t> </w:t>
            </w:r>
          </w:p>
        </w:tc>
        <w:tc>
          <w:tcPr>
            <w:tcW w:w="60" w:type="dxa"/>
            <w:tcBorders/>
            <w:shd w:fill="F4F4F4" w:val="clear"/>
            <w:tcMar>
              <w:top w:w="0" w:type="dxa"/>
              <w:left w:w="0" w:type="dxa"/>
              <w:right w:w="0" w:type="dxa"/>
            </w:tcMar>
            <w:vAlign w:val="center"/>
          </w:tcPr>
          <w:p>
            <w:pPr>
              <w:pStyle w:val="TableContents"/>
              <w:bidi w:val="0"/>
              <w:spacing w:before="0" w:after="283"/>
              <w:jc w:val="left"/>
              <w:rPr/>
            </w:pPr>
            <w:r>
              <w:rPr/>
              <w:t> </w:t>
            </w:r>
          </w:p>
        </w:tc>
        <w:tc>
          <w:tcPr>
            <w:tcW w:w="1550" w:type="dxa"/>
            <w:tcBorders>
              <w:left w:val="single" w:sz="8" w:space="0" w:color="BFBFBF"/>
              <w:bottom w:val="single" w:sz="8" w:space="0" w:color="BFBFBF"/>
              <w:right w:val="single" w:sz="8" w:space="0" w:color="BFBFBF"/>
            </w:tcBorders>
            <w:shd w:fill="F4F4F4" w:val="clear"/>
            <w:tcMar>
              <w:top w:w="0" w:type="dxa"/>
              <w:left w:w="108" w:type="dxa"/>
              <w:bottom w:w="200" w:type="dxa"/>
              <w:right w:w="108" w:type="dxa"/>
            </w:tcMar>
            <w:vAlign w:val="center"/>
          </w:tcPr>
          <w:p>
            <w:pPr>
              <w:pStyle w:val="TableContents"/>
              <w:bidi w:val="0"/>
              <w:spacing w:before="0" w:after="283"/>
              <w:jc w:val="both"/>
              <w:rPr>
                <w:rFonts w:ascii="Arial;Helvetica;Sans-Serif" w:hAnsi="Arial;Helvetica;Sans-Serif"/>
                <w:b w:val="false"/>
                <w:i w:val="false"/>
                <w:caps w:val="false"/>
                <w:smallCaps w:val="false"/>
                <w:color w:val="1A1A1A"/>
                <w:sz w:val="18"/>
              </w:rPr>
            </w:pPr>
            <w:r>
              <w:rPr>
                <w:rFonts w:ascii="Arial;Helvetica;Sans-Serif" w:hAnsi="Arial;Helvetica;Sans-Serif"/>
                <w:b w:val="false"/>
                <w:i w:val="false"/>
                <w:caps w:val="false"/>
                <w:smallCaps w:val="false"/>
                <w:color w:val="1A1A1A"/>
                <w:sz w:val="18"/>
              </w:rPr>
              <w:t>Human Resources</w:t>
            </w:r>
          </w:p>
        </w:tc>
        <w:tc>
          <w:tcPr>
            <w:tcW w:w="710" w:type="dxa"/>
            <w:tcBorders>
              <w:bottom w:val="single" w:sz="8" w:space="0" w:color="BFBFBF"/>
              <w:right w:val="single" w:sz="8" w:space="0" w:color="BFBFBF"/>
            </w:tcBorders>
            <w:shd w:fill="F4F4F4" w:val="clear"/>
            <w:tcMar>
              <w:top w:w="0" w:type="dxa"/>
              <w:left w:w="0" w:type="dxa"/>
              <w:bottom w:w="200" w:type="dxa"/>
              <w:right w:w="108" w:type="dxa"/>
            </w:tcMar>
            <w:vAlign w:val="center"/>
          </w:tcPr>
          <w:p>
            <w:pPr>
              <w:pStyle w:val="TableContents"/>
              <w:bidi w:val="0"/>
              <w:spacing w:before="0" w:after="283"/>
              <w:jc w:val="both"/>
              <w:rPr>
                <w:rFonts w:ascii="Arial;Helvetica;Sans-Serif" w:hAnsi="Arial;Helvetica;Sans-Serif"/>
                <w:b w:val="false"/>
                <w:i w:val="false"/>
                <w:caps w:val="false"/>
                <w:smallCaps w:val="false"/>
                <w:color w:val="1A1A1A"/>
                <w:sz w:val="18"/>
              </w:rPr>
            </w:pPr>
            <w:r>
              <w:rPr>
                <w:rFonts w:ascii="Arial;Helvetica;Sans-Serif" w:hAnsi="Arial;Helvetica;Sans-Serif"/>
                <w:b w:val="false"/>
                <w:i w:val="false"/>
                <w:caps w:val="false"/>
                <w:smallCaps w:val="false"/>
                <w:color w:val="1A1A1A"/>
                <w:sz w:val="18"/>
              </w:rPr>
              <w:t>5–15%</w:t>
            </w:r>
          </w:p>
        </w:tc>
        <w:tc>
          <w:tcPr>
            <w:tcW w:w="620" w:type="dxa"/>
            <w:tcBorders>
              <w:bottom w:val="single" w:sz="8" w:space="0" w:color="BFBFBF"/>
              <w:right w:val="single" w:sz="12" w:space="0" w:color="BFBFBF"/>
            </w:tcBorders>
            <w:shd w:fill="F4F4F4" w:val="clear"/>
            <w:tcMar>
              <w:top w:w="0" w:type="dxa"/>
              <w:left w:w="0" w:type="dxa"/>
              <w:bottom w:w="200" w:type="dxa"/>
              <w:right w:w="108" w:type="dxa"/>
            </w:tcMar>
            <w:vAlign w:val="center"/>
          </w:tcPr>
          <w:p>
            <w:pPr>
              <w:pStyle w:val="TableContents"/>
              <w:bidi w:val="0"/>
              <w:spacing w:before="0" w:after="283"/>
              <w:jc w:val="both"/>
              <w:rPr>
                <w:rFonts w:ascii="Arial;Helvetica;Sans-Serif" w:hAnsi="Arial;Helvetica;Sans-Serif"/>
                <w:b w:val="false"/>
                <w:i w:val="false"/>
                <w:caps w:val="false"/>
                <w:smallCaps w:val="false"/>
                <w:color w:val="1A1A1A"/>
                <w:sz w:val="18"/>
              </w:rPr>
            </w:pPr>
            <w:r>
              <w:rPr>
                <w:rFonts w:ascii="Arial;Helvetica;Sans-Serif" w:hAnsi="Arial;Helvetica;Sans-Serif"/>
                <w:b w:val="false"/>
                <w:i w:val="false"/>
                <w:caps w:val="false"/>
                <w:smallCaps w:val="false"/>
                <w:color w:val="1A1A1A"/>
                <w:sz w:val="18"/>
              </w:rPr>
              <w:t>0–15%</w:t>
            </w:r>
          </w:p>
        </w:tc>
      </w:tr>
    </w:tbl>
    <w:tbl>
      <w:tblPr>
        <w:tblW w:w="10205" w:type="dxa"/>
        <w:jc w:val="left"/>
        <w:tblInd w:w="-10" w:type="dxa"/>
        <w:tblLayout w:type="fixed"/>
        <w:tblCellMar>
          <w:top w:w="0" w:type="dxa"/>
          <w:left w:w="120" w:type="dxa"/>
          <w:bottom w:w="0" w:type="dxa"/>
          <w:right w:w="120" w:type="dxa"/>
        </w:tblCellMar>
      </w:tblPr>
      <w:tblGrid>
        <w:gridCol w:w="75"/>
        <w:gridCol w:w="60"/>
        <w:gridCol w:w="60"/>
        <w:gridCol w:w="10010"/>
      </w:tblGrid>
      <w:tr>
        <w:trPr/>
        <w:tc>
          <w:tcPr>
            <w:tcW w:w="75" w:type="dxa"/>
            <w:tcBorders>
              <w:left w:val="single" w:sz="8" w:space="0" w:color="BFBFBF"/>
              <w:right w:val="single" w:sz="8" w:space="0" w:color="BFBFBF"/>
            </w:tcBorders>
            <w:vAlign w:val="center"/>
          </w:tcPr>
          <w:p>
            <w:pPr>
              <w:pStyle w:val="TableContents"/>
              <w:bidi w:val="0"/>
              <w:spacing w:before="0" w:after="283"/>
              <w:jc w:val="both"/>
              <w:rPr>
                <w:caps w:val="false"/>
                <w:smallCaps w:val="false"/>
                <w:color w:val="1A1A1A"/>
              </w:rPr>
            </w:pPr>
            <w:r>
              <w:rPr>
                <w:caps w:val="false"/>
                <w:smallCaps w:val="false"/>
                <w:color w:val="1A1A1A"/>
              </w:rPr>
              <w:t> </w:t>
            </w:r>
          </w:p>
        </w:tc>
        <w:tc>
          <w:tcPr>
            <w:tcW w:w="60" w:type="dxa"/>
            <w:tcBorders>
              <w:right w:val="single" w:sz="8" w:space="0" w:color="BFBFBF"/>
            </w:tcBorders>
            <w:tcMar>
              <w:left w:w="0" w:type="dxa"/>
            </w:tcMar>
            <w:vAlign w:val="center"/>
          </w:tcPr>
          <w:p>
            <w:pPr>
              <w:pStyle w:val="TableContents"/>
              <w:bidi w:val="0"/>
              <w:spacing w:before="0" w:after="283"/>
              <w:jc w:val="both"/>
              <w:rPr>
                <w:caps w:val="false"/>
                <w:smallCaps w:val="false"/>
                <w:color w:val="1A1A1A"/>
              </w:rPr>
            </w:pPr>
            <w:r>
              <w:rPr>
                <w:caps w:val="false"/>
                <w:smallCaps w:val="false"/>
                <w:color w:val="1A1A1A"/>
              </w:rPr>
              <w:t> </w:t>
            </w:r>
          </w:p>
        </w:tc>
        <w:tc>
          <w:tcPr>
            <w:tcW w:w="60" w:type="dxa"/>
            <w:tcBorders/>
            <w:tcMar>
              <w:left w:w="0" w:type="dxa"/>
              <w:right w:w="0" w:type="dxa"/>
            </w:tcMar>
            <w:vAlign w:val="center"/>
          </w:tcPr>
          <w:p>
            <w:pPr>
              <w:pStyle w:val="TableContents"/>
              <w:bidi w:val="0"/>
              <w:spacing w:before="0" w:after="283"/>
              <w:jc w:val="left"/>
              <w:rPr/>
            </w:pPr>
            <w:r>
              <w:rPr/>
              <w:t> </w:t>
            </w:r>
          </w:p>
        </w:tc>
        <w:tc>
          <w:tcPr>
            <w:tcW w:w="10010" w:type="dxa"/>
            <w:tcBorders>
              <w:right w:val="single" w:sz="8" w:space="0" w:color="BFBFBF"/>
            </w:tcBorders>
            <w:tcMar>
              <w:left w:w="0" w:type="dxa"/>
            </w:tcMar>
            <w:vAlign w:val="center"/>
          </w:tcPr>
          <w:p>
            <w:pPr>
              <w:pStyle w:val="TableContents"/>
              <w:bidi w:val="0"/>
              <w:spacing w:before="0" w:after="283"/>
              <w:jc w:val="both"/>
              <w:rPr>
                <w:rFonts w:ascii="Arial;Helvetica;Sans-Serif" w:hAnsi="Arial;Helvetica;Sans-Serif"/>
                <w:b w:val="false"/>
                <w:i w:val="false"/>
                <w:caps w:val="false"/>
                <w:smallCaps w:val="false"/>
                <w:color w:val="1A1A1A"/>
                <w:sz w:val="18"/>
              </w:rPr>
            </w:pPr>
            <w:r>
              <w:rPr>
                <w:rFonts w:ascii="Arial;Helvetica;Sans-Serif" w:hAnsi="Arial;Helvetica;Sans-Serif"/>
                <w:b w:val="false"/>
                <w:i w:val="false"/>
                <w:caps w:val="false"/>
                <w:smallCaps w:val="false"/>
                <w:color w:val="1A1A1A"/>
                <w:sz w:val="18"/>
              </w:rPr>
              <w:t>The MBO payout matrix sets a minimum threshold for each metric below which no payout is made for that metric. A proportional payout of between 50% and 100% of target is made for MBO scores between the applicable minimum threshold (70% for the Chief Executive Officer and 65% for the Other Executive Officers) and 1.0 (target performance), and an increased payout is made for upside performance with an MBO score above 1.0, with the maximum payout under this portion of the annual bonus capped at 140% of target for a score of 1.3 or above. There is linear interpolation between all points.  No payout is made under this portion of the annual bonus for the overall MBO score below the applicable minimum threshold.</w:t>
            </w:r>
          </w:p>
        </w:tc>
      </w:tr>
    </w:tbl>
    <w:tbl>
      <w:tblPr>
        <w:tblW w:w="5820" w:type="dxa"/>
        <w:jc w:val="left"/>
        <w:tblInd w:w="-10" w:type="dxa"/>
        <w:tblLayout w:type="fixed"/>
        <w:tblCellMar>
          <w:top w:w="0" w:type="dxa"/>
          <w:left w:w="28" w:type="dxa"/>
          <w:bottom w:w="0" w:type="dxa"/>
          <w:right w:w="28" w:type="dxa"/>
        </w:tblCellMar>
      </w:tblPr>
      <w:tblGrid>
        <w:gridCol w:w="75"/>
        <w:gridCol w:w="60"/>
        <w:gridCol w:w="60"/>
        <w:gridCol w:w="1985"/>
        <w:gridCol w:w="2345"/>
        <w:gridCol w:w="1220"/>
        <w:gridCol w:w="75"/>
      </w:tblGrid>
      <w:tr>
        <w:trPr/>
        <w:tc>
          <w:tcPr>
            <w:tcW w:w="75" w:type="dxa"/>
            <w:tcBorders>
              <w:left w:val="single" w:sz="8" w:space="0" w:color="BFBFBF"/>
              <w:right w:val="single" w:sz="8" w:space="0" w:color="BFBFBF"/>
            </w:tcBorders>
            <w:shd w:fill="F4F4F4" w:val="clear"/>
            <w:vAlign w:val="center"/>
          </w:tcPr>
          <w:p>
            <w:pPr>
              <w:pStyle w:val="TableContents"/>
              <w:bidi w:val="0"/>
              <w:spacing w:before="0" w:after="283"/>
              <w:jc w:val="left"/>
              <w:rPr/>
            </w:pPr>
            <w:r>
              <w:rPr/>
              <w:t> </w:t>
            </w:r>
          </w:p>
        </w:tc>
        <w:tc>
          <w:tcPr>
            <w:tcW w:w="60" w:type="dxa"/>
            <w:tcBorders>
              <w:right w:val="single" w:sz="8" w:space="0" w:color="BFBFBF"/>
            </w:tcBorders>
            <w:shd w:fill="F4F4F4" w:val="clear"/>
            <w:tcMar>
              <w:left w:w="0" w:type="dxa"/>
            </w:tcMar>
            <w:vAlign w:val="center"/>
          </w:tcPr>
          <w:p>
            <w:pPr>
              <w:pStyle w:val="TableContents"/>
              <w:bidi w:val="0"/>
              <w:spacing w:before="0" w:after="283"/>
              <w:jc w:val="left"/>
              <w:rPr/>
            </w:pPr>
            <w:r>
              <w:rPr/>
              <w:t> </w:t>
            </w:r>
          </w:p>
        </w:tc>
        <w:tc>
          <w:tcPr>
            <w:tcW w:w="60" w:type="dxa"/>
            <w:tcBorders/>
            <w:shd w:fill="F4F4F4" w:val="clear"/>
            <w:tcMar>
              <w:left w:w="0" w:type="dxa"/>
              <w:right w:w="0" w:type="dxa"/>
            </w:tcMar>
            <w:vAlign w:val="center"/>
          </w:tcPr>
          <w:p>
            <w:pPr>
              <w:pStyle w:val="TableContents"/>
              <w:bidi w:val="0"/>
              <w:spacing w:before="0" w:after="283"/>
              <w:jc w:val="left"/>
              <w:rPr/>
            </w:pPr>
            <w:r>
              <w:rPr/>
              <w:t> </w:t>
            </w:r>
          </w:p>
        </w:tc>
        <w:tc>
          <w:tcPr>
            <w:tcW w:w="1985" w:type="dxa"/>
            <w:tcBorders>
              <w:top w:val="single" w:sz="8" w:space="0" w:color="0B4F74"/>
              <w:bottom w:val="single" w:sz="8" w:space="0" w:color="0B4F74"/>
            </w:tcBorders>
            <w:shd w:fill="004BAA" w:val="clear"/>
            <w:tcMar>
              <w:top w:w="200" w:type="dxa"/>
              <w:left w:w="0" w:type="dxa"/>
              <w:bottom w:w="200" w:type="dxa"/>
              <w:right w:w="0" w:type="dxa"/>
            </w:tcMar>
            <w:vAlign w:val="center"/>
          </w:tcPr>
          <w:p>
            <w:pPr>
              <w:pStyle w:val="TableContents"/>
              <w:bidi w:val="0"/>
              <w:spacing w:before="0" w:after="283"/>
              <w:jc w:val="left"/>
              <w:rPr>
                <w:rFonts w:ascii="Arial;Helvetica;Sans-Serif" w:hAnsi="Arial;Helvetica;Sans-Serif"/>
                <w:b/>
                <w:i w:val="false"/>
                <w:caps w:val="false"/>
                <w:smallCaps w:val="false"/>
                <w:color w:val="FFFFFF"/>
                <w:sz w:val="22"/>
              </w:rPr>
            </w:pPr>
            <w:r>
              <w:rPr>
                <w:rFonts w:ascii="Arial;Helvetica;Sans-Serif" w:hAnsi="Arial;Helvetica;Sans-Serif"/>
                <w:b/>
                <w:i w:val="false"/>
                <w:caps w:val="false"/>
                <w:smallCaps w:val="false"/>
                <w:color w:val="FFFFFF"/>
                <w:sz w:val="22"/>
              </w:rPr>
              <w:t>Performance Level</w:t>
            </w:r>
          </w:p>
        </w:tc>
        <w:tc>
          <w:tcPr>
            <w:tcW w:w="2345" w:type="dxa"/>
            <w:tcBorders>
              <w:top w:val="single" w:sz="8" w:space="0" w:color="0B4F74"/>
              <w:bottom w:val="single" w:sz="8" w:space="0" w:color="0B4F74"/>
            </w:tcBorders>
            <w:shd w:fill="004BAA" w:val="clear"/>
            <w:tcMar>
              <w:top w:w="200" w:type="dxa"/>
              <w:left w:w="0" w:type="dxa"/>
              <w:bottom w:w="200" w:type="dxa"/>
              <w:right w:w="0" w:type="dxa"/>
            </w:tcMar>
            <w:vAlign w:val="center"/>
          </w:tcPr>
          <w:p>
            <w:pPr>
              <w:pStyle w:val="TableContents"/>
              <w:bidi w:val="0"/>
              <w:spacing w:before="0" w:after="283"/>
              <w:jc w:val="left"/>
              <w:rPr>
                <w:rFonts w:ascii="Arial;Helvetica;Sans-Serif" w:hAnsi="Arial;Helvetica;Sans-Serif"/>
                <w:b/>
                <w:i w:val="false"/>
                <w:caps w:val="false"/>
                <w:smallCaps w:val="false"/>
                <w:color w:val="FFFFFF"/>
                <w:sz w:val="22"/>
              </w:rPr>
            </w:pPr>
            <w:r>
              <w:rPr>
                <w:rFonts w:ascii="Arial;Helvetica;Sans-Serif" w:hAnsi="Arial;Helvetica;Sans-Serif"/>
                <w:b/>
                <w:i w:val="false"/>
                <w:caps w:val="false"/>
                <w:smallCaps w:val="false"/>
                <w:color w:val="FFFFFF"/>
                <w:sz w:val="22"/>
              </w:rPr>
              <w:t xml:space="preserve">Corporate </w:t>
              <w:br/>
              <w:t>MBO Score</w:t>
            </w:r>
          </w:p>
        </w:tc>
        <w:tc>
          <w:tcPr>
            <w:tcW w:w="1220" w:type="dxa"/>
            <w:tcBorders>
              <w:top w:val="single" w:sz="8" w:space="0" w:color="0B4F74"/>
              <w:bottom w:val="single" w:sz="8" w:space="0" w:color="0B4F74"/>
            </w:tcBorders>
            <w:shd w:fill="004BAA" w:val="clear"/>
            <w:tcMar>
              <w:top w:w="200" w:type="dxa"/>
              <w:left w:w="0" w:type="dxa"/>
              <w:bottom w:w="200" w:type="dxa"/>
              <w:right w:w="0" w:type="dxa"/>
            </w:tcMar>
            <w:vAlign w:val="center"/>
          </w:tcPr>
          <w:p>
            <w:pPr>
              <w:pStyle w:val="TableContents"/>
              <w:bidi w:val="0"/>
              <w:spacing w:before="0" w:after="283"/>
              <w:jc w:val="left"/>
              <w:rPr>
                <w:rFonts w:ascii="Arial;Helvetica;Sans-Serif" w:hAnsi="Arial;Helvetica;Sans-Serif"/>
                <w:b/>
                <w:i w:val="false"/>
                <w:caps w:val="false"/>
                <w:smallCaps w:val="false"/>
                <w:color w:val="FFFFFF"/>
                <w:sz w:val="22"/>
              </w:rPr>
            </w:pPr>
            <w:r>
              <w:rPr>
                <w:rFonts w:ascii="Arial;Helvetica;Sans-Serif" w:hAnsi="Arial;Helvetica;Sans-Serif"/>
                <w:b/>
                <w:i w:val="false"/>
                <w:caps w:val="false"/>
                <w:smallCaps w:val="false"/>
                <w:color w:val="FFFFFF"/>
                <w:sz w:val="22"/>
              </w:rPr>
              <w:t xml:space="preserve">CEO </w:t>
              <w:br/>
              <w:t>Payout as</w:t>
              <w:br/>
              <w:t>% of Target</w:t>
            </w:r>
          </w:p>
        </w:tc>
        <w:tc>
          <w:tcPr>
            <w:tcW w:w="75" w:type="dxa"/>
            <w:tcBorders>
              <w:right w:val="single" w:sz="8" w:space="0" w:color="BFBFBF"/>
            </w:tcBorders>
            <w:shd w:fill="F4F4F4" w:val="clear"/>
            <w:tcMar>
              <w:left w:w="0" w:type="dxa"/>
            </w:tcMar>
            <w:vAlign w:val="center"/>
          </w:tcPr>
          <w:p>
            <w:pPr>
              <w:pStyle w:val="TableContents"/>
              <w:bidi w:val="0"/>
              <w:spacing w:before="0" w:after="283"/>
              <w:jc w:val="left"/>
              <w:rPr/>
            </w:pPr>
            <w:r>
              <w:rPr/>
              <w:t> </w:t>
            </w:r>
          </w:p>
        </w:tc>
      </w:tr>
      <w:tr>
        <w:trPr/>
        <w:tc>
          <w:tcPr>
            <w:tcW w:w="75" w:type="dxa"/>
            <w:tcBorders>
              <w:left w:val="single" w:sz="8" w:space="0" w:color="BFBFBF"/>
              <w:right w:val="single" w:sz="8" w:space="0" w:color="BFBFBF"/>
            </w:tcBorders>
            <w:shd w:fill="F4F4F4" w:val="clear"/>
            <w:vAlign w:val="center"/>
          </w:tcPr>
          <w:p>
            <w:pPr>
              <w:pStyle w:val="TableContents"/>
              <w:bidi w:val="0"/>
              <w:spacing w:before="0" w:after="283"/>
              <w:jc w:val="left"/>
              <w:rPr/>
            </w:pPr>
            <w:r>
              <w:rPr/>
              <w:t> </w:t>
            </w:r>
          </w:p>
        </w:tc>
        <w:tc>
          <w:tcPr>
            <w:tcW w:w="60" w:type="dxa"/>
            <w:tcBorders>
              <w:right w:val="single" w:sz="8" w:space="0" w:color="BFBFBF"/>
            </w:tcBorders>
            <w:shd w:fill="F4F4F4" w:val="clear"/>
            <w:tcMar>
              <w:left w:w="0" w:type="dxa"/>
            </w:tcMar>
            <w:vAlign w:val="center"/>
          </w:tcPr>
          <w:p>
            <w:pPr>
              <w:pStyle w:val="TableContents"/>
              <w:bidi w:val="0"/>
              <w:spacing w:before="0" w:after="283"/>
              <w:jc w:val="left"/>
              <w:rPr/>
            </w:pPr>
            <w:r>
              <w:rPr/>
              <w:t> </w:t>
            </w:r>
          </w:p>
        </w:tc>
        <w:tc>
          <w:tcPr>
            <w:tcW w:w="60" w:type="dxa"/>
            <w:tcBorders/>
            <w:shd w:fill="F4F4F4" w:val="clear"/>
            <w:tcMar>
              <w:left w:w="0" w:type="dxa"/>
              <w:right w:w="0" w:type="dxa"/>
            </w:tcMar>
            <w:vAlign w:val="center"/>
          </w:tcPr>
          <w:p>
            <w:pPr>
              <w:pStyle w:val="TableContents"/>
              <w:bidi w:val="0"/>
              <w:spacing w:before="0" w:after="283"/>
              <w:jc w:val="left"/>
              <w:rPr/>
            </w:pPr>
            <w:r>
              <w:rPr/>
              <w:t> </w:t>
            </w:r>
          </w:p>
        </w:tc>
        <w:tc>
          <w:tcPr>
            <w:tcW w:w="1985" w:type="dxa"/>
            <w:tcBorders/>
            <w:shd w:fill="EEF5FA" w:val="clear"/>
            <w:tcMar>
              <w:left w:w="0" w:type="dxa"/>
              <w:right w:w="0" w:type="dxa"/>
            </w:tcMar>
            <w:vAlign w:val="center"/>
          </w:tcPr>
          <w:p>
            <w:pPr>
              <w:pStyle w:val="TableContents"/>
              <w:bidi w:val="0"/>
              <w:spacing w:before="0" w:after="283"/>
              <w:jc w:val="both"/>
              <w:rPr>
                <w:rFonts w:ascii="Arial;Helvetica;Sans-Serif" w:hAnsi="Arial;Helvetica;Sans-Serif"/>
                <w:b/>
                <w:i w:val="false"/>
                <w:caps w:val="false"/>
                <w:smallCaps w:val="false"/>
                <w:color w:val="1A1A1A"/>
                <w:sz w:val="18"/>
              </w:rPr>
            </w:pPr>
            <w:r>
              <w:rPr>
                <w:rFonts w:ascii="Arial;Helvetica;Sans-Serif" w:hAnsi="Arial;Helvetica;Sans-Serif"/>
                <w:b/>
                <w:i w:val="false"/>
                <w:caps w:val="false"/>
                <w:smallCaps w:val="false"/>
                <w:color w:val="1A1A1A"/>
                <w:sz w:val="18"/>
              </w:rPr>
              <w:t>Below Threshold</w:t>
            </w:r>
          </w:p>
        </w:tc>
        <w:tc>
          <w:tcPr>
            <w:tcW w:w="2345" w:type="dxa"/>
            <w:tcBorders/>
            <w:shd w:fill="EEF5FA" w:val="clear"/>
            <w:tcMar>
              <w:left w:w="0" w:type="dxa"/>
              <w:right w:w="0" w:type="dxa"/>
            </w:tcMar>
            <w:vAlign w:val="center"/>
          </w:tcPr>
          <w:p>
            <w:pPr>
              <w:pStyle w:val="TableContents"/>
              <w:bidi w:val="0"/>
              <w:spacing w:before="0" w:after="283"/>
              <w:jc w:val="both"/>
              <w:rPr>
                <w:rFonts w:ascii="Arial;Helvetica;Sans-Serif" w:hAnsi="Arial;Helvetica;Sans-Serif"/>
                <w:b w:val="false"/>
                <w:i w:val="false"/>
                <w:caps w:val="false"/>
                <w:smallCaps w:val="false"/>
                <w:color w:val="1A1A1A"/>
                <w:sz w:val="18"/>
              </w:rPr>
            </w:pPr>
            <w:r>
              <w:rPr>
                <w:rFonts w:ascii="Arial;Helvetica;Sans-Serif" w:hAnsi="Arial;Helvetica;Sans-Serif"/>
                <w:b w:val="false"/>
                <w:i w:val="false"/>
                <w:caps w:val="false"/>
                <w:smallCaps w:val="false"/>
                <w:color w:val="1A1A1A"/>
                <w:sz w:val="18"/>
              </w:rPr>
              <w:t>&lt;0.70</w:t>
            </w:r>
          </w:p>
        </w:tc>
        <w:tc>
          <w:tcPr>
            <w:tcW w:w="1220" w:type="dxa"/>
            <w:tcBorders/>
            <w:shd w:fill="EEF5FA" w:val="clear"/>
            <w:tcMar>
              <w:left w:w="0" w:type="dxa"/>
              <w:right w:w="0" w:type="dxa"/>
            </w:tcMar>
            <w:vAlign w:val="center"/>
          </w:tcPr>
          <w:p>
            <w:pPr>
              <w:pStyle w:val="TableContents"/>
              <w:bidi w:val="0"/>
              <w:spacing w:before="0" w:after="283"/>
              <w:jc w:val="both"/>
              <w:rPr>
                <w:rFonts w:ascii="Arial;Helvetica;Sans-Serif" w:hAnsi="Arial;Helvetica;Sans-Serif"/>
                <w:b w:val="false"/>
                <w:i w:val="false"/>
                <w:caps w:val="false"/>
                <w:smallCaps w:val="false"/>
                <w:color w:val="1A1A1A"/>
                <w:sz w:val="18"/>
              </w:rPr>
            </w:pPr>
            <w:r>
              <w:rPr>
                <w:rFonts w:ascii="Arial;Helvetica;Sans-Serif" w:hAnsi="Arial;Helvetica;Sans-Serif"/>
                <w:b w:val="false"/>
                <w:i w:val="false"/>
                <w:caps w:val="false"/>
                <w:smallCaps w:val="false"/>
                <w:color w:val="1A1A1A"/>
                <w:sz w:val="18"/>
              </w:rPr>
              <w:t>0%</w:t>
            </w:r>
          </w:p>
        </w:tc>
        <w:tc>
          <w:tcPr>
            <w:tcW w:w="75" w:type="dxa"/>
            <w:tcBorders>
              <w:right w:val="single" w:sz="8" w:space="0" w:color="BFBFBF"/>
            </w:tcBorders>
            <w:shd w:fill="F4F4F4" w:val="clear"/>
            <w:tcMar>
              <w:left w:w="0" w:type="dxa"/>
            </w:tcMar>
            <w:vAlign w:val="center"/>
          </w:tcPr>
          <w:p>
            <w:pPr>
              <w:pStyle w:val="TableContents"/>
              <w:bidi w:val="0"/>
              <w:spacing w:before="0" w:after="283"/>
              <w:jc w:val="left"/>
              <w:rPr/>
            </w:pPr>
            <w:r>
              <w:rPr/>
              <w:t> </w:t>
            </w:r>
          </w:p>
        </w:tc>
      </w:tr>
      <w:tr>
        <w:trPr/>
        <w:tc>
          <w:tcPr>
            <w:tcW w:w="75" w:type="dxa"/>
            <w:tcBorders>
              <w:left w:val="single" w:sz="8" w:space="0" w:color="BFBFBF"/>
              <w:right w:val="single" w:sz="8" w:space="0" w:color="BFBFBF"/>
            </w:tcBorders>
            <w:shd w:fill="F4F4F4" w:val="clear"/>
            <w:vAlign w:val="center"/>
          </w:tcPr>
          <w:p>
            <w:pPr>
              <w:pStyle w:val="TableContents"/>
              <w:bidi w:val="0"/>
              <w:spacing w:before="0" w:after="283"/>
              <w:jc w:val="left"/>
              <w:rPr/>
            </w:pPr>
            <w:r>
              <w:rPr/>
              <w:t> </w:t>
            </w:r>
          </w:p>
        </w:tc>
        <w:tc>
          <w:tcPr>
            <w:tcW w:w="60" w:type="dxa"/>
            <w:tcBorders>
              <w:right w:val="single" w:sz="8" w:space="0" w:color="BFBFBF"/>
            </w:tcBorders>
            <w:shd w:fill="F4F4F4" w:val="clear"/>
            <w:tcMar>
              <w:left w:w="0" w:type="dxa"/>
            </w:tcMar>
            <w:vAlign w:val="center"/>
          </w:tcPr>
          <w:p>
            <w:pPr>
              <w:pStyle w:val="TableContents"/>
              <w:bidi w:val="0"/>
              <w:spacing w:before="0" w:after="283"/>
              <w:jc w:val="left"/>
              <w:rPr/>
            </w:pPr>
            <w:r>
              <w:rPr/>
              <w:t> </w:t>
            </w:r>
          </w:p>
        </w:tc>
        <w:tc>
          <w:tcPr>
            <w:tcW w:w="60" w:type="dxa"/>
            <w:tcBorders/>
            <w:shd w:fill="F4F4F4" w:val="clear"/>
            <w:tcMar>
              <w:left w:w="0" w:type="dxa"/>
              <w:right w:w="0" w:type="dxa"/>
            </w:tcMar>
            <w:vAlign w:val="center"/>
          </w:tcPr>
          <w:p>
            <w:pPr>
              <w:pStyle w:val="TableContents"/>
              <w:bidi w:val="0"/>
              <w:spacing w:before="0" w:after="283"/>
              <w:jc w:val="left"/>
              <w:rPr/>
            </w:pPr>
            <w:r>
              <w:rPr/>
              <w:t> </w:t>
            </w:r>
          </w:p>
        </w:tc>
        <w:tc>
          <w:tcPr>
            <w:tcW w:w="1985" w:type="dxa"/>
            <w:tcBorders/>
            <w:shd w:fill="F4F4F4" w:val="clear"/>
            <w:tcMar>
              <w:left w:w="0" w:type="dxa"/>
              <w:right w:w="0" w:type="dxa"/>
            </w:tcMar>
            <w:vAlign w:val="center"/>
          </w:tcPr>
          <w:p>
            <w:pPr>
              <w:pStyle w:val="TableContents"/>
              <w:bidi w:val="0"/>
              <w:spacing w:before="0" w:after="283"/>
              <w:jc w:val="both"/>
              <w:rPr>
                <w:rFonts w:ascii="Arial;Helvetica;Sans-Serif" w:hAnsi="Arial;Helvetica;Sans-Serif"/>
                <w:b/>
                <w:i w:val="false"/>
                <w:caps w:val="false"/>
                <w:smallCaps w:val="false"/>
                <w:color w:val="1A1A1A"/>
                <w:sz w:val="18"/>
              </w:rPr>
            </w:pPr>
            <w:r>
              <w:rPr>
                <w:rFonts w:ascii="Arial;Helvetica;Sans-Serif" w:hAnsi="Arial;Helvetica;Sans-Serif"/>
                <w:b/>
                <w:i w:val="false"/>
                <w:caps w:val="false"/>
                <w:smallCaps w:val="false"/>
                <w:color w:val="1A1A1A"/>
                <w:sz w:val="18"/>
              </w:rPr>
              <w:t>Threshold</w:t>
            </w:r>
          </w:p>
        </w:tc>
        <w:tc>
          <w:tcPr>
            <w:tcW w:w="2345" w:type="dxa"/>
            <w:tcBorders/>
            <w:shd w:fill="F4F4F4" w:val="clear"/>
            <w:tcMar>
              <w:left w:w="0" w:type="dxa"/>
              <w:right w:w="0" w:type="dxa"/>
            </w:tcMar>
            <w:vAlign w:val="center"/>
          </w:tcPr>
          <w:p>
            <w:pPr>
              <w:pStyle w:val="TableContents"/>
              <w:bidi w:val="0"/>
              <w:spacing w:before="0" w:after="283"/>
              <w:jc w:val="both"/>
              <w:rPr>
                <w:rFonts w:ascii="Arial;Helvetica;Sans-Serif" w:hAnsi="Arial;Helvetica;Sans-Serif"/>
                <w:b w:val="false"/>
                <w:i w:val="false"/>
                <w:caps w:val="false"/>
                <w:smallCaps w:val="false"/>
                <w:color w:val="1A1A1A"/>
                <w:sz w:val="18"/>
              </w:rPr>
            </w:pPr>
            <w:r>
              <w:rPr>
                <w:rFonts w:ascii="Arial;Helvetica;Sans-Serif" w:hAnsi="Arial;Helvetica;Sans-Serif"/>
                <w:b w:val="false"/>
                <w:i w:val="false"/>
                <w:caps w:val="false"/>
                <w:smallCaps w:val="false"/>
                <w:color w:val="1A1A1A"/>
                <w:sz w:val="18"/>
              </w:rPr>
              <w:t>0.7</w:t>
            </w:r>
          </w:p>
        </w:tc>
        <w:tc>
          <w:tcPr>
            <w:tcW w:w="1220" w:type="dxa"/>
            <w:tcBorders/>
            <w:shd w:fill="F4F4F4" w:val="clear"/>
            <w:tcMar>
              <w:left w:w="0" w:type="dxa"/>
              <w:right w:w="0" w:type="dxa"/>
            </w:tcMar>
            <w:vAlign w:val="center"/>
          </w:tcPr>
          <w:p>
            <w:pPr>
              <w:pStyle w:val="TableContents"/>
              <w:bidi w:val="0"/>
              <w:spacing w:before="0" w:after="283"/>
              <w:jc w:val="both"/>
              <w:rPr>
                <w:rFonts w:ascii="Arial;Helvetica;Sans-Serif" w:hAnsi="Arial;Helvetica;Sans-Serif"/>
                <w:b w:val="false"/>
                <w:i w:val="false"/>
                <w:caps w:val="false"/>
                <w:smallCaps w:val="false"/>
                <w:color w:val="1A1A1A"/>
                <w:sz w:val="18"/>
              </w:rPr>
            </w:pPr>
            <w:r>
              <w:rPr>
                <w:rFonts w:ascii="Arial;Helvetica;Sans-Serif" w:hAnsi="Arial;Helvetica;Sans-Serif"/>
                <w:b w:val="false"/>
                <w:i w:val="false"/>
                <w:caps w:val="false"/>
                <w:smallCaps w:val="false"/>
                <w:color w:val="1A1A1A"/>
                <w:sz w:val="18"/>
              </w:rPr>
              <w:t>50%</w:t>
            </w:r>
          </w:p>
        </w:tc>
        <w:tc>
          <w:tcPr>
            <w:tcW w:w="75" w:type="dxa"/>
            <w:tcBorders>
              <w:right w:val="single" w:sz="8" w:space="0" w:color="BFBFBF"/>
            </w:tcBorders>
            <w:shd w:fill="F4F4F4" w:val="clear"/>
            <w:tcMar>
              <w:left w:w="0" w:type="dxa"/>
            </w:tcMar>
            <w:vAlign w:val="center"/>
          </w:tcPr>
          <w:p>
            <w:pPr>
              <w:pStyle w:val="TableContents"/>
              <w:bidi w:val="0"/>
              <w:spacing w:before="0" w:after="283"/>
              <w:jc w:val="left"/>
              <w:rPr/>
            </w:pPr>
            <w:r>
              <w:rPr/>
              <w:t> </w:t>
            </w:r>
          </w:p>
        </w:tc>
      </w:tr>
      <w:tr>
        <w:trPr/>
        <w:tc>
          <w:tcPr>
            <w:tcW w:w="75" w:type="dxa"/>
            <w:tcBorders>
              <w:left w:val="single" w:sz="8" w:space="0" w:color="BFBFBF"/>
              <w:right w:val="single" w:sz="8" w:space="0" w:color="BFBFBF"/>
            </w:tcBorders>
            <w:shd w:fill="F4F4F4" w:val="clear"/>
            <w:vAlign w:val="center"/>
          </w:tcPr>
          <w:p>
            <w:pPr>
              <w:pStyle w:val="TableContents"/>
              <w:bidi w:val="0"/>
              <w:spacing w:before="0" w:after="283"/>
              <w:jc w:val="left"/>
              <w:rPr/>
            </w:pPr>
            <w:r>
              <w:rPr/>
              <w:t> </w:t>
            </w:r>
          </w:p>
        </w:tc>
        <w:tc>
          <w:tcPr>
            <w:tcW w:w="60" w:type="dxa"/>
            <w:tcBorders>
              <w:right w:val="single" w:sz="8" w:space="0" w:color="BFBFBF"/>
            </w:tcBorders>
            <w:shd w:fill="F4F4F4" w:val="clear"/>
            <w:tcMar>
              <w:left w:w="0" w:type="dxa"/>
            </w:tcMar>
            <w:vAlign w:val="center"/>
          </w:tcPr>
          <w:p>
            <w:pPr>
              <w:pStyle w:val="TableContents"/>
              <w:bidi w:val="0"/>
              <w:spacing w:before="0" w:after="283"/>
              <w:jc w:val="left"/>
              <w:rPr/>
            </w:pPr>
            <w:r>
              <w:rPr/>
              <w:t> </w:t>
            </w:r>
          </w:p>
        </w:tc>
        <w:tc>
          <w:tcPr>
            <w:tcW w:w="60" w:type="dxa"/>
            <w:tcBorders/>
            <w:shd w:fill="F4F4F4" w:val="clear"/>
            <w:tcMar>
              <w:left w:w="0" w:type="dxa"/>
              <w:right w:w="0" w:type="dxa"/>
            </w:tcMar>
            <w:vAlign w:val="center"/>
          </w:tcPr>
          <w:p>
            <w:pPr>
              <w:pStyle w:val="TableContents"/>
              <w:bidi w:val="0"/>
              <w:spacing w:before="0" w:after="283"/>
              <w:jc w:val="left"/>
              <w:rPr/>
            </w:pPr>
            <w:r>
              <w:rPr/>
              <w:t> </w:t>
            </w:r>
          </w:p>
        </w:tc>
        <w:tc>
          <w:tcPr>
            <w:tcW w:w="1985" w:type="dxa"/>
            <w:tcBorders/>
            <w:shd w:fill="EEF5FA" w:val="clear"/>
            <w:tcMar>
              <w:left w:w="0" w:type="dxa"/>
              <w:right w:w="0" w:type="dxa"/>
            </w:tcMar>
            <w:vAlign w:val="center"/>
          </w:tcPr>
          <w:p>
            <w:pPr>
              <w:pStyle w:val="TableContents"/>
              <w:bidi w:val="0"/>
              <w:spacing w:before="0" w:after="283"/>
              <w:jc w:val="both"/>
              <w:rPr>
                <w:rFonts w:ascii="Arial;Helvetica;Sans-Serif" w:hAnsi="Arial;Helvetica;Sans-Serif"/>
                <w:b/>
                <w:i w:val="false"/>
                <w:caps w:val="false"/>
                <w:smallCaps w:val="false"/>
                <w:color w:val="1A1A1A"/>
                <w:sz w:val="18"/>
              </w:rPr>
            </w:pPr>
            <w:r>
              <w:rPr>
                <w:rFonts w:ascii="Arial;Helvetica;Sans-Serif" w:hAnsi="Arial;Helvetica;Sans-Serif"/>
                <w:b/>
                <w:i w:val="false"/>
                <w:caps w:val="false"/>
                <w:smallCaps w:val="false"/>
                <w:color w:val="1A1A1A"/>
                <w:sz w:val="18"/>
              </w:rPr>
              <w:t>Target</w:t>
            </w:r>
          </w:p>
        </w:tc>
        <w:tc>
          <w:tcPr>
            <w:tcW w:w="2345" w:type="dxa"/>
            <w:tcBorders/>
            <w:shd w:fill="EEF5FA" w:val="clear"/>
            <w:tcMar>
              <w:left w:w="0" w:type="dxa"/>
              <w:right w:w="0" w:type="dxa"/>
            </w:tcMar>
            <w:vAlign w:val="center"/>
          </w:tcPr>
          <w:p>
            <w:pPr>
              <w:pStyle w:val="TableContents"/>
              <w:bidi w:val="0"/>
              <w:spacing w:before="0" w:after="283"/>
              <w:jc w:val="both"/>
              <w:rPr>
                <w:rFonts w:ascii="Arial;Helvetica;Sans-Serif" w:hAnsi="Arial;Helvetica;Sans-Serif"/>
                <w:b w:val="false"/>
                <w:i w:val="false"/>
                <w:caps w:val="false"/>
                <w:smallCaps w:val="false"/>
                <w:color w:val="1A1A1A"/>
                <w:sz w:val="18"/>
              </w:rPr>
            </w:pPr>
            <w:r>
              <w:rPr>
                <w:rFonts w:ascii="Arial;Helvetica;Sans-Serif" w:hAnsi="Arial;Helvetica;Sans-Serif"/>
                <w:b w:val="false"/>
                <w:i w:val="false"/>
                <w:caps w:val="false"/>
                <w:smallCaps w:val="false"/>
                <w:color w:val="1A1A1A"/>
                <w:sz w:val="18"/>
              </w:rPr>
              <w:t>1</w:t>
            </w:r>
          </w:p>
        </w:tc>
        <w:tc>
          <w:tcPr>
            <w:tcW w:w="1220" w:type="dxa"/>
            <w:tcBorders/>
            <w:shd w:fill="EEF5FA" w:val="clear"/>
            <w:tcMar>
              <w:left w:w="0" w:type="dxa"/>
              <w:right w:w="0" w:type="dxa"/>
            </w:tcMar>
            <w:vAlign w:val="center"/>
          </w:tcPr>
          <w:p>
            <w:pPr>
              <w:pStyle w:val="TableContents"/>
              <w:bidi w:val="0"/>
              <w:spacing w:before="0" w:after="283"/>
              <w:jc w:val="both"/>
              <w:rPr>
                <w:rFonts w:ascii="Arial;Helvetica;Sans-Serif" w:hAnsi="Arial;Helvetica;Sans-Serif"/>
                <w:b w:val="false"/>
                <w:i w:val="false"/>
                <w:caps w:val="false"/>
                <w:smallCaps w:val="false"/>
                <w:color w:val="1A1A1A"/>
                <w:sz w:val="18"/>
              </w:rPr>
            </w:pPr>
            <w:r>
              <w:rPr>
                <w:rFonts w:ascii="Arial;Helvetica;Sans-Serif" w:hAnsi="Arial;Helvetica;Sans-Serif"/>
                <w:b w:val="false"/>
                <w:i w:val="false"/>
                <w:caps w:val="false"/>
                <w:smallCaps w:val="false"/>
                <w:color w:val="1A1A1A"/>
                <w:sz w:val="18"/>
              </w:rPr>
              <w:t>100%</w:t>
            </w:r>
          </w:p>
        </w:tc>
        <w:tc>
          <w:tcPr>
            <w:tcW w:w="75" w:type="dxa"/>
            <w:tcBorders>
              <w:right w:val="single" w:sz="8" w:space="0" w:color="BFBFBF"/>
            </w:tcBorders>
            <w:shd w:fill="F4F4F4" w:val="clear"/>
            <w:tcMar>
              <w:left w:w="0" w:type="dxa"/>
            </w:tcMar>
            <w:vAlign w:val="center"/>
          </w:tcPr>
          <w:p>
            <w:pPr>
              <w:pStyle w:val="TableContents"/>
              <w:bidi w:val="0"/>
              <w:spacing w:before="0" w:after="283"/>
              <w:jc w:val="left"/>
              <w:rPr/>
            </w:pPr>
            <w:r>
              <w:rPr/>
              <w:t> </w:t>
            </w:r>
          </w:p>
        </w:tc>
      </w:tr>
      <w:tr>
        <w:trPr/>
        <w:tc>
          <w:tcPr>
            <w:tcW w:w="75" w:type="dxa"/>
            <w:tcBorders>
              <w:left w:val="single" w:sz="8" w:space="0" w:color="BFBFBF"/>
              <w:right w:val="single" w:sz="8" w:space="0" w:color="BFBFBF"/>
            </w:tcBorders>
            <w:shd w:fill="F4F4F4" w:val="clear"/>
            <w:vAlign w:val="center"/>
          </w:tcPr>
          <w:p>
            <w:pPr>
              <w:pStyle w:val="TableContents"/>
              <w:bidi w:val="0"/>
              <w:spacing w:before="0" w:after="283"/>
              <w:jc w:val="left"/>
              <w:rPr/>
            </w:pPr>
            <w:r>
              <w:rPr/>
              <w:t> </w:t>
            </w:r>
          </w:p>
        </w:tc>
        <w:tc>
          <w:tcPr>
            <w:tcW w:w="60" w:type="dxa"/>
            <w:tcBorders>
              <w:right w:val="single" w:sz="8" w:space="0" w:color="BFBFBF"/>
            </w:tcBorders>
            <w:shd w:fill="F4F4F4" w:val="clear"/>
            <w:tcMar>
              <w:left w:w="0" w:type="dxa"/>
            </w:tcMar>
            <w:vAlign w:val="center"/>
          </w:tcPr>
          <w:p>
            <w:pPr>
              <w:pStyle w:val="TableContents"/>
              <w:bidi w:val="0"/>
              <w:spacing w:before="0" w:after="283"/>
              <w:jc w:val="left"/>
              <w:rPr/>
            </w:pPr>
            <w:r>
              <w:rPr/>
              <w:t> </w:t>
            </w:r>
          </w:p>
        </w:tc>
        <w:tc>
          <w:tcPr>
            <w:tcW w:w="60" w:type="dxa"/>
            <w:tcBorders/>
            <w:shd w:fill="F4F4F4" w:val="clear"/>
            <w:tcMar>
              <w:left w:w="0" w:type="dxa"/>
              <w:right w:w="0" w:type="dxa"/>
            </w:tcMar>
            <w:vAlign w:val="center"/>
          </w:tcPr>
          <w:p>
            <w:pPr>
              <w:pStyle w:val="TableContents"/>
              <w:bidi w:val="0"/>
              <w:spacing w:before="0" w:after="283"/>
              <w:jc w:val="left"/>
              <w:rPr/>
            </w:pPr>
            <w:r>
              <w:rPr/>
              <w:t> </w:t>
            </w:r>
          </w:p>
        </w:tc>
        <w:tc>
          <w:tcPr>
            <w:tcW w:w="1985" w:type="dxa"/>
            <w:tcBorders/>
            <w:shd w:fill="F4F4F4" w:val="clear"/>
            <w:tcMar>
              <w:left w:w="0" w:type="dxa"/>
              <w:right w:w="0" w:type="dxa"/>
            </w:tcMar>
            <w:vAlign w:val="center"/>
          </w:tcPr>
          <w:p>
            <w:pPr>
              <w:pStyle w:val="TableContents"/>
              <w:bidi w:val="0"/>
              <w:spacing w:before="0" w:after="283"/>
              <w:jc w:val="both"/>
              <w:rPr>
                <w:rFonts w:ascii="Arial;Helvetica;Sans-Serif" w:hAnsi="Arial;Helvetica;Sans-Serif"/>
                <w:b/>
                <w:i w:val="false"/>
                <w:caps w:val="false"/>
                <w:smallCaps w:val="false"/>
                <w:color w:val="1A1A1A"/>
                <w:sz w:val="18"/>
              </w:rPr>
            </w:pPr>
            <w:r>
              <w:rPr>
                <w:rFonts w:ascii="Arial;Helvetica;Sans-Serif" w:hAnsi="Arial;Helvetica;Sans-Serif"/>
                <w:b/>
                <w:i w:val="false"/>
                <w:caps w:val="false"/>
                <w:smallCaps w:val="false"/>
                <w:color w:val="1A1A1A"/>
                <w:sz w:val="18"/>
              </w:rPr>
              <w:t>Maximum</w:t>
            </w:r>
          </w:p>
        </w:tc>
        <w:tc>
          <w:tcPr>
            <w:tcW w:w="2345" w:type="dxa"/>
            <w:tcBorders/>
            <w:shd w:fill="F4F4F4" w:val="clear"/>
            <w:tcMar>
              <w:left w:w="0" w:type="dxa"/>
              <w:right w:w="0" w:type="dxa"/>
            </w:tcMar>
            <w:vAlign w:val="center"/>
          </w:tcPr>
          <w:p>
            <w:pPr>
              <w:pStyle w:val="TableContents"/>
              <w:bidi w:val="0"/>
              <w:spacing w:before="0" w:after="283"/>
              <w:jc w:val="both"/>
              <w:rPr>
                <w:rFonts w:ascii="Arial;Helvetica;Sans-Serif" w:hAnsi="Arial;Helvetica;Sans-Serif"/>
                <w:b w:val="false"/>
                <w:i w:val="false"/>
                <w:caps w:val="false"/>
                <w:smallCaps w:val="false"/>
                <w:color w:val="1A1A1A"/>
                <w:sz w:val="18"/>
              </w:rPr>
            </w:pPr>
            <w:r>
              <w:rPr>
                <w:rFonts w:ascii="Arial;Helvetica;Sans-Serif" w:hAnsi="Arial;Helvetica;Sans-Serif"/>
                <w:b w:val="false"/>
                <w:i w:val="false"/>
                <w:caps w:val="false"/>
                <w:smallCaps w:val="false"/>
                <w:color w:val="1A1A1A"/>
                <w:sz w:val="18"/>
              </w:rPr>
              <w:t>1.30+</w:t>
            </w:r>
          </w:p>
        </w:tc>
        <w:tc>
          <w:tcPr>
            <w:tcW w:w="1220" w:type="dxa"/>
            <w:tcBorders/>
            <w:shd w:fill="F4F4F4" w:val="clear"/>
            <w:tcMar>
              <w:left w:w="0" w:type="dxa"/>
              <w:right w:w="0" w:type="dxa"/>
            </w:tcMar>
            <w:vAlign w:val="center"/>
          </w:tcPr>
          <w:p>
            <w:pPr>
              <w:pStyle w:val="TableContents"/>
              <w:bidi w:val="0"/>
              <w:spacing w:before="0" w:after="283"/>
              <w:jc w:val="both"/>
              <w:rPr>
                <w:rFonts w:ascii="Arial;Helvetica;Sans-Serif" w:hAnsi="Arial;Helvetica;Sans-Serif"/>
                <w:b w:val="false"/>
                <w:i w:val="false"/>
                <w:caps w:val="false"/>
                <w:smallCaps w:val="false"/>
                <w:color w:val="1A1A1A"/>
                <w:sz w:val="18"/>
              </w:rPr>
            </w:pPr>
            <w:r>
              <w:rPr>
                <w:rFonts w:ascii="Arial;Helvetica;Sans-Serif" w:hAnsi="Arial;Helvetica;Sans-Serif"/>
                <w:b w:val="false"/>
                <w:i w:val="false"/>
                <w:caps w:val="false"/>
                <w:smallCaps w:val="false"/>
                <w:color w:val="1A1A1A"/>
                <w:sz w:val="18"/>
              </w:rPr>
              <w:t>140%</w:t>
            </w:r>
          </w:p>
        </w:tc>
        <w:tc>
          <w:tcPr>
            <w:tcW w:w="75" w:type="dxa"/>
            <w:tcBorders>
              <w:right w:val="single" w:sz="8" w:space="0" w:color="BFBFBF"/>
            </w:tcBorders>
            <w:shd w:fill="F4F4F4" w:val="clear"/>
            <w:tcMar>
              <w:left w:w="0" w:type="dxa"/>
            </w:tcMar>
            <w:vAlign w:val="center"/>
          </w:tcPr>
          <w:p>
            <w:pPr>
              <w:pStyle w:val="TableContents"/>
              <w:bidi w:val="0"/>
              <w:spacing w:before="0" w:after="283"/>
              <w:jc w:val="left"/>
              <w:rPr/>
            </w:pPr>
            <w:r>
              <w:rPr/>
              <w:t> </w:t>
            </w:r>
          </w:p>
        </w:tc>
      </w:tr>
      <w:tr>
        <w:trPr/>
        <w:tc>
          <w:tcPr>
            <w:tcW w:w="75" w:type="dxa"/>
            <w:tcBorders>
              <w:left w:val="single" w:sz="8" w:space="0" w:color="BFBFBF"/>
              <w:right w:val="single" w:sz="8" w:space="0" w:color="BFBFBF"/>
            </w:tcBorders>
            <w:shd w:fill="F4F4F4" w:val="clear"/>
            <w:vAlign w:val="center"/>
          </w:tcPr>
          <w:p>
            <w:pPr>
              <w:pStyle w:val="TableContents"/>
              <w:bidi w:val="0"/>
              <w:spacing w:before="0" w:after="283"/>
              <w:jc w:val="left"/>
              <w:rPr/>
            </w:pPr>
            <w:r>
              <w:rPr/>
              <w:t> </w:t>
            </w:r>
          </w:p>
        </w:tc>
        <w:tc>
          <w:tcPr>
            <w:tcW w:w="60" w:type="dxa"/>
            <w:tcBorders>
              <w:right w:val="single" w:sz="8" w:space="0" w:color="BFBFBF"/>
            </w:tcBorders>
            <w:shd w:fill="F4F4F4" w:val="clear"/>
            <w:tcMar>
              <w:left w:w="0" w:type="dxa"/>
            </w:tcMar>
            <w:vAlign w:val="center"/>
          </w:tcPr>
          <w:p>
            <w:pPr>
              <w:pStyle w:val="TableContents"/>
              <w:bidi w:val="0"/>
              <w:spacing w:before="0" w:after="283"/>
              <w:jc w:val="left"/>
              <w:rPr/>
            </w:pPr>
            <w:r>
              <w:rPr/>
              <w:t> </w:t>
            </w:r>
          </w:p>
        </w:tc>
        <w:tc>
          <w:tcPr>
            <w:tcW w:w="60" w:type="dxa"/>
            <w:tcBorders/>
            <w:shd w:fill="F4F4F4" w:val="clear"/>
            <w:tcMar>
              <w:left w:w="0" w:type="dxa"/>
              <w:right w:w="0" w:type="dxa"/>
            </w:tcMar>
            <w:vAlign w:val="center"/>
          </w:tcPr>
          <w:p>
            <w:pPr>
              <w:pStyle w:val="TableContents"/>
              <w:bidi w:val="0"/>
              <w:spacing w:before="0" w:after="283"/>
              <w:jc w:val="left"/>
              <w:rPr/>
            </w:pPr>
            <w:r>
              <w:rPr/>
              <w:t> </w:t>
            </w:r>
          </w:p>
        </w:tc>
        <w:tc>
          <w:tcPr>
            <w:tcW w:w="1985" w:type="dxa"/>
            <w:tcBorders/>
            <w:shd w:fill="F4F4F4" w:val="clear"/>
            <w:tcMar>
              <w:left w:w="0" w:type="dxa"/>
              <w:right w:w="0" w:type="dxa"/>
            </w:tcMar>
            <w:vAlign w:val="center"/>
          </w:tcPr>
          <w:p>
            <w:pPr>
              <w:pStyle w:val="TableContents"/>
              <w:bidi w:val="0"/>
              <w:spacing w:before="0" w:after="283"/>
              <w:jc w:val="both"/>
              <w:rPr>
                <w:caps w:val="false"/>
                <w:smallCaps w:val="false"/>
                <w:color w:val="1A1A1A"/>
              </w:rPr>
            </w:pPr>
            <w:r>
              <w:rPr>
                <w:caps w:val="false"/>
                <w:smallCaps w:val="false"/>
                <w:color w:val="1A1A1A"/>
              </w:rPr>
              <w:t> </w:t>
            </w:r>
          </w:p>
        </w:tc>
        <w:tc>
          <w:tcPr>
            <w:tcW w:w="2345" w:type="dxa"/>
            <w:tcBorders/>
            <w:shd w:fill="F4F4F4" w:val="clear"/>
            <w:tcMar>
              <w:left w:w="0" w:type="dxa"/>
              <w:right w:w="0" w:type="dxa"/>
            </w:tcMar>
            <w:vAlign w:val="center"/>
          </w:tcPr>
          <w:p>
            <w:pPr>
              <w:pStyle w:val="TableContents"/>
              <w:bidi w:val="0"/>
              <w:spacing w:before="0" w:after="283"/>
              <w:jc w:val="both"/>
              <w:rPr>
                <w:caps w:val="false"/>
                <w:smallCaps w:val="false"/>
                <w:color w:val="1A1A1A"/>
              </w:rPr>
            </w:pPr>
            <w:r>
              <w:rPr>
                <w:caps w:val="false"/>
                <w:smallCaps w:val="false"/>
                <w:color w:val="1A1A1A"/>
              </w:rPr>
              <w:t> </w:t>
            </w:r>
          </w:p>
        </w:tc>
        <w:tc>
          <w:tcPr>
            <w:tcW w:w="1220" w:type="dxa"/>
            <w:tcBorders/>
            <w:shd w:fill="F4F4F4" w:val="clear"/>
            <w:tcMar>
              <w:left w:w="0" w:type="dxa"/>
              <w:right w:w="0" w:type="dxa"/>
            </w:tcMar>
            <w:vAlign w:val="center"/>
          </w:tcPr>
          <w:p>
            <w:pPr>
              <w:pStyle w:val="TableContents"/>
              <w:bidi w:val="0"/>
              <w:spacing w:before="0" w:after="283"/>
              <w:jc w:val="both"/>
              <w:rPr>
                <w:caps w:val="false"/>
                <w:smallCaps w:val="false"/>
                <w:color w:val="1A1A1A"/>
              </w:rPr>
            </w:pPr>
            <w:r>
              <w:rPr>
                <w:caps w:val="false"/>
                <w:smallCaps w:val="false"/>
                <w:color w:val="1A1A1A"/>
              </w:rPr>
              <w:t> </w:t>
            </w:r>
          </w:p>
        </w:tc>
        <w:tc>
          <w:tcPr>
            <w:tcW w:w="75" w:type="dxa"/>
            <w:tcBorders>
              <w:right w:val="single" w:sz="8" w:space="0" w:color="BFBFBF"/>
            </w:tcBorders>
            <w:shd w:fill="F4F4F4" w:val="clear"/>
            <w:tcMar>
              <w:left w:w="0" w:type="dxa"/>
            </w:tcMar>
            <w:vAlign w:val="center"/>
          </w:tcPr>
          <w:p>
            <w:pPr>
              <w:pStyle w:val="TableContents"/>
              <w:bidi w:val="0"/>
              <w:spacing w:before="0" w:after="283"/>
              <w:jc w:val="left"/>
              <w:rPr/>
            </w:pPr>
            <w:r>
              <w:rPr/>
              <w:t> </w:t>
            </w:r>
          </w:p>
        </w:tc>
      </w:tr>
      <w:tr>
        <w:trPr/>
        <w:tc>
          <w:tcPr>
            <w:tcW w:w="75" w:type="dxa"/>
            <w:tcBorders>
              <w:left w:val="single" w:sz="8" w:space="0" w:color="BFBFBF"/>
              <w:right w:val="single" w:sz="8" w:space="0" w:color="BFBFBF"/>
            </w:tcBorders>
            <w:shd w:fill="F4F4F4" w:val="clear"/>
            <w:vAlign w:val="center"/>
          </w:tcPr>
          <w:p>
            <w:pPr>
              <w:pStyle w:val="TableContents"/>
              <w:bidi w:val="0"/>
              <w:spacing w:before="0" w:after="283"/>
              <w:jc w:val="left"/>
              <w:rPr/>
            </w:pPr>
            <w:r>
              <w:rPr/>
              <w:t> </w:t>
            </w:r>
          </w:p>
        </w:tc>
        <w:tc>
          <w:tcPr>
            <w:tcW w:w="60" w:type="dxa"/>
            <w:tcBorders>
              <w:right w:val="single" w:sz="8" w:space="0" w:color="BFBFBF"/>
            </w:tcBorders>
            <w:shd w:fill="F4F4F4" w:val="clear"/>
            <w:tcMar>
              <w:left w:w="0" w:type="dxa"/>
            </w:tcMar>
            <w:vAlign w:val="center"/>
          </w:tcPr>
          <w:p>
            <w:pPr>
              <w:pStyle w:val="TableContents"/>
              <w:bidi w:val="0"/>
              <w:spacing w:before="0" w:after="283"/>
              <w:jc w:val="left"/>
              <w:rPr/>
            </w:pPr>
            <w:r>
              <w:rPr/>
              <w:t> </w:t>
            </w:r>
          </w:p>
        </w:tc>
        <w:tc>
          <w:tcPr>
            <w:tcW w:w="60" w:type="dxa"/>
            <w:tcBorders/>
            <w:shd w:fill="F4F4F4" w:val="clear"/>
            <w:tcMar>
              <w:left w:w="0" w:type="dxa"/>
              <w:right w:w="0" w:type="dxa"/>
            </w:tcMar>
            <w:vAlign w:val="center"/>
          </w:tcPr>
          <w:p>
            <w:pPr>
              <w:pStyle w:val="TableContents"/>
              <w:bidi w:val="0"/>
              <w:spacing w:before="0" w:after="283"/>
              <w:jc w:val="left"/>
              <w:rPr/>
            </w:pPr>
            <w:r>
              <w:rPr/>
              <w:t> </w:t>
            </w:r>
          </w:p>
        </w:tc>
        <w:tc>
          <w:tcPr>
            <w:tcW w:w="1985" w:type="dxa"/>
            <w:tcBorders>
              <w:top w:val="single" w:sz="8" w:space="0" w:color="0B4F74"/>
              <w:bottom w:val="single" w:sz="8" w:space="0" w:color="0B4F74"/>
            </w:tcBorders>
            <w:shd w:fill="004BAA" w:val="clear"/>
            <w:tcMar>
              <w:top w:w="200" w:type="dxa"/>
              <w:left w:w="0" w:type="dxa"/>
              <w:bottom w:w="200" w:type="dxa"/>
              <w:right w:w="0" w:type="dxa"/>
            </w:tcMar>
            <w:vAlign w:val="center"/>
          </w:tcPr>
          <w:p>
            <w:pPr>
              <w:pStyle w:val="TableContents"/>
              <w:bidi w:val="0"/>
              <w:spacing w:before="0" w:after="283"/>
              <w:jc w:val="left"/>
              <w:rPr>
                <w:rFonts w:ascii="Arial;Helvetica;Sans-Serif" w:hAnsi="Arial;Helvetica;Sans-Serif"/>
                <w:b/>
                <w:i w:val="false"/>
                <w:caps w:val="false"/>
                <w:smallCaps w:val="false"/>
                <w:color w:val="FFFFFF"/>
                <w:sz w:val="22"/>
              </w:rPr>
            </w:pPr>
            <w:r>
              <w:rPr>
                <w:rFonts w:ascii="Arial;Helvetica;Sans-Serif" w:hAnsi="Arial;Helvetica;Sans-Serif"/>
                <w:b/>
                <w:i w:val="false"/>
                <w:caps w:val="false"/>
                <w:smallCaps w:val="false"/>
                <w:color w:val="FFFFFF"/>
                <w:sz w:val="22"/>
              </w:rPr>
              <w:t>Performance Level</w:t>
            </w:r>
          </w:p>
        </w:tc>
        <w:tc>
          <w:tcPr>
            <w:tcW w:w="2345" w:type="dxa"/>
            <w:tcBorders>
              <w:top w:val="single" w:sz="8" w:space="0" w:color="0B4F74"/>
              <w:bottom w:val="single" w:sz="8" w:space="0" w:color="0B4F74"/>
            </w:tcBorders>
            <w:shd w:fill="004BAA" w:val="clear"/>
            <w:tcMar>
              <w:top w:w="200" w:type="dxa"/>
              <w:left w:w="0" w:type="dxa"/>
              <w:bottom w:w="200" w:type="dxa"/>
              <w:right w:w="0" w:type="dxa"/>
            </w:tcMar>
            <w:vAlign w:val="center"/>
          </w:tcPr>
          <w:p>
            <w:pPr>
              <w:pStyle w:val="TableContents"/>
              <w:bidi w:val="0"/>
              <w:spacing w:before="0" w:after="283"/>
              <w:jc w:val="left"/>
              <w:rPr>
                <w:rFonts w:ascii="Arial;Helvetica;Sans-Serif" w:hAnsi="Arial;Helvetica;Sans-Serif"/>
                <w:b/>
                <w:i w:val="false"/>
                <w:caps w:val="false"/>
                <w:smallCaps w:val="false"/>
                <w:color w:val="FFFFFF"/>
                <w:sz w:val="22"/>
              </w:rPr>
            </w:pPr>
            <w:r>
              <w:rPr>
                <w:rFonts w:ascii="Arial;Helvetica;Sans-Serif" w:hAnsi="Arial;Helvetica;Sans-Serif"/>
                <w:b/>
                <w:i w:val="false"/>
                <w:caps w:val="false"/>
                <w:smallCaps w:val="false"/>
                <w:color w:val="FFFFFF"/>
                <w:sz w:val="22"/>
              </w:rPr>
              <w:t>Corporate MBO Score</w:t>
            </w:r>
          </w:p>
        </w:tc>
        <w:tc>
          <w:tcPr>
            <w:tcW w:w="1220" w:type="dxa"/>
            <w:tcBorders>
              <w:top w:val="single" w:sz="8" w:space="0" w:color="0B4F74"/>
              <w:bottom w:val="single" w:sz="8" w:space="0" w:color="0B4F74"/>
            </w:tcBorders>
            <w:shd w:fill="004BAA" w:val="clear"/>
            <w:tcMar>
              <w:top w:w="200" w:type="dxa"/>
              <w:left w:w="0" w:type="dxa"/>
              <w:bottom w:w="200" w:type="dxa"/>
              <w:right w:w="0" w:type="dxa"/>
            </w:tcMar>
            <w:vAlign w:val="center"/>
          </w:tcPr>
          <w:p>
            <w:pPr>
              <w:pStyle w:val="TableContents"/>
              <w:bidi w:val="0"/>
              <w:spacing w:before="0" w:after="283"/>
              <w:jc w:val="left"/>
              <w:rPr>
                <w:rFonts w:ascii="Arial;Helvetica;Sans-Serif" w:hAnsi="Arial;Helvetica;Sans-Serif"/>
                <w:b/>
                <w:i w:val="false"/>
                <w:caps w:val="false"/>
                <w:smallCaps w:val="false"/>
                <w:color w:val="FFFFFF"/>
                <w:sz w:val="22"/>
              </w:rPr>
            </w:pPr>
            <w:r>
              <w:rPr>
                <w:rFonts w:ascii="Arial;Helvetica;Sans-Serif" w:hAnsi="Arial;Helvetica;Sans-Serif"/>
                <w:b/>
                <w:i w:val="false"/>
                <w:caps w:val="false"/>
                <w:smallCaps w:val="false"/>
                <w:color w:val="FFFFFF"/>
                <w:sz w:val="22"/>
              </w:rPr>
              <w:t xml:space="preserve">Other </w:t>
              <w:br/>
              <w:t>Executive</w:t>
              <w:br/>
              <w:t xml:space="preserve">Payout as </w:t>
              <w:br/>
              <w:t>% of Target</w:t>
            </w:r>
          </w:p>
        </w:tc>
        <w:tc>
          <w:tcPr>
            <w:tcW w:w="75" w:type="dxa"/>
            <w:tcBorders>
              <w:right w:val="single" w:sz="8" w:space="0" w:color="BFBFBF"/>
            </w:tcBorders>
            <w:shd w:fill="F4F4F4" w:val="clear"/>
            <w:tcMar>
              <w:left w:w="0" w:type="dxa"/>
            </w:tcMar>
            <w:vAlign w:val="center"/>
          </w:tcPr>
          <w:p>
            <w:pPr>
              <w:pStyle w:val="TableContents"/>
              <w:bidi w:val="0"/>
              <w:spacing w:before="0" w:after="283"/>
              <w:jc w:val="left"/>
              <w:rPr/>
            </w:pPr>
            <w:r>
              <w:rPr/>
              <w:t> </w:t>
            </w:r>
          </w:p>
        </w:tc>
      </w:tr>
      <w:tr>
        <w:trPr/>
        <w:tc>
          <w:tcPr>
            <w:tcW w:w="75" w:type="dxa"/>
            <w:tcBorders>
              <w:left w:val="single" w:sz="8" w:space="0" w:color="BFBFBF"/>
              <w:right w:val="single" w:sz="8" w:space="0" w:color="BFBFBF"/>
            </w:tcBorders>
            <w:shd w:fill="F4F4F4" w:val="clear"/>
            <w:vAlign w:val="center"/>
          </w:tcPr>
          <w:p>
            <w:pPr>
              <w:pStyle w:val="TableContents"/>
              <w:bidi w:val="0"/>
              <w:spacing w:before="0" w:after="283"/>
              <w:jc w:val="left"/>
              <w:rPr/>
            </w:pPr>
            <w:r>
              <w:rPr/>
              <w:t> </w:t>
            </w:r>
          </w:p>
        </w:tc>
        <w:tc>
          <w:tcPr>
            <w:tcW w:w="60" w:type="dxa"/>
            <w:tcBorders>
              <w:right w:val="single" w:sz="8" w:space="0" w:color="BFBFBF"/>
            </w:tcBorders>
            <w:shd w:fill="F4F4F4" w:val="clear"/>
            <w:tcMar>
              <w:left w:w="0" w:type="dxa"/>
            </w:tcMar>
            <w:vAlign w:val="center"/>
          </w:tcPr>
          <w:p>
            <w:pPr>
              <w:pStyle w:val="TableContents"/>
              <w:bidi w:val="0"/>
              <w:spacing w:before="0" w:after="283"/>
              <w:jc w:val="left"/>
              <w:rPr/>
            </w:pPr>
            <w:r>
              <w:rPr/>
              <w:t> </w:t>
            </w:r>
          </w:p>
        </w:tc>
        <w:tc>
          <w:tcPr>
            <w:tcW w:w="60" w:type="dxa"/>
            <w:tcBorders/>
            <w:shd w:fill="F4F4F4" w:val="clear"/>
            <w:tcMar>
              <w:left w:w="0" w:type="dxa"/>
              <w:right w:w="0" w:type="dxa"/>
            </w:tcMar>
            <w:vAlign w:val="center"/>
          </w:tcPr>
          <w:p>
            <w:pPr>
              <w:pStyle w:val="TableContents"/>
              <w:bidi w:val="0"/>
              <w:spacing w:before="0" w:after="283"/>
              <w:jc w:val="left"/>
              <w:rPr/>
            </w:pPr>
            <w:r>
              <w:rPr/>
              <w:t> </w:t>
            </w:r>
          </w:p>
        </w:tc>
        <w:tc>
          <w:tcPr>
            <w:tcW w:w="1985" w:type="dxa"/>
            <w:tcBorders/>
            <w:shd w:fill="EEF5FA" w:val="clear"/>
            <w:tcMar>
              <w:left w:w="0" w:type="dxa"/>
              <w:right w:w="0" w:type="dxa"/>
            </w:tcMar>
            <w:vAlign w:val="center"/>
          </w:tcPr>
          <w:p>
            <w:pPr>
              <w:pStyle w:val="TableContents"/>
              <w:bidi w:val="0"/>
              <w:spacing w:before="0" w:after="283"/>
              <w:jc w:val="both"/>
              <w:rPr>
                <w:rFonts w:ascii="Arial;Helvetica;Sans-Serif" w:hAnsi="Arial;Helvetica;Sans-Serif"/>
                <w:b/>
                <w:i w:val="false"/>
                <w:caps w:val="false"/>
                <w:smallCaps w:val="false"/>
                <w:color w:val="1A1A1A"/>
                <w:sz w:val="18"/>
              </w:rPr>
            </w:pPr>
            <w:r>
              <w:rPr>
                <w:rFonts w:ascii="Arial;Helvetica;Sans-Serif" w:hAnsi="Arial;Helvetica;Sans-Serif"/>
                <w:b/>
                <w:i w:val="false"/>
                <w:caps w:val="false"/>
                <w:smallCaps w:val="false"/>
                <w:color w:val="1A1A1A"/>
                <w:sz w:val="18"/>
              </w:rPr>
              <w:t>Below Threshold</w:t>
            </w:r>
          </w:p>
        </w:tc>
        <w:tc>
          <w:tcPr>
            <w:tcW w:w="2345" w:type="dxa"/>
            <w:tcBorders/>
            <w:shd w:fill="EEF5FA" w:val="clear"/>
            <w:tcMar>
              <w:left w:w="0" w:type="dxa"/>
              <w:right w:w="0" w:type="dxa"/>
            </w:tcMar>
            <w:vAlign w:val="center"/>
          </w:tcPr>
          <w:p>
            <w:pPr>
              <w:pStyle w:val="TableContents"/>
              <w:bidi w:val="0"/>
              <w:spacing w:before="0" w:after="283"/>
              <w:jc w:val="both"/>
              <w:rPr>
                <w:rFonts w:ascii="Arial;Helvetica;Sans-Serif" w:hAnsi="Arial;Helvetica;Sans-Serif"/>
                <w:b w:val="false"/>
                <w:i w:val="false"/>
                <w:caps w:val="false"/>
                <w:smallCaps w:val="false"/>
                <w:color w:val="1A1A1A"/>
                <w:sz w:val="18"/>
              </w:rPr>
            </w:pPr>
            <w:r>
              <w:rPr>
                <w:rFonts w:ascii="Arial;Helvetica;Sans-Serif" w:hAnsi="Arial;Helvetica;Sans-Serif"/>
                <w:b w:val="false"/>
                <w:i w:val="false"/>
                <w:caps w:val="false"/>
                <w:smallCaps w:val="false"/>
                <w:color w:val="1A1A1A"/>
                <w:sz w:val="18"/>
              </w:rPr>
              <w:t>&lt;0.65</w:t>
            </w:r>
          </w:p>
        </w:tc>
        <w:tc>
          <w:tcPr>
            <w:tcW w:w="1220" w:type="dxa"/>
            <w:tcBorders/>
            <w:shd w:fill="EEF5FA" w:val="clear"/>
            <w:tcMar>
              <w:left w:w="0" w:type="dxa"/>
              <w:right w:w="0" w:type="dxa"/>
            </w:tcMar>
            <w:vAlign w:val="center"/>
          </w:tcPr>
          <w:p>
            <w:pPr>
              <w:pStyle w:val="TableContents"/>
              <w:bidi w:val="0"/>
              <w:spacing w:before="0" w:after="283"/>
              <w:jc w:val="both"/>
              <w:rPr>
                <w:rFonts w:ascii="Arial;Helvetica;Sans-Serif" w:hAnsi="Arial;Helvetica;Sans-Serif"/>
                <w:b w:val="false"/>
                <w:i w:val="false"/>
                <w:caps w:val="false"/>
                <w:smallCaps w:val="false"/>
                <w:color w:val="1A1A1A"/>
                <w:sz w:val="18"/>
              </w:rPr>
            </w:pPr>
            <w:r>
              <w:rPr>
                <w:rFonts w:ascii="Arial;Helvetica;Sans-Serif" w:hAnsi="Arial;Helvetica;Sans-Serif"/>
                <w:b w:val="false"/>
                <w:i w:val="false"/>
                <w:caps w:val="false"/>
                <w:smallCaps w:val="false"/>
                <w:color w:val="1A1A1A"/>
                <w:sz w:val="18"/>
              </w:rPr>
              <w:t>0%</w:t>
            </w:r>
          </w:p>
        </w:tc>
        <w:tc>
          <w:tcPr>
            <w:tcW w:w="75" w:type="dxa"/>
            <w:tcBorders>
              <w:right w:val="single" w:sz="8" w:space="0" w:color="BFBFBF"/>
            </w:tcBorders>
            <w:shd w:fill="F4F4F4" w:val="clear"/>
            <w:tcMar>
              <w:left w:w="0" w:type="dxa"/>
            </w:tcMar>
            <w:vAlign w:val="center"/>
          </w:tcPr>
          <w:p>
            <w:pPr>
              <w:pStyle w:val="TableContents"/>
              <w:bidi w:val="0"/>
              <w:spacing w:before="0" w:after="283"/>
              <w:jc w:val="left"/>
              <w:rPr/>
            </w:pPr>
            <w:r>
              <w:rPr/>
              <w:t> </w:t>
            </w:r>
          </w:p>
        </w:tc>
      </w:tr>
      <w:tr>
        <w:trPr/>
        <w:tc>
          <w:tcPr>
            <w:tcW w:w="75" w:type="dxa"/>
            <w:tcBorders>
              <w:left w:val="single" w:sz="8" w:space="0" w:color="BFBFBF"/>
              <w:right w:val="single" w:sz="8" w:space="0" w:color="BFBFBF"/>
            </w:tcBorders>
            <w:shd w:fill="F4F4F4" w:val="clear"/>
            <w:vAlign w:val="center"/>
          </w:tcPr>
          <w:p>
            <w:pPr>
              <w:pStyle w:val="TableContents"/>
              <w:bidi w:val="0"/>
              <w:spacing w:before="0" w:after="283"/>
              <w:jc w:val="left"/>
              <w:rPr/>
            </w:pPr>
            <w:r>
              <w:rPr/>
              <w:t> </w:t>
            </w:r>
          </w:p>
        </w:tc>
        <w:tc>
          <w:tcPr>
            <w:tcW w:w="60" w:type="dxa"/>
            <w:tcBorders>
              <w:right w:val="single" w:sz="8" w:space="0" w:color="BFBFBF"/>
            </w:tcBorders>
            <w:shd w:fill="F4F4F4" w:val="clear"/>
            <w:tcMar>
              <w:left w:w="0" w:type="dxa"/>
            </w:tcMar>
            <w:vAlign w:val="center"/>
          </w:tcPr>
          <w:p>
            <w:pPr>
              <w:pStyle w:val="TableContents"/>
              <w:bidi w:val="0"/>
              <w:spacing w:before="0" w:after="283"/>
              <w:jc w:val="left"/>
              <w:rPr/>
            </w:pPr>
            <w:r>
              <w:rPr/>
              <w:t> </w:t>
            </w:r>
          </w:p>
        </w:tc>
        <w:tc>
          <w:tcPr>
            <w:tcW w:w="60" w:type="dxa"/>
            <w:tcBorders/>
            <w:shd w:fill="F4F4F4" w:val="clear"/>
            <w:tcMar>
              <w:left w:w="0" w:type="dxa"/>
              <w:right w:w="0" w:type="dxa"/>
            </w:tcMar>
            <w:vAlign w:val="center"/>
          </w:tcPr>
          <w:p>
            <w:pPr>
              <w:pStyle w:val="TableContents"/>
              <w:bidi w:val="0"/>
              <w:spacing w:before="0" w:after="283"/>
              <w:jc w:val="left"/>
              <w:rPr/>
            </w:pPr>
            <w:r>
              <w:rPr/>
              <w:t> </w:t>
            </w:r>
          </w:p>
        </w:tc>
        <w:tc>
          <w:tcPr>
            <w:tcW w:w="1985" w:type="dxa"/>
            <w:tcBorders/>
            <w:shd w:fill="F4F4F4" w:val="clear"/>
            <w:tcMar>
              <w:left w:w="0" w:type="dxa"/>
              <w:right w:w="0" w:type="dxa"/>
            </w:tcMar>
            <w:vAlign w:val="center"/>
          </w:tcPr>
          <w:p>
            <w:pPr>
              <w:pStyle w:val="TableContents"/>
              <w:bidi w:val="0"/>
              <w:spacing w:before="0" w:after="283"/>
              <w:jc w:val="both"/>
              <w:rPr>
                <w:rFonts w:ascii="Arial;Helvetica;Sans-Serif" w:hAnsi="Arial;Helvetica;Sans-Serif"/>
                <w:b/>
                <w:i w:val="false"/>
                <w:caps w:val="false"/>
                <w:smallCaps w:val="false"/>
                <w:color w:val="1A1A1A"/>
                <w:sz w:val="18"/>
              </w:rPr>
            </w:pPr>
            <w:r>
              <w:rPr>
                <w:rFonts w:ascii="Arial;Helvetica;Sans-Serif" w:hAnsi="Arial;Helvetica;Sans-Serif"/>
                <w:b/>
                <w:i w:val="false"/>
                <w:caps w:val="false"/>
                <w:smallCaps w:val="false"/>
                <w:color w:val="1A1A1A"/>
                <w:sz w:val="18"/>
              </w:rPr>
              <w:t>Threshold</w:t>
            </w:r>
          </w:p>
        </w:tc>
        <w:tc>
          <w:tcPr>
            <w:tcW w:w="2345" w:type="dxa"/>
            <w:tcBorders/>
            <w:shd w:fill="F4F4F4" w:val="clear"/>
            <w:tcMar>
              <w:left w:w="0" w:type="dxa"/>
              <w:right w:w="0" w:type="dxa"/>
            </w:tcMar>
            <w:vAlign w:val="center"/>
          </w:tcPr>
          <w:p>
            <w:pPr>
              <w:pStyle w:val="TableContents"/>
              <w:bidi w:val="0"/>
              <w:spacing w:before="0" w:after="283"/>
              <w:jc w:val="both"/>
              <w:rPr>
                <w:rFonts w:ascii="Arial;Helvetica;Sans-Serif" w:hAnsi="Arial;Helvetica;Sans-Serif"/>
                <w:b w:val="false"/>
                <w:i w:val="false"/>
                <w:caps w:val="false"/>
                <w:smallCaps w:val="false"/>
                <w:color w:val="1A1A1A"/>
                <w:sz w:val="18"/>
              </w:rPr>
            </w:pPr>
            <w:r>
              <w:rPr>
                <w:rFonts w:ascii="Arial;Helvetica;Sans-Serif" w:hAnsi="Arial;Helvetica;Sans-Serif"/>
                <w:b w:val="false"/>
                <w:i w:val="false"/>
                <w:caps w:val="false"/>
                <w:smallCaps w:val="false"/>
                <w:color w:val="1A1A1A"/>
                <w:sz w:val="18"/>
              </w:rPr>
              <w:t>0.65</w:t>
            </w:r>
          </w:p>
        </w:tc>
        <w:tc>
          <w:tcPr>
            <w:tcW w:w="1220" w:type="dxa"/>
            <w:tcBorders/>
            <w:shd w:fill="F4F4F4" w:val="clear"/>
            <w:tcMar>
              <w:left w:w="0" w:type="dxa"/>
              <w:right w:w="0" w:type="dxa"/>
            </w:tcMar>
            <w:vAlign w:val="center"/>
          </w:tcPr>
          <w:p>
            <w:pPr>
              <w:pStyle w:val="TableContents"/>
              <w:bidi w:val="0"/>
              <w:spacing w:before="0" w:after="283"/>
              <w:jc w:val="both"/>
              <w:rPr>
                <w:rFonts w:ascii="Arial;Helvetica;Sans-Serif" w:hAnsi="Arial;Helvetica;Sans-Serif"/>
                <w:b w:val="false"/>
                <w:i w:val="false"/>
                <w:caps w:val="false"/>
                <w:smallCaps w:val="false"/>
                <w:color w:val="1A1A1A"/>
                <w:sz w:val="18"/>
              </w:rPr>
            </w:pPr>
            <w:r>
              <w:rPr>
                <w:rFonts w:ascii="Arial;Helvetica;Sans-Serif" w:hAnsi="Arial;Helvetica;Sans-Serif"/>
                <w:b w:val="false"/>
                <w:i w:val="false"/>
                <w:caps w:val="false"/>
                <w:smallCaps w:val="false"/>
                <w:color w:val="1A1A1A"/>
                <w:sz w:val="18"/>
              </w:rPr>
              <w:t>50%</w:t>
            </w:r>
          </w:p>
        </w:tc>
        <w:tc>
          <w:tcPr>
            <w:tcW w:w="75" w:type="dxa"/>
            <w:tcBorders>
              <w:right w:val="single" w:sz="8" w:space="0" w:color="BFBFBF"/>
            </w:tcBorders>
            <w:shd w:fill="F4F4F4" w:val="clear"/>
            <w:tcMar>
              <w:left w:w="0" w:type="dxa"/>
            </w:tcMar>
            <w:vAlign w:val="center"/>
          </w:tcPr>
          <w:p>
            <w:pPr>
              <w:pStyle w:val="TableContents"/>
              <w:bidi w:val="0"/>
              <w:spacing w:before="0" w:after="283"/>
              <w:jc w:val="left"/>
              <w:rPr/>
            </w:pPr>
            <w:r>
              <w:rPr/>
              <w:t> </w:t>
            </w:r>
          </w:p>
        </w:tc>
      </w:tr>
      <w:tr>
        <w:trPr/>
        <w:tc>
          <w:tcPr>
            <w:tcW w:w="75" w:type="dxa"/>
            <w:tcBorders>
              <w:left w:val="single" w:sz="8" w:space="0" w:color="BFBFBF"/>
              <w:right w:val="single" w:sz="8" w:space="0" w:color="BFBFBF"/>
            </w:tcBorders>
            <w:shd w:fill="F4F4F4" w:val="clear"/>
            <w:vAlign w:val="center"/>
          </w:tcPr>
          <w:p>
            <w:pPr>
              <w:pStyle w:val="TableContents"/>
              <w:bidi w:val="0"/>
              <w:spacing w:before="0" w:after="283"/>
              <w:jc w:val="left"/>
              <w:rPr/>
            </w:pPr>
            <w:r>
              <w:rPr/>
              <w:t> </w:t>
            </w:r>
          </w:p>
        </w:tc>
        <w:tc>
          <w:tcPr>
            <w:tcW w:w="60" w:type="dxa"/>
            <w:tcBorders>
              <w:right w:val="single" w:sz="8" w:space="0" w:color="BFBFBF"/>
            </w:tcBorders>
            <w:shd w:fill="F4F4F4" w:val="clear"/>
            <w:tcMar>
              <w:left w:w="0" w:type="dxa"/>
            </w:tcMar>
            <w:vAlign w:val="center"/>
          </w:tcPr>
          <w:p>
            <w:pPr>
              <w:pStyle w:val="TableContents"/>
              <w:bidi w:val="0"/>
              <w:spacing w:before="0" w:after="283"/>
              <w:jc w:val="left"/>
              <w:rPr/>
            </w:pPr>
            <w:r>
              <w:rPr/>
              <w:t> </w:t>
            </w:r>
          </w:p>
        </w:tc>
        <w:tc>
          <w:tcPr>
            <w:tcW w:w="60" w:type="dxa"/>
            <w:tcBorders/>
            <w:shd w:fill="F4F4F4" w:val="clear"/>
            <w:tcMar>
              <w:left w:w="0" w:type="dxa"/>
              <w:right w:w="0" w:type="dxa"/>
            </w:tcMar>
            <w:vAlign w:val="center"/>
          </w:tcPr>
          <w:p>
            <w:pPr>
              <w:pStyle w:val="TableContents"/>
              <w:bidi w:val="0"/>
              <w:spacing w:before="0" w:after="283"/>
              <w:jc w:val="left"/>
              <w:rPr/>
            </w:pPr>
            <w:r>
              <w:rPr/>
              <w:t> </w:t>
            </w:r>
          </w:p>
        </w:tc>
        <w:tc>
          <w:tcPr>
            <w:tcW w:w="1985" w:type="dxa"/>
            <w:tcBorders/>
            <w:shd w:fill="EEF5FA" w:val="clear"/>
            <w:tcMar>
              <w:left w:w="0" w:type="dxa"/>
              <w:right w:w="0" w:type="dxa"/>
            </w:tcMar>
            <w:vAlign w:val="center"/>
          </w:tcPr>
          <w:p>
            <w:pPr>
              <w:pStyle w:val="TableContents"/>
              <w:bidi w:val="0"/>
              <w:spacing w:before="0" w:after="283"/>
              <w:jc w:val="both"/>
              <w:rPr>
                <w:rFonts w:ascii="Arial;Helvetica;Sans-Serif" w:hAnsi="Arial;Helvetica;Sans-Serif"/>
                <w:b/>
                <w:i w:val="false"/>
                <w:caps w:val="false"/>
                <w:smallCaps w:val="false"/>
                <w:color w:val="1A1A1A"/>
                <w:sz w:val="18"/>
              </w:rPr>
            </w:pPr>
            <w:r>
              <w:rPr>
                <w:rFonts w:ascii="Arial;Helvetica;Sans-Serif" w:hAnsi="Arial;Helvetica;Sans-Serif"/>
                <w:b/>
                <w:i w:val="false"/>
                <w:caps w:val="false"/>
                <w:smallCaps w:val="false"/>
                <w:color w:val="1A1A1A"/>
                <w:sz w:val="18"/>
              </w:rPr>
              <w:t>Target</w:t>
            </w:r>
          </w:p>
        </w:tc>
        <w:tc>
          <w:tcPr>
            <w:tcW w:w="2345" w:type="dxa"/>
            <w:tcBorders/>
            <w:shd w:fill="EEF5FA" w:val="clear"/>
            <w:tcMar>
              <w:left w:w="0" w:type="dxa"/>
              <w:right w:w="0" w:type="dxa"/>
            </w:tcMar>
            <w:vAlign w:val="center"/>
          </w:tcPr>
          <w:p>
            <w:pPr>
              <w:pStyle w:val="TableContents"/>
              <w:bidi w:val="0"/>
              <w:spacing w:before="0" w:after="283"/>
              <w:jc w:val="both"/>
              <w:rPr>
                <w:rFonts w:ascii="Arial;Helvetica;Sans-Serif" w:hAnsi="Arial;Helvetica;Sans-Serif"/>
                <w:b w:val="false"/>
                <w:i w:val="false"/>
                <w:caps w:val="false"/>
                <w:smallCaps w:val="false"/>
                <w:color w:val="1A1A1A"/>
                <w:sz w:val="18"/>
              </w:rPr>
            </w:pPr>
            <w:r>
              <w:rPr>
                <w:rFonts w:ascii="Arial;Helvetica;Sans-Serif" w:hAnsi="Arial;Helvetica;Sans-Serif"/>
                <w:b w:val="false"/>
                <w:i w:val="false"/>
                <w:caps w:val="false"/>
                <w:smallCaps w:val="false"/>
                <w:color w:val="1A1A1A"/>
                <w:sz w:val="18"/>
              </w:rPr>
              <w:t>1</w:t>
            </w:r>
          </w:p>
        </w:tc>
        <w:tc>
          <w:tcPr>
            <w:tcW w:w="1220" w:type="dxa"/>
            <w:tcBorders/>
            <w:shd w:fill="EEF5FA" w:val="clear"/>
            <w:tcMar>
              <w:left w:w="0" w:type="dxa"/>
              <w:right w:w="0" w:type="dxa"/>
            </w:tcMar>
            <w:vAlign w:val="center"/>
          </w:tcPr>
          <w:p>
            <w:pPr>
              <w:pStyle w:val="TableContents"/>
              <w:bidi w:val="0"/>
              <w:spacing w:before="0" w:after="283"/>
              <w:jc w:val="both"/>
              <w:rPr>
                <w:rFonts w:ascii="Arial;Helvetica;Sans-Serif" w:hAnsi="Arial;Helvetica;Sans-Serif"/>
                <w:b w:val="false"/>
                <w:i w:val="false"/>
                <w:caps w:val="false"/>
                <w:smallCaps w:val="false"/>
                <w:color w:val="1A1A1A"/>
                <w:sz w:val="18"/>
              </w:rPr>
            </w:pPr>
            <w:r>
              <w:rPr>
                <w:rFonts w:ascii="Arial;Helvetica;Sans-Serif" w:hAnsi="Arial;Helvetica;Sans-Serif"/>
                <w:b w:val="false"/>
                <w:i w:val="false"/>
                <w:caps w:val="false"/>
                <w:smallCaps w:val="false"/>
                <w:color w:val="1A1A1A"/>
                <w:sz w:val="18"/>
              </w:rPr>
              <w:t>100%</w:t>
            </w:r>
          </w:p>
        </w:tc>
        <w:tc>
          <w:tcPr>
            <w:tcW w:w="75" w:type="dxa"/>
            <w:tcBorders>
              <w:right w:val="single" w:sz="8" w:space="0" w:color="BFBFBF"/>
            </w:tcBorders>
            <w:shd w:fill="F4F4F4" w:val="clear"/>
            <w:tcMar>
              <w:left w:w="0" w:type="dxa"/>
            </w:tcMar>
            <w:vAlign w:val="center"/>
          </w:tcPr>
          <w:p>
            <w:pPr>
              <w:pStyle w:val="TableContents"/>
              <w:bidi w:val="0"/>
              <w:spacing w:before="0" w:after="283"/>
              <w:jc w:val="left"/>
              <w:rPr/>
            </w:pPr>
            <w:r>
              <w:rPr/>
              <w:t> </w:t>
            </w:r>
          </w:p>
        </w:tc>
      </w:tr>
      <w:tr>
        <w:trPr/>
        <w:tc>
          <w:tcPr>
            <w:tcW w:w="75" w:type="dxa"/>
            <w:tcBorders>
              <w:left w:val="single" w:sz="8" w:space="0" w:color="BFBFBF"/>
              <w:bottom w:val="single" w:sz="8" w:space="0" w:color="BFBFBF"/>
              <w:right w:val="single" w:sz="8" w:space="0" w:color="BFBFBF"/>
            </w:tcBorders>
            <w:shd w:fill="F4F4F4" w:val="clear"/>
            <w:tcMar>
              <w:bottom w:w="28" w:type="dxa"/>
            </w:tcMar>
            <w:vAlign w:val="center"/>
          </w:tcPr>
          <w:p>
            <w:pPr>
              <w:pStyle w:val="TableContents"/>
              <w:bidi w:val="0"/>
              <w:spacing w:before="0" w:after="283"/>
              <w:jc w:val="left"/>
              <w:rPr/>
            </w:pPr>
            <w:r>
              <w:rPr/>
              <w:t> </w:t>
            </w:r>
          </w:p>
        </w:tc>
        <w:tc>
          <w:tcPr>
            <w:tcW w:w="60" w:type="dxa"/>
            <w:tcBorders>
              <w:bottom w:val="single" w:sz="8" w:space="0" w:color="BFBFBF"/>
              <w:right w:val="single" w:sz="8" w:space="0" w:color="BFBFBF"/>
            </w:tcBorders>
            <w:shd w:fill="F4F4F4" w:val="clear"/>
            <w:tcMar>
              <w:left w:w="0" w:type="dxa"/>
              <w:bottom w:w="28" w:type="dxa"/>
            </w:tcMar>
            <w:vAlign w:val="center"/>
          </w:tcPr>
          <w:p>
            <w:pPr>
              <w:pStyle w:val="TableContents"/>
              <w:bidi w:val="0"/>
              <w:spacing w:before="0" w:after="283"/>
              <w:jc w:val="left"/>
              <w:rPr/>
            </w:pPr>
            <w:r>
              <w:rPr/>
              <w:t> </w:t>
            </w:r>
          </w:p>
        </w:tc>
        <w:tc>
          <w:tcPr>
            <w:tcW w:w="60" w:type="dxa"/>
            <w:tcBorders>
              <w:bottom w:val="single" w:sz="8" w:space="0" w:color="BFBFBF"/>
            </w:tcBorders>
            <w:shd w:fill="F4F4F4" w:val="clear"/>
            <w:tcMar>
              <w:left w:w="0" w:type="dxa"/>
              <w:bottom w:w="28" w:type="dxa"/>
              <w:right w:w="0" w:type="dxa"/>
            </w:tcMar>
            <w:vAlign w:val="center"/>
          </w:tcPr>
          <w:p>
            <w:pPr>
              <w:pStyle w:val="TableContents"/>
              <w:bidi w:val="0"/>
              <w:spacing w:before="0" w:after="283"/>
              <w:jc w:val="left"/>
              <w:rPr/>
            </w:pPr>
            <w:r>
              <w:rPr/>
              <w:t> </w:t>
            </w:r>
          </w:p>
        </w:tc>
        <w:tc>
          <w:tcPr>
            <w:tcW w:w="1985" w:type="dxa"/>
            <w:tcBorders>
              <w:bottom w:val="single" w:sz="8" w:space="0" w:color="BFBFBF"/>
            </w:tcBorders>
            <w:shd w:fill="F4F4F4" w:val="clear"/>
            <w:tcMar>
              <w:left w:w="0" w:type="dxa"/>
              <w:bottom w:w="28" w:type="dxa"/>
              <w:right w:w="0" w:type="dxa"/>
            </w:tcMar>
            <w:vAlign w:val="center"/>
          </w:tcPr>
          <w:p>
            <w:pPr>
              <w:pStyle w:val="TableContents"/>
              <w:bidi w:val="0"/>
              <w:spacing w:before="0" w:after="283"/>
              <w:jc w:val="both"/>
              <w:rPr>
                <w:caps w:val="false"/>
                <w:smallCaps w:val="false"/>
                <w:color w:val="1A1A1A"/>
              </w:rPr>
            </w:pPr>
            <w:r>
              <w:rPr>
                <w:caps w:val="false"/>
                <w:smallCaps w:val="false"/>
                <w:color w:val="1A1A1A"/>
              </w:rPr>
              <w:t> </w:t>
            </w:r>
          </w:p>
        </w:tc>
        <w:tc>
          <w:tcPr>
            <w:tcW w:w="2345" w:type="dxa"/>
            <w:tcBorders>
              <w:bottom w:val="single" w:sz="8" w:space="0" w:color="BFBFBF"/>
            </w:tcBorders>
            <w:shd w:fill="F4F4F4" w:val="clear"/>
            <w:tcMar>
              <w:left w:w="0" w:type="dxa"/>
              <w:bottom w:w="28" w:type="dxa"/>
              <w:right w:w="0" w:type="dxa"/>
            </w:tcMar>
            <w:vAlign w:val="center"/>
          </w:tcPr>
          <w:p>
            <w:pPr>
              <w:pStyle w:val="TableContents"/>
              <w:bidi w:val="0"/>
              <w:spacing w:before="0" w:after="283"/>
              <w:jc w:val="both"/>
              <w:rPr>
                <w:caps w:val="false"/>
                <w:smallCaps w:val="false"/>
                <w:color w:val="1A1A1A"/>
              </w:rPr>
            </w:pPr>
            <w:r>
              <w:rPr>
                <w:caps w:val="false"/>
                <w:smallCaps w:val="false"/>
                <w:color w:val="1A1A1A"/>
              </w:rPr>
              <w:t> </w:t>
            </w:r>
          </w:p>
        </w:tc>
        <w:tc>
          <w:tcPr>
            <w:tcW w:w="1220" w:type="dxa"/>
            <w:tcBorders>
              <w:bottom w:val="single" w:sz="8" w:space="0" w:color="BFBFBF"/>
            </w:tcBorders>
            <w:shd w:fill="F4F4F4" w:val="clear"/>
            <w:tcMar>
              <w:left w:w="0" w:type="dxa"/>
              <w:bottom w:w="28" w:type="dxa"/>
              <w:right w:w="0" w:type="dxa"/>
            </w:tcMar>
            <w:vAlign w:val="center"/>
          </w:tcPr>
          <w:p>
            <w:pPr>
              <w:pStyle w:val="TableContents"/>
              <w:bidi w:val="0"/>
              <w:spacing w:before="0" w:after="283"/>
              <w:jc w:val="both"/>
              <w:rPr>
                <w:caps w:val="false"/>
                <w:smallCaps w:val="false"/>
                <w:color w:val="1A1A1A"/>
              </w:rPr>
            </w:pPr>
            <w:r>
              <w:rPr>
                <w:caps w:val="false"/>
                <w:smallCaps w:val="false"/>
                <w:color w:val="1A1A1A"/>
              </w:rPr>
              <w:t> </w:t>
            </w:r>
          </w:p>
        </w:tc>
        <w:tc>
          <w:tcPr>
            <w:tcW w:w="75" w:type="dxa"/>
            <w:tcBorders>
              <w:bottom w:val="single" w:sz="8" w:space="0" w:color="BFBFBF"/>
              <w:right w:val="single" w:sz="8" w:space="0" w:color="BFBFBF"/>
            </w:tcBorders>
            <w:shd w:fill="F4F4F4" w:val="clear"/>
            <w:tcMar>
              <w:left w:w="0" w:type="dxa"/>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center"/>
        <w:rPr/>
      </w:pPr>
      <w:r>
        <w:rPr/>
        <w:drawing>
          <wp:inline distT="0" distB="0" distL="0" distR="0">
            <wp:extent cx="7620000" cy="10858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7620000" cy="1085850"/>
                    </a:xfrm>
                    <a:prstGeom prst="rect">
                      <a:avLst/>
                    </a:prstGeom>
                  </pic:spPr>
                </pic:pic>
              </a:graphicData>
            </a:graphic>
          </wp:inline>
        </w:drawing>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drawing>
          <wp:inline distT="0" distB="0" distL="0" distR="0">
            <wp:extent cx="7620000" cy="10953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7620000" cy="1095375"/>
                    </a:xfrm>
                    <a:prstGeom prst="rect">
                      <a:avLst/>
                    </a:prstGeom>
                  </pic:spPr>
                </pic:pic>
              </a:graphicData>
            </a:graphic>
          </wp:inline>
        </w:drawing>
      </w:r>
    </w:p>
    <w:p>
      <w:pPr>
        <w:pStyle w:val="TextBody"/>
        <w:bidi w:val="0"/>
        <w:spacing w:before="0" w:after="283"/>
        <w:jc w:val="left"/>
        <w:rPr/>
      </w:pPr>
      <w:r>
        <w:rPr/>
        <w:t> </w:t>
      </w:r>
    </w:p>
    <w:tbl>
      <w:tblPr>
        <w:tblW w:w="2115" w:type="dxa"/>
        <w:jc w:val="left"/>
        <w:tblInd w:w="-10" w:type="dxa"/>
        <w:tblLayout w:type="fixed"/>
        <w:tblCellMar>
          <w:top w:w="320" w:type="dxa"/>
          <w:left w:w="28" w:type="dxa"/>
          <w:bottom w:w="0" w:type="dxa"/>
          <w:right w:w="28" w:type="dxa"/>
        </w:tblCellMar>
      </w:tblPr>
      <w:tblGrid>
        <w:gridCol w:w="75"/>
        <w:gridCol w:w="60"/>
        <w:gridCol w:w="60"/>
        <w:gridCol w:w="860"/>
        <w:gridCol w:w="485"/>
        <w:gridCol w:w="500"/>
        <w:gridCol w:w="75"/>
      </w:tblGrid>
      <w:tr>
        <w:trPr/>
        <w:tc>
          <w:tcPr>
            <w:tcW w:w="75" w:type="dxa"/>
            <w:tcBorders>
              <w:top w:val="single" w:sz="8" w:space="0" w:color="BFBFBF"/>
              <w:left w:val="single" w:sz="8" w:space="0" w:color="BFBFBF"/>
              <w:right w:val="single" w:sz="8" w:space="0" w:color="BFBFBF"/>
            </w:tcBorders>
            <w:shd w:fill="F4F4F4" w:val="clear"/>
            <w:vAlign w:val="center"/>
          </w:tcPr>
          <w:p>
            <w:pPr>
              <w:pStyle w:val="TableContents"/>
              <w:bidi w:val="0"/>
              <w:spacing w:before="0" w:after="283"/>
              <w:jc w:val="left"/>
              <w:rPr/>
            </w:pPr>
            <w:r>
              <w:rPr/>
              <w:t> </w:t>
            </w:r>
          </w:p>
        </w:tc>
        <w:tc>
          <w:tcPr>
            <w:tcW w:w="60" w:type="dxa"/>
            <w:tcBorders>
              <w:top w:val="single" w:sz="8" w:space="0" w:color="BFBFBF"/>
              <w:right w:val="single" w:sz="8" w:space="0" w:color="BFBFBF"/>
            </w:tcBorders>
            <w:shd w:fill="F4F4F4" w:val="clear"/>
            <w:tcMar>
              <w:left w:w="0" w:type="dxa"/>
            </w:tcMar>
            <w:vAlign w:val="center"/>
          </w:tcPr>
          <w:p>
            <w:pPr>
              <w:pStyle w:val="TableContents"/>
              <w:bidi w:val="0"/>
              <w:spacing w:before="0" w:after="283"/>
              <w:jc w:val="left"/>
              <w:rPr/>
            </w:pPr>
            <w:r>
              <w:rPr/>
              <w:t> </w:t>
            </w:r>
          </w:p>
        </w:tc>
        <w:tc>
          <w:tcPr>
            <w:tcW w:w="60" w:type="dxa"/>
            <w:tcBorders>
              <w:top w:val="single" w:sz="8" w:space="0" w:color="BFBFBF"/>
            </w:tcBorders>
            <w:shd w:fill="F4F4F4" w:val="clear"/>
            <w:tcMar>
              <w:left w:w="0" w:type="dxa"/>
              <w:right w:w="0" w:type="dxa"/>
            </w:tcMar>
            <w:vAlign w:val="center"/>
          </w:tcPr>
          <w:p>
            <w:pPr>
              <w:pStyle w:val="TableContents"/>
              <w:bidi w:val="0"/>
              <w:spacing w:before="0" w:after="283"/>
              <w:jc w:val="left"/>
              <w:rPr/>
            </w:pPr>
            <w:r>
              <w:rPr/>
              <w:t> </w:t>
            </w:r>
          </w:p>
        </w:tc>
        <w:tc>
          <w:tcPr>
            <w:tcW w:w="860" w:type="dxa"/>
            <w:tcBorders>
              <w:top w:val="single" w:sz="8" w:space="0" w:color="BFBFBF"/>
            </w:tcBorders>
            <w:shd w:fill="F4F4F4" w:val="clear"/>
            <w:tcMar>
              <w:left w:w="0" w:type="dxa"/>
              <w:right w:w="0" w:type="dxa"/>
            </w:tcMar>
            <w:vAlign w:val="center"/>
          </w:tcPr>
          <w:p>
            <w:pPr>
              <w:pStyle w:val="TableContents"/>
              <w:bidi w:val="0"/>
              <w:spacing w:before="0" w:after="283"/>
              <w:jc w:val="both"/>
              <w:rPr>
                <w:rFonts w:ascii="Arial;Helvetica;Sans-Serif" w:hAnsi="Arial;Helvetica;Sans-Serif"/>
                <w:b/>
                <w:i w:val="false"/>
                <w:caps w:val="false"/>
                <w:smallCaps w:val="false"/>
                <w:color w:val="1A1A1A"/>
                <w:sz w:val="18"/>
              </w:rPr>
            </w:pPr>
            <w:r>
              <w:rPr>
                <w:rFonts w:ascii="Arial;Helvetica;Sans-Serif" w:hAnsi="Arial;Helvetica;Sans-Serif"/>
                <w:b/>
                <w:i w:val="false"/>
                <w:caps w:val="false"/>
                <w:smallCaps w:val="false"/>
                <w:color w:val="1A1A1A"/>
                <w:sz w:val="18"/>
              </w:rPr>
              <w:t>Maximum</w:t>
            </w:r>
          </w:p>
        </w:tc>
        <w:tc>
          <w:tcPr>
            <w:tcW w:w="485" w:type="dxa"/>
            <w:tcBorders>
              <w:top w:val="single" w:sz="8" w:space="0" w:color="BFBFBF"/>
            </w:tcBorders>
            <w:shd w:fill="F4F4F4" w:val="clear"/>
            <w:tcMar>
              <w:left w:w="0" w:type="dxa"/>
              <w:right w:w="0" w:type="dxa"/>
            </w:tcMar>
            <w:vAlign w:val="center"/>
          </w:tcPr>
          <w:p>
            <w:pPr>
              <w:pStyle w:val="TableContents"/>
              <w:bidi w:val="0"/>
              <w:spacing w:before="0" w:after="283"/>
              <w:jc w:val="both"/>
              <w:rPr>
                <w:rFonts w:ascii="Arial;Helvetica;Sans-Serif" w:hAnsi="Arial;Helvetica;Sans-Serif"/>
                <w:b w:val="false"/>
                <w:i w:val="false"/>
                <w:caps w:val="false"/>
                <w:smallCaps w:val="false"/>
                <w:color w:val="1A1A1A"/>
                <w:sz w:val="18"/>
              </w:rPr>
            </w:pPr>
            <w:r>
              <w:rPr>
                <w:rFonts w:ascii="Arial;Helvetica;Sans-Serif" w:hAnsi="Arial;Helvetica;Sans-Serif"/>
                <w:b w:val="false"/>
                <w:i w:val="false"/>
                <w:caps w:val="false"/>
                <w:smallCaps w:val="false"/>
                <w:color w:val="1A1A1A"/>
                <w:sz w:val="18"/>
              </w:rPr>
              <w:t>1.30+</w:t>
            </w:r>
          </w:p>
        </w:tc>
        <w:tc>
          <w:tcPr>
            <w:tcW w:w="500" w:type="dxa"/>
            <w:tcBorders>
              <w:top w:val="single" w:sz="8" w:space="0" w:color="BFBFBF"/>
            </w:tcBorders>
            <w:shd w:fill="F4F4F4" w:val="clear"/>
            <w:tcMar>
              <w:left w:w="0" w:type="dxa"/>
              <w:right w:w="0" w:type="dxa"/>
            </w:tcMar>
            <w:vAlign w:val="center"/>
          </w:tcPr>
          <w:p>
            <w:pPr>
              <w:pStyle w:val="TableContents"/>
              <w:bidi w:val="0"/>
              <w:spacing w:before="0" w:after="283"/>
              <w:jc w:val="both"/>
              <w:rPr>
                <w:rFonts w:ascii="Arial;Helvetica;Sans-Serif" w:hAnsi="Arial;Helvetica;Sans-Serif"/>
                <w:b w:val="false"/>
                <w:i w:val="false"/>
                <w:caps w:val="false"/>
                <w:smallCaps w:val="false"/>
                <w:color w:val="1A1A1A"/>
                <w:sz w:val="18"/>
              </w:rPr>
            </w:pPr>
            <w:r>
              <w:rPr>
                <w:rFonts w:ascii="Arial;Helvetica;Sans-Serif" w:hAnsi="Arial;Helvetica;Sans-Serif"/>
                <w:b w:val="false"/>
                <w:i w:val="false"/>
                <w:caps w:val="false"/>
                <w:smallCaps w:val="false"/>
                <w:color w:val="1A1A1A"/>
                <w:sz w:val="18"/>
              </w:rPr>
              <w:t>140%</w:t>
            </w:r>
          </w:p>
        </w:tc>
        <w:tc>
          <w:tcPr>
            <w:tcW w:w="75" w:type="dxa"/>
            <w:tcBorders>
              <w:top w:val="single" w:sz="8" w:space="0" w:color="BFBFBF"/>
              <w:right w:val="single" w:sz="8" w:space="0" w:color="BFBFBF"/>
            </w:tcBorders>
            <w:shd w:fill="F4F4F4" w:val="clear"/>
            <w:tcMar>
              <w:left w:w="0" w:type="dxa"/>
            </w:tcMar>
            <w:vAlign w:val="center"/>
          </w:tcPr>
          <w:p>
            <w:pPr>
              <w:pStyle w:val="TableContents"/>
              <w:bidi w:val="0"/>
              <w:spacing w:before="0" w:after="283"/>
              <w:jc w:val="left"/>
              <w:rPr/>
            </w:pPr>
            <w:r>
              <w:rPr/>
              <w:t> </w:t>
            </w:r>
          </w:p>
        </w:tc>
      </w:tr>
    </w:tbl>
    <w:tbl>
      <w:tblPr>
        <w:tblW w:w="10205" w:type="dxa"/>
        <w:jc w:val="left"/>
        <w:tblInd w:w="-10" w:type="dxa"/>
        <w:tblLayout w:type="fixed"/>
        <w:tblCellMar>
          <w:top w:w="200" w:type="dxa"/>
          <w:left w:w="120" w:type="dxa"/>
          <w:bottom w:w="200" w:type="dxa"/>
          <w:right w:w="120" w:type="dxa"/>
        </w:tblCellMar>
      </w:tblPr>
      <w:tblGrid>
        <w:gridCol w:w="619"/>
        <w:gridCol w:w="1694"/>
        <w:gridCol w:w="60"/>
        <w:gridCol w:w="7832"/>
      </w:tblGrid>
      <w:tr>
        <w:trPr/>
        <w:tc>
          <w:tcPr>
            <w:tcW w:w="619" w:type="dxa"/>
            <w:tcBorders>
              <w:top w:val="single" w:sz="8" w:space="0" w:color="BFBFBF"/>
              <w:left w:val="single" w:sz="8" w:space="0" w:color="BFBFBF"/>
              <w:bottom w:val="single" w:sz="8" w:space="0" w:color="BFBFBF"/>
              <w:right w:val="single" w:sz="8" w:space="0" w:color="BFBFBF"/>
            </w:tcBorders>
            <w:vAlign w:val="center"/>
          </w:tcPr>
          <w:p>
            <w:pPr>
              <w:pStyle w:val="TableContents"/>
              <w:bidi w:val="0"/>
              <w:spacing w:before="0" w:after="283"/>
              <w:jc w:val="both"/>
              <w:rPr>
                <w:rFonts w:ascii="Arial;Helvetica;Sans-Serif" w:hAnsi="Arial;Helvetica;Sans-Serif"/>
                <w:b/>
                <w:i w:val="false"/>
                <w:caps w:val="false"/>
                <w:smallCaps w:val="false"/>
                <w:color w:val="004BAA"/>
                <w:sz w:val="22"/>
              </w:rPr>
            </w:pPr>
            <w:r>
              <w:rPr>
                <w:rFonts w:ascii="Arial;Helvetica;Sans-Serif" w:hAnsi="Arial;Helvetica;Sans-Serif"/>
                <w:b/>
                <w:i w:val="false"/>
                <w:caps w:val="false"/>
                <w:smallCaps w:val="false"/>
                <w:color w:val="004BAA"/>
                <w:sz w:val="22"/>
              </w:rPr>
              <w:t>10.2 / 10.3</w:t>
            </w:r>
          </w:p>
        </w:tc>
        <w:tc>
          <w:tcPr>
            <w:tcW w:w="1694" w:type="dxa"/>
            <w:tcBorders>
              <w:top w:val="single" w:sz="8" w:space="0" w:color="BFBFBF"/>
              <w:bottom w:val="single" w:sz="8" w:space="0" w:color="BFBFBF"/>
              <w:right w:val="single" w:sz="8" w:space="0" w:color="BFBFBF"/>
            </w:tcBorders>
            <w:tcMar>
              <w:left w:w="0" w:type="dxa"/>
            </w:tcMar>
            <w:vAlign w:val="center"/>
          </w:tcPr>
          <w:p>
            <w:pPr>
              <w:pStyle w:val="TableContents"/>
              <w:bidi w:val="0"/>
              <w:spacing w:before="0" w:after="283"/>
              <w:jc w:val="left"/>
              <w:rPr>
                <w:rFonts w:ascii="Arial;Helvetica;Sans-Serif" w:hAnsi="Arial;Helvetica;Sans-Serif"/>
                <w:b/>
                <w:i w:val="false"/>
                <w:caps w:val="false"/>
                <w:smallCaps w:val="false"/>
                <w:color w:val="1A1A1A"/>
                <w:sz w:val="22"/>
              </w:rPr>
            </w:pPr>
            <w:r>
              <w:rPr>
                <w:rFonts w:ascii="Arial;Helvetica;Sans-Serif" w:hAnsi="Arial;Helvetica;Sans-Serif"/>
                <w:b/>
                <w:i w:val="false"/>
                <w:caps w:val="false"/>
                <w:smallCaps w:val="false"/>
                <w:color w:val="1A1A1A"/>
                <w:sz w:val="22"/>
              </w:rPr>
              <w:t>Additional Bonus Thresholds</w:t>
            </w:r>
          </w:p>
        </w:tc>
        <w:tc>
          <w:tcPr>
            <w:tcW w:w="60" w:type="dxa"/>
            <w:tcBorders>
              <w:top w:val="single" w:sz="8" w:space="0" w:color="BFBFBF"/>
              <w:bottom w:val="single" w:sz="8" w:space="0" w:color="BFBFBF"/>
            </w:tcBorders>
            <w:tcMar>
              <w:top w:w="28" w:type="dxa"/>
              <w:left w:w="0" w:type="dxa"/>
              <w:bottom w:w="28" w:type="dxa"/>
              <w:right w:w="0" w:type="dxa"/>
            </w:tcMar>
            <w:vAlign w:val="center"/>
          </w:tcPr>
          <w:p>
            <w:pPr>
              <w:pStyle w:val="TableContents"/>
              <w:bidi w:val="0"/>
              <w:spacing w:before="0" w:after="283"/>
              <w:jc w:val="left"/>
              <w:rPr/>
            </w:pPr>
            <w:r>
              <w:rPr/>
              <w:t> </w:t>
            </w:r>
          </w:p>
        </w:tc>
        <w:tc>
          <w:tcPr>
            <w:tcW w:w="7832" w:type="dxa"/>
            <w:tcBorders>
              <w:top w:val="single" w:sz="8" w:space="0" w:color="BFBFBF"/>
              <w:bottom w:val="single" w:sz="8" w:space="0" w:color="BFBFBF"/>
              <w:right w:val="single" w:sz="8" w:space="0" w:color="BFBFBF"/>
            </w:tcBorders>
            <w:tcMar>
              <w:left w:w="0" w:type="dxa"/>
            </w:tcMar>
            <w:vAlign w:val="center"/>
          </w:tcPr>
          <w:p>
            <w:pPr>
              <w:pStyle w:val="TableContents"/>
              <w:bidi w:val="0"/>
              <w:spacing w:before="0" w:after="283"/>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In order to enhance the rigor and focus of the performance targets, a provision has been added that allows the Board of Directors to add additional minimum performance threshold(s) below which no bonus payout will be paid to the Chief Executive Officer or to the Other Executive Officers, respectively, regardless of the total MBO score achieved. This provision will enable the Compensation Committee and the Board of Directors to emphasize criteria of particular importance in a given year by defining it as required minimum performance for any bonus payout. The maximum bonus upside for the Chief Executive Officer remains unchanged from the 2023 Compensation Policy.</w:t>
            </w:r>
          </w:p>
        </w:tc>
      </w:tr>
      <w:tr>
        <w:trPr/>
        <w:tc>
          <w:tcPr>
            <w:tcW w:w="619" w:type="dxa"/>
            <w:tcBorders>
              <w:left w:val="single" w:sz="8" w:space="0" w:color="BFBFBF"/>
              <w:bottom w:val="single" w:sz="8" w:space="0" w:color="BFBFBF"/>
              <w:right w:val="single" w:sz="8" w:space="0" w:color="BFBFBF"/>
            </w:tcBorders>
            <w:shd w:fill="F4F4F4" w:val="clear"/>
            <w:tcMar>
              <w:top w:w="0" w:type="dxa"/>
            </w:tcMar>
            <w:vAlign w:val="center"/>
          </w:tcPr>
          <w:p>
            <w:pPr>
              <w:pStyle w:val="TableContents"/>
              <w:bidi w:val="0"/>
              <w:spacing w:before="0" w:after="283"/>
              <w:jc w:val="both"/>
              <w:rPr>
                <w:rFonts w:ascii="Arial;Helvetica;Sans-Serif" w:hAnsi="Arial;Helvetica;Sans-Serif"/>
                <w:b/>
                <w:i w:val="false"/>
                <w:caps w:val="false"/>
                <w:smallCaps w:val="false"/>
                <w:color w:val="004BAA"/>
                <w:sz w:val="22"/>
              </w:rPr>
            </w:pPr>
            <w:r>
              <w:rPr>
                <w:rFonts w:ascii="Arial;Helvetica;Sans-Serif" w:hAnsi="Arial;Helvetica;Sans-Serif"/>
                <w:b/>
                <w:i w:val="false"/>
                <w:caps w:val="false"/>
                <w:smallCaps w:val="false"/>
                <w:color w:val="004BAA"/>
                <w:sz w:val="22"/>
              </w:rPr>
              <w:t>14.3</w:t>
            </w:r>
          </w:p>
        </w:tc>
        <w:tc>
          <w:tcPr>
            <w:tcW w:w="1694" w:type="dxa"/>
            <w:tcBorders>
              <w:bottom w:val="single" w:sz="8" w:space="0" w:color="BFBFBF"/>
              <w:right w:val="single" w:sz="8" w:space="0" w:color="BFBFBF"/>
            </w:tcBorders>
            <w:shd w:fill="F4F4F4" w:val="clear"/>
            <w:tcMar>
              <w:top w:w="0" w:type="dxa"/>
              <w:left w:w="0" w:type="dxa"/>
            </w:tcMar>
            <w:vAlign w:val="center"/>
          </w:tcPr>
          <w:p>
            <w:pPr>
              <w:pStyle w:val="TableContents"/>
              <w:bidi w:val="0"/>
              <w:spacing w:before="0" w:after="283"/>
              <w:jc w:val="left"/>
              <w:rPr>
                <w:rFonts w:ascii="Arial;Helvetica;Sans-Serif" w:hAnsi="Arial;Helvetica;Sans-Serif"/>
                <w:b/>
                <w:i w:val="false"/>
                <w:caps w:val="false"/>
                <w:smallCaps w:val="false"/>
                <w:color w:val="1A1A1A"/>
                <w:sz w:val="22"/>
              </w:rPr>
            </w:pPr>
            <w:r>
              <w:rPr>
                <w:rFonts w:ascii="Arial;Helvetica;Sans-Serif" w:hAnsi="Arial;Helvetica;Sans-Serif"/>
                <w:b/>
                <w:i w:val="false"/>
                <w:caps w:val="false"/>
                <w:smallCaps w:val="false"/>
                <w:color w:val="1A1A1A"/>
                <w:sz w:val="22"/>
              </w:rPr>
              <w:t>Maximum Annual Equity Award Value (2)</w:t>
            </w:r>
          </w:p>
        </w:tc>
        <w:tc>
          <w:tcPr>
            <w:tcW w:w="60" w:type="dxa"/>
            <w:tcBorders>
              <w:bottom w:val="single" w:sz="8" w:space="0" w:color="BFBFBF"/>
            </w:tcBorders>
            <w:shd w:fill="F4F4F4" w:val="clear"/>
            <w:tcMar>
              <w:top w:w="0" w:type="dxa"/>
              <w:left w:w="0" w:type="dxa"/>
              <w:bottom w:w="28" w:type="dxa"/>
              <w:right w:w="0" w:type="dxa"/>
            </w:tcMar>
            <w:vAlign w:val="center"/>
          </w:tcPr>
          <w:p>
            <w:pPr>
              <w:pStyle w:val="TableContents"/>
              <w:bidi w:val="0"/>
              <w:spacing w:before="0" w:after="283"/>
              <w:jc w:val="left"/>
              <w:rPr/>
            </w:pPr>
            <w:r>
              <w:rPr/>
              <w:t> </w:t>
            </w:r>
          </w:p>
        </w:tc>
        <w:tc>
          <w:tcPr>
            <w:tcW w:w="7832" w:type="dxa"/>
            <w:tcBorders>
              <w:bottom w:val="single" w:sz="8" w:space="0" w:color="BFBFBF"/>
              <w:right w:val="single" w:sz="8" w:space="0" w:color="BFBFBF"/>
            </w:tcBorders>
            <w:shd w:fill="F4F4F4" w:val="clear"/>
            <w:tcMar>
              <w:top w:w="0" w:type="dxa"/>
              <w:left w:w="0" w:type="dxa"/>
            </w:tcMar>
            <w:vAlign w:val="center"/>
          </w:tcPr>
          <w:p>
            <w:pPr>
              <w:pStyle w:val="TableContents"/>
              <w:bidi w:val="0"/>
              <w:spacing w:before="0" w:after="283"/>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The maximum value of equity, calculated in accordance with the Equity Calculation Model (as defined in the Amended Compensation Policy), that may be granted annually to the Chief Executive Officer has been increased to an amount equal to 13 times the Chief Executive Officer’s annual base salary, and, with respect to each Other Executive Officer, to an amount equal to 7 times such Other Executive Officer’s annual base salary, in order to enable the Company to provide its executive officers with competitive market compensation that aligns with the compensation practices of its peer group.</w:t>
            </w:r>
          </w:p>
        </w:tc>
      </w:tr>
      <w:tr>
        <w:trPr/>
        <w:tc>
          <w:tcPr>
            <w:tcW w:w="619" w:type="dxa"/>
            <w:tcBorders>
              <w:left w:val="single" w:sz="8" w:space="0" w:color="BFBFBF"/>
              <w:bottom w:val="single" w:sz="8" w:space="0" w:color="BFBFBF"/>
              <w:right w:val="single" w:sz="8" w:space="0" w:color="BFBFBF"/>
            </w:tcBorders>
            <w:tcMar>
              <w:top w:w="0" w:type="dxa"/>
            </w:tcMar>
            <w:vAlign w:val="center"/>
          </w:tcPr>
          <w:p>
            <w:pPr>
              <w:pStyle w:val="TableContents"/>
              <w:bidi w:val="0"/>
              <w:spacing w:before="0" w:after="283"/>
              <w:jc w:val="both"/>
              <w:rPr>
                <w:rFonts w:ascii="Arial;Helvetica;Sans-Serif" w:hAnsi="Arial;Helvetica;Sans-Serif"/>
                <w:b/>
                <w:i w:val="false"/>
                <w:caps w:val="false"/>
                <w:smallCaps w:val="false"/>
                <w:color w:val="004BAA"/>
                <w:sz w:val="22"/>
              </w:rPr>
            </w:pPr>
            <w:r>
              <w:rPr>
                <w:rFonts w:ascii="Arial;Helvetica;Sans-Serif" w:hAnsi="Arial;Helvetica;Sans-Serif"/>
                <w:b/>
                <w:i w:val="false"/>
                <w:caps w:val="false"/>
                <w:smallCaps w:val="false"/>
                <w:color w:val="004BAA"/>
                <w:sz w:val="22"/>
              </w:rPr>
              <w:t>14.6</w:t>
            </w:r>
          </w:p>
        </w:tc>
        <w:tc>
          <w:tcPr>
            <w:tcW w:w="1694" w:type="dxa"/>
            <w:tcBorders>
              <w:bottom w:val="single" w:sz="8" w:space="0" w:color="BFBFBF"/>
              <w:right w:val="single" w:sz="8" w:space="0" w:color="BFBFBF"/>
            </w:tcBorders>
            <w:tcMar>
              <w:top w:w="0" w:type="dxa"/>
              <w:left w:w="0" w:type="dxa"/>
            </w:tcMar>
            <w:vAlign w:val="center"/>
          </w:tcPr>
          <w:p>
            <w:pPr>
              <w:pStyle w:val="TableContents"/>
              <w:bidi w:val="0"/>
              <w:spacing w:before="0" w:after="283"/>
              <w:jc w:val="left"/>
              <w:rPr>
                <w:rFonts w:ascii="Arial;Helvetica;Sans-Serif" w:hAnsi="Arial;Helvetica;Sans-Serif"/>
                <w:b/>
                <w:i w:val="false"/>
                <w:caps w:val="false"/>
                <w:smallCaps w:val="false"/>
                <w:color w:val="1A1A1A"/>
                <w:sz w:val="22"/>
              </w:rPr>
            </w:pPr>
            <w:r>
              <w:rPr>
                <w:rFonts w:ascii="Arial;Helvetica;Sans-Serif" w:hAnsi="Arial;Helvetica;Sans-Serif"/>
                <w:b/>
                <w:i w:val="false"/>
                <w:caps w:val="false"/>
                <w:smallCaps w:val="false"/>
                <w:color w:val="1A1A1A"/>
                <w:sz w:val="22"/>
              </w:rPr>
              <w:t>Equity Vesting on Death</w:t>
            </w:r>
          </w:p>
        </w:tc>
        <w:tc>
          <w:tcPr>
            <w:tcW w:w="60" w:type="dxa"/>
            <w:tcBorders>
              <w:bottom w:val="single" w:sz="8" w:space="0" w:color="BFBFBF"/>
            </w:tcBorders>
            <w:tcMar>
              <w:top w:w="0" w:type="dxa"/>
              <w:left w:w="0" w:type="dxa"/>
              <w:bottom w:w="28" w:type="dxa"/>
              <w:right w:w="0" w:type="dxa"/>
            </w:tcMar>
            <w:vAlign w:val="center"/>
          </w:tcPr>
          <w:p>
            <w:pPr>
              <w:pStyle w:val="TableContents"/>
              <w:bidi w:val="0"/>
              <w:spacing w:before="0" w:after="283"/>
              <w:jc w:val="left"/>
              <w:rPr/>
            </w:pPr>
            <w:r>
              <w:rPr/>
              <w:t> </w:t>
            </w:r>
          </w:p>
        </w:tc>
        <w:tc>
          <w:tcPr>
            <w:tcW w:w="7832" w:type="dxa"/>
            <w:tcBorders>
              <w:bottom w:val="single" w:sz="8" w:space="0" w:color="BFBFBF"/>
              <w:right w:val="single" w:sz="8" w:space="0" w:color="BFBFBF"/>
            </w:tcBorders>
            <w:tcMar>
              <w:top w:w="0" w:type="dxa"/>
              <w:left w:w="0" w:type="dxa"/>
            </w:tcMar>
            <w:vAlign w:val="center"/>
          </w:tcPr>
          <w:p>
            <w:pPr>
              <w:pStyle w:val="TableContents"/>
              <w:bidi w:val="0"/>
              <w:spacing w:before="0" w:after="283"/>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It has been clarified that performance-based restricted share units will vest at target performance in the event of acceleration of equity awards due to death.</w:t>
            </w:r>
          </w:p>
        </w:tc>
      </w:tr>
      <w:tr>
        <w:trPr/>
        <w:tc>
          <w:tcPr>
            <w:tcW w:w="619" w:type="dxa"/>
            <w:tcBorders>
              <w:left w:val="single" w:sz="8" w:space="0" w:color="BFBFBF"/>
              <w:bottom w:val="single" w:sz="8" w:space="0" w:color="BFBFBF"/>
              <w:right w:val="single" w:sz="8" w:space="0" w:color="BFBFBF"/>
            </w:tcBorders>
            <w:shd w:fill="F4F4F4" w:val="clear"/>
            <w:tcMar>
              <w:top w:w="0" w:type="dxa"/>
            </w:tcMar>
            <w:vAlign w:val="center"/>
          </w:tcPr>
          <w:p>
            <w:pPr>
              <w:pStyle w:val="TableContents"/>
              <w:bidi w:val="0"/>
              <w:spacing w:before="0" w:after="283"/>
              <w:jc w:val="both"/>
              <w:rPr>
                <w:rFonts w:ascii="Arial;Helvetica;Sans-Serif" w:hAnsi="Arial;Helvetica;Sans-Serif"/>
                <w:b/>
                <w:i w:val="false"/>
                <w:caps w:val="false"/>
                <w:smallCaps w:val="false"/>
                <w:color w:val="004BAA"/>
                <w:sz w:val="22"/>
              </w:rPr>
            </w:pPr>
            <w:r>
              <w:rPr>
                <w:rFonts w:ascii="Arial;Helvetica;Sans-Serif" w:hAnsi="Arial;Helvetica;Sans-Serif"/>
                <w:b/>
                <w:i w:val="false"/>
                <w:caps w:val="false"/>
                <w:smallCaps w:val="false"/>
                <w:color w:val="004BAA"/>
                <w:sz w:val="22"/>
              </w:rPr>
              <w:t>14.8</w:t>
            </w:r>
          </w:p>
        </w:tc>
        <w:tc>
          <w:tcPr>
            <w:tcW w:w="1694" w:type="dxa"/>
            <w:tcBorders>
              <w:bottom w:val="single" w:sz="8" w:space="0" w:color="BFBFBF"/>
              <w:right w:val="single" w:sz="8" w:space="0" w:color="BFBFBF"/>
            </w:tcBorders>
            <w:shd w:fill="F4F4F4" w:val="clear"/>
            <w:tcMar>
              <w:top w:w="0" w:type="dxa"/>
              <w:left w:w="0" w:type="dxa"/>
            </w:tcMar>
            <w:vAlign w:val="center"/>
          </w:tcPr>
          <w:p>
            <w:pPr>
              <w:pStyle w:val="TableContents"/>
              <w:bidi w:val="0"/>
              <w:spacing w:before="0" w:after="283"/>
              <w:jc w:val="left"/>
              <w:rPr>
                <w:rFonts w:ascii="Arial;Helvetica;Sans-Serif" w:hAnsi="Arial;Helvetica;Sans-Serif"/>
                <w:b/>
                <w:i w:val="false"/>
                <w:caps w:val="false"/>
                <w:smallCaps w:val="false"/>
                <w:color w:val="1A1A1A"/>
                <w:sz w:val="22"/>
              </w:rPr>
            </w:pPr>
            <w:r>
              <w:rPr>
                <w:rFonts w:ascii="Arial;Helvetica;Sans-Serif" w:hAnsi="Arial;Helvetica;Sans-Serif"/>
                <w:b/>
                <w:i w:val="false"/>
                <w:caps w:val="false"/>
                <w:smallCaps w:val="false"/>
                <w:color w:val="1A1A1A"/>
                <w:sz w:val="22"/>
              </w:rPr>
              <w:t>Shareholding Guidelines Compliance</w:t>
            </w:r>
          </w:p>
        </w:tc>
        <w:tc>
          <w:tcPr>
            <w:tcW w:w="60" w:type="dxa"/>
            <w:tcBorders>
              <w:bottom w:val="single" w:sz="8" w:space="0" w:color="BFBFBF"/>
            </w:tcBorders>
            <w:shd w:fill="F4F4F4" w:val="clear"/>
            <w:tcMar>
              <w:top w:w="0" w:type="dxa"/>
              <w:left w:w="0" w:type="dxa"/>
              <w:bottom w:w="28" w:type="dxa"/>
              <w:right w:w="0" w:type="dxa"/>
            </w:tcMar>
            <w:vAlign w:val="center"/>
          </w:tcPr>
          <w:p>
            <w:pPr>
              <w:pStyle w:val="TableContents"/>
              <w:bidi w:val="0"/>
              <w:spacing w:before="0" w:after="283"/>
              <w:jc w:val="left"/>
              <w:rPr/>
            </w:pPr>
            <w:r>
              <w:rPr/>
              <w:t> </w:t>
            </w:r>
          </w:p>
        </w:tc>
        <w:tc>
          <w:tcPr>
            <w:tcW w:w="7832" w:type="dxa"/>
            <w:tcBorders>
              <w:bottom w:val="single" w:sz="8" w:space="0" w:color="BFBFBF"/>
              <w:right w:val="single" w:sz="8" w:space="0" w:color="BFBFBF"/>
            </w:tcBorders>
            <w:shd w:fill="F4F4F4" w:val="clear"/>
            <w:tcMar>
              <w:top w:w="0" w:type="dxa"/>
              <w:left w:w="0" w:type="dxa"/>
            </w:tcMar>
            <w:vAlign w:val="center"/>
          </w:tcPr>
          <w:p>
            <w:pPr>
              <w:pStyle w:val="TableContents"/>
              <w:bidi w:val="0"/>
              <w:spacing w:before="0" w:after="283"/>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The shareholding guidelines have been updated to reflect the current compliance of all officers and directors who have served on the Board of Directors since the Board adopted the guidelines, and to clarify that officers and directors elected or appointed (as applicable) subsequent to the date on which the Board of Directors approved the shareholding guidelines are required to attain full compliance with the guidelines in accordance with the same mechanism and time period, with the necessary applicable changes.</w:t>
            </w:r>
          </w:p>
        </w:tc>
      </w:tr>
      <w:tr>
        <w:trPr/>
        <w:tc>
          <w:tcPr>
            <w:tcW w:w="619" w:type="dxa"/>
            <w:tcBorders>
              <w:left w:val="single" w:sz="8" w:space="0" w:color="BFBFBF"/>
              <w:bottom w:val="single" w:sz="8" w:space="0" w:color="BFBFBF"/>
              <w:right w:val="single" w:sz="8" w:space="0" w:color="BFBFBF"/>
            </w:tcBorders>
            <w:tcMar>
              <w:top w:w="0" w:type="dxa"/>
            </w:tcMar>
            <w:vAlign w:val="center"/>
          </w:tcPr>
          <w:p>
            <w:pPr>
              <w:pStyle w:val="TableContents"/>
              <w:bidi w:val="0"/>
              <w:spacing w:before="0" w:after="283"/>
              <w:jc w:val="both"/>
              <w:rPr>
                <w:rFonts w:ascii="Arial;Helvetica;Sans-Serif" w:hAnsi="Arial;Helvetica;Sans-Serif"/>
                <w:b/>
                <w:i w:val="false"/>
                <w:caps w:val="false"/>
                <w:smallCaps w:val="false"/>
                <w:color w:val="004BAA"/>
                <w:sz w:val="22"/>
              </w:rPr>
            </w:pPr>
            <w:r>
              <w:rPr>
                <w:rFonts w:ascii="Arial;Helvetica;Sans-Serif" w:hAnsi="Arial;Helvetica;Sans-Serif"/>
                <w:b/>
                <w:i w:val="false"/>
                <w:caps w:val="false"/>
                <w:smallCaps w:val="false"/>
                <w:color w:val="004BAA"/>
                <w:sz w:val="22"/>
              </w:rPr>
              <w:t>16.2</w:t>
            </w:r>
          </w:p>
        </w:tc>
        <w:tc>
          <w:tcPr>
            <w:tcW w:w="1694" w:type="dxa"/>
            <w:tcBorders>
              <w:bottom w:val="single" w:sz="8" w:space="0" w:color="BFBFBF"/>
              <w:right w:val="single" w:sz="8" w:space="0" w:color="BFBFBF"/>
            </w:tcBorders>
            <w:tcMar>
              <w:top w:w="0" w:type="dxa"/>
              <w:left w:w="0" w:type="dxa"/>
            </w:tcMar>
            <w:vAlign w:val="center"/>
          </w:tcPr>
          <w:p>
            <w:pPr>
              <w:pStyle w:val="TableContents"/>
              <w:bidi w:val="0"/>
              <w:spacing w:before="0" w:after="283"/>
              <w:jc w:val="left"/>
              <w:rPr>
                <w:rFonts w:ascii="Arial;Helvetica;Sans-Serif" w:hAnsi="Arial;Helvetica;Sans-Serif"/>
                <w:b/>
                <w:i w:val="false"/>
                <w:caps w:val="false"/>
                <w:smallCaps w:val="false"/>
                <w:color w:val="1A1A1A"/>
                <w:sz w:val="22"/>
              </w:rPr>
            </w:pPr>
            <w:r>
              <w:rPr>
                <w:rFonts w:ascii="Arial;Helvetica;Sans-Serif" w:hAnsi="Arial;Helvetica;Sans-Serif"/>
                <w:b/>
                <w:i w:val="false"/>
                <w:caps w:val="false"/>
                <w:smallCaps w:val="false"/>
                <w:color w:val="1A1A1A"/>
                <w:sz w:val="22"/>
              </w:rPr>
              <w:t>Severance Pay for Israeli Officers</w:t>
            </w:r>
          </w:p>
        </w:tc>
        <w:tc>
          <w:tcPr>
            <w:tcW w:w="60" w:type="dxa"/>
            <w:tcBorders>
              <w:bottom w:val="single" w:sz="8" w:space="0" w:color="BFBFBF"/>
            </w:tcBorders>
            <w:tcMar>
              <w:top w:w="0" w:type="dxa"/>
              <w:left w:w="0" w:type="dxa"/>
              <w:bottom w:w="28" w:type="dxa"/>
              <w:right w:w="0" w:type="dxa"/>
            </w:tcMar>
            <w:vAlign w:val="center"/>
          </w:tcPr>
          <w:p>
            <w:pPr>
              <w:pStyle w:val="TableContents"/>
              <w:bidi w:val="0"/>
              <w:spacing w:before="0" w:after="283"/>
              <w:jc w:val="left"/>
              <w:rPr/>
            </w:pPr>
            <w:r>
              <w:rPr/>
              <w:t> </w:t>
            </w:r>
          </w:p>
        </w:tc>
        <w:tc>
          <w:tcPr>
            <w:tcW w:w="7832" w:type="dxa"/>
            <w:tcBorders>
              <w:bottom w:val="single" w:sz="8" w:space="0" w:color="BFBFBF"/>
              <w:right w:val="single" w:sz="8" w:space="0" w:color="BFBFBF"/>
            </w:tcBorders>
            <w:tcMar>
              <w:top w:w="0" w:type="dxa"/>
              <w:left w:w="0" w:type="dxa"/>
            </w:tcMar>
            <w:vAlign w:val="center"/>
          </w:tcPr>
          <w:p>
            <w:pPr>
              <w:pStyle w:val="TableContents"/>
              <w:bidi w:val="0"/>
              <w:spacing w:before="0" w:after="283"/>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It has been clarified that severance pay may not be paid to Israeli executive officers upon dismissal if severance pay is not payable under applicable Israeli law.</w:t>
            </w:r>
          </w:p>
        </w:tc>
      </w:tr>
    </w:tbl>
    <w:p>
      <w:pPr>
        <w:pStyle w:val="TextBody"/>
        <w:bidi w:val="0"/>
        <w:spacing w:before="0" w:after="283"/>
        <w:jc w:val="left"/>
        <w:rPr/>
      </w:pPr>
      <w:r>
        <w:rPr/>
        <w:t> </w:t>
      </w:r>
    </w:p>
    <w:p>
      <w:pPr>
        <w:pStyle w:val="TextBody"/>
        <w:bidi w:val="0"/>
        <w:jc w:val="center"/>
        <w:rPr/>
      </w:pPr>
      <w:r>
        <w:rPr/>
        <w:drawing>
          <wp:inline distT="0" distB="0" distL="0" distR="0">
            <wp:extent cx="7620000" cy="107632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7620000" cy="1076325"/>
                    </a:xfrm>
                    <a:prstGeom prst="rect">
                      <a:avLst/>
                    </a:prstGeom>
                  </pic:spPr>
                </pic:pic>
              </a:graphicData>
            </a:graphic>
          </wp:inline>
        </w:drawing>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drawing>
          <wp:inline distT="0" distB="0" distL="0" distR="0">
            <wp:extent cx="7620000" cy="10953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7620000" cy="1095375"/>
                    </a:xfrm>
                    <a:prstGeom prst="rect">
                      <a:avLst/>
                    </a:prstGeom>
                  </pic:spPr>
                </pic:pic>
              </a:graphicData>
            </a:graphic>
          </wp:inline>
        </w:drawing>
      </w:r>
    </w:p>
    <w:p>
      <w:pPr>
        <w:pStyle w:val="TextBody"/>
        <w:bidi w:val="0"/>
        <w:spacing w:before="0" w:after="283"/>
        <w:jc w:val="left"/>
        <w:rPr/>
      </w:pPr>
      <w:r>
        <w:rPr/>
        <w:t> </w:t>
      </w:r>
    </w:p>
    <w:tbl>
      <w:tblPr>
        <w:tblW w:w="10205" w:type="dxa"/>
        <w:jc w:val="left"/>
        <w:tblInd w:w="-10" w:type="dxa"/>
        <w:tblLayout w:type="fixed"/>
        <w:tblCellMar>
          <w:top w:w="200" w:type="dxa"/>
          <w:left w:w="120" w:type="dxa"/>
          <w:bottom w:w="200" w:type="dxa"/>
          <w:right w:w="120" w:type="dxa"/>
        </w:tblCellMar>
      </w:tblPr>
      <w:tblGrid>
        <w:gridCol w:w="245"/>
        <w:gridCol w:w="1228"/>
        <w:gridCol w:w="60"/>
        <w:gridCol w:w="8672"/>
      </w:tblGrid>
      <w:tr>
        <w:trPr/>
        <w:tc>
          <w:tcPr>
            <w:tcW w:w="245" w:type="dxa"/>
            <w:tcBorders>
              <w:top w:val="single" w:sz="8" w:space="0" w:color="BFBFBF"/>
              <w:left w:val="single" w:sz="8" w:space="0" w:color="BFBFBF"/>
              <w:bottom w:val="single" w:sz="8" w:space="0" w:color="BFBFBF"/>
              <w:right w:val="single" w:sz="8" w:space="0" w:color="BFBFBF"/>
            </w:tcBorders>
            <w:shd w:fill="F4F4F4" w:val="clear"/>
            <w:vAlign w:val="center"/>
          </w:tcPr>
          <w:p>
            <w:pPr>
              <w:pStyle w:val="TableContents"/>
              <w:bidi w:val="0"/>
              <w:spacing w:before="0" w:after="283"/>
              <w:jc w:val="both"/>
              <w:rPr>
                <w:rFonts w:ascii="Arial;Helvetica;Sans-Serif" w:hAnsi="Arial;Helvetica;Sans-Serif"/>
                <w:b/>
                <w:i w:val="false"/>
                <w:caps w:val="false"/>
                <w:smallCaps w:val="false"/>
                <w:color w:val="004BAA"/>
                <w:sz w:val="18"/>
              </w:rPr>
            </w:pPr>
            <w:r>
              <w:rPr>
                <w:rFonts w:ascii="Arial;Helvetica;Sans-Serif" w:hAnsi="Arial;Helvetica;Sans-Serif"/>
                <w:b/>
                <w:i w:val="false"/>
                <w:caps w:val="false"/>
                <w:smallCaps w:val="false"/>
                <w:color w:val="004BAA"/>
                <w:sz w:val="18"/>
              </w:rPr>
              <w:t>18</w:t>
            </w:r>
          </w:p>
        </w:tc>
        <w:tc>
          <w:tcPr>
            <w:tcW w:w="1228" w:type="dxa"/>
            <w:tcBorders>
              <w:top w:val="single" w:sz="8" w:space="0" w:color="BFBFBF"/>
              <w:bottom w:val="single" w:sz="8" w:space="0" w:color="BFBFBF"/>
              <w:right w:val="single" w:sz="8" w:space="0" w:color="BFBFBF"/>
            </w:tcBorders>
            <w:shd w:fill="F4F4F4" w:val="clear"/>
            <w:tcMar>
              <w:left w:w="0" w:type="dxa"/>
            </w:tcMar>
            <w:vAlign w:val="center"/>
          </w:tcPr>
          <w:p>
            <w:pPr>
              <w:pStyle w:val="TableContents"/>
              <w:bidi w:val="0"/>
              <w:spacing w:before="0" w:after="283"/>
              <w:jc w:val="left"/>
              <w:rPr>
                <w:rFonts w:ascii="Arial;Helvetica;Sans-Serif" w:hAnsi="Arial;Helvetica;Sans-Serif"/>
                <w:b/>
                <w:i w:val="false"/>
                <w:caps w:val="false"/>
                <w:smallCaps w:val="false"/>
                <w:color w:val="1A1A1A"/>
                <w:sz w:val="18"/>
              </w:rPr>
            </w:pPr>
            <w:r>
              <w:rPr>
                <w:rFonts w:ascii="Arial;Helvetica;Sans-Serif" w:hAnsi="Arial;Helvetica;Sans-Serif"/>
                <w:b/>
                <w:i w:val="false"/>
                <w:caps w:val="false"/>
                <w:smallCaps w:val="false"/>
                <w:color w:val="1A1A1A"/>
                <w:sz w:val="18"/>
              </w:rPr>
              <w:t>Qualified Retirement Program</w:t>
            </w:r>
          </w:p>
        </w:tc>
        <w:tc>
          <w:tcPr>
            <w:tcW w:w="60" w:type="dxa"/>
            <w:tcBorders>
              <w:top w:val="single" w:sz="8" w:space="0" w:color="BFBFBF"/>
              <w:bottom w:val="single" w:sz="8" w:space="0" w:color="BFBFBF"/>
            </w:tcBorders>
            <w:shd w:fill="F4F4F4" w:val="clear"/>
            <w:tcMar>
              <w:top w:w="28" w:type="dxa"/>
              <w:left w:w="0" w:type="dxa"/>
              <w:bottom w:w="28" w:type="dxa"/>
              <w:right w:w="0" w:type="dxa"/>
            </w:tcMar>
            <w:vAlign w:val="center"/>
          </w:tcPr>
          <w:p>
            <w:pPr>
              <w:pStyle w:val="TableContents"/>
              <w:bidi w:val="0"/>
              <w:spacing w:before="0" w:after="283"/>
              <w:jc w:val="left"/>
              <w:rPr/>
            </w:pPr>
            <w:r>
              <w:rPr/>
              <w:t> </w:t>
            </w:r>
          </w:p>
        </w:tc>
        <w:tc>
          <w:tcPr>
            <w:tcW w:w="8672" w:type="dxa"/>
            <w:tcBorders>
              <w:top w:val="single" w:sz="8" w:space="0" w:color="BFBFBF"/>
              <w:bottom w:val="single" w:sz="8" w:space="0" w:color="BFBFBF"/>
              <w:right w:val="single" w:sz="8" w:space="0" w:color="BFBFBF"/>
            </w:tcBorders>
            <w:shd w:fill="F4F4F4" w:val="clear"/>
            <w:tcMar>
              <w:left w:w="0" w:type="dxa"/>
            </w:tcMar>
            <w:vAlign w:val="center"/>
          </w:tcPr>
          <w:p>
            <w:pPr>
              <w:pStyle w:val="TableContents"/>
              <w:bidi w:val="0"/>
              <w:spacing w:before="0" w:after="283"/>
              <w:jc w:val="both"/>
              <w:rPr>
                <w:rFonts w:ascii="Arial;Helvetica;Sans-Serif" w:hAnsi="Arial;Helvetica;Sans-Serif"/>
                <w:b w:val="false"/>
                <w:i w:val="false"/>
                <w:caps w:val="false"/>
                <w:smallCaps w:val="false"/>
                <w:color w:val="1A1A1A"/>
                <w:sz w:val="18"/>
              </w:rPr>
            </w:pPr>
            <w:r>
              <w:rPr>
                <w:rFonts w:ascii="Arial;Helvetica;Sans-Serif" w:hAnsi="Arial;Helvetica;Sans-Serif"/>
                <w:b w:val="false"/>
                <w:i w:val="false"/>
                <w:caps w:val="false"/>
                <w:smallCaps w:val="false"/>
                <w:color w:val="1A1A1A"/>
                <w:sz w:val="18"/>
              </w:rPr>
              <w:t>A qualified retirement program has been added, under which equity awards held by eligible executive officers of long tenure may continue to vest for up to a specified period following qualified retirement if the executive officer notifies the Company of his or her desire to leave employment with the Company under the terms of the program, including the agreement of the executive officer to a certain transition period (for the Company’s benefit) and to certain post-separation restrictive covenants, including non-competition, non-solicitation, non-disparagement and confidentiality undertakings.</w:t>
            </w:r>
          </w:p>
        </w:tc>
      </w:tr>
      <w:tr>
        <w:trPr/>
        <w:tc>
          <w:tcPr>
            <w:tcW w:w="245" w:type="dxa"/>
            <w:tcBorders>
              <w:left w:val="single" w:sz="8" w:space="0" w:color="BFBFBF"/>
              <w:bottom w:val="single" w:sz="8" w:space="0" w:color="BFBFBF"/>
              <w:right w:val="single" w:sz="8" w:space="0" w:color="BFBFBF"/>
            </w:tcBorders>
            <w:tcMar>
              <w:top w:w="0" w:type="dxa"/>
            </w:tcMar>
            <w:vAlign w:val="center"/>
          </w:tcPr>
          <w:p>
            <w:pPr>
              <w:pStyle w:val="TableContents"/>
              <w:bidi w:val="0"/>
              <w:spacing w:before="0" w:after="283"/>
              <w:jc w:val="both"/>
              <w:rPr>
                <w:rFonts w:ascii="Arial;Helvetica;Sans-Serif" w:hAnsi="Arial;Helvetica;Sans-Serif"/>
                <w:b/>
                <w:i w:val="false"/>
                <w:caps w:val="false"/>
                <w:smallCaps w:val="false"/>
                <w:color w:val="004BAA"/>
                <w:sz w:val="18"/>
              </w:rPr>
            </w:pPr>
            <w:r>
              <w:rPr>
                <w:rFonts w:ascii="Arial;Helvetica;Sans-Serif" w:hAnsi="Arial;Helvetica;Sans-Serif"/>
                <w:b/>
                <w:i w:val="false"/>
                <w:caps w:val="false"/>
                <w:smallCaps w:val="false"/>
                <w:color w:val="004BAA"/>
                <w:sz w:val="18"/>
              </w:rPr>
              <w:t>21</w:t>
            </w:r>
          </w:p>
        </w:tc>
        <w:tc>
          <w:tcPr>
            <w:tcW w:w="1228" w:type="dxa"/>
            <w:tcBorders>
              <w:bottom w:val="single" w:sz="8" w:space="0" w:color="BFBFBF"/>
              <w:right w:val="single" w:sz="8" w:space="0" w:color="BFBFBF"/>
            </w:tcBorders>
            <w:tcMar>
              <w:top w:w="0" w:type="dxa"/>
              <w:left w:w="0" w:type="dxa"/>
            </w:tcMar>
            <w:vAlign w:val="center"/>
          </w:tcPr>
          <w:p>
            <w:pPr>
              <w:pStyle w:val="TableContents"/>
              <w:bidi w:val="0"/>
              <w:spacing w:before="0" w:after="283"/>
              <w:jc w:val="left"/>
              <w:rPr>
                <w:rFonts w:ascii="Arial;Helvetica;Sans-Serif" w:hAnsi="Arial;Helvetica;Sans-Serif"/>
                <w:b/>
                <w:i w:val="false"/>
                <w:caps w:val="false"/>
                <w:smallCaps w:val="false"/>
                <w:color w:val="1A1A1A"/>
                <w:sz w:val="18"/>
              </w:rPr>
            </w:pPr>
            <w:r>
              <w:rPr>
                <w:rFonts w:ascii="Arial;Helvetica;Sans-Serif" w:hAnsi="Arial;Helvetica;Sans-Serif"/>
                <w:b/>
                <w:i w:val="false"/>
                <w:caps w:val="false"/>
                <w:smallCaps w:val="false"/>
                <w:color w:val="1A1A1A"/>
                <w:sz w:val="18"/>
              </w:rPr>
              <w:t>D&amp;O Insurance Coverage Limit</w:t>
            </w:r>
          </w:p>
        </w:tc>
        <w:tc>
          <w:tcPr>
            <w:tcW w:w="60" w:type="dxa"/>
            <w:tcBorders>
              <w:bottom w:val="single" w:sz="8" w:space="0" w:color="BFBFBF"/>
            </w:tcBorders>
            <w:tcMar>
              <w:top w:w="0" w:type="dxa"/>
              <w:left w:w="0" w:type="dxa"/>
              <w:bottom w:w="28" w:type="dxa"/>
              <w:right w:w="0" w:type="dxa"/>
            </w:tcMar>
            <w:vAlign w:val="center"/>
          </w:tcPr>
          <w:p>
            <w:pPr>
              <w:pStyle w:val="TableContents"/>
              <w:bidi w:val="0"/>
              <w:spacing w:before="0" w:after="283"/>
              <w:jc w:val="left"/>
              <w:rPr/>
            </w:pPr>
            <w:r>
              <w:rPr/>
              <w:t> </w:t>
            </w:r>
          </w:p>
        </w:tc>
        <w:tc>
          <w:tcPr>
            <w:tcW w:w="8672" w:type="dxa"/>
            <w:tcBorders>
              <w:bottom w:val="single" w:sz="8" w:space="0" w:color="BFBFBF"/>
              <w:right w:val="single" w:sz="8" w:space="0" w:color="BFBFBF"/>
            </w:tcBorders>
            <w:tcMar>
              <w:top w:w="0" w:type="dxa"/>
              <w:left w:w="0" w:type="dxa"/>
            </w:tcMar>
            <w:vAlign w:val="center"/>
          </w:tcPr>
          <w:p>
            <w:pPr>
              <w:pStyle w:val="TableContents"/>
              <w:bidi w:val="0"/>
              <w:spacing w:before="0" w:after="283"/>
              <w:jc w:val="both"/>
              <w:rPr>
                <w:rFonts w:ascii="Arial;Helvetica;Sans-Serif" w:hAnsi="Arial;Helvetica;Sans-Serif"/>
                <w:b w:val="false"/>
                <w:i w:val="false"/>
                <w:caps w:val="false"/>
                <w:smallCaps w:val="false"/>
                <w:color w:val="1A1A1A"/>
                <w:sz w:val="18"/>
              </w:rPr>
            </w:pPr>
            <w:r>
              <w:rPr>
                <w:rFonts w:ascii="Arial;Helvetica;Sans-Serif" w:hAnsi="Arial;Helvetica;Sans-Serif"/>
                <w:b w:val="false"/>
                <w:i w:val="false"/>
                <w:caps w:val="false"/>
                <w:smallCaps w:val="false"/>
                <w:color w:val="1A1A1A"/>
                <w:sz w:val="18"/>
              </w:rPr>
              <w:t>The maximum aggregate limit of liability under directors’ and officers’ insurance that may be procured by the Company from time to time has been increased from up to $130 million to up to $175 million per claim and in the aggregate for each insurance period, in accordance with benchmark data for similarly situated companies. This level remains in the lower range of the applicable industry benchmark.</w:t>
            </w:r>
          </w:p>
        </w:tc>
      </w:tr>
      <w:tr>
        <w:trPr/>
        <w:tc>
          <w:tcPr>
            <w:tcW w:w="245" w:type="dxa"/>
            <w:tcBorders>
              <w:left w:val="single" w:sz="8" w:space="0" w:color="BFBFBF"/>
              <w:bottom w:val="single" w:sz="8" w:space="0" w:color="BFBFBF"/>
              <w:right w:val="single" w:sz="8" w:space="0" w:color="BFBFBF"/>
            </w:tcBorders>
            <w:shd w:fill="F4F4F4" w:val="clear"/>
            <w:tcMar>
              <w:top w:w="0" w:type="dxa"/>
            </w:tcMar>
            <w:vAlign w:val="center"/>
          </w:tcPr>
          <w:p>
            <w:pPr>
              <w:pStyle w:val="TableContents"/>
              <w:bidi w:val="0"/>
              <w:spacing w:before="0" w:after="283"/>
              <w:jc w:val="both"/>
              <w:rPr>
                <w:rFonts w:ascii="Arial;Helvetica;Sans-Serif" w:hAnsi="Arial;Helvetica;Sans-Serif"/>
                <w:b/>
                <w:i w:val="false"/>
                <w:caps w:val="false"/>
                <w:smallCaps w:val="false"/>
                <w:color w:val="004BAA"/>
                <w:sz w:val="18"/>
              </w:rPr>
            </w:pPr>
            <w:r>
              <w:rPr>
                <w:rFonts w:ascii="Arial;Helvetica;Sans-Serif" w:hAnsi="Arial;Helvetica;Sans-Serif"/>
                <w:b/>
                <w:i w:val="false"/>
                <w:caps w:val="false"/>
                <w:smallCaps w:val="false"/>
                <w:color w:val="004BAA"/>
                <w:sz w:val="18"/>
              </w:rPr>
              <w:t>22</w:t>
            </w:r>
          </w:p>
        </w:tc>
        <w:tc>
          <w:tcPr>
            <w:tcW w:w="1228" w:type="dxa"/>
            <w:tcBorders>
              <w:bottom w:val="single" w:sz="8" w:space="0" w:color="BFBFBF"/>
              <w:right w:val="single" w:sz="8" w:space="0" w:color="BFBFBF"/>
            </w:tcBorders>
            <w:shd w:fill="F4F4F4" w:val="clear"/>
            <w:tcMar>
              <w:top w:w="0" w:type="dxa"/>
              <w:left w:w="0" w:type="dxa"/>
            </w:tcMar>
            <w:vAlign w:val="center"/>
          </w:tcPr>
          <w:p>
            <w:pPr>
              <w:pStyle w:val="TableContents"/>
              <w:bidi w:val="0"/>
              <w:spacing w:before="0" w:after="283"/>
              <w:jc w:val="left"/>
              <w:rPr>
                <w:rFonts w:ascii="Arial;Helvetica;Sans-Serif" w:hAnsi="Arial;Helvetica;Sans-Serif"/>
                <w:b/>
                <w:i w:val="false"/>
                <w:caps w:val="false"/>
                <w:smallCaps w:val="false"/>
                <w:color w:val="1A1A1A"/>
                <w:sz w:val="18"/>
              </w:rPr>
            </w:pPr>
            <w:r>
              <w:rPr>
                <w:rFonts w:ascii="Arial;Helvetica;Sans-Serif" w:hAnsi="Arial;Helvetica;Sans-Serif"/>
                <w:b/>
                <w:i w:val="false"/>
                <w:caps w:val="false"/>
                <w:smallCaps w:val="false"/>
                <w:color w:val="1A1A1A"/>
                <w:sz w:val="18"/>
              </w:rPr>
              <w:t>Interim Director Equity Grant</w:t>
            </w:r>
          </w:p>
        </w:tc>
        <w:tc>
          <w:tcPr>
            <w:tcW w:w="60" w:type="dxa"/>
            <w:tcBorders>
              <w:bottom w:val="single" w:sz="8" w:space="0" w:color="BFBFBF"/>
            </w:tcBorders>
            <w:shd w:fill="F4F4F4" w:val="clear"/>
            <w:tcMar>
              <w:top w:w="0" w:type="dxa"/>
              <w:left w:w="0" w:type="dxa"/>
              <w:bottom w:w="28" w:type="dxa"/>
              <w:right w:w="0" w:type="dxa"/>
            </w:tcMar>
            <w:vAlign w:val="center"/>
          </w:tcPr>
          <w:p>
            <w:pPr>
              <w:pStyle w:val="TableContents"/>
              <w:bidi w:val="0"/>
              <w:spacing w:before="0" w:after="283"/>
              <w:jc w:val="left"/>
              <w:rPr/>
            </w:pPr>
            <w:r>
              <w:rPr/>
              <w:t> </w:t>
            </w:r>
          </w:p>
        </w:tc>
        <w:tc>
          <w:tcPr>
            <w:tcW w:w="8672" w:type="dxa"/>
            <w:tcBorders>
              <w:bottom w:val="single" w:sz="8" w:space="0" w:color="BFBFBF"/>
              <w:right w:val="single" w:sz="8" w:space="0" w:color="BFBFBF"/>
            </w:tcBorders>
            <w:shd w:fill="F4F4F4" w:val="clear"/>
            <w:tcMar>
              <w:top w:w="0" w:type="dxa"/>
              <w:left w:w="0" w:type="dxa"/>
            </w:tcMar>
            <w:vAlign w:val="center"/>
          </w:tcPr>
          <w:p>
            <w:pPr>
              <w:pStyle w:val="TableContents"/>
              <w:bidi w:val="0"/>
              <w:spacing w:before="0" w:after="283"/>
              <w:jc w:val="both"/>
              <w:rPr>
                <w:rFonts w:ascii="Arial;Helvetica;Sans-Serif" w:hAnsi="Arial;Helvetica;Sans-Serif"/>
                <w:b w:val="false"/>
                <w:i w:val="false"/>
                <w:caps w:val="false"/>
                <w:smallCaps w:val="false"/>
                <w:color w:val="1A1A1A"/>
                <w:sz w:val="18"/>
              </w:rPr>
            </w:pPr>
            <w:r>
              <w:rPr>
                <w:rFonts w:ascii="Arial;Helvetica;Sans-Serif" w:hAnsi="Arial;Helvetica;Sans-Serif"/>
                <w:b w:val="false"/>
                <w:i w:val="false"/>
                <w:caps w:val="false"/>
                <w:smallCaps w:val="false"/>
                <w:color w:val="1A1A1A"/>
                <w:sz w:val="18"/>
              </w:rPr>
              <w:t>An interim service equity grant has been added for newly appointed directors whose appointment to the Board of Directors was approved by the Board of Directors more than three months prior to the Company’s next annual general meeting of shareholders. In accordance with the Israeli Companies Law and our Articles of Association, the Board of Directors may appoint a director to serve on the Board until the Company’s next annual general meeting of shareholders; however, the 2023 Compensation Policy does not provide for the grant of equity-based compensation to such a director in respect of such interim service period.</w:t>
            </w:r>
          </w:p>
        </w:tc>
      </w:tr>
    </w:tbl>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(1) For reference, for the 2026 annual bonuses, the measurable criteria that comprise the “A” portion of the annual bonus are weighted as follows: financial metrics - 40%, with revenue and net profit together comprising more than 50% of the financial metrics; business and strategic metrics (including human resources) - 35%; and operational metrics - 25%. The actual payout for the “A” portion of the annual bonus as a percentage of the target payout was 106% for 2025 (MBO score of 1.046), 125% for 2024 (MBO score of 1.187), and 92% for 2023 (MBO score of 0.953). The Company will consider providing additional disclosures in its annual reports with respect to the achievement of the pre-defined measurable bonus targets.</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(2) The Company plans to provide additional disclosure in its annual reports with respect to achievement of the pre-defined equity performance targets after the conclusion of each performance period.</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jc w:val="center"/>
        <w:rPr>
          <w:caps w:val="false"/>
          <w:smallCaps w:val="false"/>
          <w:color w:val="1A1A1A"/>
        </w:rPr>
      </w:pPr>
      <w:r>
        <w:rPr>
          <w:caps w:val="false"/>
          <w:smallCaps w:val="false"/>
          <w:color w:val="1A1A1A"/>
        </w:rPr>
        <w:drawing>
          <wp:inline distT="0" distB="0" distL="0" distR="0">
            <wp:extent cx="7620000" cy="10953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7620000" cy="1095375"/>
                    </a:xfrm>
                    <a:prstGeom prst="rect">
                      <a:avLst/>
                    </a:prstGeom>
                  </pic:spPr>
                </pic:pic>
              </a:graphicData>
            </a:graphic>
          </wp:inline>
        </w:drawing>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jc w:val="center"/>
        <w:rPr/>
      </w:pPr>
      <w:r>
        <w:rPr/>
        <w:drawing>
          <wp:inline distT="0" distB="0" distL="0" distR="0">
            <wp:extent cx="7620000" cy="10953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7620000" cy="1095375"/>
                    </a:xfrm>
                    <a:prstGeom prst="rect">
                      <a:avLst/>
                    </a:prstGeom>
                  </pic:spPr>
                </pic:pic>
              </a:graphicData>
            </a:graphic>
          </wp:inline>
        </w:drawing>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left"/>
        <w:rPr>
          <w:rFonts w:ascii="Arial;Helvetica;Sans-Serif" w:hAnsi="Arial;Helvetica;Sans-Serif"/>
          <w:b/>
          <w:i w:val="false"/>
          <w:caps w:val="false"/>
          <w:smallCaps w:val="false"/>
          <w:color w:val="006297"/>
          <w:sz w:val="26"/>
        </w:rPr>
      </w:pPr>
      <w:bookmarkStart w:id="16" w:name="A113"/>
      <w:bookmarkEnd w:id="16"/>
      <w:r>
        <w:rPr>
          <w:rFonts w:ascii="Arial;Helvetica;Sans-Serif" w:hAnsi="Arial;Helvetica;Sans-Serif"/>
          <w:b/>
          <w:i w:val="false"/>
          <w:caps w:val="false"/>
          <w:smallCaps w:val="false"/>
          <w:color w:val="006297"/>
          <w:sz w:val="26"/>
        </w:rPr>
        <w:t>Market Benchmarking Framework</w:t>
      </w:r>
    </w:p>
    <w:p>
      <w:pPr>
        <w:pStyle w:val="TextBody"/>
        <w:bidi w:val="0"/>
        <w:spacing w:before="0" w:after="0"/>
        <w:ind w:left="0" w:right="0" w:hanging="0"/>
        <w:jc w:val="left"/>
        <w:rPr>
          <w:caps w:val="false"/>
          <w:smallCaps w:val="false"/>
          <w:color w:val="006297"/>
        </w:rPr>
      </w:pPr>
      <w:r>
        <w:rPr>
          <w:caps w:val="false"/>
          <w:smallCaps w:val="false"/>
          <w:color w:val="006297"/>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In connection with the Amended Compensation Policy, the Compensation Committee and the Board of Directors, assisted by FW Cook, evaluated market practice through two complementary benchmarking lenses:</w:t>
      </w:r>
    </w:p>
    <w:p>
      <w:pPr>
        <w:pStyle w:val="TextBody"/>
        <w:bidi w:val="0"/>
        <w:spacing w:before="0" w:after="0"/>
        <w:ind w:left="0" w:right="0" w:hanging="0"/>
        <w:jc w:val="both"/>
        <w:rPr>
          <w:caps w:val="false"/>
          <w:smallCaps w:val="false"/>
          <w:color w:val="1A1A1A"/>
        </w:rPr>
      </w:pPr>
      <w:r>
        <w:rPr>
          <w:caps w:val="false"/>
          <w:smallCaps w:val="false"/>
          <w:color w:val="1A1A1A"/>
        </w:rPr>
        <w:t> </w:t>
      </w:r>
    </w:p>
    <w:tbl>
      <w:tblPr>
        <w:tblW w:w="10205" w:type="dxa"/>
        <w:jc w:val="left"/>
        <w:tblInd w:w="0" w:type="dxa"/>
        <w:tblLayout w:type="fixed"/>
        <w:tblCellMar>
          <w:top w:w="0" w:type="dxa"/>
          <w:left w:w="0" w:type="dxa"/>
          <w:bottom w:w="0" w:type="dxa"/>
          <w:right w:w="0" w:type="dxa"/>
        </w:tblCellMar>
      </w:tblPr>
      <w:tblGrid>
        <w:gridCol w:w="1845"/>
        <w:gridCol w:w="2794"/>
        <w:gridCol w:w="5566"/>
      </w:tblGrid>
      <w:tr>
        <w:trPr/>
        <w:tc>
          <w:tcPr>
            <w:tcW w:w="1845" w:type="dxa"/>
            <w:tcBorders/>
            <w:shd w:fill="004BAA" w:val="clear"/>
            <w:vAlign w:val="center"/>
          </w:tcPr>
          <w:p>
            <w:pPr>
              <w:pStyle w:val="TableContents"/>
              <w:bidi w:val="0"/>
              <w:spacing w:before="0" w:after="283"/>
              <w:jc w:val="left"/>
              <w:rPr>
                <w:rFonts w:ascii="Arial;Helvetica;Sans-Serif" w:hAnsi="Arial;Helvetica;Sans-Serif"/>
                <w:b/>
                <w:color w:val="FFFFFF"/>
                <w:sz w:val="18"/>
              </w:rPr>
            </w:pPr>
            <w:r>
              <w:rPr>
                <w:rFonts w:ascii="Arial;Helvetica;Sans-Serif" w:hAnsi="Arial;Helvetica;Sans-Serif"/>
                <w:b/>
                <w:color w:val="FFFFFF"/>
                <w:sz w:val="18"/>
              </w:rPr>
              <w:t>Market Reference</w:t>
            </w:r>
          </w:p>
        </w:tc>
        <w:tc>
          <w:tcPr>
            <w:tcW w:w="2794" w:type="dxa"/>
            <w:tcBorders/>
            <w:shd w:fill="004BAA" w:val="clear"/>
            <w:vAlign w:val="center"/>
          </w:tcPr>
          <w:p>
            <w:pPr>
              <w:pStyle w:val="TableContents"/>
              <w:bidi w:val="0"/>
              <w:spacing w:before="0" w:after="283"/>
              <w:jc w:val="left"/>
              <w:rPr>
                <w:rFonts w:ascii="Arial;Helvetica;Sans-Serif" w:hAnsi="Arial;Helvetica;Sans-Serif"/>
                <w:b/>
                <w:color w:val="FFFFFF"/>
                <w:sz w:val="18"/>
              </w:rPr>
            </w:pPr>
            <w:r>
              <w:rPr>
                <w:rFonts w:ascii="Arial;Helvetica;Sans-Serif" w:hAnsi="Arial;Helvetica;Sans-Serif"/>
                <w:b/>
                <w:color w:val="FFFFFF"/>
                <w:sz w:val="18"/>
              </w:rPr>
              <w:t>Primary Question</w:t>
            </w:r>
          </w:p>
        </w:tc>
        <w:tc>
          <w:tcPr>
            <w:tcW w:w="5566" w:type="dxa"/>
            <w:tcBorders/>
            <w:shd w:fill="004BAA" w:val="clear"/>
            <w:vAlign w:val="center"/>
          </w:tcPr>
          <w:p>
            <w:pPr>
              <w:pStyle w:val="TableContents"/>
              <w:bidi w:val="0"/>
              <w:spacing w:before="0" w:after="283"/>
              <w:jc w:val="left"/>
              <w:rPr>
                <w:rFonts w:ascii="Arial;Helvetica;Sans-Serif" w:hAnsi="Arial;Helvetica;Sans-Serif"/>
                <w:b/>
                <w:color w:val="FFFFFF"/>
                <w:sz w:val="18"/>
              </w:rPr>
            </w:pPr>
            <w:r>
              <w:rPr>
                <w:rFonts w:ascii="Arial;Helvetica;Sans-Serif" w:hAnsi="Arial;Helvetica;Sans-Serif"/>
                <w:b/>
                <w:color w:val="FFFFFF"/>
                <w:sz w:val="18"/>
              </w:rPr>
              <w:t>How It Is Used</w:t>
            </w:r>
          </w:p>
        </w:tc>
      </w:tr>
      <w:tr>
        <w:trPr/>
        <w:tc>
          <w:tcPr>
            <w:tcW w:w="1845" w:type="dxa"/>
            <w:tcBorders>
              <w:top w:val="single" w:sz="8" w:space="0" w:color="B7B7B7"/>
              <w:left w:val="single" w:sz="8" w:space="0" w:color="B7B7B7"/>
              <w:bottom w:val="single" w:sz="8" w:space="0" w:color="B7B7B7"/>
              <w:right w:val="single" w:sz="8" w:space="0" w:color="B7B7B7"/>
            </w:tcBorders>
            <w:shd w:fill="DBE5F1" w:val="clear"/>
            <w:tcMar>
              <w:top w:w="80" w:type="dxa"/>
              <w:left w:w="100" w:type="dxa"/>
              <w:bottom w:w="80" w:type="dxa"/>
              <w:right w:w="100"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1A1A1A"/>
                <w:sz w:val="18"/>
              </w:rPr>
            </w:pPr>
            <w:r>
              <w:rPr>
                <w:rFonts w:ascii="Arial;Helvetica;Sans-Serif" w:hAnsi="Arial;Helvetica;Sans-Serif"/>
                <w:b/>
                <w:i w:val="false"/>
                <w:caps w:val="false"/>
                <w:smallCaps w:val="false"/>
                <w:color w:val="1A1A1A"/>
                <w:sz w:val="18"/>
              </w:rPr>
              <w:t>Compensation Peer Group</w:t>
            </w:r>
          </w:p>
          <w:p>
            <w:pPr>
              <w:pStyle w:val="TableContents"/>
              <w:bidi w:val="0"/>
              <w:spacing w:before="0" w:after="0"/>
              <w:ind w:left="0" w:right="0" w:hanging="0"/>
              <w:jc w:val="left"/>
              <w:rPr>
                <w:caps w:val="false"/>
                <w:smallCaps w:val="false"/>
                <w:color w:val="1A1A1A"/>
              </w:rPr>
            </w:pPr>
            <w:r>
              <w:rPr>
                <w:caps w:val="false"/>
                <w:smallCaps w:val="false"/>
                <w:color w:val="1A1A1A"/>
              </w:rPr>
              <w:t> </w:t>
            </w:r>
          </w:p>
          <w:p>
            <w:pPr>
              <w:pStyle w:val="TableContents"/>
              <w:bidi w:val="0"/>
              <w:spacing w:before="0" w:after="0"/>
              <w:ind w:left="0" w:right="0" w:hanging="0"/>
              <w:jc w:val="left"/>
              <w:rPr>
                <w:rFonts w:ascii="Arial;Helvetica;Sans-Serif" w:hAnsi="Arial;Helvetica;Sans-Serif"/>
                <w:b/>
                <w:i w:val="false"/>
                <w:caps w:val="false"/>
                <w:smallCaps w:val="false"/>
                <w:color w:val="1A1A1A"/>
                <w:sz w:val="18"/>
              </w:rPr>
            </w:pPr>
            <w:r>
              <w:rPr>
                <w:rFonts w:ascii="Arial;Helvetica;Sans-Serif" w:hAnsi="Arial;Helvetica;Sans-Serif"/>
                <w:b/>
                <w:i w:val="false"/>
                <w:caps w:val="false"/>
                <w:smallCaps w:val="false"/>
                <w:color w:val="1A1A1A"/>
                <w:sz w:val="18"/>
              </w:rPr>
              <w:t>Global/U.S. compensation peer group</w:t>
            </w:r>
          </w:p>
          <w:p>
            <w:pPr>
              <w:pStyle w:val="TableContents"/>
              <w:bidi w:val="0"/>
              <w:spacing w:before="0" w:after="0"/>
              <w:ind w:left="0" w:right="0" w:hanging="0"/>
              <w:jc w:val="left"/>
              <w:rPr>
                <w:caps w:val="false"/>
                <w:smallCaps w:val="false"/>
                <w:color w:val="1A1A1A"/>
              </w:rPr>
            </w:pPr>
            <w:r>
              <w:rPr>
                <w:caps w:val="false"/>
                <w:smallCaps w:val="false"/>
                <w:color w:val="1A1A1A"/>
              </w:rPr>
              <w:t> </w:t>
            </w:r>
          </w:p>
        </w:tc>
        <w:tc>
          <w:tcPr>
            <w:tcW w:w="2794" w:type="dxa"/>
            <w:tcBorders>
              <w:top w:val="single" w:sz="8" w:space="0" w:color="B7B7B7"/>
              <w:bottom w:val="single" w:sz="8" w:space="0" w:color="B7B7B7"/>
              <w:right w:val="single" w:sz="8" w:space="0" w:color="B7B7B7"/>
            </w:tcBorders>
            <w:shd w:fill="DBE5F1" w:val="clear"/>
            <w:tcMar>
              <w:top w:w="80" w:type="dxa"/>
              <w:bottom w:w="100" w:type="dxa"/>
              <w:right w:w="100" w:type="dxa"/>
            </w:tcMar>
            <w:vAlign w:val="center"/>
          </w:tcPr>
          <w:p>
            <w:pPr>
              <w:pStyle w:val="TableContents"/>
              <w:bidi w:val="0"/>
              <w:spacing w:before="0" w:after="283"/>
              <w:jc w:val="left"/>
              <w:rPr>
                <w:rFonts w:ascii="Arial;Helvetica;Sans-Serif" w:hAnsi="Arial;Helvetica;Sans-Serif"/>
                <w:color w:val="1A1A1A"/>
                <w:sz w:val="18"/>
              </w:rPr>
            </w:pPr>
            <w:r>
              <w:rPr>
                <w:rFonts w:ascii="Arial;Helvetica;Sans-Serif" w:hAnsi="Arial;Helvetica;Sans-Serif"/>
                <w:color w:val="1A1A1A"/>
                <w:sz w:val="18"/>
              </w:rPr>
              <w:t>What compensation opportunities are provided in the global semiconductor market in which Tower competes for executive talent?</w:t>
            </w:r>
          </w:p>
        </w:tc>
        <w:tc>
          <w:tcPr>
            <w:tcW w:w="5566" w:type="dxa"/>
            <w:tcBorders>
              <w:top w:val="single" w:sz="8" w:space="0" w:color="B7B7B7"/>
              <w:bottom w:val="single" w:sz="8" w:space="0" w:color="B7B7B7"/>
              <w:right w:val="single" w:sz="8" w:space="0" w:color="B7B7B7"/>
            </w:tcBorders>
            <w:shd w:fill="DBE5F1" w:val="clear"/>
            <w:tcMar>
              <w:top w:w="80" w:type="dxa"/>
              <w:bottom w:w="80" w:type="dxa"/>
              <w:right w:w="100" w:type="dxa"/>
            </w:tcMar>
            <w:vAlign w:val="center"/>
          </w:tcPr>
          <w:p>
            <w:pPr>
              <w:pStyle w:val="TableContents"/>
              <w:bidi w:val="0"/>
              <w:spacing w:before="0" w:after="0"/>
              <w:ind w:left="82" w:right="0" w:hanging="0"/>
              <w:jc w:val="left"/>
              <w:rPr>
                <w:rFonts w:ascii="Arial;Helvetica;Sans-Serif" w:hAnsi="Arial;Helvetica;Sans-Serif"/>
                <w:b w:val="false"/>
                <w:i w:val="false"/>
                <w:caps w:val="false"/>
                <w:smallCaps w:val="false"/>
                <w:color w:val="1A1A1A"/>
                <w:sz w:val="18"/>
              </w:rPr>
            </w:pPr>
            <w:r>
              <w:rPr>
                <w:rFonts w:ascii="Arial;Helvetica;Sans-Serif" w:hAnsi="Arial;Helvetica;Sans-Serif"/>
                <w:b w:val="false"/>
                <w:i w:val="false"/>
                <w:caps w:val="false"/>
                <w:smallCaps w:val="false"/>
                <w:color w:val="1A1A1A"/>
                <w:sz w:val="18"/>
              </w:rPr>
              <w:t>Benchmarks pay practices among similarly-sized semiconductor, semiconductor equipment/materials, and adjacent photonics companies.</w:t>
            </w:r>
          </w:p>
          <w:p>
            <w:pPr>
              <w:pStyle w:val="TableContents"/>
              <w:bidi w:val="0"/>
              <w:spacing w:before="0" w:after="0"/>
              <w:ind w:left="82" w:right="0" w:hanging="0"/>
              <w:jc w:val="left"/>
              <w:rPr>
                <w:caps w:val="false"/>
                <w:smallCaps w:val="false"/>
                <w:color w:val="1A1A1A"/>
              </w:rPr>
            </w:pPr>
            <w:r>
              <w:rPr>
                <w:caps w:val="false"/>
                <w:smallCaps w:val="false"/>
                <w:color w:val="1A1A1A"/>
              </w:rPr>
              <w:t> </w:t>
            </w:r>
          </w:p>
          <w:p>
            <w:pPr>
              <w:pStyle w:val="TableContents"/>
              <w:bidi w:val="0"/>
              <w:spacing w:before="0" w:after="0"/>
              <w:ind w:left="82" w:right="0" w:hanging="0"/>
              <w:jc w:val="left"/>
              <w:rPr>
                <w:rFonts w:ascii="Arial;Helvetica;Sans-Serif" w:hAnsi="Arial;Helvetica;Sans-Serif"/>
                <w:b w:val="false"/>
                <w:i w:val="false"/>
                <w:caps w:val="false"/>
                <w:smallCaps w:val="false"/>
                <w:color w:val="1A1A1A"/>
                <w:sz w:val="18"/>
              </w:rPr>
            </w:pPr>
            <w:r>
              <w:rPr>
                <w:rFonts w:ascii="Arial;Helvetica;Sans-Serif" w:hAnsi="Arial;Helvetica;Sans-Serif"/>
                <w:b w:val="false"/>
                <w:i w:val="false"/>
                <w:caps w:val="false"/>
                <w:smallCaps w:val="false"/>
                <w:color w:val="1A1A1A"/>
                <w:sz w:val="18"/>
              </w:rPr>
              <w:t>This peer group is necessary because there are very few Israeli companies that are in a relevant industry and have comparable financial size and scale to Tower.</w:t>
            </w:r>
          </w:p>
          <w:p>
            <w:pPr>
              <w:pStyle w:val="TableContents"/>
              <w:bidi w:val="0"/>
              <w:spacing w:before="0" w:after="0"/>
              <w:ind w:left="82" w:right="0" w:hanging="0"/>
              <w:jc w:val="left"/>
              <w:rPr>
                <w:caps w:val="false"/>
                <w:smallCaps w:val="false"/>
                <w:color w:val="1A1A1A"/>
              </w:rPr>
            </w:pPr>
            <w:r>
              <w:rPr>
                <w:caps w:val="false"/>
                <w:smallCaps w:val="false"/>
                <w:color w:val="1A1A1A"/>
              </w:rPr>
              <w:t> </w:t>
            </w:r>
          </w:p>
        </w:tc>
      </w:tr>
      <w:tr>
        <w:trPr/>
        <w:tc>
          <w:tcPr>
            <w:tcW w:w="1845" w:type="dxa"/>
            <w:tcBorders>
              <w:left w:val="single" w:sz="8" w:space="0" w:color="B7B7B7"/>
              <w:bottom w:val="single" w:sz="8" w:space="0" w:color="B7B7B7"/>
              <w:right w:val="single" w:sz="8" w:space="0" w:color="B7B7B7"/>
            </w:tcBorders>
            <w:shd w:fill="D9F0F2" w:val="clear"/>
            <w:tcMar>
              <w:left w:w="100" w:type="dxa"/>
              <w:bottom w:w="80" w:type="dxa"/>
              <w:right w:w="100"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1A1A1A"/>
                <w:sz w:val="18"/>
              </w:rPr>
            </w:pPr>
            <w:r>
              <w:rPr>
                <w:rFonts w:ascii="Arial;Helvetica;Sans-Serif" w:hAnsi="Arial;Helvetica;Sans-Serif"/>
                <w:b/>
                <w:i w:val="false"/>
                <w:caps w:val="false"/>
                <w:smallCaps w:val="false"/>
                <w:color w:val="1A1A1A"/>
                <w:sz w:val="18"/>
              </w:rPr>
              <w:t>Israeli Law Reference Group</w:t>
            </w:r>
          </w:p>
          <w:p>
            <w:pPr>
              <w:pStyle w:val="TableContents"/>
              <w:bidi w:val="0"/>
              <w:spacing w:before="0" w:after="0"/>
              <w:ind w:left="0" w:right="0" w:hanging="0"/>
              <w:jc w:val="left"/>
              <w:rPr>
                <w:caps w:val="false"/>
                <w:smallCaps w:val="false"/>
                <w:color w:val="1A1A1A"/>
              </w:rPr>
            </w:pPr>
            <w:r>
              <w:rPr>
                <w:caps w:val="false"/>
                <w:smallCaps w:val="false"/>
                <w:color w:val="1A1A1A"/>
              </w:rPr>
              <w:t> </w:t>
            </w:r>
          </w:p>
          <w:p>
            <w:pPr>
              <w:pStyle w:val="TableContents"/>
              <w:bidi w:val="0"/>
              <w:spacing w:before="0" w:after="0"/>
              <w:ind w:left="0" w:right="0" w:hanging="0"/>
              <w:jc w:val="left"/>
              <w:rPr>
                <w:rFonts w:ascii="Arial;Helvetica;Sans-Serif" w:hAnsi="Arial;Helvetica;Sans-Serif"/>
                <w:b/>
                <w:i w:val="false"/>
                <w:caps w:val="false"/>
                <w:smallCaps w:val="false"/>
                <w:color w:val="1A1A1A"/>
                <w:sz w:val="18"/>
              </w:rPr>
            </w:pPr>
            <w:r>
              <w:rPr>
                <w:rFonts w:ascii="Arial;Helvetica;Sans-Serif" w:hAnsi="Arial;Helvetica;Sans-Serif"/>
                <w:b/>
                <w:i w:val="false"/>
                <w:caps w:val="false"/>
                <w:smallCaps w:val="false"/>
                <w:color w:val="1A1A1A"/>
                <w:sz w:val="18"/>
              </w:rPr>
              <w:t>U.S.-listed companies subject to Israeli Companies Law</w:t>
            </w:r>
          </w:p>
          <w:p>
            <w:pPr>
              <w:pStyle w:val="TableContents"/>
              <w:bidi w:val="0"/>
              <w:spacing w:before="0" w:after="0"/>
              <w:ind w:left="0" w:right="0" w:hanging="0"/>
              <w:jc w:val="left"/>
              <w:rPr>
                <w:caps w:val="false"/>
                <w:smallCaps w:val="false"/>
                <w:color w:val="1A1A1A"/>
              </w:rPr>
            </w:pPr>
            <w:r>
              <w:rPr>
                <w:caps w:val="false"/>
                <w:smallCaps w:val="false"/>
                <w:color w:val="1A1A1A"/>
              </w:rPr>
              <w:t> </w:t>
            </w:r>
          </w:p>
        </w:tc>
        <w:tc>
          <w:tcPr>
            <w:tcW w:w="2794" w:type="dxa"/>
            <w:tcBorders>
              <w:bottom w:val="single" w:sz="8" w:space="0" w:color="B7B7B7"/>
              <w:right w:val="single" w:sz="8" w:space="0" w:color="B7B7B7"/>
            </w:tcBorders>
            <w:shd w:fill="D9F0F2" w:val="clear"/>
            <w:tcMar>
              <w:bottom w:w="100" w:type="dxa"/>
              <w:right w:w="100" w:type="dxa"/>
            </w:tcMar>
            <w:vAlign w:val="center"/>
          </w:tcPr>
          <w:p>
            <w:pPr>
              <w:pStyle w:val="TableContents"/>
              <w:bidi w:val="0"/>
              <w:spacing w:before="0" w:after="283"/>
              <w:jc w:val="left"/>
              <w:rPr>
                <w:rFonts w:ascii="Arial;Helvetica;Sans-Serif" w:hAnsi="Arial;Helvetica;Sans-Serif"/>
                <w:color w:val="1A1A1A"/>
                <w:sz w:val="18"/>
              </w:rPr>
            </w:pPr>
            <w:r>
              <w:rPr>
                <w:rFonts w:ascii="Arial;Helvetica;Sans-Serif" w:hAnsi="Arial;Helvetica;Sans-Serif"/>
                <w:color w:val="1A1A1A"/>
                <w:sz w:val="18"/>
              </w:rPr>
              <w:t>What forward-looking compensation authority do the compensation policies of similarly governed public companies provide?</w:t>
            </w:r>
          </w:p>
        </w:tc>
        <w:tc>
          <w:tcPr>
            <w:tcW w:w="5566" w:type="dxa"/>
            <w:tcBorders>
              <w:bottom w:val="single" w:sz="8" w:space="0" w:color="B7B7B7"/>
              <w:right w:val="single" w:sz="8" w:space="0" w:color="B7B7B7"/>
            </w:tcBorders>
            <w:shd w:fill="D9F0F2" w:val="clear"/>
            <w:tcMar>
              <w:bottom w:w="100" w:type="dxa"/>
              <w:right w:w="100" w:type="dxa"/>
            </w:tcMar>
            <w:vAlign w:val="center"/>
          </w:tcPr>
          <w:p>
            <w:pPr>
              <w:pStyle w:val="TableContents"/>
              <w:bidi w:val="0"/>
              <w:spacing w:before="0" w:after="283"/>
              <w:jc w:val="left"/>
              <w:rPr>
                <w:rFonts w:ascii="Arial;Helvetica;Sans-Serif" w:hAnsi="Arial;Helvetica;Sans-Serif"/>
                <w:color w:val="1A1A1A"/>
                <w:sz w:val="18"/>
              </w:rPr>
            </w:pPr>
            <w:r>
              <w:rPr>
                <w:rFonts w:ascii="Arial;Helvetica;Sans-Serif" w:hAnsi="Arial;Helvetica;Sans-Serif"/>
                <w:color w:val="1A1A1A"/>
                <w:sz w:val="18"/>
              </w:rPr>
              <w:t>Benchmarks Tower’s proposed compensation policy caps with the caps in these companies’ compensation policies, after standardizing caps expressed in different forms to allow comparison on a like-for-like basis. These companies’ most recently disclosed actual chief executive officer equity grants are also reviewed as an additional check.</w:t>
            </w:r>
          </w:p>
        </w:tc>
      </w:tr>
    </w:tbl>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This approach is important because most U.S. domestic issuers hold a retrospective, non-binding advisory vote on named executive officer compensation; but are not required to adopt binding, forward-looking limits on executive compensation components. By contrast, as customary for Israeli companies, Tower’s Compensation Policy sets maximum limits on director and executive officer compensation, establishing the boundaries within which the Compensation Committee and the Board of Directors may act.</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both"/>
        <w:rPr>
          <w:rFonts w:ascii="Arial;Helvetica;Sans-Serif" w:hAnsi="Arial;Helvetica;Sans-Serif"/>
          <w:b/>
          <w:i w:val="false"/>
          <w:caps w:val="false"/>
          <w:smallCaps w:val="false"/>
          <w:color w:val="1A1A1A"/>
          <w:sz w:val="22"/>
        </w:rPr>
      </w:pPr>
      <w:r>
        <w:rPr>
          <w:rFonts w:ascii="Arial;Helvetica;Sans-Serif" w:hAnsi="Arial;Helvetica;Sans-Serif"/>
          <w:b/>
          <w:i w:val="false"/>
          <w:caps w:val="false"/>
          <w:smallCaps w:val="false"/>
          <w:color w:val="1A1A1A"/>
          <w:sz w:val="22"/>
        </w:rPr>
        <w:t>The two-market reference approach helps the Compensation Committee understand both competitive compensation in Tower’s global semiconductor talent market, and whether the compensation caps included in the proposed Amended Compensation Policy in accordance with Israeli law requirements are reasonable relative to those included in compensation policies of similarly governed issuers.</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jc w:val="center"/>
        <w:rPr>
          <w:caps w:val="false"/>
          <w:smallCaps w:val="false"/>
          <w:color w:val="1A1A1A"/>
        </w:rPr>
      </w:pPr>
      <w:r>
        <w:rPr>
          <w:caps w:val="false"/>
          <w:smallCaps w:val="false"/>
          <w:color w:val="1A1A1A"/>
        </w:rPr>
        <w:drawing>
          <wp:inline distT="0" distB="0" distL="0" distR="0">
            <wp:extent cx="7620000" cy="106680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7620000" cy="1066800"/>
                    </a:xfrm>
                    <a:prstGeom prst="rect">
                      <a:avLst/>
                    </a:prstGeom>
                  </pic:spPr>
                </pic:pic>
              </a:graphicData>
            </a:graphic>
          </wp:inline>
        </w:drawing>
      </w:r>
      <w:r>
        <w:rPr>
          <w:caps w:val="false"/>
          <w:smallCaps w:val="false"/>
          <w:color w:val="1A1A1A"/>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color w:val="1A1A1A"/>
        </w:rPr>
      </w:pPr>
      <w:r>
        <w:rPr>
          <w:caps w:val="false"/>
          <w:smallCaps w:val="false"/>
          <w:color w:val="1A1A1A"/>
        </w:rPr>
        <w:t> </w:t>
      </w:r>
      <w:r>
        <w:rPr>
          <w:caps w:val="false"/>
          <w:smallCaps w:val="false"/>
          <w:color w:val="1A1A1A"/>
        </w:rPr>
        <w:drawing>
          <wp:inline distT="0" distB="0" distL="0" distR="0">
            <wp:extent cx="7620000" cy="10953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7620000" cy="1095375"/>
                    </a:xfrm>
                    <a:prstGeom prst="rect">
                      <a:avLst/>
                    </a:prstGeom>
                  </pic:spPr>
                </pic:pic>
              </a:graphicData>
            </a:graphic>
          </wp:inline>
        </w:drawing>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Market data were used as reference points rather than as formulas or automatic entitlements. Actual compensation decisions continue to reflect Company and individual performance, role scope, retention and succession considerations, internal equity and applicable corporate approvals, subject to the limits within our Compensation Policy.</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left"/>
        <w:rPr>
          <w:rFonts w:ascii="Arial;Helvetica;Sans-Serif" w:hAnsi="Arial;Helvetica;Sans-Serif"/>
          <w:b/>
          <w:i w:val="false"/>
          <w:caps w:val="false"/>
          <w:smallCaps w:val="false"/>
          <w:color w:val="006297"/>
          <w:sz w:val="26"/>
        </w:rPr>
      </w:pPr>
      <w:bookmarkStart w:id="17" w:name="A114"/>
      <w:bookmarkEnd w:id="17"/>
      <w:r>
        <w:rPr>
          <w:rFonts w:ascii="Arial;Helvetica;Sans-Serif" w:hAnsi="Arial;Helvetica;Sans-Serif"/>
          <w:b/>
          <w:i w:val="false"/>
          <w:caps w:val="false"/>
          <w:smallCaps w:val="false"/>
          <w:color w:val="006297"/>
          <w:sz w:val="26"/>
        </w:rPr>
        <w:t>Global/U.S. Compensation Peer Group</w:t>
      </w:r>
    </w:p>
    <w:p>
      <w:pPr>
        <w:pStyle w:val="TextBody"/>
        <w:bidi w:val="0"/>
        <w:spacing w:before="0" w:after="0"/>
        <w:ind w:left="0" w:right="0" w:hanging="0"/>
        <w:jc w:val="left"/>
        <w:rPr>
          <w:caps w:val="false"/>
          <w:smallCaps w:val="false"/>
          <w:color w:val="006297"/>
        </w:rPr>
      </w:pPr>
      <w:r>
        <w:rPr>
          <w:caps w:val="false"/>
          <w:smallCaps w:val="false"/>
          <w:color w:val="006297"/>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In October 2026, the Compensation Committee and the Board of Directors with the assistance of FW Cook, reviewed the Company’s existing 17-company compensation peer group, and approved an updated 17-company compensation peer group. The review was undertaken because Tower’s market capitalization had increased substantially since the previous peer group review in the fall of 2025 and several existing peers had become too small relative to Tower (including some that had agreed to be acquired). As a result, six companies were removed and six were added to the peer group, preserving a 17-company sample while improving the group’s alignment with Tower’s financial profile.</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The updated peer group remains closely aligned with Tower’s industry and executive talent market: nine companies are semiconductor companies, five are semiconductor equipment and materials companies, and three are adjacent high-technology hardware companies focused on photonics and optical communications. The Compensation Committee expanded the industry scope beyond semiconductors to maintain market capitalization and financial size discipline, since obtaining a robust number of peers using only semiconductor companies would have required adding companies that are significantly larger or smaller than Tower.</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The Compensation Committee considered industry relevance, market capitalization, revenue, operating income, and employee headcount when selecting peers. Market capitalization was given a high weighting because we believe it is most-closely associated with executive pay opportunity and company-wide equity budgets, while the other measures provide important context regarding operating scope and organizational complexity.</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The updated peer group consists of companies in relevant industries that are within reasonable size ranges relative to Tower, selected primarily on the basis of the following criteria:</w:t>
      </w:r>
    </w:p>
    <w:p>
      <w:pPr>
        <w:pStyle w:val="TextBody"/>
        <w:bidi w:val="0"/>
        <w:spacing w:before="0" w:after="0"/>
        <w:ind w:left="0" w:right="0" w:hanging="0"/>
        <w:jc w:val="both"/>
        <w:rPr>
          <w:caps w:val="false"/>
          <w:smallCaps w:val="false"/>
          <w:color w:val="1A1A1A"/>
        </w:rPr>
      </w:pPr>
      <w:r>
        <w:rPr>
          <w:caps w:val="false"/>
          <w:smallCaps w:val="false"/>
          <w:color w:val="1A1A1A"/>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Arial;Helvetica;Sans-Serif" w:hAnsi="Arial;Helvetica;Sans-Serif"/>
                <w:sz w:val="22"/>
              </w:rPr>
            </w:pPr>
            <w:r>
              <w:rPr>
                <w:rFonts w:ascii="Arial;Helvetica;Sans-Serif" w:hAnsi="Arial;Helvetica;Sans-Serif"/>
                <w:b/>
                <w:sz w:val="22"/>
              </w:rPr>
              <w:t>Similar industries</w:t>
            </w:r>
            <w:r>
              <w:rPr>
                <w:rFonts w:ascii="Arial;Helvetica;Sans-Serif" w:hAnsi="Arial;Helvetica;Sans-Serif"/>
                <w:sz w:val="22"/>
              </w:rPr>
              <w:t xml:space="preserve"> – U.S.-listed semiconductor, semiconductor equipment/materials, and adjacent photonics companies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Arial;Helvetica;Sans-Serif" w:hAnsi="Arial;Helvetica;Sans-Serif"/>
                <w:sz w:val="22"/>
              </w:rPr>
            </w:pPr>
            <w:r>
              <w:rPr>
                <w:rFonts w:ascii="Arial;Helvetica;Sans-Serif" w:hAnsi="Arial;Helvetica;Sans-Serif"/>
                <w:b/>
                <w:sz w:val="22"/>
              </w:rPr>
              <w:t xml:space="preserve">Similar market capitalization </w:t>
            </w:r>
            <w:r>
              <w:rPr>
                <w:rFonts w:ascii="Arial;Helvetica;Sans-Serif" w:hAnsi="Arial;Helvetica;Sans-Serif"/>
                <w:sz w:val="22"/>
              </w:rPr>
              <w:t>- $10 billion to $60 billion 12-month average market capitalization through September 30, 2026, which is 0.4x to 2.3x Tower’s $25.7 billion market capitalization on September 30, 2026</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Arial;Helvetica;Sans-Serif" w:hAnsi="Arial;Helvetica;Sans-Serif"/>
                <w:sz w:val="22"/>
              </w:rPr>
            </w:pPr>
            <w:r>
              <w:rPr>
                <w:rFonts w:ascii="Arial;Helvetica;Sans-Serif" w:hAnsi="Arial;Helvetica;Sans-Serif"/>
                <w:b/>
                <w:sz w:val="22"/>
              </w:rPr>
              <w:t xml:space="preserve">Similar revenue </w:t>
            </w:r>
            <w:r>
              <w:rPr>
                <w:rFonts w:ascii="Arial;Helvetica;Sans-Serif" w:hAnsi="Arial;Helvetica;Sans-Serif"/>
                <w:sz w:val="22"/>
              </w:rPr>
              <w:t>- $0.65 billion to $7.1 billion of trailing four-quarter revenue disclosed as of September 30, 2026, representing approximately 0.4x to 4.2x Tower’s latest-disclosed trailing four-quarter revenue of $1.71 billion (through June 30, 2026). The Compensation Committee also considered then-current third-party 2026 analyst consensus revenue estimates for Tower as an additional reference point in assessing Tower&amp;rsquo;s present scale.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108585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7620000" cy="1085850"/>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7620000" cy="10953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7620000" cy="1095375"/>
                    </a:xfrm>
                    <a:prstGeom prst="rect">
                      <a:avLst/>
                    </a:prstGeom>
                  </pic:spPr>
                </pic:pic>
              </a:graphicData>
            </a:graphic>
          </wp:inline>
        </w:drawing>
      </w: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The updated peer group consists of companies listed on U.S. exchanges because certain of the Company’s executives officers are based in the United States, the Company’s Chief Executive Officer was recruited from the United States and has served in that role since 2005, and other executive officer positions are held by non-Israelis. In addition, the United States is the Company’s largest reported geographic region by revenue, and there are few Israeli public companies of comparable scale in the semiconductor or related high-technology sector, whether listed on Nasdaq, another U.S. exchange, or the TASE. Further, over the past five years, approximately two-thirds of the average daily trading volume in the Company’s Ordinary Shares has occurred on Nasdaq, and approximately one-third has occurred on the TASE. A local geographic adjustment to the benchmark data is considered when evaluating pay for Tower’s executive officers who are not based in the U.S.</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left"/>
        <w:rPr>
          <w:rFonts w:ascii="Arial;Helvetica;Sans-Serif" w:hAnsi="Arial;Helvetica;Sans-Serif"/>
          <w:b/>
          <w:i w:val="false"/>
          <w:caps w:val="false"/>
          <w:smallCaps w:val="false"/>
          <w:color w:val="006297"/>
          <w:sz w:val="26"/>
        </w:rPr>
      </w:pPr>
      <w:bookmarkStart w:id="18" w:name="a_001"/>
      <w:bookmarkEnd w:id="18"/>
      <w:r>
        <w:rPr>
          <w:rFonts w:ascii="Arial;Helvetica;Sans-Serif" w:hAnsi="Arial;Helvetica;Sans-Serif"/>
          <w:b/>
          <w:i w:val="false"/>
          <w:caps w:val="false"/>
          <w:smallCaps w:val="false"/>
          <w:color w:val="006297"/>
          <w:sz w:val="26"/>
        </w:rPr>
        <w:t>2027 Peer Group</w:t>
      </w:r>
    </w:p>
    <w:p>
      <w:pPr>
        <w:pStyle w:val="TextBody"/>
        <w:bidi w:val="0"/>
        <w:spacing w:before="0" w:after="0"/>
        <w:ind w:left="0" w:right="0" w:hanging="0"/>
        <w:jc w:val="left"/>
        <w:rPr>
          <w:caps w:val="false"/>
          <w:smallCaps w:val="false"/>
          <w:color w:val="006297"/>
        </w:rPr>
      </w:pPr>
      <w:r>
        <w:rPr>
          <w:caps w:val="false"/>
          <w:smallCaps w:val="false"/>
          <w:color w:val="006297"/>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The updated peer group that the Compensation Committee adopted is set forth below:</w:t>
      </w:r>
    </w:p>
    <w:p>
      <w:pPr>
        <w:pStyle w:val="TextBody"/>
        <w:bidi w:val="0"/>
        <w:spacing w:before="0" w:after="0"/>
        <w:ind w:left="0" w:right="0" w:hanging="0"/>
        <w:jc w:val="both"/>
        <w:rPr>
          <w:caps w:val="false"/>
          <w:smallCaps w:val="false"/>
          <w:color w:val="1A1A1A"/>
        </w:rPr>
      </w:pPr>
      <w:r>
        <w:rPr>
          <w:caps w:val="false"/>
          <w:smallCaps w:val="false"/>
          <w:color w:val="1A1A1A"/>
        </w:rPr>
        <w:t> </w:t>
      </w:r>
    </w:p>
    <w:tbl>
      <w:tblPr>
        <w:tblW w:w="6865" w:type="dxa"/>
        <w:jc w:val="left"/>
        <w:tblInd w:w="-10" w:type="dxa"/>
        <w:tblLayout w:type="fixed"/>
        <w:tblCellMar>
          <w:top w:w="120" w:type="dxa"/>
          <w:left w:w="108" w:type="dxa"/>
          <w:bottom w:w="120" w:type="dxa"/>
          <w:right w:w="108" w:type="dxa"/>
        </w:tblCellMar>
      </w:tblPr>
      <w:tblGrid>
        <w:gridCol w:w="3980"/>
        <w:gridCol w:w="2885"/>
      </w:tblGrid>
      <w:tr>
        <w:trPr/>
        <w:tc>
          <w:tcPr>
            <w:tcW w:w="39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Arial;Helvetica;Sans-Serif" w:hAnsi="Arial;Helvetica;Sans-Serif"/>
                <w:color w:val="1A1A1A"/>
                <w:sz w:val="18"/>
              </w:rPr>
            </w:pPr>
            <w:r>
              <w:rPr>
                <w:rFonts w:ascii="Arial;Helvetica;Sans-Serif" w:hAnsi="Arial;Helvetica;Sans-Serif"/>
                <w:color w:val="1A1A1A"/>
                <w:sz w:val="18"/>
              </w:rPr>
              <w:t>Advanced Energy Industries, Inc. (SME)</w:t>
            </w:r>
          </w:p>
        </w:tc>
        <w:tc>
          <w:tcPr>
            <w:tcW w:w="288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Arial;Helvetica;Sans-Serif" w:hAnsi="Arial;Helvetica;Sans-Serif"/>
                <w:color w:val="1A1A1A"/>
                <w:sz w:val="18"/>
              </w:rPr>
            </w:pPr>
            <w:r>
              <w:rPr>
                <w:rFonts w:ascii="Arial;Helvetica;Sans-Serif" w:hAnsi="Arial;Helvetica;Sans-Serif"/>
                <w:color w:val="1A1A1A"/>
                <w:sz w:val="18"/>
              </w:rPr>
              <w:t>MKS Inc. (SME)</w:t>
            </w:r>
          </w:p>
        </w:tc>
      </w:tr>
      <w:tr>
        <w:trPr/>
        <w:tc>
          <w:tcPr>
            <w:tcW w:w="39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Arial;Helvetica;Sans-Serif" w:hAnsi="Arial;Helvetica;Sans-Serif"/>
                <w:color w:val="1A1A1A"/>
                <w:sz w:val="18"/>
              </w:rPr>
            </w:pPr>
            <w:r>
              <w:rPr>
                <w:rFonts w:ascii="Arial;Helvetica;Sans-Serif" w:hAnsi="Arial;Helvetica;Sans-Serif"/>
                <w:color w:val="1A1A1A"/>
                <w:sz w:val="18"/>
              </w:rPr>
              <w:t>Ciena Corporation (POC)</w:t>
            </w:r>
          </w:p>
        </w:tc>
        <w:tc>
          <w:tcPr>
            <w:tcW w:w="28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Arial;Helvetica;Sans-Serif" w:hAnsi="Arial;Helvetica;Sans-Serif"/>
                <w:color w:val="1A1A1A"/>
                <w:sz w:val="18"/>
              </w:rPr>
            </w:pPr>
            <w:r>
              <w:rPr>
                <w:rFonts w:ascii="Arial;Helvetica;Sans-Serif" w:hAnsi="Arial;Helvetica;Sans-Serif"/>
                <w:color w:val="1A1A1A"/>
                <w:sz w:val="18"/>
              </w:rPr>
              <w:t>Monolithic Power Systems, Inc. (S)</w:t>
            </w:r>
          </w:p>
        </w:tc>
      </w:tr>
      <w:tr>
        <w:trPr/>
        <w:tc>
          <w:tcPr>
            <w:tcW w:w="39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Arial;Helvetica;Sans-Serif" w:hAnsi="Arial;Helvetica;Sans-Serif"/>
                <w:color w:val="1A1A1A"/>
                <w:sz w:val="18"/>
              </w:rPr>
            </w:pPr>
            <w:r>
              <w:rPr>
                <w:rFonts w:ascii="Arial;Helvetica;Sans-Serif" w:hAnsi="Arial;Helvetica;Sans-Serif"/>
                <w:color w:val="1A1A1A"/>
                <w:sz w:val="18"/>
              </w:rPr>
              <w:t>Coherent Corp. (POC)</w:t>
            </w:r>
          </w:p>
        </w:tc>
        <w:tc>
          <w:tcPr>
            <w:tcW w:w="28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Arial;Helvetica;Sans-Serif" w:hAnsi="Arial;Helvetica;Sans-Serif"/>
                <w:color w:val="1A1A1A"/>
                <w:sz w:val="18"/>
              </w:rPr>
            </w:pPr>
            <w:r>
              <w:rPr>
                <w:rFonts w:ascii="Arial;Helvetica;Sans-Serif" w:hAnsi="Arial;Helvetica;Sans-Serif"/>
                <w:color w:val="1A1A1A"/>
                <w:sz w:val="18"/>
              </w:rPr>
              <w:t>ON Semiconductor Corporation (S)</w:t>
            </w:r>
          </w:p>
        </w:tc>
      </w:tr>
      <w:tr>
        <w:trPr/>
        <w:tc>
          <w:tcPr>
            <w:tcW w:w="39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Arial;Helvetica;Sans-Serif" w:hAnsi="Arial;Helvetica;Sans-Serif"/>
                <w:color w:val="1A1A1A"/>
                <w:sz w:val="18"/>
              </w:rPr>
            </w:pPr>
            <w:r>
              <w:rPr>
                <w:rFonts w:ascii="Arial;Helvetica;Sans-Serif" w:hAnsi="Arial;Helvetica;Sans-Serif"/>
                <w:color w:val="1A1A1A"/>
                <w:sz w:val="18"/>
              </w:rPr>
              <w:t>Credo Technology Group Holding Ltd (S)</w:t>
            </w:r>
          </w:p>
        </w:tc>
        <w:tc>
          <w:tcPr>
            <w:tcW w:w="28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Arial;Helvetica;Sans-Serif" w:hAnsi="Arial;Helvetica;Sans-Serif"/>
                <w:color w:val="1A1A1A"/>
                <w:sz w:val="18"/>
              </w:rPr>
            </w:pPr>
            <w:r>
              <w:rPr>
                <w:rFonts w:ascii="Arial;Helvetica;Sans-Serif" w:hAnsi="Arial;Helvetica;Sans-Serif"/>
                <w:color w:val="1A1A1A"/>
                <w:sz w:val="18"/>
              </w:rPr>
              <w:t>Qnity Electronics, Inc. (SME)</w:t>
            </w:r>
          </w:p>
        </w:tc>
      </w:tr>
      <w:tr>
        <w:trPr/>
        <w:tc>
          <w:tcPr>
            <w:tcW w:w="39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Arial;Helvetica;Sans-Serif" w:hAnsi="Arial;Helvetica;Sans-Serif"/>
                <w:color w:val="1A1A1A"/>
                <w:sz w:val="18"/>
              </w:rPr>
            </w:pPr>
            <w:r>
              <w:rPr>
                <w:rFonts w:ascii="Arial;Helvetica;Sans-Serif" w:hAnsi="Arial;Helvetica;Sans-Serif"/>
                <w:color w:val="1A1A1A"/>
                <w:sz w:val="18"/>
              </w:rPr>
              <w:t>Entegris, Inc. (SME)</w:t>
            </w:r>
          </w:p>
        </w:tc>
        <w:tc>
          <w:tcPr>
            <w:tcW w:w="28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Arial;Helvetica;Sans-Serif" w:hAnsi="Arial;Helvetica;Sans-Serif"/>
                <w:color w:val="1A1A1A"/>
                <w:sz w:val="18"/>
              </w:rPr>
            </w:pPr>
            <w:r>
              <w:rPr>
                <w:rFonts w:ascii="Arial;Helvetica;Sans-Serif" w:hAnsi="Arial;Helvetica;Sans-Serif"/>
                <w:color w:val="1A1A1A"/>
                <w:sz w:val="18"/>
              </w:rPr>
              <w:t>Rambus Inc. (S)</w:t>
            </w:r>
          </w:p>
        </w:tc>
      </w:tr>
      <w:tr>
        <w:trPr/>
        <w:tc>
          <w:tcPr>
            <w:tcW w:w="39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Arial;Helvetica;Sans-Serif" w:hAnsi="Arial;Helvetica;Sans-Serif"/>
                <w:color w:val="1A1A1A"/>
                <w:sz w:val="18"/>
              </w:rPr>
            </w:pPr>
            <w:r>
              <w:rPr>
                <w:rFonts w:ascii="Arial;Helvetica;Sans-Serif" w:hAnsi="Arial;Helvetica;Sans-Serif"/>
                <w:color w:val="1A1A1A"/>
                <w:sz w:val="18"/>
              </w:rPr>
              <w:t>Lattice Semiconductor Corporation (S)</w:t>
            </w:r>
          </w:p>
        </w:tc>
        <w:tc>
          <w:tcPr>
            <w:tcW w:w="28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Arial;Helvetica;Sans-Serif" w:hAnsi="Arial;Helvetica;Sans-Serif"/>
                <w:color w:val="1A1A1A"/>
                <w:sz w:val="18"/>
              </w:rPr>
            </w:pPr>
            <w:r>
              <w:rPr>
                <w:rFonts w:ascii="Arial;Helvetica;Sans-Serif" w:hAnsi="Arial;Helvetica;Sans-Serif"/>
                <w:color w:val="1A1A1A"/>
                <w:sz w:val="18"/>
              </w:rPr>
              <w:t>Semtech Corporation (S)</w:t>
            </w:r>
          </w:p>
        </w:tc>
      </w:tr>
      <w:tr>
        <w:trPr/>
        <w:tc>
          <w:tcPr>
            <w:tcW w:w="39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Arial;Helvetica;Sans-Serif" w:hAnsi="Arial;Helvetica;Sans-Serif"/>
                <w:color w:val="1A1A1A"/>
                <w:sz w:val="18"/>
              </w:rPr>
            </w:pPr>
            <w:r>
              <w:rPr>
                <w:rFonts w:ascii="Arial;Helvetica;Sans-Serif" w:hAnsi="Arial;Helvetica;Sans-Serif"/>
                <w:color w:val="1A1A1A"/>
                <w:sz w:val="18"/>
              </w:rPr>
              <w:t>Lumentum Holdings Inc. (POC)</w:t>
            </w:r>
          </w:p>
        </w:tc>
        <w:tc>
          <w:tcPr>
            <w:tcW w:w="28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Arial;Helvetica;Sans-Serif" w:hAnsi="Arial;Helvetica;Sans-Serif"/>
                <w:color w:val="1A1A1A"/>
                <w:sz w:val="18"/>
              </w:rPr>
            </w:pPr>
            <w:r>
              <w:rPr>
                <w:rFonts w:ascii="Arial;Helvetica;Sans-Serif" w:hAnsi="Arial;Helvetica;Sans-Serif"/>
                <w:color w:val="1A1A1A"/>
                <w:sz w:val="18"/>
              </w:rPr>
              <w:t>Skyworks Solutions, Inc. (S)</w:t>
            </w:r>
          </w:p>
        </w:tc>
      </w:tr>
      <w:tr>
        <w:trPr/>
        <w:tc>
          <w:tcPr>
            <w:tcW w:w="39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Arial;Helvetica;Sans-Serif" w:hAnsi="Arial;Helvetica;Sans-Serif"/>
                <w:color w:val="1A1A1A"/>
                <w:sz w:val="18"/>
              </w:rPr>
            </w:pPr>
            <w:r>
              <w:rPr>
                <w:rFonts w:ascii="Arial;Helvetica;Sans-Serif" w:hAnsi="Arial;Helvetica;Sans-Serif"/>
                <w:color w:val="1A1A1A"/>
                <w:sz w:val="18"/>
              </w:rPr>
              <w:t>MACOM Technology Solutions Holdings, Inc. (S)</w:t>
            </w:r>
          </w:p>
        </w:tc>
        <w:tc>
          <w:tcPr>
            <w:tcW w:w="28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Arial;Helvetica;Sans-Serif" w:hAnsi="Arial;Helvetica;Sans-Serif"/>
                <w:color w:val="1A1A1A"/>
                <w:sz w:val="18"/>
              </w:rPr>
            </w:pPr>
            <w:r>
              <w:rPr>
                <w:rFonts w:ascii="Arial;Helvetica;Sans-Serif" w:hAnsi="Arial;Helvetica;Sans-Serif"/>
                <w:color w:val="1A1A1A"/>
                <w:sz w:val="18"/>
              </w:rPr>
              <w:t>Teradyne, Inc. (SME)</w:t>
            </w:r>
          </w:p>
        </w:tc>
      </w:tr>
      <w:tr>
        <w:trPr/>
        <w:tc>
          <w:tcPr>
            <w:tcW w:w="39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Arial;Helvetica;Sans-Serif" w:hAnsi="Arial;Helvetica;Sans-Serif"/>
                <w:color w:val="1A1A1A"/>
                <w:sz w:val="18"/>
              </w:rPr>
            </w:pPr>
            <w:r>
              <w:rPr>
                <w:rFonts w:ascii="Arial;Helvetica;Sans-Serif" w:hAnsi="Arial;Helvetica;Sans-Serif"/>
                <w:color w:val="1A1A1A"/>
                <w:sz w:val="18"/>
              </w:rPr>
              <w:t>Microchip Technology Incorporated (S)</w:t>
            </w:r>
          </w:p>
        </w:tc>
        <w:tc>
          <w:tcPr>
            <w:tcW w:w="28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color w:val="1A1A1A"/>
              </w:rPr>
            </w:pPr>
            <w:r>
              <w:rPr>
                <w:color w:val="1A1A1A"/>
              </w:rPr>
              <w:t> </w:t>
            </w:r>
          </w:p>
        </w:tc>
      </w:tr>
    </w:tbl>
    <w:p>
      <w:pPr>
        <w:pStyle w:val="TextBody"/>
        <w:bidi w:val="0"/>
        <w:spacing w:before="0" w:after="0"/>
        <w:ind w:left="0" w:right="0" w:hanging="0"/>
        <w:jc w:val="left"/>
        <w:rPr>
          <w:caps w:val="false"/>
          <w:smallCaps w:val="false"/>
          <w:color w:val="595959"/>
        </w:rPr>
      </w:pPr>
      <w:r>
        <w:rPr>
          <w:caps w:val="false"/>
          <w:smallCaps w:val="false"/>
          <w:color w:val="595959"/>
        </w:rPr>
        <w:t> </w:t>
      </w:r>
    </w:p>
    <w:p>
      <w:pPr>
        <w:pStyle w:val="TextBody"/>
        <w:bidi w:val="0"/>
        <w:spacing w:before="0" w:after="0"/>
        <w:ind w:left="0" w:right="0" w:hanging="0"/>
        <w:jc w:val="left"/>
        <w:rPr>
          <w:rFonts w:ascii="Arial;Helvetica;Sans-Serif" w:hAnsi="Arial;Helvetica;Sans-Serif"/>
          <w:b w:val="false"/>
          <w:i/>
          <w:caps w:val="false"/>
          <w:smallCaps w:val="false"/>
          <w:color w:val="595959"/>
          <w:sz w:val="18"/>
        </w:rPr>
      </w:pPr>
      <w:r>
        <w:rPr>
          <w:rFonts w:ascii="Arial;Helvetica;Sans-Serif" w:hAnsi="Arial;Helvetica;Sans-Serif"/>
          <w:b w:val="false"/>
          <w:i/>
          <w:caps w:val="false"/>
          <w:smallCaps w:val="false"/>
          <w:color w:val="595959"/>
          <w:sz w:val="18"/>
        </w:rPr>
        <w:t>(S) = Semiconductors</w:t>
      </w:r>
    </w:p>
    <w:p>
      <w:pPr>
        <w:pStyle w:val="TextBody"/>
        <w:bidi w:val="0"/>
        <w:spacing w:before="0" w:after="0"/>
        <w:ind w:left="0" w:right="0" w:hanging="0"/>
        <w:jc w:val="left"/>
        <w:rPr>
          <w:caps w:val="false"/>
          <w:smallCaps w:val="false"/>
          <w:color w:val="595959"/>
        </w:rPr>
      </w:pPr>
      <w:r>
        <w:rPr>
          <w:caps w:val="false"/>
          <w:smallCaps w:val="false"/>
          <w:color w:val="595959"/>
        </w:rPr>
        <w:t> </w:t>
      </w:r>
    </w:p>
    <w:p>
      <w:pPr>
        <w:pStyle w:val="TextBody"/>
        <w:bidi w:val="0"/>
        <w:spacing w:before="0" w:after="0"/>
        <w:ind w:left="0" w:right="0" w:hanging="0"/>
        <w:jc w:val="left"/>
        <w:rPr>
          <w:rFonts w:ascii="Arial;Helvetica;Sans-Serif" w:hAnsi="Arial;Helvetica;Sans-Serif"/>
          <w:b w:val="false"/>
          <w:i/>
          <w:caps w:val="false"/>
          <w:smallCaps w:val="false"/>
          <w:color w:val="595959"/>
          <w:sz w:val="18"/>
        </w:rPr>
      </w:pPr>
      <w:r>
        <w:rPr>
          <w:rFonts w:ascii="Arial;Helvetica;Sans-Serif" w:hAnsi="Arial;Helvetica;Sans-Serif"/>
          <w:b w:val="false"/>
          <w:i/>
          <w:caps w:val="false"/>
          <w:smallCaps w:val="false"/>
          <w:color w:val="595959"/>
          <w:sz w:val="18"/>
        </w:rPr>
        <w:t>(SME) = Semiconductor Materials &amp; Equipment</w:t>
      </w:r>
    </w:p>
    <w:p>
      <w:pPr>
        <w:pStyle w:val="TextBody"/>
        <w:bidi w:val="0"/>
        <w:spacing w:before="0" w:after="0"/>
        <w:ind w:left="0" w:right="0" w:hanging="0"/>
        <w:jc w:val="left"/>
        <w:rPr>
          <w:caps w:val="false"/>
          <w:smallCaps w:val="false"/>
          <w:color w:val="595959"/>
        </w:rPr>
      </w:pPr>
      <w:r>
        <w:rPr>
          <w:caps w:val="false"/>
          <w:smallCaps w:val="false"/>
          <w:color w:val="595959"/>
        </w:rPr>
        <w:t> </w:t>
      </w:r>
    </w:p>
    <w:p>
      <w:pPr>
        <w:pStyle w:val="TextBody"/>
        <w:bidi w:val="0"/>
        <w:spacing w:before="0" w:after="0"/>
        <w:ind w:left="0" w:right="0" w:hanging="0"/>
        <w:jc w:val="left"/>
        <w:rPr>
          <w:rFonts w:ascii="Arial;Helvetica;Sans-Serif" w:hAnsi="Arial;Helvetica;Sans-Serif"/>
          <w:b w:val="false"/>
          <w:i/>
          <w:caps w:val="false"/>
          <w:smallCaps w:val="false"/>
          <w:color w:val="595959"/>
          <w:sz w:val="18"/>
        </w:rPr>
      </w:pPr>
      <w:r>
        <w:rPr>
          <w:rFonts w:ascii="Arial;Helvetica;Sans-Serif" w:hAnsi="Arial;Helvetica;Sans-Serif"/>
          <w:b w:val="false"/>
          <w:i/>
          <w:caps w:val="false"/>
          <w:smallCaps w:val="false"/>
          <w:color w:val="595959"/>
          <w:sz w:val="18"/>
        </w:rPr>
        <w:t>(POC) = Photonics / Optical Communications</w:t>
      </w:r>
    </w:p>
    <w:p>
      <w:pPr>
        <w:pStyle w:val="TextBody"/>
        <w:bidi w:val="0"/>
        <w:spacing w:before="0" w:after="0"/>
        <w:ind w:left="0" w:right="0" w:hanging="0"/>
        <w:jc w:val="left"/>
        <w:rPr>
          <w:caps w:val="false"/>
          <w:smallCaps w:val="false"/>
          <w:color w:val="595959"/>
        </w:rPr>
      </w:pPr>
      <w:r>
        <w:rPr>
          <w:caps w:val="false"/>
          <w:smallCaps w:val="false"/>
          <w:color w:val="595959"/>
        </w:rPr>
        <w:t> </w:t>
      </w:r>
    </w:p>
    <w:p>
      <w:pPr>
        <w:pStyle w:val="TextBody"/>
        <w:bidi w:val="0"/>
        <w:spacing w:before="0" w:after="0"/>
        <w:jc w:val="center"/>
        <w:rPr>
          <w:caps w:val="false"/>
          <w:smallCaps w:val="false"/>
          <w:color w:val="595959"/>
        </w:rPr>
      </w:pPr>
      <w:r>
        <w:rPr>
          <w:caps w:val="false"/>
          <w:smallCaps w:val="false"/>
          <w:color w:val="595959"/>
        </w:rPr>
        <w:drawing>
          <wp:inline distT="0" distB="0" distL="0" distR="0">
            <wp:extent cx="7620000" cy="10572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7620000" cy="1057275"/>
                    </a:xfrm>
                    <a:prstGeom prst="rect">
                      <a:avLst/>
                    </a:prstGeom>
                  </pic:spPr>
                </pic:pic>
              </a:graphicData>
            </a:graphic>
          </wp:inline>
        </w:drawing>
      </w:r>
      <w:r>
        <w:rPr>
          <w:caps w:val="false"/>
          <w:smallCaps w:val="false"/>
          <w:color w:val="595959"/>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color w:val="595959"/>
        </w:rPr>
      </w:pPr>
      <w:r>
        <w:rPr>
          <w:caps w:val="false"/>
          <w:smallCaps w:val="false"/>
          <w:color w:val="595959"/>
        </w:rPr>
        <w:t> </w:t>
      </w:r>
      <w:r>
        <w:rPr>
          <w:caps w:val="false"/>
          <w:smallCaps w:val="false"/>
          <w:color w:val="595959"/>
        </w:rPr>
        <w:drawing>
          <wp:inline distT="0" distB="0" distL="0" distR="0">
            <wp:extent cx="7620000" cy="10953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7620000" cy="1095375"/>
                    </a:xfrm>
                    <a:prstGeom prst="rect">
                      <a:avLst/>
                    </a:prstGeom>
                  </pic:spPr>
                </pic:pic>
              </a:graphicData>
            </a:graphic>
          </wp:inline>
        </w:drawing>
      </w:r>
    </w:p>
    <w:p>
      <w:pPr>
        <w:pStyle w:val="TextBody"/>
        <w:bidi w:val="0"/>
        <w:spacing w:before="0" w:after="0"/>
        <w:ind w:left="0" w:right="0" w:hanging="0"/>
        <w:jc w:val="left"/>
        <w:rPr>
          <w:caps w:val="false"/>
          <w:smallCaps w:val="false"/>
          <w:color w:val="595959"/>
        </w:rPr>
      </w:pPr>
      <w:r>
        <w:rPr>
          <w:caps w:val="false"/>
          <w:smallCaps w:val="false"/>
          <w:color w:val="595959"/>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As shown in the table below, Tower’s market capitalization as of September 30, 2026 is aligned with the updated peer group median, which the Compensation Committee considered in assessing the limits proposed under the Amended Compensation Policy:</w:t>
      </w:r>
    </w:p>
    <w:p>
      <w:pPr>
        <w:pStyle w:val="TextBody"/>
        <w:bidi w:val="0"/>
        <w:spacing w:before="0" w:after="0"/>
        <w:ind w:left="0" w:right="0" w:hanging="0"/>
        <w:jc w:val="both"/>
        <w:rPr>
          <w:caps w:val="false"/>
          <w:smallCaps w:val="false"/>
          <w:color w:val="1A1A1A"/>
        </w:rPr>
      </w:pPr>
      <w:r>
        <w:rPr>
          <w:caps w:val="false"/>
          <w:smallCaps w:val="false"/>
          <w:color w:val="1A1A1A"/>
        </w:rPr>
        <w:t> </w:t>
      </w:r>
    </w:p>
    <w:tbl>
      <w:tblPr>
        <w:tblW w:w="7925" w:type="dxa"/>
        <w:jc w:val="left"/>
        <w:tblInd w:w="-10" w:type="dxa"/>
        <w:tblLayout w:type="fixed"/>
        <w:tblCellMar>
          <w:top w:w="28" w:type="dxa"/>
          <w:left w:w="108" w:type="dxa"/>
          <w:bottom w:w="28" w:type="dxa"/>
          <w:right w:w="108" w:type="dxa"/>
        </w:tblCellMar>
      </w:tblPr>
      <w:tblGrid>
        <w:gridCol w:w="2405"/>
        <w:gridCol w:w="2180"/>
        <w:gridCol w:w="2060"/>
        <w:gridCol w:w="1280"/>
      </w:tblGrid>
      <w:tr>
        <w:trPr/>
        <w:tc>
          <w:tcPr>
            <w:tcW w:w="2405" w:type="dxa"/>
            <w:tcBorders>
              <w:top w:val="single" w:sz="8" w:space="0" w:color="000000"/>
              <w:left w:val="single" w:sz="8" w:space="0" w:color="000000"/>
              <w:bottom w:val="single" w:sz="8" w:space="0" w:color="000000"/>
              <w:right w:val="single" w:sz="8" w:space="0" w:color="000000"/>
            </w:tcBorders>
            <w:shd w:fill="004BAA" w:val="clear"/>
            <w:vAlign w:val="center"/>
          </w:tcPr>
          <w:p>
            <w:pPr>
              <w:pStyle w:val="TableContents"/>
              <w:bidi w:val="0"/>
              <w:spacing w:before="0" w:after="283"/>
              <w:jc w:val="center"/>
              <w:rPr>
                <w:rFonts w:ascii="Arial;Helvetica;Sans-Serif" w:hAnsi="Arial;Helvetica;Sans-Serif"/>
                <w:b/>
                <w:i/>
                <w:color w:val="FFFFFF"/>
                <w:sz w:val="22"/>
              </w:rPr>
            </w:pPr>
            <w:r>
              <w:rPr>
                <w:rFonts w:ascii="Arial;Helvetica;Sans-Serif" w:hAnsi="Arial;Helvetica;Sans-Serif"/>
                <w:b/>
                <w:i/>
                <w:color w:val="FFFFFF"/>
                <w:sz w:val="22"/>
              </w:rPr>
              <w:t>$ values in millions</w:t>
            </w:r>
          </w:p>
        </w:tc>
        <w:tc>
          <w:tcPr>
            <w:tcW w:w="2180" w:type="dxa"/>
            <w:tcBorders>
              <w:top w:val="single" w:sz="8" w:space="0" w:color="000000"/>
              <w:bottom w:val="single" w:sz="8" w:space="0" w:color="000000"/>
              <w:right w:val="single" w:sz="8" w:space="0" w:color="000000"/>
            </w:tcBorders>
            <w:shd w:fill="004BAA" w:val="clear"/>
            <w:tcMar>
              <w:left w:w="0" w:type="dxa"/>
            </w:tcMar>
            <w:vAlign w:val="center"/>
          </w:tcPr>
          <w:p>
            <w:pPr>
              <w:pStyle w:val="TableContents"/>
              <w:bidi w:val="0"/>
              <w:spacing w:before="0" w:after="283"/>
              <w:jc w:val="center"/>
              <w:rPr>
                <w:rFonts w:ascii="Arial;Helvetica;Sans-Serif" w:hAnsi="Arial;Helvetica;Sans-Serif"/>
                <w:color w:val="1A1A1A"/>
              </w:rPr>
            </w:pPr>
            <w:r>
              <w:rPr>
                <w:rFonts w:ascii="Arial;Helvetica;Sans-Serif" w:hAnsi="Arial;Helvetica;Sans-Serif"/>
                <w:b/>
                <w:color w:val="FFFFFF"/>
                <w:sz w:val="22"/>
              </w:rPr>
              <w:t>Market Cap - 12-</w:t>
            </w:r>
            <w:r>
              <w:rPr>
                <w:rFonts w:ascii="Arial;Helvetica;Sans-Serif" w:hAnsi="Arial;Helvetica;Sans-Serif"/>
                <w:color w:val="1A1A1A"/>
                <w:sz w:val="22"/>
              </w:rPr>
              <w:br/>
            </w:r>
            <w:r>
              <w:rPr>
                <w:rFonts w:ascii="Arial;Helvetica;Sans-Serif" w:hAnsi="Arial;Helvetica;Sans-Serif"/>
                <w:b/>
                <w:color w:val="FFFFFF"/>
                <w:sz w:val="22"/>
              </w:rPr>
              <w:t xml:space="preserve">Month Average </w:t>
            </w:r>
            <w:r>
              <w:rPr>
                <w:rFonts w:ascii="Arial;Helvetica;Sans-Serif" w:hAnsi="Arial;Helvetica;Sans-Serif"/>
                <w:color w:val="1A1A1A"/>
                <w:sz w:val="22"/>
              </w:rPr>
              <w:br/>
            </w:r>
            <w:r>
              <w:rPr>
                <w:rFonts w:ascii="Arial;Helvetica;Sans-Serif" w:hAnsi="Arial;Helvetica;Sans-Serif"/>
                <w:b/>
                <w:color w:val="FFFFFF"/>
                <w:sz w:val="22"/>
              </w:rPr>
              <w:t xml:space="preserve">Through September </w:t>
            </w:r>
            <w:r>
              <w:rPr>
                <w:rFonts w:ascii="Arial;Helvetica;Sans-Serif" w:hAnsi="Arial;Helvetica;Sans-Serif"/>
                <w:color w:val="1A1A1A"/>
                <w:sz w:val="22"/>
              </w:rPr>
              <w:br/>
            </w:r>
            <w:r>
              <w:rPr>
                <w:rFonts w:ascii="Arial;Helvetica;Sans-Serif" w:hAnsi="Arial;Helvetica;Sans-Serif"/>
                <w:b/>
                <w:color w:val="FFFFFF"/>
                <w:sz w:val="22"/>
              </w:rPr>
              <w:t>30, 2026 (1)</w:t>
            </w:r>
          </w:p>
        </w:tc>
        <w:tc>
          <w:tcPr>
            <w:tcW w:w="2060" w:type="dxa"/>
            <w:tcBorders>
              <w:top w:val="single" w:sz="8" w:space="0" w:color="000000"/>
              <w:bottom w:val="single" w:sz="8" w:space="0" w:color="000000"/>
              <w:right w:val="single" w:sz="8" w:space="0" w:color="000000"/>
            </w:tcBorders>
            <w:shd w:fill="004BAA" w:val="clear"/>
            <w:tcMar>
              <w:left w:w="0" w:type="dxa"/>
            </w:tcMar>
            <w:vAlign w:val="center"/>
          </w:tcPr>
          <w:p>
            <w:pPr>
              <w:pStyle w:val="TableContents"/>
              <w:bidi w:val="0"/>
              <w:spacing w:before="0" w:after="283"/>
              <w:jc w:val="center"/>
              <w:rPr>
                <w:rFonts w:ascii="Arial;Helvetica;Sans-Serif" w:hAnsi="Arial;Helvetica;Sans-Serif"/>
                <w:color w:val="1A1A1A"/>
              </w:rPr>
            </w:pPr>
            <w:r>
              <w:rPr>
                <w:rFonts w:ascii="Arial;Helvetica;Sans-Serif" w:hAnsi="Arial;Helvetica;Sans-Serif"/>
                <w:b/>
                <w:color w:val="FFFFFF"/>
                <w:sz w:val="22"/>
              </w:rPr>
              <w:t>Market Cap - On</w:t>
            </w:r>
            <w:r>
              <w:rPr>
                <w:rFonts w:ascii="Arial;Helvetica;Sans-Serif" w:hAnsi="Arial;Helvetica;Sans-Serif"/>
                <w:color w:val="1A1A1A"/>
                <w:sz w:val="22"/>
              </w:rPr>
              <w:br/>
            </w:r>
            <w:r>
              <w:rPr>
                <w:rFonts w:ascii="Arial;Helvetica;Sans-Serif" w:hAnsi="Arial;Helvetica;Sans-Serif"/>
                <w:b/>
                <w:color w:val="FFFFFF"/>
                <w:sz w:val="22"/>
              </w:rPr>
              <w:t>September 30, 2026</w:t>
            </w:r>
          </w:p>
        </w:tc>
        <w:tc>
          <w:tcPr>
            <w:tcW w:w="1280" w:type="dxa"/>
            <w:tcBorders>
              <w:top w:val="single" w:sz="8" w:space="0" w:color="000000"/>
              <w:bottom w:val="single" w:sz="8" w:space="0" w:color="000000"/>
              <w:right w:val="single" w:sz="8" w:space="0" w:color="000000"/>
            </w:tcBorders>
            <w:shd w:fill="004BAA" w:val="clear"/>
            <w:tcMar>
              <w:left w:w="0" w:type="dxa"/>
            </w:tcMar>
            <w:vAlign w:val="center"/>
          </w:tcPr>
          <w:p>
            <w:pPr>
              <w:pStyle w:val="TableContents"/>
              <w:bidi w:val="0"/>
              <w:spacing w:before="0" w:after="283"/>
              <w:jc w:val="center"/>
              <w:rPr>
                <w:rFonts w:ascii="Arial;Helvetica;Sans-Serif" w:hAnsi="Arial;Helvetica;Sans-Serif"/>
                <w:b/>
                <w:color w:val="FFFFFF"/>
                <w:sz w:val="22"/>
              </w:rPr>
            </w:pPr>
            <w:r>
              <w:rPr>
                <w:rFonts w:ascii="Arial;Helvetica;Sans-Serif" w:hAnsi="Arial;Helvetica;Sans-Serif"/>
                <w:b/>
                <w:color w:val="FFFFFF"/>
                <w:sz w:val="22"/>
              </w:rPr>
              <w:t>Revenue (2)</w:t>
            </w:r>
          </w:p>
        </w:tc>
      </w:tr>
      <w:tr>
        <w:trPr/>
        <w:tc>
          <w:tcPr>
            <w:tcW w:w="2405" w:type="dxa"/>
            <w:tcBorders>
              <w:left w:val="single" w:sz="8" w:space="0" w:color="000000"/>
              <w:bottom w:val="single" w:sz="8" w:space="0" w:color="000000"/>
              <w:right w:val="single" w:sz="8" w:space="0" w:color="000000"/>
            </w:tcBorders>
            <w:shd w:fill="BDE4FF" w:val="clear"/>
            <w:tcMar>
              <w:top w:w="0" w:type="dxa"/>
              <w:bottom w:w="80" w:type="dxa"/>
            </w:tcMar>
            <w:vAlign w:val="center"/>
          </w:tcPr>
          <w:p>
            <w:pPr>
              <w:pStyle w:val="TableContents"/>
              <w:bidi w:val="0"/>
              <w:spacing w:before="0" w:after="283"/>
              <w:jc w:val="left"/>
              <w:rPr>
                <w:rFonts w:ascii="Arial;Helvetica;Sans-Serif" w:hAnsi="Arial;Helvetica;Sans-Serif"/>
                <w:b/>
                <w:color w:val="000000"/>
                <w:sz w:val="22"/>
              </w:rPr>
            </w:pPr>
            <w:r>
              <w:rPr>
                <w:rFonts w:ascii="Arial;Helvetica;Sans-Serif" w:hAnsi="Arial;Helvetica;Sans-Serif"/>
                <w:b/>
                <w:color w:val="000000"/>
                <w:sz w:val="22"/>
              </w:rPr>
              <w:t>75th Percentile</w:t>
            </w:r>
          </w:p>
        </w:tc>
        <w:tc>
          <w:tcPr>
            <w:tcW w:w="2180" w:type="dxa"/>
            <w:tcBorders>
              <w:bottom w:val="single" w:sz="8" w:space="0" w:color="000000"/>
              <w:right w:val="single" w:sz="8" w:space="0" w:color="000000"/>
            </w:tcBorders>
            <w:shd w:fill="BDE4FF" w:val="clear"/>
            <w:tcMar>
              <w:top w:w="0" w:type="dxa"/>
              <w:left w:w="0" w:type="dxa"/>
              <w:bottom w:w="80" w:type="dxa"/>
            </w:tcMar>
            <w:vAlign w:val="center"/>
          </w:tcPr>
          <w:p>
            <w:pPr>
              <w:pStyle w:val="TableContents"/>
              <w:bidi w:val="0"/>
              <w:spacing w:before="0" w:after="283"/>
              <w:jc w:val="center"/>
              <w:rPr>
                <w:rFonts w:ascii="Arial;Helvetica;Sans-Serif" w:hAnsi="Arial;Helvetica;Sans-Serif"/>
                <w:b/>
                <w:color w:val="000000"/>
                <w:sz w:val="22"/>
              </w:rPr>
            </w:pPr>
            <w:r>
              <w:rPr>
                <w:rFonts w:ascii="Arial;Helvetica;Sans-Serif" w:hAnsi="Arial;Helvetica;Sans-Serif"/>
                <w:b/>
                <w:color w:val="000000"/>
                <w:sz w:val="22"/>
              </w:rPr>
              <w:t>$46,690</w:t>
            </w:r>
          </w:p>
        </w:tc>
        <w:tc>
          <w:tcPr>
            <w:tcW w:w="2060" w:type="dxa"/>
            <w:tcBorders>
              <w:bottom w:val="single" w:sz="8" w:space="0" w:color="000000"/>
              <w:right w:val="single" w:sz="8" w:space="0" w:color="000000"/>
            </w:tcBorders>
            <w:shd w:fill="BDE4FF" w:val="clear"/>
            <w:tcMar>
              <w:top w:w="0" w:type="dxa"/>
              <w:left w:w="0" w:type="dxa"/>
              <w:bottom w:w="80" w:type="dxa"/>
            </w:tcMar>
            <w:vAlign w:val="center"/>
          </w:tcPr>
          <w:p>
            <w:pPr>
              <w:pStyle w:val="TableContents"/>
              <w:bidi w:val="0"/>
              <w:spacing w:before="0" w:after="283"/>
              <w:jc w:val="center"/>
              <w:rPr>
                <w:rFonts w:ascii="Arial;Helvetica;Sans-Serif" w:hAnsi="Arial;Helvetica;Sans-Serif"/>
                <w:b/>
                <w:color w:val="000000"/>
                <w:sz w:val="22"/>
              </w:rPr>
            </w:pPr>
            <w:r>
              <w:rPr>
                <w:rFonts w:ascii="Arial;Helvetica;Sans-Serif" w:hAnsi="Arial;Helvetica;Sans-Serif"/>
                <w:b/>
                <w:color w:val="000000"/>
                <w:sz w:val="22"/>
              </w:rPr>
              <w:t>$49,891</w:t>
            </w:r>
          </w:p>
        </w:tc>
        <w:tc>
          <w:tcPr>
            <w:tcW w:w="1280" w:type="dxa"/>
            <w:tcBorders>
              <w:bottom w:val="single" w:sz="8" w:space="0" w:color="000000"/>
              <w:right w:val="single" w:sz="8" w:space="0" w:color="000000"/>
            </w:tcBorders>
            <w:shd w:fill="BDE4FF" w:val="clear"/>
            <w:tcMar>
              <w:top w:w="0" w:type="dxa"/>
              <w:left w:w="0" w:type="dxa"/>
              <w:bottom w:w="80" w:type="dxa"/>
            </w:tcMar>
            <w:vAlign w:val="center"/>
          </w:tcPr>
          <w:p>
            <w:pPr>
              <w:pStyle w:val="TableContents"/>
              <w:bidi w:val="0"/>
              <w:spacing w:before="0" w:after="283"/>
              <w:jc w:val="center"/>
              <w:rPr>
                <w:rFonts w:ascii="Arial;Helvetica;Sans-Serif" w:hAnsi="Arial;Helvetica;Sans-Serif"/>
                <w:b/>
                <w:color w:val="000000"/>
                <w:sz w:val="22"/>
              </w:rPr>
            </w:pPr>
            <w:r>
              <w:rPr>
                <w:rFonts w:ascii="Arial;Helvetica;Sans-Serif" w:hAnsi="Arial;Helvetica;Sans-Serif"/>
                <w:b/>
                <w:color w:val="000000"/>
                <w:sz w:val="22"/>
              </w:rPr>
              <w:t>$5,122</w:t>
            </w:r>
          </w:p>
        </w:tc>
      </w:tr>
      <w:tr>
        <w:trPr/>
        <w:tc>
          <w:tcPr>
            <w:tcW w:w="2405" w:type="dxa"/>
            <w:tcBorders>
              <w:left w:val="single" w:sz="8" w:space="0" w:color="000000"/>
              <w:bottom w:val="single" w:sz="8" w:space="0" w:color="000000"/>
              <w:right w:val="single" w:sz="8" w:space="0" w:color="000000"/>
            </w:tcBorders>
            <w:shd w:fill="BDE4FF" w:val="clear"/>
            <w:tcMar>
              <w:top w:w="0" w:type="dxa"/>
              <w:bottom w:w="80" w:type="dxa"/>
            </w:tcMar>
            <w:vAlign w:val="center"/>
          </w:tcPr>
          <w:p>
            <w:pPr>
              <w:pStyle w:val="TableContents"/>
              <w:bidi w:val="0"/>
              <w:spacing w:before="0" w:after="283"/>
              <w:jc w:val="left"/>
              <w:rPr>
                <w:rFonts w:ascii="Arial;Helvetica;Sans-Serif" w:hAnsi="Arial;Helvetica;Sans-Serif"/>
                <w:b/>
                <w:color w:val="000000"/>
                <w:sz w:val="22"/>
              </w:rPr>
            </w:pPr>
            <w:r>
              <w:rPr>
                <w:rFonts w:ascii="Arial;Helvetica;Sans-Serif" w:hAnsi="Arial;Helvetica;Sans-Serif"/>
                <w:b/>
                <w:color w:val="000000"/>
                <w:sz w:val="22"/>
              </w:rPr>
              <w:t>Median</w:t>
            </w:r>
          </w:p>
        </w:tc>
        <w:tc>
          <w:tcPr>
            <w:tcW w:w="2180" w:type="dxa"/>
            <w:tcBorders>
              <w:bottom w:val="single" w:sz="8" w:space="0" w:color="000000"/>
              <w:right w:val="single" w:sz="8" w:space="0" w:color="000000"/>
            </w:tcBorders>
            <w:shd w:fill="BDE4FF" w:val="clear"/>
            <w:tcMar>
              <w:top w:w="0" w:type="dxa"/>
              <w:left w:w="0" w:type="dxa"/>
              <w:bottom w:w="80" w:type="dxa"/>
            </w:tcMar>
            <w:vAlign w:val="center"/>
          </w:tcPr>
          <w:p>
            <w:pPr>
              <w:pStyle w:val="TableContents"/>
              <w:bidi w:val="0"/>
              <w:spacing w:before="0" w:after="283"/>
              <w:jc w:val="center"/>
              <w:rPr>
                <w:rFonts w:ascii="Arial;Helvetica;Sans-Serif" w:hAnsi="Arial;Helvetica;Sans-Serif"/>
                <w:b/>
                <w:color w:val="000000"/>
                <w:sz w:val="22"/>
              </w:rPr>
            </w:pPr>
            <w:r>
              <w:rPr>
                <w:rFonts w:ascii="Arial;Helvetica;Sans-Serif" w:hAnsi="Arial;Helvetica;Sans-Serif"/>
                <w:b/>
                <w:color w:val="000000"/>
                <w:sz w:val="22"/>
              </w:rPr>
              <w:t>$25,066</w:t>
            </w:r>
          </w:p>
        </w:tc>
        <w:tc>
          <w:tcPr>
            <w:tcW w:w="2060" w:type="dxa"/>
            <w:tcBorders>
              <w:bottom w:val="single" w:sz="8" w:space="0" w:color="000000"/>
              <w:right w:val="single" w:sz="8" w:space="0" w:color="000000"/>
            </w:tcBorders>
            <w:shd w:fill="BDE4FF" w:val="clear"/>
            <w:tcMar>
              <w:top w:w="0" w:type="dxa"/>
              <w:left w:w="0" w:type="dxa"/>
              <w:bottom w:w="80" w:type="dxa"/>
            </w:tcMar>
            <w:vAlign w:val="center"/>
          </w:tcPr>
          <w:p>
            <w:pPr>
              <w:pStyle w:val="TableContents"/>
              <w:bidi w:val="0"/>
              <w:spacing w:before="0" w:after="283"/>
              <w:jc w:val="center"/>
              <w:rPr>
                <w:rFonts w:ascii="Arial;Helvetica;Sans-Serif" w:hAnsi="Arial;Helvetica;Sans-Serif"/>
                <w:b/>
                <w:color w:val="000000"/>
                <w:sz w:val="22"/>
              </w:rPr>
            </w:pPr>
            <w:r>
              <w:rPr>
                <w:rFonts w:ascii="Arial;Helvetica;Sans-Serif" w:hAnsi="Arial;Helvetica;Sans-Serif"/>
                <w:b/>
                <w:color w:val="000000"/>
                <w:sz w:val="22"/>
              </w:rPr>
              <w:t>$26,306</w:t>
            </w:r>
          </w:p>
        </w:tc>
        <w:tc>
          <w:tcPr>
            <w:tcW w:w="1280" w:type="dxa"/>
            <w:tcBorders>
              <w:bottom w:val="single" w:sz="8" w:space="0" w:color="000000"/>
              <w:right w:val="single" w:sz="8" w:space="0" w:color="000000"/>
            </w:tcBorders>
            <w:shd w:fill="BDE4FF" w:val="clear"/>
            <w:tcMar>
              <w:top w:w="0" w:type="dxa"/>
              <w:left w:w="0" w:type="dxa"/>
              <w:bottom w:w="80" w:type="dxa"/>
            </w:tcMar>
            <w:vAlign w:val="center"/>
          </w:tcPr>
          <w:p>
            <w:pPr>
              <w:pStyle w:val="TableContents"/>
              <w:bidi w:val="0"/>
              <w:spacing w:before="0" w:after="283"/>
              <w:jc w:val="center"/>
              <w:rPr>
                <w:rFonts w:ascii="Arial;Helvetica;Sans-Serif" w:hAnsi="Arial;Helvetica;Sans-Serif"/>
                <w:b/>
                <w:color w:val="000000"/>
                <w:sz w:val="22"/>
              </w:rPr>
            </w:pPr>
            <w:r>
              <w:rPr>
                <w:rFonts w:ascii="Arial;Helvetica;Sans-Serif" w:hAnsi="Arial;Helvetica;Sans-Serif"/>
                <w:b/>
                <w:color w:val="000000"/>
                <w:sz w:val="22"/>
              </w:rPr>
              <w:t>$3,326</w:t>
            </w:r>
          </w:p>
        </w:tc>
      </w:tr>
      <w:tr>
        <w:trPr/>
        <w:tc>
          <w:tcPr>
            <w:tcW w:w="2405" w:type="dxa"/>
            <w:tcBorders>
              <w:left w:val="single" w:sz="8" w:space="0" w:color="000000"/>
              <w:bottom w:val="single" w:sz="8" w:space="0" w:color="000000"/>
              <w:right w:val="single" w:sz="8" w:space="0" w:color="000000"/>
            </w:tcBorders>
            <w:shd w:fill="BDE4FF" w:val="clear"/>
            <w:tcMar>
              <w:top w:w="0" w:type="dxa"/>
              <w:bottom w:w="80" w:type="dxa"/>
            </w:tcMar>
            <w:vAlign w:val="center"/>
          </w:tcPr>
          <w:p>
            <w:pPr>
              <w:pStyle w:val="TableContents"/>
              <w:bidi w:val="0"/>
              <w:spacing w:before="0" w:after="283"/>
              <w:jc w:val="left"/>
              <w:rPr>
                <w:rFonts w:ascii="Arial;Helvetica;Sans-Serif" w:hAnsi="Arial;Helvetica;Sans-Serif"/>
                <w:b/>
                <w:color w:val="000000"/>
                <w:sz w:val="22"/>
              </w:rPr>
            </w:pPr>
            <w:r>
              <w:rPr>
                <w:rFonts w:ascii="Arial;Helvetica;Sans-Serif" w:hAnsi="Arial;Helvetica;Sans-Serif"/>
                <w:b/>
                <w:color w:val="000000"/>
                <w:sz w:val="22"/>
              </w:rPr>
              <w:t>25th Percentile</w:t>
            </w:r>
          </w:p>
        </w:tc>
        <w:tc>
          <w:tcPr>
            <w:tcW w:w="2180" w:type="dxa"/>
            <w:tcBorders>
              <w:bottom w:val="single" w:sz="8" w:space="0" w:color="000000"/>
              <w:right w:val="single" w:sz="8" w:space="0" w:color="000000"/>
            </w:tcBorders>
            <w:shd w:fill="BDE4FF" w:val="clear"/>
            <w:tcMar>
              <w:top w:w="0" w:type="dxa"/>
              <w:left w:w="0" w:type="dxa"/>
              <w:bottom w:w="80" w:type="dxa"/>
            </w:tcMar>
            <w:vAlign w:val="center"/>
          </w:tcPr>
          <w:p>
            <w:pPr>
              <w:pStyle w:val="TableContents"/>
              <w:bidi w:val="0"/>
              <w:spacing w:before="0" w:after="283"/>
              <w:jc w:val="center"/>
              <w:rPr>
                <w:rFonts w:ascii="Arial;Helvetica;Sans-Serif" w:hAnsi="Arial;Helvetica;Sans-Serif"/>
                <w:b/>
                <w:color w:val="000000"/>
                <w:sz w:val="22"/>
              </w:rPr>
            </w:pPr>
            <w:r>
              <w:rPr>
                <w:rFonts w:ascii="Arial;Helvetica;Sans-Serif" w:hAnsi="Arial;Helvetica;Sans-Serif"/>
                <w:b/>
                <w:color w:val="000000"/>
                <w:sz w:val="22"/>
              </w:rPr>
              <w:t>$14,254</w:t>
            </w:r>
          </w:p>
        </w:tc>
        <w:tc>
          <w:tcPr>
            <w:tcW w:w="2060" w:type="dxa"/>
            <w:tcBorders>
              <w:bottom w:val="single" w:sz="8" w:space="0" w:color="000000"/>
              <w:right w:val="single" w:sz="8" w:space="0" w:color="000000"/>
            </w:tcBorders>
            <w:shd w:fill="BDE4FF" w:val="clear"/>
            <w:tcMar>
              <w:top w:w="0" w:type="dxa"/>
              <w:left w:w="0" w:type="dxa"/>
              <w:bottom w:w="80" w:type="dxa"/>
            </w:tcMar>
            <w:vAlign w:val="center"/>
          </w:tcPr>
          <w:p>
            <w:pPr>
              <w:pStyle w:val="TableContents"/>
              <w:bidi w:val="0"/>
              <w:spacing w:before="0" w:after="283"/>
              <w:jc w:val="center"/>
              <w:rPr>
                <w:rFonts w:ascii="Arial;Helvetica;Sans-Serif" w:hAnsi="Arial;Helvetica;Sans-Serif"/>
                <w:b/>
                <w:color w:val="000000"/>
                <w:sz w:val="22"/>
              </w:rPr>
            </w:pPr>
            <w:r>
              <w:rPr>
                <w:rFonts w:ascii="Arial;Helvetica;Sans-Serif" w:hAnsi="Arial;Helvetica;Sans-Serif"/>
                <w:b/>
                <w:color w:val="000000"/>
                <w:sz w:val="22"/>
              </w:rPr>
              <w:t>$17,842</w:t>
            </w:r>
          </w:p>
        </w:tc>
        <w:tc>
          <w:tcPr>
            <w:tcW w:w="1280" w:type="dxa"/>
            <w:tcBorders>
              <w:bottom w:val="single" w:sz="8" w:space="0" w:color="000000"/>
              <w:right w:val="single" w:sz="8" w:space="0" w:color="000000"/>
            </w:tcBorders>
            <w:shd w:fill="BDE4FF" w:val="clear"/>
            <w:tcMar>
              <w:top w:w="0" w:type="dxa"/>
              <w:left w:w="0" w:type="dxa"/>
              <w:bottom w:w="80" w:type="dxa"/>
            </w:tcMar>
            <w:vAlign w:val="center"/>
          </w:tcPr>
          <w:p>
            <w:pPr>
              <w:pStyle w:val="TableContents"/>
              <w:bidi w:val="0"/>
              <w:spacing w:before="0" w:after="283"/>
              <w:jc w:val="center"/>
              <w:rPr>
                <w:rFonts w:ascii="Arial;Helvetica;Sans-Serif" w:hAnsi="Arial;Helvetica;Sans-Serif"/>
                <w:b/>
                <w:color w:val="000000"/>
                <w:sz w:val="22"/>
              </w:rPr>
            </w:pPr>
            <w:r>
              <w:rPr>
                <w:rFonts w:ascii="Arial;Helvetica;Sans-Serif" w:hAnsi="Arial;Helvetica;Sans-Serif"/>
                <w:b/>
                <w:color w:val="000000"/>
                <w:sz w:val="22"/>
              </w:rPr>
              <w:t>$1,591</w:t>
            </w:r>
          </w:p>
        </w:tc>
      </w:tr>
      <w:tr>
        <w:trPr/>
        <w:tc>
          <w:tcPr>
            <w:tcW w:w="2405" w:type="dxa"/>
            <w:tcBorders>
              <w:left w:val="single" w:sz="8" w:space="0" w:color="000000"/>
              <w:bottom w:val="single" w:sz="8" w:space="0" w:color="000000"/>
              <w:right w:val="single" w:sz="8" w:space="0" w:color="000000"/>
            </w:tcBorders>
            <w:shd w:fill="D9D9D9" w:val="clear"/>
            <w:tcMar>
              <w:top w:w="0" w:type="dxa"/>
              <w:bottom w:w="80" w:type="dxa"/>
            </w:tcMar>
            <w:vAlign w:val="center"/>
          </w:tcPr>
          <w:p>
            <w:pPr>
              <w:pStyle w:val="TableContents"/>
              <w:bidi w:val="0"/>
              <w:spacing w:before="0" w:after="283"/>
              <w:jc w:val="left"/>
              <w:rPr>
                <w:rFonts w:ascii="Arial;Helvetica;Sans-Serif" w:hAnsi="Arial;Helvetica;Sans-Serif"/>
                <w:b/>
                <w:color w:val="000000"/>
                <w:sz w:val="22"/>
              </w:rPr>
            </w:pPr>
            <w:r>
              <w:rPr>
                <w:rFonts w:ascii="Arial;Helvetica;Sans-Serif" w:hAnsi="Arial;Helvetica;Sans-Serif"/>
                <w:b/>
                <w:color w:val="000000"/>
                <w:sz w:val="22"/>
              </w:rPr>
              <w:t>Tower Percentile Rank</w:t>
            </w:r>
          </w:p>
        </w:tc>
        <w:tc>
          <w:tcPr>
            <w:tcW w:w="2180" w:type="dxa"/>
            <w:tcBorders>
              <w:bottom w:val="single" w:sz="8" w:space="0" w:color="000000"/>
            </w:tcBorders>
            <w:shd w:fill="D9D9D9" w:val="clear"/>
            <w:tcMar>
              <w:top w:w="0" w:type="dxa"/>
              <w:left w:w="0" w:type="dxa"/>
              <w:bottom w:w="80" w:type="dxa"/>
              <w:right w:w="0" w:type="dxa"/>
            </w:tcMar>
            <w:vAlign w:val="center"/>
          </w:tcPr>
          <w:p>
            <w:pPr>
              <w:pStyle w:val="TableContents"/>
              <w:bidi w:val="0"/>
              <w:spacing w:before="0" w:after="283"/>
              <w:jc w:val="center"/>
              <w:rPr>
                <w:rFonts w:ascii="Arial;Helvetica;Sans-Serif" w:hAnsi="Arial;Helvetica;Sans-Serif"/>
                <w:b/>
                <w:color w:val="000000"/>
                <w:sz w:val="22"/>
              </w:rPr>
            </w:pPr>
            <w:r>
              <w:rPr>
                <w:rFonts w:ascii="Arial;Helvetica;Sans-Serif" w:hAnsi="Arial;Helvetica;Sans-Serif"/>
                <w:b/>
                <w:color w:val="000000"/>
                <w:sz w:val="22"/>
              </w:rPr>
              <w:t>45P</w:t>
            </w:r>
          </w:p>
        </w:tc>
        <w:tc>
          <w:tcPr>
            <w:tcW w:w="2060" w:type="dxa"/>
            <w:tcBorders>
              <w:left w:val="single" w:sz="8" w:space="0" w:color="000000"/>
              <w:bottom w:val="single" w:sz="8" w:space="0" w:color="000000"/>
              <w:right w:val="single" w:sz="8" w:space="0" w:color="000000"/>
            </w:tcBorders>
            <w:shd w:fill="D9D9D9" w:val="clear"/>
            <w:tcMar>
              <w:top w:w="0" w:type="dxa"/>
              <w:bottom w:w="80" w:type="dxa"/>
            </w:tcMar>
            <w:vAlign w:val="center"/>
          </w:tcPr>
          <w:p>
            <w:pPr>
              <w:pStyle w:val="TableContents"/>
              <w:bidi w:val="0"/>
              <w:spacing w:before="0" w:after="283"/>
              <w:jc w:val="center"/>
              <w:rPr>
                <w:rFonts w:ascii="Arial;Helvetica;Sans-Serif" w:hAnsi="Arial;Helvetica;Sans-Serif"/>
                <w:b/>
                <w:color w:val="000000"/>
                <w:sz w:val="22"/>
              </w:rPr>
            </w:pPr>
            <w:r>
              <w:rPr>
                <w:rFonts w:ascii="Arial;Helvetica;Sans-Serif" w:hAnsi="Arial;Helvetica;Sans-Serif"/>
                <w:b/>
                <w:color w:val="000000"/>
                <w:sz w:val="22"/>
              </w:rPr>
              <w:t>49P</w:t>
            </w:r>
          </w:p>
        </w:tc>
        <w:tc>
          <w:tcPr>
            <w:tcW w:w="1280" w:type="dxa"/>
            <w:tcBorders>
              <w:bottom w:val="single" w:sz="8" w:space="0" w:color="000000"/>
              <w:right w:val="single" w:sz="8" w:space="0" w:color="000000"/>
            </w:tcBorders>
            <w:shd w:fill="D9D9D9" w:val="clear"/>
            <w:tcMar>
              <w:top w:w="0" w:type="dxa"/>
              <w:left w:w="0" w:type="dxa"/>
              <w:bottom w:w="80" w:type="dxa"/>
            </w:tcMar>
            <w:vAlign w:val="center"/>
          </w:tcPr>
          <w:p>
            <w:pPr>
              <w:pStyle w:val="TableContents"/>
              <w:bidi w:val="0"/>
              <w:spacing w:before="0" w:after="283"/>
              <w:jc w:val="center"/>
              <w:rPr>
                <w:rFonts w:ascii="Arial;Helvetica;Sans-Serif" w:hAnsi="Arial;Helvetica;Sans-Serif"/>
                <w:b/>
                <w:color w:val="000000"/>
                <w:sz w:val="22"/>
              </w:rPr>
            </w:pPr>
            <w:r>
              <w:rPr>
                <w:rFonts w:ascii="Arial;Helvetica;Sans-Serif" w:hAnsi="Arial;Helvetica;Sans-Serif"/>
                <w:b/>
                <w:color w:val="000000"/>
                <w:sz w:val="22"/>
              </w:rPr>
              <w:t>27P</w:t>
            </w:r>
          </w:p>
        </w:tc>
      </w:tr>
    </w:tbl>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18"/>
        </w:rPr>
      </w:pPr>
      <w:r>
        <w:rPr>
          <w:rFonts w:ascii="Arial;Helvetica;Sans-Serif" w:hAnsi="Arial;Helvetica;Sans-Serif"/>
          <w:b w:val="false"/>
          <w:i w:val="false"/>
          <w:caps w:val="false"/>
          <w:smallCaps w:val="false"/>
          <w:color w:val="1A1A1A"/>
          <w:sz w:val="18"/>
        </w:rPr>
        <w:t>(1) For reference, Tower’s trailing 12-month average market capitalization through September 30, 2026 was $19.6 billion.</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18"/>
        </w:rPr>
      </w:pPr>
      <w:r>
        <w:rPr>
          <w:rFonts w:ascii="Arial;Helvetica;Sans-Serif" w:hAnsi="Arial;Helvetica;Sans-Serif"/>
          <w:b w:val="false"/>
          <w:i w:val="false"/>
          <w:caps w:val="false"/>
          <w:smallCaps w:val="false"/>
          <w:color w:val="1A1A1A"/>
          <w:sz w:val="18"/>
        </w:rPr>
        <w:t>(2) Tower's $1.71B trailing four quarter revenue through June 30, 2026 is compared to peers' trailing four quarters revenue based on latest disclosures available on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006297"/>
          <w:sz w:val="26"/>
        </w:rPr>
      </w:pPr>
      <w:bookmarkStart w:id="19" w:name="A115"/>
      <w:bookmarkEnd w:id="19"/>
      <w:r>
        <w:rPr>
          <w:rFonts w:ascii="Arial;Helvetica;Sans-Serif" w:hAnsi="Arial;Helvetica;Sans-Serif"/>
          <w:b/>
          <w:i w:val="false"/>
          <w:caps w:val="false"/>
          <w:smallCaps w:val="false"/>
          <w:color w:val="006297"/>
          <w:sz w:val="26"/>
        </w:rPr>
        <w:t>Actual Equity Grant Benchmarking</w:t>
      </w:r>
    </w:p>
    <w:p>
      <w:pPr>
        <w:pStyle w:val="TextBody"/>
        <w:bidi w:val="0"/>
        <w:spacing w:before="0" w:after="0"/>
        <w:ind w:left="0" w:right="0" w:hanging="0"/>
        <w:jc w:val="left"/>
        <w:rPr>
          <w:caps w:val="false"/>
          <w:smallCaps w:val="false"/>
          <w:color w:val="006297"/>
        </w:rPr>
      </w:pPr>
      <w:r>
        <w:rPr>
          <w:caps w:val="false"/>
          <w:smallCaps w:val="false"/>
          <w:color w:val="006297"/>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The Compensation Committee compared the maximum annual equity values proposed under the Amended Compensation Policy, 13 times annual base salary for the Chief Executive Officer and 7 times annual base salary for each Other Executive Officer, with actual annual equity grants among the updated global/U.S. peer group. For Other Executive Officers, the comparison is based on equity grants to the peer companies’ chief financial officers, because compensation data for that role are disclosed consistently across the peer group, making it the closest available comparison.</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As shown in the graph below, Tower’s proposed equity limit of 13 times annual base salary for the Chief Executive Officer is consistent with the peer group median for the most recently disclosed actual annual equity grants to chief executive officers, and Tower&amp;rsquo;s proposed limit of 7 times annual base salary for each Other Executive Officer is closely aligned with the peer group median of 6.7 times annual base salary for the most recently disclosed actual annual equity grants to chief financial officers. The Compensation Committee believes that this demonstrates the reasonableness of the proposed equity limits in the proposed Amended Compensation Policy, which allows Tower to be competitive with the mid-range of the market, but not meaningfully above it.</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jc w:val="center"/>
        <w:rPr>
          <w:caps w:val="false"/>
          <w:smallCaps w:val="false"/>
          <w:color w:val="1A1A1A"/>
        </w:rPr>
      </w:pPr>
      <w:r>
        <w:rPr>
          <w:caps w:val="false"/>
          <w:smallCaps w:val="false"/>
          <w:color w:val="1A1A1A"/>
        </w:rPr>
        <w:drawing>
          <wp:inline distT="0" distB="0" distL="0" distR="0">
            <wp:extent cx="7620000" cy="116205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7620000" cy="1162050"/>
                    </a:xfrm>
                    <a:prstGeom prst="rect">
                      <a:avLst/>
                    </a:prstGeom>
                  </pic:spPr>
                </pic:pic>
              </a:graphicData>
            </a:graphic>
          </wp:inline>
        </w:drawing>
      </w:r>
      <w:r>
        <w:rPr>
          <w:caps w:val="false"/>
          <w:smallCaps w:val="false"/>
          <w:color w:val="1A1A1A"/>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color w:val="1A1A1A"/>
        </w:rPr>
      </w:pPr>
      <w:r>
        <w:rPr>
          <w:caps w:val="false"/>
          <w:smallCaps w:val="false"/>
          <w:color w:val="1A1A1A"/>
        </w:rPr>
        <w:t> </w:t>
      </w:r>
      <w:r>
        <w:rPr>
          <w:caps w:val="false"/>
          <w:smallCaps w:val="false"/>
          <w:color w:val="1A1A1A"/>
        </w:rPr>
        <w:drawing>
          <wp:inline distT="0" distB="0" distL="0" distR="0">
            <wp:extent cx="7620000" cy="10953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7620000" cy="1095375"/>
                    </a:xfrm>
                    <a:prstGeom prst="rect">
                      <a:avLst/>
                    </a:prstGeom>
                  </pic:spPr>
                </pic:pic>
              </a:graphicData>
            </a:graphic>
          </wp:inline>
        </w:drawing>
      </w:r>
      <w:r>
        <w:rPr>
          <w:caps w:val="false"/>
          <w:smallCaps w:val="false"/>
          <w:color w:val="1A1A1A"/>
        </w:rPr>
        <w:t> </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jc w:val="center"/>
        <w:rPr>
          <w:caps w:val="false"/>
          <w:smallCaps w:val="false"/>
          <w:color w:val="1A1A1A"/>
        </w:rPr>
      </w:pPr>
      <w:r>
        <w:rPr>
          <w:caps w:val="false"/>
          <w:smallCaps w:val="false"/>
          <w:color w:val="1A1A1A"/>
        </w:rPr>
        <w:drawing>
          <wp:inline distT="0" distB="0" distL="0" distR="0">
            <wp:extent cx="6134100" cy="401002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6134100" cy="4010025"/>
                    </a:xfrm>
                    <a:prstGeom prst="rect">
                      <a:avLst/>
                    </a:prstGeom>
                  </pic:spPr>
                </pic:pic>
              </a:graphicData>
            </a:graphic>
          </wp:inline>
        </w:drawing>
      </w:r>
      <w:r>
        <w:rPr>
          <w:caps w:val="false"/>
          <w:smallCaps w:val="false"/>
          <w:color w:val="1A1A1A"/>
        </w:rPr>
        <w:t> </w:t>
      </w:r>
    </w:p>
    <w:p>
      <w:pPr>
        <w:pStyle w:val="TextBody"/>
        <w:bidi w:val="0"/>
        <w:spacing w:before="0" w:after="0"/>
        <w:ind w:left="0" w:right="0" w:hanging="0"/>
        <w:jc w:val="center"/>
        <w:rPr>
          <w:caps w:val="false"/>
          <w:smallCaps w:val="false"/>
          <w:color w:val="595959"/>
        </w:rPr>
      </w:pPr>
      <w:r>
        <w:rPr>
          <w:caps w:val="false"/>
          <w:smallCaps w:val="false"/>
          <w:color w:val="595959"/>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The limits of 13 times and 7 times annual base salary set the maximum annual equity awards permitted under the Amended Compensation Policy during its three-year term. They are not target amounts, and the Company is not required to grant any specific sized award; actual awards may be lower. In addition, any equity award to the Chief Executive Officer or a director remains subject to the approvals required under Israeli law, including separate shareholder approval.</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left"/>
        <w:rPr>
          <w:rFonts w:ascii="Arial;Helvetica;Sans-Serif" w:hAnsi="Arial;Helvetica;Sans-Serif"/>
          <w:b/>
          <w:i w:val="false"/>
          <w:caps w:val="false"/>
          <w:smallCaps w:val="false"/>
          <w:color w:val="006297"/>
          <w:sz w:val="26"/>
        </w:rPr>
      </w:pPr>
      <w:bookmarkStart w:id="20" w:name="A116"/>
      <w:bookmarkEnd w:id="20"/>
      <w:r>
        <w:rPr>
          <w:rFonts w:ascii="Arial;Helvetica;Sans-Serif" w:hAnsi="Arial;Helvetica;Sans-Serif"/>
          <w:b/>
          <w:i w:val="false"/>
          <w:caps w:val="false"/>
          <w:smallCaps w:val="false"/>
          <w:color w:val="006297"/>
          <w:sz w:val="26"/>
        </w:rPr>
        <w:t>Benchmarking Equity Caps in Compensation Policies Adopted Under the Israeli Companies Law</w:t>
      </w:r>
    </w:p>
    <w:p>
      <w:pPr>
        <w:pStyle w:val="TextBody"/>
        <w:bidi w:val="0"/>
        <w:spacing w:before="0" w:after="0"/>
        <w:ind w:left="0" w:right="0" w:hanging="0"/>
        <w:jc w:val="left"/>
        <w:rPr>
          <w:caps w:val="false"/>
          <w:smallCaps w:val="false"/>
          <w:color w:val="006297"/>
        </w:rPr>
      </w:pPr>
      <w:r>
        <w:rPr>
          <w:caps w:val="false"/>
          <w:smallCaps w:val="false"/>
          <w:color w:val="006297"/>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The Compensation Committee also reviewed the compensation policy equity limits of the 11 largest-cap companies that are subject to the Israeli Companies Law and traded on a U.S. exchange, each with a market capitalization above $3 billion as of September 30, 2026, as listed below. This group is not intended to represent Tower’s executive talent market because very few of these companies are comparable to Tower in terms of both size and industry (the median market capitalization was only $7.2 billion as of September 30, 2026). Rather, it provides a governance reference for the forward-looking compensation authority provided to compensation committees and boards of directors operating under the same statutory compensation-policy framework.</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jc w:val="center"/>
        <w:rPr>
          <w:caps w:val="false"/>
          <w:smallCaps w:val="false"/>
          <w:color w:val="1A1A1A"/>
        </w:rPr>
      </w:pPr>
      <w:r>
        <w:rPr>
          <w:caps w:val="false"/>
          <w:smallCaps w:val="false"/>
          <w:color w:val="1A1A1A"/>
        </w:rPr>
        <w:drawing>
          <wp:inline distT="0" distB="0" distL="0" distR="0">
            <wp:extent cx="7620000" cy="116205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7620000" cy="1162050"/>
                    </a:xfrm>
                    <a:prstGeom prst="rect">
                      <a:avLst/>
                    </a:prstGeom>
                  </pic:spPr>
                </pic:pic>
              </a:graphicData>
            </a:graphic>
          </wp:inline>
        </w:drawing>
      </w:r>
      <w:r>
        <w:rPr>
          <w:caps w:val="false"/>
          <w:smallCaps w:val="false"/>
          <w:color w:val="1A1A1A"/>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color w:val="1A1A1A"/>
        </w:rPr>
      </w:pPr>
      <w:r>
        <w:rPr>
          <w:caps w:val="false"/>
          <w:smallCaps w:val="false"/>
          <w:color w:val="1A1A1A"/>
        </w:rPr>
        <w:t> </w:t>
      </w:r>
      <w:r>
        <w:rPr>
          <w:caps w:val="false"/>
          <w:smallCaps w:val="false"/>
          <w:color w:val="1A1A1A"/>
        </w:rPr>
        <w:drawing>
          <wp:inline distT="0" distB="0" distL="0" distR="0">
            <wp:extent cx="7620000" cy="10953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7620000" cy="1095375"/>
                    </a:xfrm>
                    <a:prstGeom prst="rect">
                      <a:avLst/>
                    </a:prstGeom>
                  </pic:spPr>
                </pic:pic>
              </a:graphicData>
            </a:graphic>
          </wp:inline>
        </w:drawing>
      </w:r>
      <w:r>
        <w:rPr>
          <w:caps w:val="false"/>
          <w:smallCaps w:val="false"/>
          <w:color w:val="1A1A1A"/>
        </w:rPr>
        <w:t> </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both"/>
        <w:rPr>
          <w:rFonts w:ascii="Arial;Helvetica;Sans-Serif" w:hAnsi="Arial;Helvetica;Sans-Serif"/>
          <w:b/>
          <w:i w:val="false"/>
          <w:caps w:val="false"/>
          <w:smallCaps w:val="false"/>
          <w:color w:val="1A1A1A"/>
          <w:sz w:val="22"/>
        </w:rPr>
      </w:pPr>
      <w:r>
        <w:rPr>
          <w:rFonts w:ascii="Arial;Helvetica;Sans-Serif" w:hAnsi="Arial;Helvetica;Sans-Serif"/>
          <w:b/>
          <w:i w:val="false"/>
          <w:caps w:val="false"/>
          <w:smallCaps w:val="false"/>
          <w:color w:val="1A1A1A"/>
          <w:sz w:val="22"/>
        </w:rPr>
        <w:t>The Israeli Law Reference Group</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The reference group of companies that the Compensation Committee reviewed to assess the reasonableness of the proposed Amended Compensation Policy equity limits is set forth below:</w:t>
      </w:r>
    </w:p>
    <w:p>
      <w:pPr>
        <w:pStyle w:val="TextBody"/>
        <w:bidi w:val="0"/>
        <w:spacing w:before="0" w:after="0"/>
        <w:ind w:left="0" w:right="0" w:hanging="0"/>
        <w:jc w:val="both"/>
        <w:rPr>
          <w:caps w:val="false"/>
          <w:smallCaps w:val="false"/>
          <w:color w:val="1A1A1A"/>
        </w:rPr>
      </w:pPr>
      <w:r>
        <w:rPr>
          <w:caps w:val="false"/>
          <w:smallCaps w:val="false"/>
          <w:color w:val="1A1A1A"/>
        </w:rPr>
        <w:t> </w:t>
      </w:r>
    </w:p>
    <w:tbl>
      <w:tblPr>
        <w:tblW w:w="9420" w:type="dxa"/>
        <w:jc w:val="left"/>
        <w:tblInd w:w="0" w:type="dxa"/>
        <w:tblLayout w:type="fixed"/>
        <w:tblCellMar>
          <w:top w:w="0" w:type="dxa"/>
          <w:left w:w="0" w:type="dxa"/>
          <w:bottom w:w="0" w:type="dxa"/>
          <w:right w:w="0" w:type="dxa"/>
        </w:tblCellMar>
      </w:tblPr>
      <w:tblGrid>
        <w:gridCol w:w="3530"/>
        <w:gridCol w:w="3545"/>
        <w:gridCol w:w="2345"/>
      </w:tblGrid>
      <w:tr>
        <w:trPr/>
        <w:tc>
          <w:tcPr>
            <w:tcW w:w="3530" w:type="dxa"/>
            <w:tcBorders/>
            <w:shd w:fill="004BAA" w:val="clear"/>
            <w:vAlign w:val="center"/>
          </w:tcPr>
          <w:p>
            <w:pPr>
              <w:pStyle w:val="TableContents"/>
              <w:bidi w:val="0"/>
              <w:spacing w:before="0" w:after="283"/>
              <w:jc w:val="left"/>
              <w:rPr/>
            </w:pPr>
            <w:r>
              <w:rPr/>
              <w:t> </w:t>
            </w:r>
          </w:p>
        </w:tc>
        <w:tc>
          <w:tcPr>
            <w:tcW w:w="3545" w:type="dxa"/>
            <w:tcBorders/>
            <w:shd w:fill="004BAA" w:val="clear"/>
            <w:vAlign w:val="center"/>
          </w:tcPr>
          <w:p>
            <w:pPr>
              <w:pStyle w:val="TableContents"/>
              <w:bidi w:val="0"/>
              <w:spacing w:before="0" w:after="283"/>
              <w:jc w:val="left"/>
              <w:rPr/>
            </w:pPr>
            <w:r>
              <w:rPr/>
              <w:t> </w:t>
            </w:r>
          </w:p>
        </w:tc>
        <w:tc>
          <w:tcPr>
            <w:tcW w:w="2345" w:type="dxa"/>
            <w:tcBorders/>
            <w:shd w:fill="004BAA" w:val="clear"/>
            <w:vAlign w:val="center"/>
          </w:tcPr>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Market Capitalization on </w:t>
            </w:r>
          </w:p>
        </w:tc>
      </w:tr>
      <w:tr>
        <w:trPr/>
        <w:tc>
          <w:tcPr>
            <w:tcW w:w="3530" w:type="dxa"/>
            <w:tcBorders/>
            <w:shd w:fill="004BAA" w:val="clear"/>
            <w:vAlign w:val="center"/>
          </w:tcPr>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Company*</w:t>
            </w:r>
          </w:p>
        </w:tc>
        <w:tc>
          <w:tcPr>
            <w:tcW w:w="3545" w:type="dxa"/>
            <w:tcBorders/>
            <w:shd w:fill="004BAA" w:val="clear"/>
            <w:vAlign w:val="center"/>
          </w:tcPr>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Industry</w:t>
            </w:r>
          </w:p>
        </w:tc>
        <w:tc>
          <w:tcPr>
            <w:tcW w:w="2345" w:type="dxa"/>
            <w:tcBorders/>
            <w:shd w:fill="004BAA" w:val="clear"/>
            <w:vAlign w:val="center"/>
          </w:tcPr>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September 30, 2026 ($B)</w:t>
            </w:r>
          </w:p>
        </w:tc>
      </w:tr>
      <w:tr>
        <w:trPr/>
        <w:tc>
          <w:tcPr>
            <w:tcW w:w="353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rFonts w:ascii="Arial;Helvetica;Sans-Serif" w:hAnsi="Arial;Helvetica;Sans-Serif"/>
                <w:color w:val="1A1A1A"/>
                <w:sz w:val="20"/>
              </w:rPr>
            </w:pPr>
            <w:r>
              <w:rPr>
                <w:rFonts w:ascii="Arial;Helvetica;Sans-Serif" w:hAnsi="Arial;Helvetica;Sans-Serif"/>
                <w:color w:val="1A1A1A"/>
                <w:sz w:val="20"/>
              </w:rPr>
              <w:t>Teva Pharmaceutical Industries Limited</w:t>
            </w:r>
          </w:p>
        </w:tc>
        <w:tc>
          <w:tcPr>
            <w:tcW w:w="3545" w:type="dxa"/>
            <w:tcBorders/>
            <w:vAlign w:val="center"/>
          </w:tcPr>
          <w:p>
            <w:pPr>
              <w:pStyle w:val="TableContents"/>
              <w:bidi w:val="0"/>
              <w:spacing w:before="0" w:after="283"/>
              <w:jc w:val="left"/>
              <w:rPr>
                <w:rFonts w:ascii="Arial;Helvetica;Sans-Serif" w:hAnsi="Arial;Helvetica;Sans-Serif"/>
                <w:color w:val="1A1A1A"/>
                <w:sz w:val="20"/>
              </w:rPr>
            </w:pPr>
            <w:r>
              <w:rPr>
                <w:rFonts w:ascii="Arial;Helvetica;Sans-Serif" w:hAnsi="Arial;Helvetica;Sans-Serif"/>
                <w:color w:val="1A1A1A"/>
                <w:sz w:val="20"/>
              </w:rPr>
              <w:t>Pharmaceuticals</w:t>
            </w:r>
          </w:p>
        </w:tc>
        <w:tc>
          <w:tcPr>
            <w:tcW w:w="2345" w:type="dxa"/>
            <w:tcBorders/>
            <w:vAlign w:val="center"/>
          </w:tcPr>
          <w:p>
            <w:pPr>
              <w:pStyle w:val="TableContents"/>
              <w:bidi w:val="0"/>
              <w:spacing w:before="0" w:after="283"/>
              <w:jc w:val="right"/>
              <w:rPr>
                <w:rFonts w:ascii="Arial;Helvetica;Sans-Serif" w:hAnsi="Arial;Helvetica;Sans-Serif"/>
                <w:color w:val="1A1A1A"/>
                <w:sz w:val="20"/>
              </w:rPr>
            </w:pPr>
            <w:r>
              <w:rPr>
                <w:rFonts w:ascii="Arial;Helvetica;Sans-Serif" w:hAnsi="Arial;Helvetica;Sans-Serif"/>
                <w:color w:val="1A1A1A"/>
                <w:sz w:val="20"/>
              </w:rPr>
              <w:t>$46.1</w:t>
            </w:r>
          </w:p>
        </w:tc>
      </w:tr>
      <w:tr>
        <w:trPr/>
        <w:tc>
          <w:tcPr>
            <w:tcW w:w="3530" w:type="dxa"/>
            <w:tcBorders>
              <w:top w:val="single" w:sz="8" w:space="0" w:color="000000"/>
              <w:bottom w:val="single" w:sz="8" w:space="0" w:color="000000"/>
            </w:tcBorders>
            <w:tcMar>
              <w:top w:w="100" w:type="dxa"/>
              <w:bottom w:w="100" w:type="dxa"/>
            </w:tcMar>
            <w:vAlign w:val="center"/>
          </w:tcPr>
          <w:p>
            <w:pPr>
              <w:pStyle w:val="TableContents"/>
              <w:bidi w:val="0"/>
              <w:spacing w:before="0" w:after="283"/>
              <w:jc w:val="left"/>
              <w:rPr>
                <w:rFonts w:ascii="Arial;Helvetica;Sans-Serif" w:hAnsi="Arial;Helvetica;Sans-Serif"/>
                <w:color w:val="1A1A1A"/>
                <w:sz w:val="20"/>
              </w:rPr>
            </w:pPr>
            <w:r>
              <w:rPr>
                <w:rFonts w:ascii="Arial;Helvetica;Sans-Serif" w:hAnsi="Arial;Helvetica;Sans-Serif"/>
                <w:color w:val="1A1A1A"/>
                <w:sz w:val="20"/>
              </w:rPr>
              <w:t>Elbit Systems Ltd.</w:t>
            </w:r>
          </w:p>
        </w:tc>
        <w:tc>
          <w:tcPr>
            <w:tcW w:w="3545" w:type="dxa"/>
            <w:tcBorders>
              <w:top w:val="single" w:sz="8" w:space="0" w:color="000000"/>
              <w:bottom w:val="single" w:sz="8" w:space="0" w:color="000000"/>
            </w:tcBorders>
            <w:tcMar>
              <w:top w:w="100" w:type="dxa"/>
              <w:bottom w:w="100" w:type="dxa"/>
            </w:tcMar>
            <w:vAlign w:val="center"/>
          </w:tcPr>
          <w:p>
            <w:pPr>
              <w:pStyle w:val="TableContents"/>
              <w:bidi w:val="0"/>
              <w:spacing w:before="0" w:after="283"/>
              <w:jc w:val="left"/>
              <w:rPr>
                <w:rFonts w:ascii="Arial;Helvetica;Sans-Serif" w:hAnsi="Arial;Helvetica;Sans-Serif"/>
                <w:color w:val="1A1A1A"/>
                <w:sz w:val="20"/>
              </w:rPr>
            </w:pPr>
            <w:r>
              <w:rPr>
                <w:rFonts w:ascii="Arial;Helvetica;Sans-Serif" w:hAnsi="Arial;Helvetica;Sans-Serif"/>
                <w:color w:val="1A1A1A"/>
                <w:sz w:val="20"/>
              </w:rPr>
              <w:t>Aerospace and Defense</w:t>
            </w:r>
          </w:p>
        </w:tc>
        <w:tc>
          <w:tcPr>
            <w:tcW w:w="2345" w:type="dxa"/>
            <w:tcBorders>
              <w:top w:val="single" w:sz="8" w:space="0" w:color="000000"/>
              <w:bottom w:val="single" w:sz="8" w:space="0" w:color="000000"/>
            </w:tcBorders>
            <w:tcMar>
              <w:top w:w="100" w:type="dxa"/>
              <w:bottom w:w="100" w:type="dxa"/>
            </w:tcMar>
            <w:vAlign w:val="center"/>
          </w:tcPr>
          <w:p>
            <w:pPr>
              <w:pStyle w:val="TableContents"/>
              <w:bidi w:val="0"/>
              <w:spacing w:before="0" w:after="283"/>
              <w:jc w:val="right"/>
              <w:rPr>
                <w:rFonts w:ascii="Arial;Helvetica;Sans-Serif" w:hAnsi="Arial;Helvetica;Sans-Serif"/>
                <w:color w:val="1A1A1A"/>
                <w:sz w:val="20"/>
              </w:rPr>
            </w:pPr>
            <w:r>
              <w:rPr>
                <w:rFonts w:ascii="Arial;Helvetica;Sans-Serif" w:hAnsi="Arial;Helvetica;Sans-Serif"/>
                <w:color w:val="1A1A1A"/>
                <w:sz w:val="20"/>
              </w:rPr>
              <w:t>$31.4</w:t>
            </w:r>
          </w:p>
        </w:tc>
      </w:tr>
      <w:tr>
        <w:trPr/>
        <w:tc>
          <w:tcPr>
            <w:tcW w:w="3530"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color w:val="1A1A1A"/>
                <w:sz w:val="20"/>
              </w:rPr>
            </w:pPr>
            <w:r>
              <w:rPr>
                <w:rFonts w:ascii="Arial;Helvetica;Sans-Serif" w:hAnsi="Arial;Helvetica;Sans-Serif"/>
                <w:color w:val="1A1A1A"/>
                <w:sz w:val="20"/>
              </w:rPr>
              <w:t>Check Point Software Technologies Ltd.</w:t>
            </w:r>
          </w:p>
        </w:tc>
        <w:tc>
          <w:tcPr>
            <w:tcW w:w="3545"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color w:val="1A1A1A"/>
                <w:sz w:val="20"/>
              </w:rPr>
            </w:pPr>
            <w:r>
              <w:rPr>
                <w:rFonts w:ascii="Arial;Helvetica;Sans-Serif" w:hAnsi="Arial;Helvetica;Sans-Serif"/>
                <w:color w:val="1A1A1A"/>
                <w:sz w:val="20"/>
              </w:rPr>
              <w:t>Software</w:t>
            </w:r>
          </w:p>
        </w:tc>
        <w:tc>
          <w:tcPr>
            <w:tcW w:w="2345" w:type="dxa"/>
            <w:tcBorders>
              <w:bottom w:val="single" w:sz="8" w:space="0" w:color="000000"/>
            </w:tcBorders>
            <w:tcMar>
              <w:bottom w:w="100" w:type="dxa"/>
            </w:tcMar>
            <w:vAlign w:val="center"/>
          </w:tcPr>
          <w:p>
            <w:pPr>
              <w:pStyle w:val="TableContents"/>
              <w:bidi w:val="0"/>
              <w:spacing w:before="0" w:after="283"/>
              <w:jc w:val="right"/>
              <w:rPr>
                <w:rFonts w:ascii="Arial;Helvetica;Sans-Serif" w:hAnsi="Arial;Helvetica;Sans-Serif"/>
                <w:color w:val="1A1A1A"/>
                <w:sz w:val="20"/>
              </w:rPr>
            </w:pPr>
            <w:r>
              <w:rPr>
                <w:rFonts w:ascii="Arial;Helvetica;Sans-Serif" w:hAnsi="Arial;Helvetica;Sans-Serif"/>
                <w:color w:val="1A1A1A"/>
                <w:sz w:val="20"/>
              </w:rPr>
              <w:t>$13.1</w:t>
            </w:r>
          </w:p>
        </w:tc>
      </w:tr>
      <w:tr>
        <w:trPr/>
        <w:tc>
          <w:tcPr>
            <w:tcW w:w="3530"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color w:val="1A1A1A"/>
                <w:sz w:val="20"/>
              </w:rPr>
            </w:pPr>
            <w:r>
              <w:rPr>
                <w:rFonts w:ascii="Arial;Helvetica;Sans-Serif" w:hAnsi="Arial;Helvetica;Sans-Serif"/>
                <w:color w:val="1A1A1A"/>
                <w:sz w:val="20"/>
              </w:rPr>
              <w:t>Nova Ltd.</w:t>
            </w:r>
          </w:p>
        </w:tc>
        <w:tc>
          <w:tcPr>
            <w:tcW w:w="3545"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color w:val="1A1A1A"/>
                <w:sz w:val="20"/>
              </w:rPr>
            </w:pPr>
            <w:r>
              <w:rPr>
                <w:rFonts w:ascii="Arial;Helvetica;Sans-Serif" w:hAnsi="Arial;Helvetica;Sans-Serif"/>
                <w:color w:val="1A1A1A"/>
                <w:sz w:val="20"/>
              </w:rPr>
              <w:t>Semiconductor Materials and Equipment</w:t>
            </w:r>
          </w:p>
        </w:tc>
        <w:tc>
          <w:tcPr>
            <w:tcW w:w="2345" w:type="dxa"/>
            <w:tcBorders>
              <w:bottom w:val="single" w:sz="8" w:space="0" w:color="000000"/>
            </w:tcBorders>
            <w:tcMar>
              <w:bottom w:w="100" w:type="dxa"/>
            </w:tcMar>
            <w:vAlign w:val="center"/>
          </w:tcPr>
          <w:p>
            <w:pPr>
              <w:pStyle w:val="TableContents"/>
              <w:bidi w:val="0"/>
              <w:spacing w:before="0" w:after="283"/>
              <w:jc w:val="right"/>
              <w:rPr>
                <w:rFonts w:ascii="Arial;Helvetica;Sans-Serif" w:hAnsi="Arial;Helvetica;Sans-Serif"/>
                <w:color w:val="1A1A1A"/>
                <w:sz w:val="20"/>
              </w:rPr>
            </w:pPr>
            <w:r>
              <w:rPr>
                <w:rFonts w:ascii="Arial;Helvetica;Sans-Serif" w:hAnsi="Arial;Helvetica;Sans-Serif"/>
                <w:color w:val="1A1A1A"/>
                <w:sz w:val="20"/>
              </w:rPr>
              <w:t>$12.2</w:t>
            </w:r>
          </w:p>
        </w:tc>
      </w:tr>
      <w:tr>
        <w:trPr/>
        <w:tc>
          <w:tcPr>
            <w:tcW w:w="3530"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color w:val="1A1A1A"/>
                <w:sz w:val="20"/>
              </w:rPr>
            </w:pPr>
            <w:r>
              <w:rPr>
                <w:rFonts w:ascii="Arial;Helvetica;Sans-Serif" w:hAnsi="Arial;Helvetica;Sans-Serif"/>
                <w:color w:val="1A1A1A"/>
                <w:sz w:val="20"/>
              </w:rPr>
              <w:t>JFrog Ltd.</w:t>
            </w:r>
          </w:p>
        </w:tc>
        <w:tc>
          <w:tcPr>
            <w:tcW w:w="3545"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color w:val="1A1A1A"/>
                <w:sz w:val="20"/>
              </w:rPr>
            </w:pPr>
            <w:r>
              <w:rPr>
                <w:rFonts w:ascii="Arial;Helvetica;Sans-Serif" w:hAnsi="Arial;Helvetica;Sans-Serif"/>
                <w:color w:val="1A1A1A"/>
                <w:sz w:val="20"/>
              </w:rPr>
              <w:t>Software</w:t>
            </w:r>
          </w:p>
        </w:tc>
        <w:tc>
          <w:tcPr>
            <w:tcW w:w="2345" w:type="dxa"/>
            <w:tcBorders>
              <w:bottom w:val="single" w:sz="8" w:space="0" w:color="000000"/>
            </w:tcBorders>
            <w:tcMar>
              <w:bottom w:w="100" w:type="dxa"/>
            </w:tcMar>
            <w:vAlign w:val="center"/>
          </w:tcPr>
          <w:p>
            <w:pPr>
              <w:pStyle w:val="TableContents"/>
              <w:bidi w:val="0"/>
              <w:spacing w:before="0" w:after="283"/>
              <w:jc w:val="right"/>
              <w:rPr>
                <w:rFonts w:ascii="Arial;Helvetica;Sans-Serif" w:hAnsi="Arial;Helvetica;Sans-Serif"/>
                <w:color w:val="1A1A1A"/>
                <w:sz w:val="20"/>
              </w:rPr>
            </w:pPr>
            <w:r>
              <w:rPr>
                <w:rFonts w:ascii="Arial;Helvetica;Sans-Serif" w:hAnsi="Arial;Helvetica;Sans-Serif"/>
                <w:color w:val="1A1A1A"/>
                <w:sz w:val="20"/>
              </w:rPr>
              <w:t>$12.0</w:t>
            </w:r>
          </w:p>
        </w:tc>
      </w:tr>
      <w:tr>
        <w:trPr/>
        <w:tc>
          <w:tcPr>
            <w:tcW w:w="3530"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color w:val="1A1A1A"/>
                <w:sz w:val="20"/>
              </w:rPr>
            </w:pPr>
            <w:r>
              <w:rPr>
                <w:rFonts w:ascii="Arial;Helvetica;Sans-Serif" w:hAnsi="Arial;Helvetica;Sans-Serif"/>
                <w:color w:val="1A1A1A"/>
                <w:sz w:val="20"/>
              </w:rPr>
              <w:t>Camtek Ltd.</w:t>
            </w:r>
          </w:p>
        </w:tc>
        <w:tc>
          <w:tcPr>
            <w:tcW w:w="3545"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color w:val="1A1A1A"/>
                <w:sz w:val="20"/>
              </w:rPr>
            </w:pPr>
            <w:r>
              <w:rPr>
                <w:rFonts w:ascii="Arial;Helvetica;Sans-Serif" w:hAnsi="Arial;Helvetica;Sans-Serif"/>
                <w:color w:val="1A1A1A"/>
                <w:sz w:val="20"/>
              </w:rPr>
              <w:t>Semiconductor Materials and Equipment</w:t>
            </w:r>
          </w:p>
        </w:tc>
        <w:tc>
          <w:tcPr>
            <w:tcW w:w="2345" w:type="dxa"/>
            <w:tcBorders>
              <w:bottom w:val="single" w:sz="8" w:space="0" w:color="000000"/>
            </w:tcBorders>
            <w:tcMar>
              <w:bottom w:w="100" w:type="dxa"/>
            </w:tcMar>
            <w:vAlign w:val="center"/>
          </w:tcPr>
          <w:p>
            <w:pPr>
              <w:pStyle w:val="TableContents"/>
              <w:bidi w:val="0"/>
              <w:spacing w:before="0" w:after="283"/>
              <w:jc w:val="right"/>
              <w:rPr>
                <w:rFonts w:ascii="Arial;Helvetica;Sans-Serif" w:hAnsi="Arial;Helvetica;Sans-Serif"/>
                <w:color w:val="1A1A1A"/>
                <w:sz w:val="20"/>
              </w:rPr>
            </w:pPr>
            <w:r>
              <w:rPr>
                <w:rFonts w:ascii="Arial;Helvetica;Sans-Serif" w:hAnsi="Arial;Helvetica;Sans-Serif"/>
                <w:color w:val="1A1A1A"/>
                <w:sz w:val="20"/>
              </w:rPr>
              <w:t>$7.2</w:t>
            </w:r>
          </w:p>
        </w:tc>
      </w:tr>
      <w:tr>
        <w:trPr/>
        <w:tc>
          <w:tcPr>
            <w:tcW w:w="3530"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color w:val="1A1A1A"/>
                <w:sz w:val="20"/>
              </w:rPr>
            </w:pPr>
            <w:r>
              <w:rPr>
                <w:rFonts w:ascii="Arial;Helvetica;Sans-Serif" w:hAnsi="Arial;Helvetica;Sans-Serif"/>
                <w:color w:val="1A1A1A"/>
                <w:sz w:val="20"/>
              </w:rPr>
              <w:t>Global-E Online Ltd.</w:t>
            </w:r>
          </w:p>
        </w:tc>
        <w:tc>
          <w:tcPr>
            <w:tcW w:w="3545"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color w:val="1A1A1A"/>
                <w:sz w:val="20"/>
              </w:rPr>
            </w:pPr>
            <w:r>
              <w:rPr>
                <w:rFonts w:ascii="Arial;Helvetica;Sans-Serif" w:hAnsi="Arial;Helvetica;Sans-Serif"/>
                <w:color w:val="1A1A1A"/>
                <w:sz w:val="20"/>
              </w:rPr>
              <w:t>Broadline Retail</w:t>
            </w:r>
          </w:p>
        </w:tc>
        <w:tc>
          <w:tcPr>
            <w:tcW w:w="2345" w:type="dxa"/>
            <w:tcBorders>
              <w:bottom w:val="single" w:sz="8" w:space="0" w:color="000000"/>
            </w:tcBorders>
            <w:tcMar>
              <w:bottom w:w="100" w:type="dxa"/>
            </w:tcMar>
            <w:vAlign w:val="center"/>
          </w:tcPr>
          <w:p>
            <w:pPr>
              <w:pStyle w:val="TableContents"/>
              <w:bidi w:val="0"/>
              <w:spacing w:before="0" w:after="283"/>
              <w:jc w:val="right"/>
              <w:rPr>
                <w:rFonts w:ascii="Arial;Helvetica;Sans-Serif" w:hAnsi="Arial;Helvetica;Sans-Serif"/>
                <w:color w:val="1A1A1A"/>
                <w:sz w:val="20"/>
              </w:rPr>
            </w:pPr>
            <w:r>
              <w:rPr>
                <w:rFonts w:ascii="Arial;Helvetica;Sans-Serif" w:hAnsi="Arial;Helvetica;Sans-Serif"/>
                <w:color w:val="1A1A1A"/>
                <w:sz w:val="20"/>
              </w:rPr>
              <w:t>$6.7</w:t>
            </w:r>
          </w:p>
        </w:tc>
      </w:tr>
      <w:tr>
        <w:trPr/>
        <w:tc>
          <w:tcPr>
            <w:tcW w:w="3530"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color w:val="1A1A1A"/>
                <w:sz w:val="20"/>
              </w:rPr>
            </w:pPr>
            <w:r>
              <w:rPr>
                <w:rFonts w:ascii="Arial;Helvetica;Sans-Serif" w:hAnsi="Arial;Helvetica;Sans-Serif"/>
                <w:color w:val="1A1A1A"/>
                <w:sz w:val="20"/>
              </w:rPr>
              <w:t>ICL Group Ltd</w:t>
            </w:r>
          </w:p>
        </w:tc>
        <w:tc>
          <w:tcPr>
            <w:tcW w:w="3545"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color w:val="1A1A1A"/>
                <w:sz w:val="20"/>
              </w:rPr>
            </w:pPr>
            <w:r>
              <w:rPr>
                <w:rFonts w:ascii="Arial;Helvetica;Sans-Serif" w:hAnsi="Arial;Helvetica;Sans-Serif"/>
                <w:color w:val="1A1A1A"/>
                <w:sz w:val="20"/>
              </w:rPr>
              <w:t>Chemicals</w:t>
            </w:r>
          </w:p>
        </w:tc>
        <w:tc>
          <w:tcPr>
            <w:tcW w:w="2345" w:type="dxa"/>
            <w:tcBorders>
              <w:bottom w:val="single" w:sz="8" w:space="0" w:color="000000"/>
            </w:tcBorders>
            <w:tcMar>
              <w:bottom w:w="100" w:type="dxa"/>
            </w:tcMar>
            <w:vAlign w:val="center"/>
          </w:tcPr>
          <w:p>
            <w:pPr>
              <w:pStyle w:val="TableContents"/>
              <w:bidi w:val="0"/>
              <w:spacing w:before="0" w:after="283"/>
              <w:jc w:val="right"/>
              <w:rPr>
                <w:rFonts w:ascii="Arial;Helvetica;Sans-Serif" w:hAnsi="Arial;Helvetica;Sans-Serif"/>
                <w:color w:val="1A1A1A"/>
                <w:sz w:val="20"/>
              </w:rPr>
            </w:pPr>
            <w:r>
              <w:rPr>
                <w:rFonts w:ascii="Arial;Helvetica;Sans-Serif" w:hAnsi="Arial;Helvetica;Sans-Serif"/>
                <w:color w:val="1A1A1A"/>
                <w:sz w:val="20"/>
              </w:rPr>
              <w:t>$6.5</w:t>
            </w:r>
          </w:p>
        </w:tc>
      </w:tr>
      <w:tr>
        <w:trPr/>
        <w:tc>
          <w:tcPr>
            <w:tcW w:w="3530"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color w:val="1A1A1A"/>
                <w:sz w:val="20"/>
              </w:rPr>
            </w:pPr>
            <w:r>
              <w:rPr>
                <w:rFonts w:ascii="Arial;Helvetica;Sans-Serif" w:hAnsi="Arial;Helvetica;Sans-Serif"/>
                <w:color w:val="1A1A1A"/>
                <w:sz w:val="20"/>
              </w:rPr>
              <w:t>NICE Ltd.</w:t>
            </w:r>
          </w:p>
        </w:tc>
        <w:tc>
          <w:tcPr>
            <w:tcW w:w="3545"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color w:val="1A1A1A"/>
                <w:sz w:val="20"/>
              </w:rPr>
            </w:pPr>
            <w:r>
              <w:rPr>
                <w:rFonts w:ascii="Arial;Helvetica;Sans-Serif" w:hAnsi="Arial;Helvetica;Sans-Serif"/>
                <w:color w:val="1A1A1A"/>
                <w:sz w:val="20"/>
              </w:rPr>
              <w:t>Software</w:t>
            </w:r>
          </w:p>
        </w:tc>
        <w:tc>
          <w:tcPr>
            <w:tcW w:w="2345" w:type="dxa"/>
            <w:tcBorders>
              <w:bottom w:val="single" w:sz="8" w:space="0" w:color="000000"/>
            </w:tcBorders>
            <w:tcMar>
              <w:bottom w:w="100" w:type="dxa"/>
            </w:tcMar>
            <w:vAlign w:val="center"/>
          </w:tcPr>
          <w:p>
            <w:pPr>
              <w:pStyle w:val="TableContents"/>
              <w:bidi w:val="0"/>
              <w:spacing w:before="0" w:after="283"/>
              <w:jc w:val="right"/>
              <w:rPr>
                <w:rFonts w:ascii="Arial;Helvetica;Sans-Serif" w:hAnsi="Arial;Helvetica;Sans-Serif"/>
                <w:color w:val="1A1A1A"/>
                <w:sz w:val="20"/>
              </w:rPr>
            </w:pPr>
            <w:r>
              <w:rPr>
                <w:rFonts w:ascii="Arial;Helvetica;Sans-Serif" w:hAnsi="Arial;Helvetica;Sans-Serif"/>
                <w:color w:val="1A1A1A"/>
                <w:sz w:val="20"/>
              </w:rPr>
              <w:t>$6.3</w:t>
            </w:r>
          </w:p>
        </w:tc>
      </w:tr>
      <w:tr>
        <w:trPr/>
        <w:tc>
          <w:tcPr>
            <w:tcW w:w="3530"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color w:val="1A1A1A"/>
                <w:sz w:val="20"/>
              </w:rPr>
            </w:pPr>
            <w:r>
              <w:rPr>
                <w:rFonts w:ascii="Arial;Helvetica;Sans-Serif" w:hAnsi="Arial;Helvetica;Sans-Serif"/>
                <w:color w:val="1A1A1A"/>
                <w:sz w:val="20"/>
              </w:rPr>
              <w:t>monday.com Ltd.</w:t>
            </w:r>
          </w:p>
        </w:tc>
        <w:tc>
          <w:tcPr>
            <w:tcW w:w="3545"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color w:val="1A1A1A"/>
                <w:sz w:val="20"/>
              </w:rPr>
            </w:pPr>
            <w:r>
              <w:rPr>
                <w:rFonts w:ascii="Arial;Helvetica;Sans-Serif" w:hAnsi="Arial;Helvetica;Sans-Serif"/>
                <w:color w:val="1A1A1A"/>
                <w:sz w:val="20"/>
              </w:rPr>
              <w:t>Software</w:t>
            </w:r>
          </w:p>
        </w:tc>
        <w:tc>
          <w:tcPr>
            <w:tcW w:w="2345" w:type="dxa"/>
            <w:tcBorders>
              <w:bottom w:val="single" w:sz="8" w:space="0" w:color="000000"/>
            </w:tcBorders>
            <w:tcMar>
              <w:bottom w:w="100" w:type="dxa"/>
            </w:tcMar>
            <w:vAlign w:val="center"/>
          </w:tcPr>
          <w:p>
            <w:pPr>
              <w:pStyle w:val="TableContents"/>
              <w:bidi w:val="0"/>
              <w:spacing w:before="0" w:after="283"/>
              <w:jc w:val="right"/>
              <w:rPr>
                <w:rFonts w:ascii="Arial;Helvetica;Sans-Serif" w:hAnsi="Arial;Helvetica;Sans-Serif"/>
                <w:color w:val="1A1A1A"/>
                <w:sz w:val="20"/>
              </w:rPr>
            </w:pPr>
            <w:r>
              <w:rPr>
                <w:rFonts w:ascii="Arial;Helvetica;Sans-Serif" w:hAnsi="Arial;Helvetica;Sans-Serif"/>
                <w:color w:val="1A1A1A"/>
                <w:sz w:val="20"/>
              </w:rPr>
              <w:t>$3.3</w:t>
            </w:r>
          </w:p>
        </w:tc>
      </w:tr>
      <w:tr>
        <w:trPr/>
        <w:tc>
          <w:tcPr>
            <w:tcW w:w="3530" w:type="dxa"/>
            <w:tcBorders/>
            <w:vAlign w:val="center"/>
          </w:tcPr>
          <w:p>
            <w:pPr>
              <w:pStyle w:val="TableContents"/>
              <w:bidi w:val="0"/>
              <w:spacing w:before="0" w:after="283"/>
              <w:jc w:val="left"/>
              <w:rPr>
                <w:rFonts w:ascii="Arial;Helvetica;Sans-Serif" w:hAnsi="Arial;Helvetica;Sans-Serif"/>
                <w:color w:val="1A1A1A"/>
                <w:sz w:val="20"/>
              </w:rPr>
            </w:pPr>
            <w:r>
              <w:rPr>
                <w:rFonts w:ascii="Arial;Helvetica;Sans-Serif" w:hAnsi="Arial;Helvetica;Sans-Serif"/>
                <w:color w:val="1A1A1A"/>
                <w:sz w:val="20"/>
              </w:rPr>
              <w:t>Wix.com Ltd.</w:t>
            </w:r>
          </w:p>
        </w:tc>
        <w:tc>
          <w:tcPr>
            <w:tcW w:w="3545" w:type="dxa"/>
            <w:tcBorders/>
            <w:vAlign w:val="center"/>
          </w:tcPr>
          <w:p>
            <w:pPr>
              <w:pStyle w:val="TableContents"/>
              <w:bidi w:val="0"/>
              <w:spacing w:before="0" w:after="283"/>
              <w:jc w:val="left"/>
              <w:rPr>
                <w:rFonts w:ascii="Arial;Helvetica;Sans-Serif" w:hAnsi="Arial;Helvetica;Sans-Serif"/>
                <w:color w:val="1A1A1A"/>
                <w:sz w:val="20"/>
              </w:rPr>
            </w:pPr>
            <w:r>
              <w:rPr>
                <w:rFonts w:ascii="Arial;Helvetica;Sans-Serif" w:hAnsi="Arial;Helvetica;Sans-Serif"/>
                <w:color w:val="1A1A1A"/>
                <w:sz w:val="20"/>
              </w:rPr>
              <w:t>IT Services</w:t>
            </w:r>
          </w:p>
        </w:tc>
        <w:tc>
          <w:tcPr>
            <w:tcW w:w="2345" w:type="dxa"/>
            <w:tcBorders/>
            <w:vAlign w:val="center"/>
          </w:tcPr>
          <w:p>
            <w:pPr>
              <w:pStyle w:val="TableContents"/>
              <w:bidi w:val="0"/>
              <w:spacing w:before="0" w:after="283"/>
              <w:jc w:val="right"/>
              <w:rPr>
                <w:rFonts w:ascii="Arial;Helvetica;Sans-Serif" w:hAnsi="Arial;Helvetica;Sans-Serif"/>
                <w:color w:val="1A1A1A"/>
                <w:sz w:val="20"/>
              </w:rPr>
            </w:pPr>
            <w:r>
              <w:rPr>
                <w:rFonts w:ascii="Arial;Helvetica;Sans-Serif" w:hAnsi="Arial;Helvetica;Sans-Serif"/>
                <w:color w:val="1A1A1A"/>
                <w:sz w:val="20"/>
              </w:rPr>
              <w:t>$3.0</w:t>
            </w:r>
          </w:p>
        </w:tc>
      </w:tr>
      <w:tr>
        <w:trPr/>
        <w:tc>
          <w:tcPr>
            <w:tcW w:w="353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pPr>
            <w:r>
              <w:rPr/>
              <w:t> </w:t>
            </w:r>
          </w:p>
        </w:tc>
      </w:tr>
      <w:tr>
        <w:trPr/>
        <w:tc>
          <w:tcPr>
            <w:tcW w:w="3530" w:type="dxa"/>
            <w:tcBorders/>
            <w:shd w:fill="0071BA"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Median</w:t>
            </w:r>
          </w:p>
        </w:tc>
        <w:tc>
          <w:tcPr>
            <w:tcW w:w="3545" w:type="dxa"/>
            <w:tcBorders/>
            <w:shd w:fill="0071BA" w:val="clear"/>
            <w:vAlign w:val="center"/>
          </w:tcPr>
          <w:p>
            <w:pPr>
              <w:pStyle w:val="TableContents"/>
              <w:bidi w:val="0"/>
              <w:spacing w:before="0" w:after="283"/>
              <w:jc w:val="left"/>
              <w:rPr>
                <w:color w:val="1A1A1A"/>
              </w:rPr>
            </w:pPr>
            <w:r>
              <w:rPr>
                <w:color w:val="1A1A1A"/>
              </w:rPr>
              <w:t> </w:t>
            </w:r>
          </w:p>
        </w:tc>
        <w:tc>
          <w:tcPr>
            <w:tcW w:w="2345" w:type="dxa"/>
            <w:tcBorders/>
            <w:shd w:fill="0071BA" w:val="clear"/>
            <w:vAlign w:val="center"/>
          </w:tcPr>
          <w:p>
            <w:pPr>
              <w:pStyle w:val="TableContents"/>
              <w:bidi w:val="0"/>
              <w:spacing w:before="0" w:after="283"/>
              <w:jc w:val="right"/>
              <w:rPr>
                <w:rFonts w:ascii="Arial;Helvetica;Sans-Serif" w:hAnsi="Arial;Helvetica;Sans-Serif"/>
                <w:b/>
                <w:color w:val="FFFFFF"/>
                <w:sz w:val="20"/>
              </w:rPr>
            </w:pPr>
            <w:r>
              <w:rPr>
                <w:rFonts w:ascii="Arial;Helvetica;Sans-Serif" w:hAnsi="Arial;Helvetica;Sans-Serif"/>
                <w:b/>
                <w:color w:val="FFFFFF"/>
                <w:sz w:val="20"/>
              </w:rPr>
              <w:t>$7.2</w:t>
            </w:r>
          </w:p>
        </w:tc>
      </w:tr>
      <w:tr>
        <w:trPr/>
        <w:tc>
          <w:tcPr>
            <w:tcW w:w="353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pPr>
            <w:r>
              <w:rPr/>
              <w:t> </w:t>
            </w:r>
          </w:p>
        </w:tc>
      </w:tr>
      <w:tr>
        <w:trPr/>
        <w:tc>
          <w:tcPr>
            <w:tcW w:w="3530" w:type="dxa"/>
            <w:tcBorders/>
            <w:shd w:fill="BFBFBF" w:val="clear"/>
            <w:vAlign w:val="center"/>
          </w:tcPr>
          <w:p>
            <w:pPr>
              <w:pStyle w:val="TableContents"/>
              <w:bidi w:val="0"/>
              <w:spacing w:before="0" w:after="283"/>
              <w:jc w:val="left"/>
              <w:rPr>
                <w:rFonts w:ascii="Arial;Helvetica;Sans-Serif" w:hAnsi="Arial;Helvetica;Sans-Serif"/>
                <w:b/>
                <w:color w:val="1A1A1A"/>
                <w:sz w:val="20"/>
              </w:rPr>
            </w:pPr>
            <w:r>
              <w:rPr>
                <w:rFonts w:ascii="Arial;Helvetica;Sans-Serif" w:hAnsi="Arial;Helvetica;Sans-Serif"/>
                <w:b/>
                <w:color w:val="1A1A1A"/>
                <w:sz w:val="20"/>
              </w:rPr>
              <w:t>Tower</w:t>
            </w:r>
          </w:p>
        </w:tc>
        <w:tc>
          <w:tcPr>
            <w:tcW w:w="3545" w:type="dxa"/>
            <w:tcBorders/>
            <w:shd w:fill="BFBFBF" w:val="clear"/>
            <w:vAlign w:val="center"/>
          </w:tcPr>
          <w:p>
            <w:pPr>
              <w:pStyle w:val="TableContents"/>
              <w:bidi w:val="0"/>
              <w:spacing w:before="0" w:after="283"/>
              <w:jc w:val="left"/>
              <w:rPr>
                <w:rFonts w:ascii="Arial;Helvetica;Sans-Serif" w:hAnsi="Arial;Helvetica;Sans-Serif"/>
                <w:b/>
                <w:color w:val="1A1A1A"/>
                <w:sz w:val="20"/>
              </w:rPr>
            </w:pPr>
            <w:r>
              <w:rPr>
                <w:rFonts w:ascii="Arial;Helvetica;Sans-Serif" w:hAnsi="Arial;Helvetica;Sans-Serif"/>
                <w:b/>
                <w:color w:val="1A1A1A"/>
                <w:sz w:val="20"/>
              </w:rPr>
              <w:t>Semiconductors</w:t>
            </w:r>
          </w:p>
        </w:tc>
        <w:tc>
          <w:tcPr>
            <w:tcW w:w="2345" w:type="dxa"/>
            <w:tcBorders/>
            <w:shd w:fill="BFBFBF" w:val="clear"/>
            <w:vAlign w:val="center"/>
          </w:tcPr>
          <w:p>
            <w:pPr>
              <w:pStyle w:val="TableContents"/>
              <w:bidi w:val="0"/>
              <w:spacing w:before="0" w:after="283"/>
              <w:jc w:val="right"/>
              <w:rPr>
                <w:rFonts w:ascii="Arial;Helvetica;Sans-Serif" w:hAnsi="Arial;Helvetica;Sans-Serif"/>
                <w:b/>
                <w:color w:val="1A1A1A"/>
                <w:sz w:val="20"/>
              </w:rPr>
            </w:pPr>
            <w:r>
              <w:rPr>
                <w:rFonts w:ascii="Arial;Helvetica;Sans-Serif" w:hAnsi="Arial;Helvetica;Sans-Serif"/>
                <w:b/>
                <w:color w:val="1A1A1A"/>
                <w:sz w:val="20"/>
              </w:rPr>
              <w:t>$25.7</w:t>
            </w:r>
          </w:p>
        </w:tc>
      </w:tr>
      <w:tr>
        <w:trPr/>
        <w:tc>
          <w:tcPr>
            <w:tcW w:w="3530" w:type="dxa"/>
            <w:tcBorders>
              <w:top w:val="single" w:sz="8" w:space="0" w:color="000000"/>
            </w:tcBorders>
            <w:shd w:fill="BFBFBF" w:val="clear"/>
            <w:tcMar>
              <w:top w:w="100" w:type="dxa"/>
            </w:tcMar>
            <w:vAlign w:val="center"/>
          </w:tcPr>
          <w:p>
            <w:pPr>
              <w:pStyle w:val="TableContents"/>
              <w:bidi w:val="0"/>
              <w:spacing w:before="0" w:after="283"/>
              <w:jc w:val="left"/>
              <w:rPr>
                <w:rFonts w:ascii="Arial;Helvetica;Sans-Serif" w:hAnsi="Arial;Helvetica;Sans-Serif"/>
                <w:b/>
                <w:color w:val="1A1A1A"/>
                <w:sz w:val="20"/>
              </w:rPr>
            </w:pPr>
            <w:r>
              <w:rPr>
                <w:rFonts w:ascii="Arial;Helvetica;Sans-Serif" w:hAnsi="Arial;Helvetica;Sans-Serif"/>
                <w:b/>
                <w:color w:val="1A1A1A"/>
                <w:sz w:val="20"/>
              </w:rPr>
              <w:t>Tower Percentile Rank</w:t>
            </w:r>
          </w:p>
        </w:tc>
        <w:tc>
          <w:tcPr>
            <w:tcW w:w="3545" w:type="dxa"/>
            <w:tcBorders>
              <w:top w:val="single" w:sz="8" w:space="0" w:color="000000"/>
            </w:tcBorders>
            <w:shd w:fill="BFBFBF" w:val="clear"/>
            <w:tcMar>
              <w:top w:w="100" w:type="dxa"/>
            </w:tcMar>
            <w:vAlign w:val="center"/>
          </w:tcPr>
          <w:p>
            <w:pPr>
              <w:pStyle w:val="TableContents"/>
              <w:bidi w:val="0"/>
              <w:spacing w:before="0" w:after="283"/>
              <w:jc w:val="left"/>
              <w:rPr>
                <w:color w:val="1A1A1A"/>
              </w:rPr>
            </w:pPr>
            <w:r>
              <w:rPr>
                <w:color w:val="1A1A1A"/>
              </w:rPr>
              <w:t> </w:t>
            </w:r>
          </w:p>
        </w:tc>
        <w:tc>
          <w:tcPr>
            <w:tcW w:w="2345" w:type="dxa"/>
            <w:tcBorders>
              <w:top w:val="single" w:sz="8" w:space="0" w:color="000000"/>
            </w:tcBorders>
            <w:shd w:fill="BFBFBF" w:val="clear"/>
            <w:tcMar>
              <w:top w:w="100" w:type="dxa"/>
            </w:tcMar>
            <w:vAlign w:val="center"/>
          </w:tcPr>
          <w:p>
            <w:pPr>
              <w:pStyle w:val="TableContents"/>
              <w:bidi w:val="0"/>
              <w:spacing w:before="0" w:after="283"/>
              <w:jc w:val="right"/>
              <w:rPr>
                <w:rFonts w:ascii="Arial;Helvetica;Sans-Serif" w:hAnsi="Arial;Helvetica;Sans-Serif"/>
                <w:b/>
                <w:color w:val="1A1A1A"/>
                <w:sz w:val="20"/>
              </w:rPr>
            </w:pPr>
            <w:r>
              <w:rPr>
                <w:rFonts w:ascii="Arial;Helvetica;Sans-Serif" w:hAnsi="Arial;Helvetica;Sans-Serif"/>
                <w:b/>
                <w:color w:val="1A1A1A"/>
                <w:sz w:val="20"/>
              </w:rPr>
              <w:t>87P</w:t>
            </w:r>
          </w:p>
        </w:tc>
      </w:tr>
      <w:tr>
        <w:trPr/>
        <w:tc>
          <w:tcPr>
            <w:tcW w:w="353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pPr>
            <w:r>
              <w:rPr/>
              <w:t> </w:t>
            </w:r>
          </w:p>
        </w:tc>
      </w:tr>
      <w:tr>
        <w:trPr/>
        <w:tc>
          <w:tcPr>
            <w:tcW w:w="9420" w:type="dxa"/>
            <w:gridSpan w:val="3"/>
            <w:tcBorders/>
            <w:vAlign w:val="center"/>
          </w:tcPr>
          <w:p>
            <w:pPr>
              <w:pStyle w:val="TableContents"/>
              <w:bidi w:val="0"/>
              <w:spacing w:before="0" w:after="283"/>
              <w:jc w:val="left"/>
              <w:rPr>
                <w:rFonts w:ascii="Arial;Helvetica;Sans-Serif" w:hAnsi="Arial;Helvetica;Sans-Serif"/>
                <w:i/>
                <w:color w:val="1A1A1A"/>
                <w:sz w:val="20"/>
              </w:rPr>
            </w:pPr>
            <w:r>
              <w:rPr>
                <w:rFonts w:ascii="Arial;Helvetica;Sans-Serif" w:hAnsi="Arial;Helvetica;Sans-Serif"/>
                <w:i/>
                <w:color w:val="1A1A1A"/>
                <w:sz w:val="20"/>
              </w:rPr>
              <w:t>*Sample excludes Enlight Renewable Energy Ltd because its annual equity cap was not calculable</w:t>
            </w:r>
          </w:p>
        </w:tc>
      </w:tr>
    </w:tbl>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 xml:space="preserve">Because the Israeli reference group companies express their equity limits in different forms, including percentages of market capitalization, fixed dollar values, salary multiples and formulas using more than one measure, FW Cook standardized the disclosed limits into two common measures: (i) the implied dollar value as of September 30, 2026, and (ii) a percentage of market capitalization as of September 30, 2026. This allowed the limits to be compared on a consistent basis, regardless of how each reference group company’s policy expresses them. Based on this analysis, FW Cook found that </w:t>
      </w:r>
      <w:r>
        <w:rPr>
          <w:rFonts w:ascii="Arial;Helvetica;Sans-Serif" w:hAnsi="Arial;Helvetica;Sans-Serif"/>
          <w:b/>
          <w:i w:val="false"/>
          <w:caps w:val="false"/>
          <w:smallCaps w:val="false"/>
          <w:color w:val="1A1A1A"/>
          <w:sz w:val="22"/>
        </w:rPr>
        <w:t>Tower’s proposed equity limits are well below the median of the Israeli reference group.</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jc w:val="center"/>
        <w:rPr>
          <w:caps w:val="false"/>
          <w:smallCaps w:val="false"/>
          <w:color w:val="1A1A1A"/>
        </w:rPr>
      </w:pPr>
      <w:r>
        <w:rPr>
          <w:caps w:val="false"/>
          <w:smallCaps w:val="false"/>
          <w:color w:val="1A1A1A"/>
        </w:rPr>
        <w:drawing>
          <wp:inline distT="0" distB="0" distL="0" distR="0">
            <wp:extent cx="7620000" cy="115252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7620000" cy="1152525"/>
                    </a:xfrm>
                    <a:prstGeom prst="rect">
                      <a:avLst/>
                    </a:prstGeom>
                  </pic:spPr>
                </pic:pic>
              </a:graphicData>
            </a:graphic>
          </wp:inline>
        </w:drawing>
      </w:r>
      <w:r>
        <w:rPr>
          <w:caps w:val="false"/>
          <w:smallCaps w:val="false"/>
          <w:color w:val="1A1A1A"/>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color w:val="1A1A1A"/>
        </w:rPr>
      </w:pPr>
      <w:r>
        <w:rPr>
          <w:caps w:val="false"/>
          <w:smallCaps w:val="false"/>
          <w:color w:val="1A1A1A"/>
        </w:rPr>
        <w:t> </w:t>
      </w:r>
      <w:r>
        <w:rPr>
          <w:caps w:val="false"/>
          <w:smallCaps w:val="false"/>
          <w:color w:val="1A1A1A"/>
        </w:rPr>
        <w:drawing>
          <wp:inline distT="0" distB="0" distL="0" distR="0">
            <wp:extent cx="7620000" cy="10953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7620000" cy="1095375"/>
                    </a:xfrm>
                    <a:prstGeom prst="rect">
                      <a:avLst/>
                    </a:prstGeom>
                  </pic:spPr>
                </pic:pic>
              </a:graphicData>
            </a:graphic>
          </wp:inline>
        </w:drawing>
      </w:r>
      <w:r>
        <w:rPr>
          <w:caps w:val="false"/>
          <w:smallCaps w:val="false"/>
          <w:color w:val="1A1A1A"/>
        </w:rPr>
        <w:t> </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As reflected in the graph below, Tower’s proposed limit of (i) 13 times annual base salary for the Chief Executive Officer, which equals $14.06 million, is equivalent to 0.05% of Tower’s $25.7 billion market capitalization on September 30, 2026, compared with the Israeli reference group median of 0.25%; and (ii) 7 times annual base salary for each Other Executive Officer is equivalent to 0.01% of Tower’s market capitalization, which is also well below the reference group median of 0.13%.</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The Compensation Committee believes that Tower’s use of salary-multiple limits also provides a meaningful structural constraint: unlike a compensation policy limit expressed solely as a percentage of market capitalization, Tower’s permitted equity grant value does not increase automatically in direct proportion to changes in its market capitalization.</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5715000" cy="332422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5715000" cy="3324225"/>
                    </a:xfrm>
                    <a:prstGeom prst="rect">
                      <a:avLst/>
                    </a:prstGeom>
                  </pic:spPr>
                </pic:pic>
              </a:graphicData>
            </a:graphic>
          </wp:inline>
        </w:drawing>
      </w:r>
    </w:p>
    <w:p>
      <w:pPr>
        <w:pStyle w:val="TextBody"/>
        <w:bidi w:val="0"/>
        <w:spacing w:before="0" w:after="0"/>
        <w:ind w:left="0" w:right="0" w:hanging="0"/>
        <w:jc w:val="both"/>
        <w:rPr>
          <w:caps w:val="false"/>
          <w:smallCaps w:val="false"/>
          <w:color w:val="FF0000"/>
        </w:rPr>
      </w:pPr>
      <w:r>
        <w:rPr>
          <w:caps w:val="false"/>
          <w:smallCaps w:val="false"/>
          <w:color w:val="FF0000"/>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In addition, the Compensation Committee reviewed the most recently disclosed actual equity grants to the chief executive officers of the Israeli reference group companies and found that the median award was equivalent to 13 times annual base salary, with the 25th percentile at 5.6 times and the 75th percentile at 22.7 times annual base salary. This further supports the Compensation Committee&amp;rsquo;s view that a limit of 13 times annual base salary is a reasonable equity limit for the Company&amp;rsquo;s Chief Executive Officer under the proposed Amended Compensation Policy.</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jc w:val="center"/>
        <w:rPr>
          <w:caps w:val="false"/>
          <w:smallCaps w:val="false"/>
          <w:color w:val="1A1A1A"/>
        </w:rPr>
      </w:pPr>
      <w:r>
        <w:rPr>
          <w:caps w:val="false"/>
          <w:smallCaps w:val="false"/>
          <w:color w:val="1A1A1A"/>
        </w:rPr>
        <w:t> </w:t>
      </w:r>
      <w:r>
        <w:rPr>
          <w:caps w:val="false"/>
          <w:smallCaps w:val="false"/>
          <w:color w:val="1A1A1A"/>
        </w:rPr>
        <w:drawing>
          <wp:inline distT="0" distB="0" distL="0" distR="0">
            <wp:extent cx="7620000" cy="10572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7620000" cy="1057275"/>
                    </a:xfrm>
                    <a:prstGeom prst="rect">
                      <a:avLst/>
                    </a:prstGeom>
                  </pic:spPr>
                </pic:pic>
              </a:graphicData>
            </a:graphic>
          </wp:inline>
        </w:drawing>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color w:val="1A1A1A"/>
        </w:rPr>
      </w:pPr>
      <w:r>
        <w:rPr>
          <w:caps w:val="false"/>
          <w:smallCaps w:val="false"/>
          <w:color w:val="1A1A1A"/>
        </w:rPr>
        <w:t> </w:t>
      </w:r>
      <w:r>
        <w:rPr>
          <w:caps w:val="false"/>
          <w:smallCaps w:val="false"/>
          <w:color w:val="1A1A1A"/>
        </w:rPr>
        <w:drawing>
          <wp:inline distT="0" distB="0" distL="0" distR="0">
            <wp:extent cx="7620000" cy="10953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7620000" cy="1095375"/>
                    </a:xfrm>
                    <a:prstGeom prst="rect">
                      <a:avLst/>
                    </a:prstGeom>
                  </pic:spPr>
                </pic:pic>
              </a:graphicData>
            </a:graphic>
          </wp:inline>
        </w:drawing>
      </w:r>
      <w:r>
        <w:rPr>
          <w:caps w:val="false"/>
          <w:smallCaps w:val="false"/>
          <w:color w:val="1A1A1A"/>
        </w:rPr>
        <w:t> </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left"/>
        <w:rPr>
          <w:rFonts w:ascii="Arial;Helvetica;Sans-Serif" w:hAnsi="Arial;Helvetica;Sans-Serif"/>
          <w:b/>
          <w:i w:val="false"/>
          <w:caps w:val="false"/>
          <w:smallCaps w:val="false"/>
          <w:color w:val="006297"/>
          <w:sz w:val="26"/>
        </w:rPr>
      </w:pPr>
      <w:bookmarkStart w:id="21" w:name="A117"/>
      <w:bookmarkEnd w:id="21"/>
      <w:r>
        <w:rPr>
          <w:rFonts w:ascii="Arial;Helvetica;Sans-Serif" w:hAnsi="Arial;Helvetica;Sans-Serif"/>
          <w:b/>
          <w:i w:val="false"/>
          <w:caps w:val="false"/>
          <w:smallCaps w:val="false"/>
          <w:color w:val="006297"/>
          <w:sz w:val="26"/>
        </w:rPr>
        <w:t>Governance Safeguards</w:t>
      </w:r>
    </w:p>
    <w:p>
      <w:pPr>
        <w:pStyle w:val="TextBody"/>
        <w:bidi w:val="0"/>
        <w:spacing w:before="0" w:after="0"/>
        <w:ind w:left="0" w:right="0" w:hanging="0"/>
        <w:jc w:val="left"/>
        <w:rPr>
          <w:caps w:val="false"/>
          <w:smallCaps w:val="false"/>
          <w:color w:val="006297"/>
        </w:rPr>
      </w:pPr>
      <w:r>
        <w:rPr>
          <w:caps w:val="false"/>
          <w:smallCaps w:val="false"/>
          <w:color w:val="006297"/>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The Amended Compensation Policy retains each of the governance safeguards contained in the 2023 Compensation Policy. In particular, under the Amended Compensation Policy:</w:t>
      </w:r>
    </w:p>
    <w:p>
      <w:pPr>
        <w:pStyle w:val="TextBody"/>
        <w:bidi w:val="0"/>
        <w:spacing w:before="0" w:after="0"/>
        <w:ind w:left="0" w:right="0" w:hanging="0"/>
        <w:jc w:val="both"/>
        <w:rPr>
          <w:caps w:val="false"/>
          <w:smallCaps w:val="false"/>
          <w:color w:val="1A1A1A"/>
        </w:rPr>
      </w:pPr>
      <w:r>
        <w:rPr>
          <w:caps w:val="false"/>
          <w:smallCaps w:val="false"/>
          <w:color w:val="1A1A1A"/>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olor w:val="00A55D"/>
              </w:rPr>
            </w:pPr>
            <w:r>
              <w:rPr>
                <w:color w:val="00A55D"/>
              </w:rPr>
              <w:t>✓</w:t>
            </w:r>
          </w:p>
        </w:tc>
        <w:tc>
          <w:tcPr>
            <w:tcW w:w="9937" w:type="dxa"/>
            <w:tcBorders/>
            <w:vAlign w:val="center"/>
          </w:tcPr>
          <w:p>
            <w:pPr>
              <w:pStyle w:val="TableContents"/>
              <w:bidi w:val="0"/>
              <w:spacing w:before="0" w:after="283"/>
              <w:jc w:val="both"/>
              <w:rPr>
                <w:rFonts w:ascii="Arial;Helvetica;Sans-Serif" w:hAnsi="Arial;Helvetica;Sans-Serif"/>
                <w:sz w:val="22"/>
              </w:rPr>
            </w:pPr>
            <w:r>
              <w:rPr>
                <w:rFonts w:ascii="Arial;Helvetica;Sans-Serif" w:hAnsi="Arial;Helvetica;Sans-Serif"/>
                <w:b/>
                <w:sz w:val="22"/>
              </w:rPr>
              <w:t>The majority of executive long-term incentive compensation continues to be performance-based restricted share units.</w:t>
            </w:r>
            <w:r>
              <w:rPr>
                <w:rFonts w:ascii="Arial;Helvetica;Sans-Serif" w:hAnsi="Arial;Helvetica;Sans-Serif"/>
                <w:sz w:val="22"/>
              </w:rPr>
              <w:t xml:space="preserve"> More than half of the value of the Chief Executive Officer’s and Other Executive Officer’s annual equity awards is required to be in the form of performance share units, and 100% of all upside equity awards must be performance share units and may be earned only upon the overachievement of pre-defined performance targets. Furthermore, 60% of the Chief Executive Officer’s actual 2026 equity grant is in performance-based equity, and approximately 93% of the Chief Executive Officer’s 2026 target total direct compensation is at-risk, which is defined as the sum of the target bonus and the equity grant value: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color w:val="FF0000"/>
        </w:rPr>
      </w:pPr>
      <w:r>
        <w:rPr>
          <w:caps w:val="false"/>
          <w:smallCaps w:val="false"/>
          <w:color w:val="FF0000"/>
        </w:rPr>
        <w:drawing>
          <wp:inline distT="0" distB="0" distL="0" distR="0">
            <wp:extent cx="6200775" cy="298132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6200775" cy="2981325"/>
                    </a:xfrm>
                    <a:prstGeom prst="rect">
                      <a:avLst/>
                    </a:prstGeom>
                  </pic:spPr>
                </pic:pic>
              </a:graphicData>
            </a:graphic>
          </wp:inline>
        </w:drawing>
      </w:r>
    </w:p>
    <w:p>
      <w:pPr>
        <w:pStyle w:val="TextBody"/>
        <w:bidi w:val="0"/>
        <w:spacing w:before="0" w:after="0"/>
        <w:ind w:left="0" w:right="0" w:hanging="0"/>
        <w:jc w:val="center"/>
        <w:rPr>
          <w:caps w:val="false"/>
          <w:smallCaps w:val="false"/>
          <w:color w:val="FF0000"/>
        </w:rPr>
      </w:pPr>
      <w:r>
        <w:rPr>
          <w:caps w:val="false"/>
          <w:smallCaps w:val="false"/>
          <w:color w:val="FF0000"/>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olor w:val="00A55D"/>
              </w:rPr>
            </w:pPr>
            <w:r>
              <w:rPr>
                <w:color w:val="00A55D"/>
              </w:rPr>
              <w:t>✓</w:t>
            </w:r>
          </w:p>
        </w:tc>
        <w:tc>
          <w:tcPr>
            <w:tcW w:w="9937" w:type="dxa"/>
            <w:tcBorders/>
            <w:vAlign w:val="center"/>
          </w:tcPr>
          <w:p>
            <w:pPr>
              <w:pStyle w:val="TableContents"/>
              <w:bidi w:val="0"/>
              <w:spacing w:before="0" w:after="283"/>
              <w:jc w:val="both"/>
              <w:rPr>
                <w:rFonts w:ascii="Arial;Helvetica;Sans-Serif" w:hAnsi="Arial;Helvetica;Sans-Serif"/>
                <w:sz w:val="22"/>
              </w:rPr>
            </w:pPr>
            <w:r>
              <w:rPr>
                <w:rFonts w:ascii="Arial;Helvetica;Sans-Serif" w:hAnsi="Arial;Helvetica;Sans-Serif"/>
                <w:b/>
                <w:sz w:val="22"/>
              </w:rPr>
              <w:t>The total number of shares underlying outstanding restricted share units, performance share units and other equity-based compensation awards granted by the Company may not, at any time, exceed 10% of the Company’s share capital on a fully diluted basis</w:t>
            </w:r>
            <w:r>
              <w:rPr>
                <w:rFonts w:ascii="Arial;Helvetica;Sans-Serif" w:hAnsi="Arial;Helvetica;Sans-Serif"/>
                <w:sz w:val="22"/>
              </w:rPr>
              <w:t>. The Company’s annual burn rate averaged 0.9% of the Company’s weighted average ordinary shares outstanding, and its outstanding equity awards on December 31, 2025 were 1.9% of the Company’s ordinary shares outstanding on that date.</w:t>
            </w:r>
          </w:p>
        </w:tc>
      </w:tr>
    </w:tbl>
    <w:p>
      <w:pPr>
        <w:pStyle w:val="TextBody"/>
        <w:bidi w:val="0"/>
        <w:spacing w:before="0" w:after="283"/>
        <w:jc w:val="left"/>
        <w:rPr/>
      </w:pPr>
      <w:r>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7620000" cy="107632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7620000" cy="1076325"/>
                    </a:xfrm>
                    <a:prstGeom prst="rect">
                      <a:avLst/>
                    </a:prstGeom>
                  </pic:spPr>
                </pic:pic>
              </a:graphicData>
            </a:graphic>
          </wp:inline>
        </w:drawing>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jc w:val="center"/>
        <w:rPr/>
      </w:pPr>
      <w:r>
        <w:rPr/>
        <w:drawing>
          <wp:inline distT="0" distB="0" distL="0" distR="0">
            <wp:extent cx="7620000" cy="10953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7620000" cy="1095375"/>
                    </a:xfrm>
                    <a:prstGeom prst="rect">
                      <a:avLst/>
                    </a:prstGeom>
                  </pic:spPr>
                </pic:pic>
              </a:graphicData>
            </a:graphic>
          </wp:inline>
        </w:drawing>
      </w:r>
    </w:p>
    <w:p>
      <w:pPr>
        <w:pStyle w:val="TextBody"/>
        <w:bidi w:val="0"/>
        <w:spacing w:before="0" w:after="283"/>
        <w:jc w:val="left"/>
        <w:rPr/>
      </w:pPr>
      <w:r>
        <w:rPr/>
        <w:t> </w:t>
      </w:r>
    </w:p>
    <w:tbl>
      <w:tblPr>
        <w:tblW w:w="8410" w:type="dxa"/>
        <w:jc w:val="left"/>
        <w:tblInd w:w="0" w:type="dxa"/>
        <w:tblLayout w:type="fixed"/>
        <w:tblCellMar>
          <w:top w:w="0" w:type="dxa"/>
          <w:left w:w="0" w:type="dxa"/>
          <w:bottom w:w="100" w:type="dxa"/>
          <w:right w:w="0" w:type="dxa"/>
        </w:tblCellMar>
      </w:tblPr>
      <w:tblGrid>
        <w:gridCol w:w="4055"/>
        <w:gridCol w:w="1085"/>
        <w:gridCol w:w="1085"/>
        <w:gridCol w:w="1085"/>
        <w:gridCol w:w="1100"/>
      </w:tblGrid>
      <w:tr>
        <w:trPr/>
        <w:tc>
          <w:tcPr>
            <w:tcW w:w="8410" w:type="dxa"/>
            <w:gridSpan w:val="5"/>
            <w:tcBorders>
              <w:bottom w:val="single" w:sz="8" w:space="0" w:color="FFFFFF"/>
            </w:tcBorders>
            <w:shd w:fill="004BAA" w:val="clear"/>
            <w:vAlign w:val="center"/>
          </w:tcPr>
          <w:p>
            <w:pPr>
              <w:pStyle w:val="TableContents"/>
              <w:bidi w:val="0"/>
              <w:spacing w:before="0" w:after="283"/>
              <w:jc w:val="center"/>
              <w:rPr>
                <w:rFonts w:ascii="Arial;Helvetica;Sans-Serif" w:hAnsi="Arial;Helvetica;Sans-Serif"/>
                <w:b/>
                <w:i w:val="false"/>
                <w:caps w:val="false"/>
                <w:smallCaps w:val="false"/>
                <w:color w:val="FFFFFF"/>
                <w:sz w:val="22"/>
              </w:rPr>
            </w:pPr>
            <w:r>
              <w:rPr>
                <w:rFonts w:ascii="Arial;Helvetica;Sans-Serif" w:hAnsi="Arial;Helvetica;Sans-Serif"/>
                <w:b/>
                <w:i w:val="false"/>
                <w:caps w:val="false"/>
                <w:smallCaps w:val="false"/>
                <w:color w:val="FFFFFF"/>
                <w:sz w:val="22"/>
              </w:rPr>
              <w:t>Equity Compensation Share Burn Rate</w:t>
            </w:r>
          </w:p>
        </w:tc>
      </w:tr>
      <w:tr>
        <w:trPr/>
        <w:tc>
          <w:tcPr>
            <w:tcW w:w="4055" w:type="dxa"/>
            <w:tcBorders>
              <w:bottom w:val="single" w:sz="8" w:space="0" w:color="083A58"/>
            </w:tcBorders>
            <w:shd w:fill="004BAA"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bottom w:val="single" w:sz="8" w:space="0" w:color="083A58"/>
            </w:tcBorders>
            <w:shd w:fill="004BAA" w:val="clear"/>
            <w:vAlign w:val="center"/>
          </w:tcPr>
          <w:p>
            <w:pPr>
              <w:pStyle w:val="TableContents"/>
              <w:bidi w:val="0"/>
              <w:spacing w:before="0" w:after="283"/>
              <w:jc w:val="left"/>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2022</w:t>
            </w:r>
          </w:p>
        </w:tc>
        <w:tc>
          <w:tcPr>
            <w:tcW w:w="1085" w:type="dxa"/>
            <w:tcBorders>
              <w:bottom w:val="single" w:sz="8" w:space="0" w:color="083A58"/>
            </w:tcBorders>
            <w:shd w:fill="004BAA" w:val="clear"/>
            <w:vAlign w:val="center"/>
          </w:tcPr>
          <w:p>
            <w:pPr>
              <w:pStyle w:val="TableContents"/>
              <w:bidi w:val="0"/>
              <w:spacing w:before="0" w:after="283"/>
              <w:jc w:val="left"/>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2023</w:t>
            </w:r>
          </w:p>
        </w:tc>
        <w:tc>
          <w:tcPr>
            <w:tcW w:w="1085" w:type="dxa"/>
            <w:tcBorders>
              <w:bottom w:val="single" w:sz="8" w:space="0" w:color="083A58"/>
            </w:tcBorders>
            <w:shd w:fill="004BAA" w:val="clear"/>
            <w:vAlign w:val="center"/>
          </w:tcPr>
          <w:p>
            <w:pPr>
              <w:pStyle w:val="TableContents"/>
              <w:bidi w:val="0"/>
              <w:spacing w:before="0" w:after="283"/>
              <w:jc w:val="left"/>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2024</w:t>
            </w:r>
          </w:p>
        </w:tc>
        <w:tc>
          <w:tcPr>
            <w:tcW w:w="1100" w:type="dxa"/>
            <w:tcBorders>
              <w:bottom w:val="single" w:sz="8" w:space="0" w:color="083A58"/>
            </w:tcBorders>
            <w:shd w:fill="004BAA" w:val="clear"/>
            <w:vAlign w:val="center"/>
          </w:tcPr>
          <w:p>
            <w:pPr>
              <w:pStyle w:val="TableContents"/>
              <w:bidi w:val="0"/>
              <w:spacing w:before="0" w:after="283"/>
              <w:jc w:val="left"/>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2025</w:t>
            </w:r>
          </w:p>
        </w:tc>
      </w:tr>
      <w:tr>
        <w:trPr/>
        <w:tc>
          <w:tcPr>
            <w:tcW w:w="4055" w:type="dxa"/>
            <w:tcBorders>
              <w:bottom w:val="single" w:sz="8" w:space="0" w:color="B7B7B7"/>
            </w:tcBorders>
            <w:shd w:fill="D9EAF5" w:val="clear"/>
            <w:vAlign w:val="center"/>
          </w:tcPr>
          <w:p>
            <w:pPr>
              <w:pStyle w:val="TableContents"/>
              <w:bidi w:val="0"/>
              <w:spacing w:before="0" w:after="283"/>
              <w:jc w:val="left"/>
              <w:rPr>
                <w:rFonts w:ascii="Arial;Helvetica;Sans-Serif" w:hAnsi="Arial;Helvetica;Sans-Serif"/>
                <w:b w:val="false"/>
                <w:i w:val="false"/>
                <w:caps w:val="false"/>
                <w:smallCaps w:val="false"/>
                <w:color w:val="1A1A1A"/>
                <w:sz w:val="20"/>
              </w:rPr>
            </w:pPr>
            <w:r>
              <w:rPr>
                <w:rFonts w:ascii="Arial;Helvetica;Sans-Serif" w:hAnsi="Arial;Helvetica;Sans-Serif"/>
                <w:b w:val="false"/>
                <w:i w:val="false"/>
                <w:caps w:val="false"/>
                <w:smallCaps w:val="false"/>
                <w:color w:val="1A1A1A"/>
                <w:sz w:val="20"/>
              </w:rPr>
              <w:t>Equity awards granted</w:t>
            </w:r>
          </w:p>
        </w:tc>
        <w:tc>
          <w:tcPr>
            <w:tcW w:w="1085" w:type="dxa"/>
            <w:tcBorders>
              <w:bottom w:val="single" w:sz="8" w:space="0" w:color="B7B7B7"/>
            </w:tcBorders>
            <w:shd w:fill="D9EAF5" w:val="clear"/>
            <w:vAlign w:val="center"/>
          </w:tcPr>
          <w:p>
            <w:pPr>
              <w:pStyle w:val="TableContents"/>
              <w:bidi w:val="0"/>
              <w:spacing w:before="0" w:after="283"/>
              <w:jc w:val="left"/>
              <w:rPr>
                <w:rFonts w:ascii="Arial;Helvetica;Sans-Serif" w:hAnsi="Arial;Helvetica;Sans-Serif"/>
                <w:b w:val="false"/>
                <w:i w:val="false"/>
                <w:caps w:val="false"/>
                <w:smallCaps w:val="false"/>
                <w:color w:val="008000"/>
                <w:sz w:val="20"/>
              </w:rPr>
            </w:pPr>
            <w:r>
              <w:rPr>
                <w:rFonts w:ascii="Arial;Helvetica;Sans-Serif" w:hAnsi="Arial;Helvetica;Sans-Serif"/>
                <w:b w:val="false"/>
                <w:i w:val="false"/>
                <w:caps w:val="false"/>
                <w:smallCaps w:val="false"/>
                <w:color w:val="008000"/>
                <w:sz w:val="20"/>
              </w:rPr>
              <w:t>612,881</w:t>
            </w:r>
          </w:p>
        </w:tc>
        <w:tc>
          <w:tcPr>
            <w:tcW w:w="1085" w:type="dxa"/>
            <w:tcBorders>
              <w:bottom w:val="single" w:sz="8" w:space="0" w:color="B7B7B7"/>
            </w:tcBorders>
            <w:shd w:fill="D9EAF5" w:val="clear"/>
            <w:vAlign w:val="center"/>
          </w:tcPr>
          <w:p>
            <w:pPr>
              <w:pStyle w:val="TableContents"/>
              <w:bidi w:val="0"/>
              <w:spacing w:before="0" w:after="283"/>
              <w:jc w:val="left"/>
              <w:rPr>
                <w:rFonts w:ascii="Arial;Helvetica;Sans-Serif" w:hAnsi="Arial;Helvetica;Sans-Serif"/>
                <w:b w:val="false"/>
                <w:i w:val="false"/>
                <w:caps w:val="false"/>
                <w:smallCaps w:val="false"/>
                <w:color w:val="008000"/>
                <w:sz w:val="20"/>
              </w:rPr>
            </w:pPr>
            <w:r>
              <w:rPr>
                <w:rFonts w:ascii="Arial;Helvetica;Sans-Serif" w:hAnsi="Arial;Helvetica;Sans-Serif"/>
                <w:b w:val="false"/>
                <w:i w:val="false"/>
                <w:caps w:val="false"/>
                <w:smallCaps w:val="false"/>
                <w:color w:val="008000"/>
                <w:sz w:val="20"/>
              </w:rPr>
              <w:t>797,241</w:t>
            </w:r>
          </w:p>
        </w:tc>
        <w:tc>
          <w:tcPr>
            <w:tcW w:w="1085" w:type="dxa"/>
            <w:tcBorders>
              <w:bottom w:val="single" w:sz="8" w:space="0" w:color="B7B7B7"/>
            </w:tcBorders>
            <w:shd w:fill="D9EAF5" w:val="clear"/>
            <w:vAlign w:val="center"/>
          </w:tcPr>
          <w:p>
            <w:pPr>
              <w:pStyle w:val="TableContents"/>
              <w:bidi w:val="0"/>
              <w:spacing w:before="0" w:after="283"/>
              <w:jc w:val="left"/>
              <w:rPr>
                <w:rFonts w:ascii="Arial;Helvetica;Sans-Serif" w:hAnsi="Arial;Helvetica;Sans-Serif"/>
                <w:b w:val="false"/>
                <w:i w:val="false"/>
                <w:caps w:val="false"/>
                <w:smallCaps w:val="false"/>
                <w:color w:val="008000"/>
                <w:sz w:val="20"/>
              </w:rPr>
            </w:pPr>
            <w:r>
              <w:rPr>
                <w:rFonts w:ascii="Arial;Helvetica;Sans-Serif" w:hAnsi="Arial;Helvetica;Sans-Serif"/>
                <w:b w:val="false"/>
                <w:i w:val="false"/>
                <w:caps w:val="false"/>
                <w:smallCaps w:val="false"/>
                <w:color w:val="008000"/>
                <w:sz w:val="20"/>
              </w:rPr>
              <w:t>1,581,492</w:t>
            </w:r>
          </w:p>
        </w:tc>
        <w:tc>
          <w:tcPr>
            <w:tcW w:w="1100" w:type="dxa"/>
            <w:tcBorders>
              <w:bottom w:val="single" w:sz="8" w:space="0" w:color="B7B7B7"/>
            </w:tcBorders>
            <w:shd w:fill="D9EAF5" w:val="clear"/>
            <w:vAlign w:val="center"/>
          </w:tcPr>
          <w:p>
            <w:pPr>
              <w:pStyle w:val="TableContents"/>
              <w:bidi w:val="0"/>
              <w:spacing w:before="0" w:after="283"/>
              <w:jc w:val="left"/>
              <w:rPr>
                <w:rFonts w:ascii="Arial;Helvetica;Sans-Serif" w:hAnsi="Arial;Helvetica;Sans-Serif"/>
                <w:b w:val="false"/>
                <w:i w:val="false"/>
                <w:caps w:val="false"/>
                <w:smallCaps w:val="false"/>
                <w:color w:val="008000"/>
                <w:sz w:val="20"/>
              </w:rPr>
            </w:pPr>
            <w:r>
              <w:rPr>
                <w:rFonts w:ascii="Arial;Helvetica;Sans-Serif" w:hAnsi="Arial;Helvetica;Sans-Serif"/>
                <w:b w:val="false"/>
                <w:i w:val="false"/>
                <w:caps w:val="false"/>
                <w:smallCaps w:val="false"/>
                <w:color w:val="008000"/>
                <w:sz w:val="20"/>
              </w:rPr>
              <w:t>781,952</w:t>
            </w:r>
          </w:p>
        </w:tc>
      </w:tr>
      <w:tr>
        <w:trPr/>
        <w:tc>
          <w:tcPr>
            <w:tcW w:w="4055" w:type="dxa"/>
            <w:tcBorders>
              <w:bottom w:val="single" w:sz="8" w:space="0" w:color="B7B7B7"/>
            </w:tcBorders>
            <w:shd w:fill="D9EAF5" w:val="clear"/>
            <w:vAlign w:val="center"/>
          </w:tcPr>
          <w:p>
            <w:pPr>
              <w:pStyle w:val="TableContents"/>
              <w:bidi w:val="0"/>
              <w:spacing w:before="0" w:after="283"/>
              <w:jc w:val="left"/>
              <w:rPr>
                <w:rFonts w:ascii="Arial;Helvetica;Sans-Serif" w:hAnsi="Arial;Helvetica;Sans-Serif"/>
                <w:b w:val="false"/>
                <w:i w:val="false"/>
                <w:caps w:val="false"/>
                <w:smallCaps w:val="false"/>
                <w:color w:val="1A1A1A"/>
                <w:sz w:val="20"/>
              </w:rPr>
            </w:pPr>
            <w:r>
              <w:rPr>
                <w:rFonts w:ascii="Arial;Helvetica;Sans-Serif" w:hAnsi="Arial;Helvetica;Sans-Serif"/>
                <w:b w:val="false"/>
                <w:i w:val="false"/>
                <w:caps w:val="false"/>
                <w:smallCaps w:val="false"/>
                <w:color w:val="1A1A1A"/>
                <w:sz w:val="20"/>
              </w:rPr>
              <w:t>Weighted average ordinary shares outstanding</w:t>
            </w:r>
          </w:p>
        </w:tc>
        <w:tc>
          <w:tcPr>
            <w:tcW w:w="1085" w:type="dxa"/>
            <w:tcBorders>
              <w:bottom w:val="single" w:sz="8" w:space="0" w:color="B7B7B7"/>
            </w:tcBorders>
            <w:shd w:fill="D9EAF5" w:val="clear"/>
            <w:vAlign w:val="center"/>
          </w:tcPr>
          <w:p>
            <w:pPr>
              <w:pStyle w:val="TableContents"/>
              <w:bidi w:val="0"/>
              <w:spacing w:before="0" w:after="283"/>
              <w:jc w:val="left"/>
              <w:rPr>
                <w:rFonts w:ascii="Arial;Helvetica;Sans-Serif" w:hAnsi="Arial;Helvetica;Sans-Serif"/>
                <w:b w:val="false"/>
                <w:i w:val="false"/>
                <w:caps w:val="false"/>
                <w:smallCaps w:val="false"/>
                <w:color w:val="008000"/>
                <w:sz w:val="20"/>
              </w:rPr>
            </w:pPr>
            <w:r>
              <w:rPr>
                <w:rFonts w:ascii="Arial;Helvetica;Sans-Serif" w:hAnsi="Arial;Helvetica;Sans-Serif"/>
                <w:b w:val="false"/>
                <w:i w:val="false"/>
                <w:caps w:val="false"/>
                <w:smallCaps w:val="false"/>
                <w:color w:val="008000"/>
                <w:sz w:val="20"/>
              </w:rPr>
              <w:t>109,349,000</w:t>
            </w:r>
          </w:p>
        </w:tc>
        <w:tc>
          <w:tcPr>
            <w:tcW w:w="1085" w:type="dxa"/>
            <w:tcBorders>
              <w:bottom w:val="single" w:sz="8" w:space="0" w:color="B7B7B7"/>
            </w:tcBorders>
            <w:shd w:fill="D9EAF5" w:val="clear"/>
            <w:vAlign w:val="center"/>
          </w:tcPr>
          <w:p>
            <w:pPr>
              <w:pStyle w:val="TableContents"/>
              <w:bidi w:val="0"/>
              <w:spacing w:before="0" w:after="283"/>
              <w:jc w:val="left"/>
              <w:rPr>
                <w:rFonts w:ascii="Arial;Helvetica;Sans-Serif" w:hAnsi="Arial;Helvetica;Sans-Serif"/>
                <w:b w:val="false"/>
                <w:i w:val="false"/>
                <w:caps w:val="false"/>
                <w:smallCaps w:val="false"/>
                <w:color w:val="008000"/>
                <w:sz w:val="20"/>
              </w:rPr>
            </w:pPr>
            <w:r>
              <w:rPr>
                <w:rFonts w:ascii="Arial;Helvetica;Sans-Serif" w:hAnsi="Arial;Helvetica;Sans-Serif"/>
                <w:b w:val="false"/>
                <w:i w:val="false"/>
                <w:caps w:val="false"/>
                <w:smallCaps w:val="false"/>
                <w:color w:val="008000"/>
                <w:sz w:val="20"/>
              </w:rPr>
              <w:t>110,289,000</w:t>
            </w:r>
          </w:p>
        </w:tc>
        <w:tc>
          <w:tcPr>
            <w:tcW w:w="1085" w:type="dxa"/>
            <w:tcBorders>
              <w:bottom w:val="single" w:sz="8" w:space="0" w:color="B7B7B7"/>
            </w:tcBorders>
            <w:shd w:fill="D9EAF5" w:val="clear"/>
            <w:vAlign w:val="center"/>
          </w:tcPr>
          <w:p>
            <w:pPr>
              <w:pStyle w:val="TableContents"/>
              <w:bidi w:val="0"/>
              <w:spacing w:before="0" w:after="283"/>
              <w:jc w:val="left"/>
              <w:rPr>
                <w:rFonts w:ascii="Arial;Helvetica;Sans-Serif" w:hAnsi="Arial;Helvetica;Sans-Serif"/>
                <w:b w:val="false"/>
                <w:i w:val="false"/>
                <w:caps w:val="false"/>
                <w:smallCaps w:val="false"/>
                <w:color w:val="008000"/>
                <w:sz w:val="20"/>
              </w:rPr>
            </w:pPr>
            <w:r>
              <w:rPr>
                <w:rFonts w:ascii="Arial;Helvetica;Sans-Serif" w:hAnsi="Arial;Helvetica;Sans-Serif"/>
                <w:b w:val="false"/>
                <w:i w:val="false"/>
                <w:caps w:val="false"/>
                <w:smallCaps w:val="false"/>
                <w:color w:val="008000"/>
                <w:sz w:val="20"/>
              </w:rPr>
              <w:t>111,153,000</w:t>
            </w:r>
          </w:p>
        </w:tc>
        <w:tc>
          <w:tcPr>
            <w:tcW w:w="1100" w:type="dxa"/>
            <w:tcBorders>
              <w:bottom w:val="single" w:sz="8" w:space="0" w:color="B7B7B7"/>
            </w:tcBorders>
            <w:shd w:fill="D9EAF5" w:val="clear"/>
            <w:vAlign w:val="center"/>
          </w:tcPr>
          <w:p>
            <w:pPr>
              <w:pStyle w:val="TableContents"/>
              <w:bidi w:val="0"/>
              <w:spacing w:before="0" w:after="283"/>
              <w:jc w:val="left"/>
              <w:rPr>
                <w:rFonts w:ascii="Arial;Helvetica;Sans-Serif" w:hAnsi="Arial;Helvetica;Sans-Serif"/>
                <w:b w:val="false"/>
                <w:i w:val="false"/>
                <w:caps w:val="false"/>
                <w:smallCaps w:val="false"/>
                <w:color w:val="008000"/>
                <w:sz w:val="20"/>
              </w:rPr>
            </w:pPr>
            <w:r>
              <w:rPr>
                <w:rFonts w:ascii="Arial;Helvetica;Sans-Serif" w:hAnsi="Arial;Helvetica;Sans-Serif"/>
                <w:b w:val="false"/>
                <w:i w:val="false"/>
                <w:caps w:val="false"/>
                <w:smallCaps w:val="false"/>
                <w:color w:val="008000"/>
                <w:sz w:val="20"/>
              </w:rPr>
              <w:t>111,981,000</w:t>
            </w:r>
          </w:p>
        </w:tc>
      </w:tr>
      <w:tr>
        <w:trPr/>
        <w:tc>
          <w:tcPr>
            <w:tcW w:w="4055" w:type="dxa"/>
            <w:tcBorders/>
            <w:shd w:fill="D9D9D9" w:val="clear"/>
            <w:tcMar>
              <w:bottom w:w="0" w:type="dxa"/>
            </w:tcMar>
            <w:vAlign w:val="center"/>
          </w:tcPr>
          <w:p>
            <w:pPr>
              <w:pStyle w:val="TableContents"/>
              <w:bidi w:val="0"/>
              <w:spacing w:before="0" w:after="283"/>
              <w:jc w:val="left"/>
              <w:rPr>
                <w:rFonts w:ascii="Arial;Helvetica;Sans-Serif" w:hAnsi="Arial;Helvetica;Sans-Serif"/>
                <w:b/>
                <w:i w:val="false"/>
                <w:caps w:val="false"/>
                <w:smallCaps w:val="false"/>
                <w:color w:val="1A1A1A"/>
                <w:sz w:val="20"/>
              </w:rPr>
            </w:pPr>
            <w:r>
              <w:rPr>
                <w:rFonts w:ascii="Arial;Helvetica;Sans-Serif" w:hAnsi="Arial;Helvetica;Sans-Serif"/>
                <w:b/>
                <w:i w:val="false"/>
                <w:caps w:val="false"/>
                <w:smallCaps w:val="false"/>
                <w:color w:val="1A1A1A"/>
                <w:sz w:val="20"/>
              </w:rPr>
              <w:t>Share burn rate</w:t>
            </w:r>
          </w:p>
        </w:tc>
        <w:tc>
          <w:tcPr>
            <w:tcW w:w="1085" w:type="dxa"/>
            <w:tcBorders/>
            <w:shd w:fill="D9D9D9" w:val="clear"/>
            <w:tcMar>
              <w:bottom w:w="0" w:type="dxa"/>
            </w:tcMar>
            <w:vAlign w:val="center"/>
          </w:tcPr>
          <w:p>
            <w:pPr>
              <w:pStyle w:val="TableContents"/>
              <w:bidi w:val="0"/>
              <w:spacing w:before="0" w:after="283"/>
              <w:jc w:val="left"/>
              <w:rPr>
                <w:rFonts w:ascii="Arial;Helvetica;Sans-Serif" w:hAnsi="Arial;Helvetica;Sans-Serif"/>
                <w:b/>
                <w:i w:val="false"/>
                <w:caps w:val="false"/>
                <w:smallCaps w:val="false"/>
                <w:color w:val="1A1A1A"/>
                <w:sz w:val="20"/>
              </w:rPr>
            </w:pPr>
            <w:r>
              <w:rPr>
                <w:rFonts w:ascii="Arial;Helvetica;Sans-Serif" w:hAnsi="Arial;Helvetica;Sans-Serif"/>
                <w:b/>
                <w:i w:val="false"/>
                <w:caps w:val="false"/>
                <w:smallCaps w:val="false"/>
                <w:color w:val="1A1A1A"/>
                <w:sz w:val="20"/>
              </w:rPr>
              <w:t>0.6%</w:t>
            </w:r>
          </w:p>
        </w:tc>
        <w:tc>
          <w:tcPr>
            <w:tcW w:w="1085" w:type="dxa"/>
            <w:tcBorders/>
            <w:shd w:fill="D9D9D9" w:val="clear"/>
            <w:tcMar>
              <w:bottom w:w="0" w:type="dxa"/>
            </w:tcMar>
            <w:vAlign w:val="center"/>
          </w:tcPr>
          <w:p>
            <w:pPr>
              <w:pStyle w:val="TableContents"/>
              <w:bidi w:val="0"/>
              <w:spacing w:before="0" w:after="283"/>
              <w:jc w:val="left"/>
              <w:rPr>
                <w:rFonts w:ascii="Arial;Helvetica;Sans-Serif" w:hAnsi="Arial;Helvetica;Sans-Serif"/>
                <w:b/>
                <w:i w:val="false"/>
                <w:caps w:val="false"/>
                <w:smallCaps w:val="false"/>
                <w:color w:val="1A1A1A"/>
                <w:sz w:val="20"/>
              </w:rPr>
            </w:pPr>
            <w:r>
              <w:rPr>
                <w:rFonts w:ascii="Arial;Helvetica;Sans-Serif" w:hAnsi="Arial;Helvetica;Sans-Serif"/>
                <w:b/>
                <w:i w:val="false"/>
                <w:caps w:val="false"/>
                <w:smallCaps w:val="false"/>
                <w:color w:val="1A1A1A"/>
                <w:sz w:val="20"/>
              </w:rPr>
              <w:t>0.7%</w:t>
            </w:r>
          </w:p>
        </w:tc>
        <w:tc>
          <w:tcPr>
            <w:tcW w:w="1085" w:type="dxa"/>
            <w:tcBorders/>
            <w:shd w:fill="D9D9D9" w:val="clear"/>
            <w:tcMar>
              <w:bottom w:w="0" w:type="dxa"/>
            </w:tcMar>
            <w:vAlign w:val="center"/>
          </w:tcPr>
          <w:p>
            <w:pPr>
              <w:pStyle w:val="TableContents"/>
              <w:bidi w:val="0"/>
              <w:spacing w:before="0" w:after="283"/>
              <w:jc w:val="left"/>
              <w:rPr>
                <w:rFonts w:ascii="Arial;Helvetica;Sans-Serif" w:hAnsi="Arial;Helvetica;Sans-Serif"/>
                <w:b/>
                <w:i w:val="false"/>
                <w:caps w:val="false"/>
                <w:smallCaps w:val="false"/>
                <w:color w:val="1A1A1A"/>
                <w:sz w:val="20"/>
              </w:rPr>
            </w:pPr>
            <w:r>
              <w:rPr>
                <w:rFonts w:ascii="Arial;Helvetica;Sans-Serif" w:hAnsi="Arial;Helvetica;Sans-Serif"/>
                <w:b/>
                <w:i w:val="false"/>
                <w:caps w:val="false"/>
                <w:smallCaps w:val="false"/>
                <w:color w:val="1A1A1A"/>
                <w:sz w:val="20"/>
              </w:rPr>
              <w:t>1.4%</w:t>
            </w:r>
          </w:p>
        </w:tc>
        <w:tc>
          <w:tcPr>
            <w:tcW w:w="1100" w:type="dxa"/>
            <w:tcBorders/>
            <w:shd w:fill="D9D9D9" w:val="clear"/>
            <w:tcMar>
              <w:bottom w:w="0" w:type="dxa"/>
            </w:tcMar>
            <w:vAlign w:val="center"/>
          </w:tcPr>
          <w:p>
            <w:pPr>
              <w:pStyle w:val="TableContents"/>
              <w:bidi w:val="0"/>
              <w:spacing w:before="0" w:after="283"/>
              <w:jc w:val="left"/>
              <w:rPr>
                <w:rFonts w:ascii="Arial;Helvetica;Sans-Serif" w:hAnsi="Arial;Helvetica;Sans-Serif"/>
                <w:b/>
                <w:i w:val="false"/>
                <w:caps w:val="false"/>
                <w:smallCaps w:val="false"/>
                <w:color w:val="1A1A1A"/>
                <w:sz w:val="20"/>
              </w:rPr>
            </w:pPr>
            <w:r>
              <w:rPr>
                <w:rFonts w:ascii="Arial;Helvetica;Sans-Serif" w:hAnsi="Arial;Helvetica;Sans-Serif"/>
                <w:b/>
                <w:i w:val="false"/>
                <w:caps w:val="false"/>
                <w:smallCaps w:val="false"/>
                <w:color w:val="1A1A1A"/>
                <w:sz w:val="20"/>
              </w:rPr>
              <w:t>0.7%</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color w:val="00A55D"/>
              </w:rPr>
            </w:pPr>
            <w:r>
              <w:rPr>
                <w:caps w:val="false"/>
                <w:smallCaps w:val="false"/>
                <w:color w:val="00A55D"/>
              </w:rPr>
              <w:t>✓</w:t>
            </w:r>
          </w:p>
        </w:tc>
        <w:tc>
          <w:tcPr>
            <w:tcW w:w="9937" w:type="dxa"/>
            <w:tcBorders/>
            <w:vAlign w:val="center"/>
          </w:tcPr>
          <w:p>
            <w:pPr>
              <w:pStyle w:val="TableContents"/>
              <w:bidi w:val="0"/>
              <w:spacing w:before="0" w:after="283"/>
              <w:jc w:val="both"/>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Annual bonuses are tied to pre-established performance metrics and to minimum performance thresholds below which no bonus is earned.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color w:val="00A55D"/>
              </w:rPr>
            </w:pPr>
            <w:r>
              <w:rPr>
                <w:caps w:val="false"/>
                <w:smallCaps w:val="false"/>
                <w:color w:val="00A55D"/>
              </w:rPr>
              <w:t>✓</w:t>
            </w:r>
          </w:p>
        </w:tc>
        <w:tc>
          <w:tcPr>
            <w:tcW w:w="9937" w:type="dxa"/>
            <w:tcBorders/>
            <w:vAlign w:val="center"/>
          </w:tcPr>
          <w:p>
            <w:pPr>
              <w:pStyle w:val="TableContents"/>
              <w:bidi w:val="0"/>
              <w:spacing w:before="0" w:after="283"/>
              <w:jc w:val="both"/>
              <w:rPr>
                <w:rFonts w:ascii="Arial;Helvetica;Sans-Serif" w:hAnsi="Arial;Helvetica;Sans-Serif"/>
                <w:b w:val="false"/>
                <w:i w:val="false"/>
                <w:caps w:val="false"/>
                <w:smallCaps w:val="false"/>
                <w:sz w:val="22"/>
              </w:rPr>
            </w:pPr>
            <w:r>
              <w:rPr>
                <w:rFonts w:ascii="Arial;Helvetica;Sans-Serif" w:hAnsi="Arial;Helvetica;Sans-Serif"/>
                <w:b/>
                <w:i w:val="false"/>
                <w:caps w:val="false"/>
                <w:smallCaps w:val="false"/>
                <w:sz w:val="22"/>
              </w:rPr>
              <w:t>Executive and director share ownership guidelines remain in place and compliance is enforced.</w:t>
            </w:r>
            <w:r>
              <w:rPr>
                <w:rFonts w:ascii="Arial;Helvetica;Sans-Serif" w:hAnsi="Arial;Helvetica;Sans-Serif"/>
                <w:b w:val="false"/>
                <w:i w:val="false"/>
                <w:caps w:val="false"/>
                <w:smallCaps w:val="false"/>
                <w:sz w:val="22"/>
              </w:rPr>
              <w:t xml:space="preserve"> The Chief Executive Officer is required to hold Ordinary Shares with a minimum value equal to at least three times his annual base salary, and directors and executive officers are each required to hold Ordinary Shares with a minimum value equal to at least 50% of their respective annual cash fees or annual gross base salary, respectively.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color w:val="00A55D"/>
              </w:rPr>
            </w:pPr>
            <w:r>
              <w:rPr>
                <w:caps w:val="false"/>
                <w:smallCaps w:val="false"/>
                <w:color w:val="00A55D"/>
              </w:rPr>
              <w:t>✓</w:t>
            </w:r>
          </w:p>
        </w:tc>
        <w:tc>
          <w:tcPr>
            <w:tcW w:w="9937" w:type="dxa"/>
            <w:tcBorders/>
            <w:vAlign w:val="center"/>
          </w:tcPr>
          <w:p>
            <w:pPr>
              <w:pStyle w:val="TableContents"/>
              <w:bidi w:val="0"/>
              <w:spacing w:before="0" w:after="283"/>
              <w:jc w:val="both"/>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The Company’s clawback policy, adopted in accordance with the Commission’s regulations and the Nasdaq Listing Rules, remains in effect.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color w:val="00A55D"/>
              </w:rPr>
            </w:pPr>
            <w:r>
              <w:rPr>
                <w:caps w:val="false"/>
                <w:smallCaps w:val="false"/>
                <w:color w:val="00A55D"/>
              </w:rPr>
              <w:t>✓</w:t>
            </w:r>
          </w:p>
        </w:tc>
        <w:tc>
          <w:tcPr>
            <w:tcW w:w="9937" w:type="dxa"/>
            <w:tcBorders/>
            <w:vAlign w:val="center"/>
          </w:tcPr>
          <w:p>
            <w:pPr>
              <w:pStyle w:val="TableContents"/>
              <w:bidi w:val="0"/>
              <w:spacing w:before="0" w:after="283"/>
              <w:jc w:val="both"/>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The grant of compensation, including equity-based awards, to the Chief Executive Officer and the directors, continues to require the approval of the Compensation Committee, the Board of Directors and the shareholders (subject to limited exceptions).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The Compensation Committee and the Board of Directors have consistently been attentive to shareholders’ interests and intend to remain so, and will continue to monitor and, as appropriate, adapt to prevailing market best practices.</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left"/>
        <w:rPr>
          <w:rFonts w:ascii="Arial;Helvetica;Sans-Serif" w:hAnsi="Arial;Helvetica;Sans-Serif"/>
          <w:b/>
          <w:i w:val="false"/>
          <w:caps w:val="false"/>
          <w:smallCaps w:val="false"/>
          <w:color w:val="006297"/>
          <w:sz w:val="26"/>
        </w:rPr>
      </w:pPr>
      <w:bookmarkStart w:id="22" w:name="A118"/>
      <w:bookmarkEnd w:id="22"/>
      <w:r>
        <w:rPr>
          <w:rFonts w:ascii="Arial;Helvetica;Sans-Serif" w:hAnsi="Arial;Helvetica;Sans-Serif"/>
          <w:b/>
          <w:i w:val="false"/>
          <w:caps w:val="false"/>
          <w:smallCaps w:val="false"/>
          <w:color w:val="006297"/>
          <w:sz w:val="26"/>
        </w:rPr>
        <w:t>The Board’s Decision to Return the Matter to Shareholders</w:t>
      </w:r>
    </w:p>
    <w:p>
      <w:pPr>
        <w:pStyle w:val="TextBody"/>
        <w:bidi w:val="0"/>
        <w:spacing w:before="0" w:after="0"/>
        <w:ind w:left="0" w:right="0" w:hanging="0"/>
        <w:jc w:val="left"/>
        <w:rPr>
          <w:caps w:val="false"/>
          <w:smallCaps w:val="false"/>
          <w:color w:val="006297"/>
        </w:rPr>
      </w:pPr>
      <w:r>
        <w:rPr>
          <w:caps w:val="false"/>
          <w:smallCaps w:val="false"/>
          <w:color w:val="006297"/>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Subsequent to the shareholder vote at the July 2026 Meeting, the Compensation Committee and the Board of Directors reviewed and evaluated the shareholder feedback to the July 2026 Proposed Policy, as described above, following which they determined that it would be appropriate and in the best interests of the Company and its shareholders to submit the Amended Compensation Policy to the shareholders for approval.</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If the Amended Compensation Policy is approved at the Meeting, then in accordance with the Israeli Companies Law it must be re-approved by shareholders within three years of such date, and shall be subject to periodic assessments by our Board of Directors in accordance with the Israeli Companies Law.</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jc w:val="center"/>
        <w:rPr>
          <w:caps w:val="false"/>
          <w:smallCaps w:val="false"/>
          <w:color w:val="1A1A1A"/>
        </w:rPr>
      </w:pPr>
      <w:r>
        <w:rPr>
          <w:caps w:val="false"/>
          <w:smallCaps w:val="false"/>
          <w:color w:val="1A1A1A"/>
        </w:rPr>
        <w:drawing>
          <wp:inline distT="0" distB="0" distL="0" distR="0">
            <wp:extent cx="7620000" cy="96202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7620000" cy="962025"/>
                    </a:xfrm>
                    <a:prstGeom prst="rect">
                      <a:avLst/>
                    </a:prstGeom>
                  </pic:spPr>
                </pic:pic>
              </a:graphicData>
            </a:graphic>
          </wp:inline>
        </w:drawing>
      </w:r>
      <w:r>
        <w:rPr>
          <w:caps w:val="false"/>
          <w:smallCaps w:val="false"/>
          <w:color w:val="1A1A1A"/>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7620000" cy="10953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7620000" cy="1095375"/>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left"/>
        <w:rPr>
          <w:rFonts w:ascii="Arial;Helvetica;Sans-Serif" w:hAnsi="Arial;Helvetica;Sans-Serif"/>
          <w:b/>
          <w:i w:val="false"/>
          <w:caps w:val="false"/>
          <w:smallCaps w:val="false"/>
          <w:color w:val="006297"/>
          <w:sz w:val="26"/>
        </w:rPr>
      </w:pPr>
      <w:bookmarkStart w:id="23" w:name="A119"/>
      <w:bookmarkEnd w:id="23"/>
      <w:r>
        <w:rPr>
          <w:rFonts w:ascii="Arial;Helvetica;Sans-Serif" w:hAnsi="Arial;Helvetica;Sans-Serif"/>
          <w:b/>
          <w:i w:val="false"/>
          <w:caps w:val="false"/>
          <w:smallCaps w:val="false"/>
          <w:color w:val="006297"/>
          <w:sz w:val="26"/>
        </w:rPr>
        <w:t>Proposal</w:t>
      </w:r>
    </w:p>
    <w:p>
      <w:pPr>
        <w:pStyle w:val="TextBody"/>
        <w:bidi w:val="0"/>
        <w:spacing w:before="0" w:after="0"/>
        <w:ind w:left="0" w:right="0" w:hanging="0"/>
        <w:jc w:val="left"/>
        <w:rPr>
          <w:caps w:val="false"/>
          <w:smallCaps w:val="false"/>
          <w:color w:val="006297"/>
        </w:rPr>
      </w:pPr>
      <w:r>
        <w:rPr>
          <w:caps w:val="false"/>
          <w:smallCaps w:val="false"/>
          <w:color w:val="006297"/>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It is therefore proposed that at the Meeting, the following resolution be adopted:</w:t>
      </w:r>
    </w:p>
    <w:p>
      <w:pPr>
        <w:pStyle w:val="TextBody"/>
        <w:bidi w:val="0"/>
        <w:spacing w:before="0" w:after="0"/>
        <w:ind w:left="0" w:right="0" w:hanging="0"/>
        <w:jc w:val="both"/>
        <w:rPr>
          <w:caps w:val="false"/>
          <w:smallCaps w:val="false"/>
          <w:color w:val="1A1A1A"/>
        </w:rPr>
      </w:pPr>
      <w:r>
        <w:rPr>
          <w:caps w:val="false"/>
          <w:smallCaps w:val="false"/>
          <w:color w:val="1A1A1A"/>
        </w:rPr>
        <w:t> </w:t>
      </w:r>
    </w:p>
    <w:tbl>
      <w:tblPr>
        <w:tblW w:w="10205" w:type="dxa"/>
        <w:jc w:val="left"/>
        <w:tblInd w:w="-10" w:type="dxa"/>
        <w:tblLayout w:type="fixed"/>
        <w:tblCellMar>
          <w:top w:w="240" w:type="dxa"/>
          <w:left w:w="200" w:type="dxa"/>
          <w:bottom w:w="240" w:type="dxa"/>
          <w:right w:w="200" w:type="dxa"/>
        </w:tblCellMar>
      </w:tblPr>
      <w:tblGrid>
        <w:gridCol w:w="10205"/>
      </w:tblGrid>
      <w:tr>
        <w:trPr/>
        <w:tc>
          <w:tcPr>
            <w:tcW w:w="10205" w:type="dxa"/>
            <w:tcBorders>
              <w:top w:val="single" w:sz="8" w:space="0" w:color="BFBFBF"/>
              <w:left w:val="single" w:sz="8" w:space="0" w:color="BFBFBF"/>
              <w:bottom w:val="single" w:sz="8" w:space="0" w:color="BFBFBF"/>
              <w:right w:val="single" w:sz="8" w:space="0" w:color="BFBFBF"/>
            </w:tcBorders>
            <w:vAlign w:val="center"/>
          </w:tcPr>
          <w:p>
            <w:pPr>
              <w:pStyle w:val="TableContents"/>
              <w:bidi w:val="0"/>
              <w:spacing w:before="0" w:after="283"/>
              <w:jc w:val="both"/>
              <w:rPr>
                <w:caps w:val="false"/>
                <w:smallCaps w:val="false"/>
                <w:color w:val="1A1A1A"/>
              </w:rPr>
            </w:pPr>
            <w:r>
              <w:rPr>
                <w:caps w:val="false"/>
                <w:smallCaps w:val="false"/>
                <w:color w:val="1A1A1A"/>
              </w:rPr>
              <w:t>“</w:t>
            </w:r>
            <w:r>
              <w:rPr>
                <w:rFonts w:ascii="Arial;Helvetica;Sans-Serif" w:hAnsi="Arial;Helvetica;Sans-Serif"/>
                <w:b w:val="false"/>
                <w:i w:val="false"/>
                <w:caps w:val="false"/>
                <w:smallCaps w:val="false"/>
                <w:color w:val="1A1A1A"/>
                <w:sz w:val="22"/>
              </w:rPr>
              <w:t xml:space="preserve">RESOLVED, to approve the Amended Compensation Policy, in the form attached as </w:t>
            </w:r>
            <w:r>
              <w:rPr>
                <w:rFonts w:ascii="Arial;Helvetica;Sans-Serif" w:hAnsi="Arial;Helvetica;Sans-Serif"/>
                <w:b w:val="false"/>
                <w:i w:val="false"/>
                <w:caps w:val="false"/>
                <w:smallCaps w:val="false"/>
                <w:color w:val="1A1A1A"/>
                <w:sz w:val="22"/>
                <w:u w:val="single"/>
              </w:rPr>
              <w:t>Exhibit A</w:t>
            </w:r>
            <w:r>
              <w:rPr>
                <w:rFonts w:ascii="Arial;Helvetica;Sans-Serif" w:hAnsi="Arial;Helvetica;Sans-Serif"/>
                <w:b w:val="false"/>
                <w:i w:val="false"/>
                <w:caps w:val="false"/>
                <w:smallCaps w:val="false"/>
                <w:color w:val="1A1A1A"/>
                <w:sz w:val="22"/>
              </w:rPr>
              <w:t xml:space="preserve"> to the Proxy Statement.”</w:t>
            </w:r>
          </w:p>
        </w:tc>
      </w:tr>
    </w:tbl>
    <w:p>
      <w:pPr>
        <w:pStyle w:val="TextBody"/>
        <w:bidi w:val="0"/>
        <w:spacing w:before="0" w:after="0"/>
        <w:ind w:left="0" w:right="0" w:hanging="0"/>
        <w:jc w:val="left"/>
        <w:rPr>
          <w:caps w:val="false"/>
          <w:smallCaps w:val="false"/>
          <w:color w:val="006297"/>
        </w:rPr>
      </w:pPr>
      <w:r>
        <w:rPr>
          <w:caps w:val="false"/>
          <w:smallCaps w:val="false"/>
          <w:color w:val="006297"/>
        </w:rPr>
        <w:t> </w:t>
      </w:r>
    </w:p>
    <w:p>
      <w:pPr>
        <w:pStyle w:val="TextBody"/>
        <w:bidi w:val="0"/>
        <w:spacing w:before="0" w:after="0"/>
        <w:ind w:left="0" w:right="0" w:hanging="0"/>
        <w:jc w:val="left"/>
        <w:rPr>
          <w:rFonts w:ascii="Arial;Helvetica;Sans-Serif" w:hAnsi="Arial;Helvetica;Sans-Serif"/>
          <w:b/>
          <w:i w:val="false"/>
          <w:caps w:val="false"/>
          <w:smallCaps w:val="false"/>
          <w:color w:val="006297"/>
          <w:sz w:val="26"/>
        </w:rPr>
      </w:pPr>
      <w:r>
        <w:rPr>
          <w:rFonts w:ascii="Arial;Helvetica;Sans-Serif" w:hAnsi="Arial;Helvetica;Sans-Serif"/>
          <w:b/>
          <w:i w:val="false"/>
          <w:caps w:val="false"/>
          <w:smallCaps w:val="false"/>
          <w:color w:val="006297"/>
          <w:sz w:val="26"/>
        </w:rPr>
        <w:t>Approval Required</w:t>
      </w:r>
    </w:p>
    <w:p>
      <w:pPr>
        <w:pStyle w:val="TextBody"/>
        <w:bidi w:val="0"/>
        <w:spacing w:before="0" w:after="0"/>
        <w:ind w:left="0" w:right="0" w:hanging="0"/>
        <w:jc w:val="left"/>
        <w:rPr>
          <w:caps w:val="false"/>
          <w:smallCaps w:val="false"/>
          <w:color w:val="006297"/>
        </w:rPr>
      </w:pPr>
      <w:r>
        <w:rPr>
          <w:caps w:val="false"/>
          <w:smallCaps w:val="false"/>
          <w:color w:val="006297"/>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The approval of this proposal requires the affirmative vote of holders of a majority of the Ordinary Shares represented at the Meeting and voting on the matter, in person or by proxy, voting instruction form or via the Electronic System. In addition, under the Israeli Companies Law, the approval of this proposal is also subject to the fulfillment of the Special Majority. For additional details, see “Vote Required for Approval of the Proposal” above.</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left"/>
        <w:rPr>
          <w:rFonts w:ascii="Arial;Helvetica;Sans-Serif" w:hAnsi="Arial;Helvetica;Sans-Serif"/>
          <w:b/>
          <w:i w:val="false"/>
          <w:caps w:val="false"/>
          <w:smallCaps w:val="false"/>
          <w:color w:val="006297"/>
          <w:sz w:val="26"/>
        </w:rPr>
      </w:pPr>
      <w:r>
        <w:rPr>
          <w:rFonts w:ascii="Arial;Helvetica;Sans-Serif" w:hAnsi="Arial;Helvetica;Sans-Serif"/>
          <w:b/>
          <w:i w:val="false"/>
          <w:caps w:val="false"/>
          <w:smallCaps w:val="false"/>
          <w:color w:val="006297"/>
          <w:sz w:val="26"/>
        </w:rPr>
        <w:t>Board Recommendation</w:t>
      </w:r>
    </w:p>
    <w:p>
      <w:pPr>
        <w:pStyle w:val="TextBody"/>
        <w:bidi w:val="0"/>
        <w:spacing w:before="0" w:after="0"/>
        <w:ind w:left="0" w:right="0" w:hanging="0"/>
        <w:jc w:val="left"/>
        <w:rPr>
          <w:caps w:val="false"/>
          <w:smallCaps w:val="false"/>
          <w:color w:val="006297"/>
        </w:rPr>
      </w:pPr>
      <w:r>
        <w:rPr>
          <w:caps w:val="false"/>
          <w:smallCaps w:val="false"/>
          <w:color w:val="006297"/>
        </w:rPr>
        <w:t> </w:t>
      </w:r>
    </w:p>
    <w:tbl>
      <w:tblPr>
        <w:tblW w:w="10205" w:type="dxa"/>
        <w:jc w:val="left"/>
        <w:tblInd w:w="-10" w:type="dxa"/>
        <w:tblLayout w:type="fixed"/>
        <w:tblCellMar>
          <w:top w:w="100" w:type="dxa"/>
          <w:left w:w="100" w:type="dxa"/>
          <w:bottom w:w="200" w:type="dxa"/>
          <w:right w:w="28" w:type="dxa"/>
        </w:tblCellMar>
      </w:tblPr>
      <w:tblGrid>
        <w:gridCol w:w="10205"/>
      </w:tblGrid>
      <w:tr>
        <w:trPr/>
        <w:tc>
          <w:tcPr>
            <w:tcW w:w="10205" w:type="dxa"/>
            <w:tcBorders>
              <w:top w:val="single" w:sz="8" w:space="0" w:color="00A55D"/>
              <w:left w:val="single" w:sz="8" w:space="0" w:color="00A55D"/>
              <w:bottom w:val="single" w:sz="8" w:space="0" w:color="00A55D"/>
              <w:right w:val="single" w:sz="8" w:space="0" w:color="00A55D"/>
            </w:tcBorders>
            <w:vAlign w:val="center"/>
          </w:tcPr>
          <w:p>
            <w:pPr>
              <w:pStyle w:val="TableContents"/>
              <w:bidi w:val="0"/>
              <w:spacing w:before="0" w:after="283"/>
              <w:jc w:val="left"/>
              <w:rPr>
                <w:rFonts w:ascii="Arial;Helvetica;Sans-Serif" w:hAnsi="Arial;Helvetica;Sans-Serif"/>
                <w:b/>
                <w:i w:val="false"/>
                <w:caps w:val="false"/>
                <w:smallCaps w:val="false"/>
                <w:color w:val="1A1A1A"/>
                <w:sz w:val="22"/>
              </w:rPr>
            </w:pPr>
            <w:r>
              <w:rPr>
                <w:rFonts w:ascii="Arial;Helvetica;Sans-Serif" w:hAnsi="Arial;Helvetica;Sans-Serif"/>
                <w:b/>
                <w:i w:val="false"/>
                <w:caps w:val="false"/>
                <w:smallCaps w:val="false"/>
                <w:color w:val="1A1A1A"/>
                <w:sz w:val="22"/>
              </w:rPr>
              <w:t>The Board of Directors recommends that shareholders vote “FOR” the approval of the foregoing resolution.</w:t>
            </w:r>
          </w:p>
        </w:tc>
      </w:tr>
    </w:tbl>
    <w:p>
      <w:pPr>
        <w:pStyle w:val="TextBody"/>
        <w:bidi w:val="0"/>
        <w:spacing w:before="0" w:after="0"/>
        <w:ind w:left="0" w:right="0" w:hanging="0"/>
        <w:jc w:val="left"/>
        <w:rPr>
          <w:caps w:val="false"/>
          <w:smallCaps w:val="false"/>
          <w:color w:val="004BAA"/>
        </w:rPr>
      </w:pPr>
      <w:r>
        <w:rPr>
          <w:caps w:val="false"/>
          <w:smallCaps w:val="false"/>
          <w:color w:val="004BAA"/>
        </w:rPr>
        <w:t> </w:t>
      </w:r>
    </w:p>
    <w:p>
      <w:pPr>
        <w:pStyle w:val="TextBody"/>
        <w:bidi w:val="0"/>
        <w:spacing w:before="0" w:after="0"/>
        <w:jc w:val="center"/>
        <w:rPr>
          <w:caps w:val="false"/>
          <w:smallCaps w:val="false"/>
          <w:color w:val="004BAA"/>
        </w:rPr>
      </w:pPr>
      <w:r>
        <w:rPr>
          <w:caps w:val="false"/>
          <w:smallCaps w:val="false"/>
          <w:color w:val="004BAA"/>
        </w:rPr>
        <w:drawing>
          <wp:inline distT="0" distB="0" distL="0" distR="0">
            <wp:extent cx="7620000" cy="11715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7620000" cy="1171575"/>
                    </a:xfrm>
                    <a:prstGeom prst="rect">
                      <a:avLst/>
                    </a:prstGeom>
                  </pic:spPr>
                </pic:pic>
              </a:graphicData>
            </a:graphic>
          </wp:inline>
        </w:drawing>
      </w:r>
      <w:r>
        <w:rPr>
          <w:caps w:val="false"/>
          <w:smallCaps w:val="false"/>
          <w:color w:val="004BAA"/>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7620000" cy="10953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7620000" cy="1095375"/>
                    </a:xfrm>
                    <a:prstGeom prst="rect">
                      <a:avLst/>
                    </a:prstGeom>
                  </pic:spPr>
                </pic:pic>
              </a:graphicData>
            </a:graphic>
          </wp:inline>
        </w:drawing>
      </w:r>
    </w:p>
    <w:p>
      <w:pPr>
        <w:pStyle w:val="TextBody"/>
        <w:bidi w:val="0"/>
        <w:spacing w:before="0" w:after="283"/>
        <w:jc w:val="left"/>
        <w:rPr/>
      </w:pPr>
      <w:r>
        <w:rPr/>
        <w:t> </w:t>
      </w:r>
    </w:p>
    <w:p>
      <w:pPr>
        <w:pStyle w:val="TextBody"/>
        <w:pBdr>
          <w:bottom w:val="single" w:sz="18" w:space="1" w:color="004BAA"/>
        </w:pBdr>
        <w:bidi w:val="0"/>
        <w:spacing w:before="0" w:after="0"/>
        <w:ind w:left="0" w:right="0" w:hanging="0"/>
        <w:jc w:val="left"/>
        <w:rPr>
          <w:rFonts w:ascii="Arial;Helvetica;Sans-Serif" w:hAnsi="Arial;Helvetica;Sans-Serif"/>
          <w:b/>
          <w:i w:val="false"/>
          <w:caps w:val="false"/>
          <w:smallCaps w:val="false"/>
          <w:color w:val="004BAA"/>
          <w:sz w:val="36"/>
        </w:rPr>
      </w:pPr>
      <w:bookmarkStart w:id="24" w:name="A120"/>
      <w:bookmarkEnd w:id="24"/>
      <w:r>
        <w:rPr>
          <w:rFonts w:ascii="Arial;Helvetica;Sans-Serif" w:hAnsi="Arial;Helvetica;Sans-Serif"/>
          <w:b/>
          <w:i w:val="false"/>
          <w:caps w:val="false"/>
          <w:smallCaps w:val="false"/>
          <w:color w:val="004BAA"/>
          <w:sz w:val="36"/>
        </w:rPr>
        <w:t>Additional Information</w:t>
      </w:r>
    </w:p>
    <w:p>
      <w:pPr>
        <w:pStyle w:val="TextBody"/>
        <w:bidi w:val="0"/>
        <w:spacing w:before="0" w:after="0"/>
        <w:ind w:left="0" w:right="0" w:hanging="0"/>
        <w:jc w:val="left"/>
        <w:rPr>
          <w:caps w:val="false"/>
          <w:smallCaps w:val="false"/>
          <w:color w:val="004BAA"/>
        </w:rPr>
      </w:pPr>
      <w:r>
        <w:rPr>
          <w:caps w:val="false"/>
          <w:smallCaps w:val="false"/>
          <w:color w:val="004BAA"/>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We are subject to the informational requirements of the U.S. Securities Exchange Act of 1934, as amended (the “Exchange Act”), as applicable to foreign private issuers. Accordingly, we file reports and other information with the Commission. As a foreign private issuer, all documents furnished or filed with the Commission after November 4, 2002, are available for retrieval on the Commission’s website at www.sec.gov. We submit copies of our filings with the Commission to the ISA and the TASE, and such filings are also available to the public on their respective websites at www.magna.isa.gov.il and www.maya.tase.co.il. Website references throughout this document are provided for convenience only, and the content on the referenced websites is not incorporated by reference into this proxy statement.</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As a foreign private issuer, we are exempt from the rules under the Exchange Act prescribing certain disclosure and procedural requirements with respect to proxy solicitations. The circulation of this Proxy Statement and accompanying notice should not be taken as an admission that we are subject to those proxy rules. Furthermore, our officers, directors and principal shareholders are exempt from the “short-swing” profit recovery provisions contained in Section 16(b) of the Exchange Act and the rules thereunder, with respect to their purchases and sales of securities. In addition, we are not required under the Exchange Act to file periodic reports and financial statements with the Commission as frequently or as promptly as United States companies whose securities are registered under the Exchange Act.</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pBdr>
          <w:bottom w:val="single" w:sz="18" w:space="1" w:color="004BAA"/>
        </w:pBdr>
        <w:bidi w:val="0"/>
        <w:spacing w:before="0" w:after="0"/>
        <w:ind w:left="0" w:right="0" w:hanging="0"/>
        <w:jc w:val="left"/>
        <w:rPr>
          <w:rFonts w:ascii="Arial;Helvetica;Sans-Serif" w:hAnsi="Arial;Helvetica;Sans-Serif"/>
          <w:b/>
          <w:i w:val="false"/>
          <w:caps w:val="false"/>
          <w:smallCaps w:val="false"/>
          <w:color w:val="004BAA"/>
          <w:sz w:val="36"/>
        </w:rPr>
      </w:pPr>
      <w:bookmarkStart w:id="25" w:name="A121"/>
      <w:bookmarkEnd w:id="25"/>
      <w:r>
        <w:rPr>
          <w:rFonts w:ascii="Arial;Helvetica;Sans-Serif" w:hAnsi="Arial;Helvetica;Sans-Serif"/>
          <w:b/>
          <w:i w:val="false"/>
          <w:caps w:val="false"/>
          <w:smallCaps w:val="false"/>
          <w:color w:val="004BAA"/>
          <w:sz w:val="36"/>
        </w:rPr>
        <w:t>Forward-Looking Statements</w:t>
      </w:r>
    </w:p>
    <w:p>
      <w:pPr>
        <w:pStyle w:val="TextBody"/>
        <w:bidi w:val="0"/>
        <w:spacing w:before="0" w:after="0"/>
        <w:ind w:left="0" w:right="0" w:hanging="0"/>
        <w:jc w:val="left"/>
        <w:rPr>
          <w:caps w:val="false"/>
          <w:smallCaps w:val="false"/>
          <w:color w:val="004BAA"/>
        </w:rPr>
      </w:pPr>
      <w:r>
        <w:rPr>
          <w:caps w:val="false"/>
          <w:smallCaps w:val="false"/>
          <w:color w:val="004BAA"/>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This Proxy Statement includes certain “forward-looking” statements within the meaning of Section 21E of the Exchange Act. The use of words such as “projects,” “expects,” “may,” “target,” “plans,” “intends,” “committed to,” or words of similar import, identifies a statement as “forward-looking.” There can be no assurance, however, that actual results will not differ materially from our expectations or projections. Factors that could cause actual results to differ from our expectations or projections include the risks and uncertainties relating to our business described in “Item 3. Key Information—D. Risk Factors” of our Annual Report on Form 20-F for the year ended December 31, 2025, filed with the Commission on April 30, 2026.</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We remind readers that forward-looking statements are merely predictions and therefore are inherently subject to uncertainties and other factors and involve known and unknown risks that could cause the actual results, including revenues from agreements we signed, expansion of our operations, performance, activities, and our achievements, to be materially different from any forecasted results, plans to expand our operations, plans to develop and release new products, forecasted performance, planned activities, or targeted achievements expressed or implied by such forward-looking statements. Readers should not place undue reliance on these forward-looking statements, which speak only as of the date of this Proxy Statement. Unless legally required, we undertake no obligation to update publicly any forward-looking statements, whether as a result of new information, future events or otherwise.</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jc w:val="center"/>
        <w:rPr>
          <w:caps w:val="false"/>
          <w:smallCaps w:val="false"/>
          <w:color w:val="1A1A1A"/>
        </w:rPr>
      </w:pPr>
      <w:r>
        <w:rPr>
          <w:caps w:val="false"/>
          <w:smallCaps w:val="false"/>
          <w:color w:val="1A1A1A"/>
        </w:rPr>
        <w:drawing>
          <wp:inline distT="0" distB="0" distL="0" distR="0">
            <wp:extent cx="7620000" cy="103822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7620000" cy="1038225"/>
                    </a:xfrm>
                    <a:prstGeom prst="rect">
                      <a:avLst/>
                    </a:prstGeom>
                  </pic:spPr>
                </pic:pic>
              </a:graphicData>
            </a:graphic>
          </wp:inline>
        </w:drawing>
      </w:r>
      <w:r>
        <w:rPr>
          <w:caps w:val="false"/>
          <w:smallCaps w:val="false"/>
          <w:color w:val="1A1A1A"/>
        </w:rPr>
        <w:t xml:space="preserve">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7620000" cy="10953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7620000" cy="1095375"/>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pBdr>
          <w:bottom w:val="single" w:sz="18" w:space="1" w:color="004BAA"/>
        </w:pBdr>
        <w:bidi w:val="0"/>
        <w:spacing w:before="0" w:after="0"/>
        <w:ind w:left="0" w:right="0" w:hanging="0"/>
        <w:jc w:val="left"/>
        <w:rPr>
          <w:rFonts w:ascii="Arial;Helvetica;Sans-Serif" w:hAnsi="Arial;Helvetica;Sans-Serif"/>
          <w:b/>
          <w:i w:val="false"/>
          <w:caps w:val="false"/>
          <w:smallCaps w:val="false"/>
          <w:color w:val="004BAA"/>
          <w:sz w:val="36"/>
        </w:rPr>
      </w:pPr>
      <w:bookmarkStart w:id="26" w:name="A122"/>
      <w:bookmarkEnd w:id="26"/>
      <w:r>
        <w:rPr>
          <w:rFonts w:ascii="Arial;Helvetica;Sans-Serif" w:hAnsi="Arial;Helvetica;Sans-Serif"/>
          <w:b/>
          <w:i w:val="false"/>
          <w:caps w:val="false"/>
          <w:smallCaps w:val="false"/>
          <w:color w:val="004BAA"/>
          <w:sz w:val="36"/>
        </w:rPr>
        <w:t>Other Business</w:t>
      </w:r>
    </w:p>
    <w:p>
      <w:pPr>
        <w:pStyle w:val="TextBody"/>
        <w:bidi w:val="0"/>
        <w:spacing w:before="0" w:after="0"/>
        <w:ind w:left="0" w:right="0" w:hanging="0"/>
        <w:jc w:val="left"/>
        <w:rPr>
          <w:caps w:val="false"/>
          <w:smallCaps w:val="false"/>
          <w:color w:val="004BAA"/>
        </w:rPr>
      </w:pPr>
      <w:r>
        <w:rPr>
          <w:caps w:val="false"/>
          <w:smallCaps w:val="false"/>
          <w:color w:val="004BAA"/>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Other than as set forth above, management knows of no business to be transacted at the Meeting. If any other matters are properly presented at the Meeting, Ordinary Shares represented by executed and unrevoked proxies will be voted by the persons named in the enclosed form of proxy upon such matters in accordance with their best judgment.</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By Order of the Board of Directors,</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both"/>
        <w:rPr>
          <w:rFonts w:ascii="Arial;Helvetica;Sans-Serif" w:hAnsi="Arial;Helvetica;Sans-Serif"/>
          <w:b/>
          <w:i w:val="false"/>
          <w:caps w:val="false"/>
          <w:smallCaps w:val="false"/>
          <w:color w:val="1A1A1A"/>
          <w:sz w:val="22"/>
        </w:rPr>
      </w:pPr>
      <w:r>
        <w:rPr>
          <w:rFonts w:ascii="Arial;Helvetica;Sans-Serif" w:hAnsi="Arial;Helvetica;Sans-Serif"/>
          <w:b/>
          <w:i w:val="false"/>
          <w:caps w:val="false"/>
          <w:smallCaps w:val="false"/>
          <w:color w:val="1A1A1A"/>
          <w:sz w:val="22"/>
        </w:rPr>
        <w:t>Amir Elstein</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Chairman of the Board</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Migdal Haemek, Israel</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ind w:left="0" w:right="0" w:hanging="0"/>
        <w:jc w:val="both"/>
        <w:rPr>
          <w:rFonts w:ascii="Arial;Helvetica;Sans-Serif" w:hAnsi="Arial;Helvetica;Sans-Serif"/>
          <w:b w:val="false"/>
          <w:i w:val="false"/>
          <w:caps w:val="false"/>
          <w:smallCaps w:val="false"/>
          <w:color w:val="1A1A1A"/>
          <w:sz w:val="22"/>
        </w:rPr>
      </w:pPr>
      <w:r>
        <w:rPr>
          <w:rFonts w:ascii="Arial;Helvetica;Sans-Serif" w:hAnsi="Arial;Helvetica;Sans-Serif"/>
          <w:b w:val="false"/>
          <w:i w:val="false"/>
          <w:caps w:val="false"/>
          <w:smallCaps w:val="false"/>
          <w:color w:val="1A1A1A"/>
          <w:sz w:val="22"/>
        </w:rPr>
        <w:t>October 13, 2026</w:t>
      </w:r>
    </w:p>
    <w:p>
      <w:pPr>
        <w:pStyle w:val="TextBody"/>
        <w:bidi w:val="0"/>
        <w:spacing w:before="0" w:after="0"/>
        <w:ind w:left="0" w:right="0" w:hanging="0"/>
        <w:jc w:val="both"/>
        <w:rPr>
          <w:caps w:val="false"/>
          <w:smallCaps w:val="false"/>
          <w:color w:val="1A1A1A"/>
        </w:rPr>
      </w:pPr>
      <w:r>
        <w:rPr>
          <w:caps w:val="false"/>
          <w:smallCaps w:val="false"/>
          <w:color w:val="1A1A1A"/>
        </w:rPr>
        <w:t> </w:t>
      </w:r>
    </w:p>
    <w:p>
      <w:pPr>
        <w:pStyle w:val="TextBody"/>
        <w:bidi w:val="0"/>
        <w:spacing w:before="0" w:after="0"/>
        <w:jc w:val="center"/>
        <w:rPr>
          <w:caps w:val="false"/>
          <w:smallCaps w:val="false"/>
          <w:color w:val="1A1A1A"/>
        </w:rPr>
      </w:pPr>
      <w:r>
        <w:rPr>
          <w:caps w:val="false"/>
          <w:smallCaps w:val="false"/>
          <w:color w:val="1A1A1A"/>
        </w:rPr>
        <w:t> </w:t>
      </w:r>
      <w:r>
        <w:rPr>
          <w:caps w:val="false"/>
          <w:smallCaps w:val="false"/>
          <w:color w:val="1A1A1A"/>
        </w:rPr>
        <w:drawing>
          <wp:inline distT="0" distB="0" distL="0" distR="0">
            <wp:extent cx="7620000" cy="1181100"/>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7620000" cy="1181100"/>
                    </a:xfrm>
                    <a:prstGeom prst="rect">
                      <a:avLst/>
                    </a:prstGeom>
                  </pic:spPr>
                </pic:pic>
              </a:graphicData>
            </a:graphic>
          </wp:inline>
        </w:drawing>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7620000" cy="10953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7620000" cy="1095375"/>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left"/>
        <w:rPr>
          <w:rFonts w:ascii="Arial;Helvetica;Sans-Serif" w:hAnsi="Arial;Helvetica;Sans-Serif"/>
          <w:b/>
          <w:i w:val="false"/>
          <w:caps w:val="false"/>
          <w:smallCaps w:val="false"/>
          <w:color w:val="004BAA"/>
          <w:sz w:val="36"/>
          <w:bdr w:val="single" w:sz="18" w:space="4" w:color="004BAA"/>
        </w:rPr>
      </w:pPr>
      <w:bookmarkStart w:id="27" w:name="A123"/>
      <w:bookmarkEnd w:id="27"/>
      <w:r>
        <w:rPr>
          <w:rFonts w:ascii="Arial;Helvetica;Sans-Serif" w:hAnsi="Arial;Helvetica;Sans-Serif"/>
          <w:b/>
          <w:i w:val="false"/>
          <w:caps w:val="false"/>
          <w:smallCaps w:val="false"/>
          <w:color w:val="004BAA"/>
          <w:sz w:val="36"/>
          <w:bdr w:val="single" w:sz="18" w:space="4" w:color="004BAA"/>
        </w:rPr>
        <w:t>Exhibit A</w:t>
      </w:r>
    </w:p>
    <w:p>
      <w:pPr>
        <w:pStyle w:val="TextBody"/>
        <w:bidi w:val="0"/>
        <w:spacing w:before="0" w:after="0"/>
        <w:ind w:left="0" w:right="0" w:hanging="0"/>
        <w:jc w:val="left"/>
        <w:rPr>
          <w:caps w:val="false"/>
          <w:smallCaps w:val="false"/>
          <w:color w:val="1A1A1A"/>
        </w:rPr>
      </w:pPr>
      <w:r>
        <w:rPr>
          <w:caps w:val="false"/>
          <w:smallCaps w:val="false"/>
          <w:color w:val="1A1A1A"/>
        </w:rPr>
        <w:t> </w:t>
      </w:r>
    </w:p>
    <w:p>
      <w:pPr>
        <w:pStyle w:val="TextBody"/>
        <w:bidi w:val="0"/>
        <w:spacing w:before="0" w:after="0"/>
        <w:ind w:left="0" w:right="0" w:hanging="0"/>
        <w:jc w:val="left"/>
        <w:rPr>
          <w:rFonts w:ascii="Arial;Helvetica;Sans-Serif" w:hAnsi="Arial;Helvetica;Sans-Serif"/>
          <w:b/>
          <w:i w:val="false"/>
          <w:caps w:val="false"/>
          <w:smallCaps w:val="false"/>
          <w:color w:val="1A1A1A"/>
          <w:sz w:val="22"/>
        </w:rPr>
      </w:pPr>
      <w:r>
        <w:rPr>
          <w:rFonts w:ascii="Arial;Helvetica;Sans-Serif" w:hAnsi="Arial;Helvetica;Sans-Serif"/>
          <w:b/>
          <w:i w:val="false"/>
          <w:caps w:val="false"/>
          <w:smallCaps w:val="false"/>
          <w:color w:val="1A1A1A"/>
          <w:sz w:val="22"/>
        </w:rPr>
        <w:t>Amended and Restated Compensation Policy for Directors and Executive Officers</w:t>
      </w:r>
    </w:p>
    <w:p>
      <w:pPr>
        <w:pStyle w:val="TextBody"/>
        <w:bidi w:val="0"/>
        <w:spacing w:before="0" w:after="0"/>
        <w:ind w:left="0" w:right="0" w:hanging="0"/>
        <w:jc w:val="left"/>
        <w:rPr>
          <w:caps w:val="false"/>
          <w:smallCaps w:val="false"/>
          <w:color w:val="1A1A1A"/>
        </w:rPr>
      </w:pPr>
      <w:r>
        <w:rPr>
          <w:caps w:val="false"/>
          <w:smallCaps w:val="false"/>
          <w:color w:val="1A1A1A"/>
        </w:rPr>
        <w:t> </w:t>
      </w:r>
    </w:p>
    <w:p>
      <w:pPr>
        <w:pStyle w:val="TextBody"/>
        <w:bidi w:val="0"/>
        <w:spacing w:before="0" w:after="0"/>
        <w:ind w:left="4" w:right="4" w:hanging="0"/>
        <w:jc w:val="center"/>
        <w:rPr>
          <w:rFonts w:ascii="Times New Roman;Times;Serif" w:hAnsi="Times New Roman;Times;Serif"/>
          <w:b/>
          <w:i w:val="false"/>
          <w:caps w:val="false"/>
          <w:smallCaps w:val="false"/>
          <w:spacing w:val="-2"/>
          <w:sz w:val="20"/>
        </w:rPr>
      </w:pPr>
      <w:r>
        <w:rPr>
          <w:rFonts w:ascii="Times New Roman;Times;Serif" w:hAnsi="Times New Roman;Times;Serif"/>
          <w:b/>
          <w:i w:val="false"/>
          <w:caps w:val="false"/>
          <w:smallCaps w:val="false"/>
          <w:spacing w:val="-2"/>
          <w:sz w:val="20"/>
        </w:rPr>
        <w:t>COMPENSATION POLICY</w:t>
      </w:r>
    </w:p>
    <w:p>
      <w:pPr>
        <w:pStyle w:val="TextBody"/>
        <w:bidi w:val="0"/>
        <w:spacing w:before="0" w:after="0"/>
        <w:ind w:left="4" w:right="4"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TOWER SEMICONDUCTOR </w:t>
      </w:r>
      <w:r>
        <w:rPr>
          <w:rFonts w:ascii="Times New Roman;Times;Serif" w:hAnsi="Times New Roman;Times;Serif"/>
          <w:b/>
          <w:i w:val="false"/>
          <w:caps w:val="false"/>
          <w:smallCaps w:val="false"/>
          <w:spacing w:val="-4"/>
          <w:sz w:val="20"/>
        </w:rPr>
        <w:t>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4" w:right="4"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Compensation Policy for Executive Officers and </w:t>
      </w:r>
      <w:r>
        <w:rPr>
          <w:rFonts w:ascii="Times New Roman;Times;Serif" w:hAnsi="Times New Roman;Times;Serif"/>
          <w:b/>
          <w:i w:val="false"/>
          <w:caps w:val="false"/>
          <w:smallCaps w:val="false"/>
          <w:spacing w:val="-2"/>
          <w:sz w:val="20"/>
        </w:rPr>
        <w:t>Directors</w:t>
      </w:r>
    </w:p>
    <w:p>
      <w:pPr>
        <w:pStyle w:val="TextBody"/>
        <w:bidi w:val="0"/>
        <w:spacing w:before="0" w:after="0"/>
        <w:ind w:left="4" w:right="4"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 Overview and Objectives</w:t>
      </w:r>
    </w:p>
    <w:p>
      <w:pPr>
        <w:pStyle w:val="TextBody"/>
        <w:bidi w:val="0"/>
        <w:spacing w:before="0" w:after="0"/>
        <w:jc w:val="left"/>
        <w:rPr>
          <w:caps w:val="false"/>
          <w:smallCaps w:val="false"/>
        </w:rPr>
      </w:pPr>
      <w:r>
        <w:rPr>
          <w:caps w:val="false"/>
          <w:smallCaps w:val="false"/>
        </w:rPr>
        <w:t> </w:t>
      </w:r>
    </w:p>
    <w:tbl>
      <w:tblPr>
        <w:tblW w:w="1518" w:type="dxa"/>
        <w:jc w:val="left"/>
        <w:tblInd w:w="0" w:type="dxa"/>
        <w:tblLayout w:type="fixed"/>
        <w:tblCellMar>
          <w:top w:w="0" w:type="dxa"/>
          <w:left w:w="0" w:type="dxa"/>
          <w:bottom w:w="0" w:type="dxa"/>
          <w:right w:w="0" w:type="dxa"/>
        </w:tblCellMar>
      </w:tblPr>
      <w:tblGrid>
        <w:gridCol w:w="215"/>
        <w:gridCol w:w="1303"/>
      </w:tblGrid>
      <w:tr>
        <w:trPr/>
        <w:tc>
          <w:tcPr>
            <w:tcW w:w="215" w:type="dxa"/>
            <w:tcBorders/>
            <w:vAlign w:val="center"/>
          </w:tcPr>
          <w:p>
            <w:pPr>
              <w:pStyle w:val="TableContents"/>
              <w:bidi w:val="0"/>
              <w:spacing w:before="0" w:after="283"/>
              <w:jc w:val="left"/>
              <w:rPr>
                <w:b/>
              </w:rPr>
            </w:pPr>
            <w:r>
              <w:rPr>
                <w:b/>
              </w:rPr>
              <w:t>1.</w:t>
            </w:r>
          </w:p>
        </w:tc>
        <w:tc>
          <w:tcPr>
            <w:tcW w:w="1303" w:type="dxa"/>
            <w:tcBorders/>
            <w:vAlign w:val="center"/>
          </w:tcPr>
          <w:p>
            <w:pPr>
              <w:pStyle w:val="TableContents"/>
              <w:bidi w:val="0"/>
              <w:spacing w:before="0" w:after="283"/>
              <w:jc w:val="left"/>
              <w:rPr>
                <w:b/>
                <w:spacing w:val="-2"/>
              </w:rPr>
            </w:pPr>
            <w:r>
              <w:rPr>
                <w:b/>
                <w:spacing w:val="-2"/>
              </w:rPr>
              <w:t>Introduction</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sets forth the compensation policy for Executive Officers and Directors (both as defined herein) of Tower Semiconductor Ltd. ("</w:t>
      </w:r>
      <w:r>
        <w:rPr>
          <w:rFonts w:ascii="Times New Roman;Times;Serif" w:hAnsi="Times New Roman;Times;Serif"/>
          <w:b/>
          <w:i w:val="false"/>
          <w:caps w:val="false"/>
          <w:smallCaps w:val="false"/>
          <w:sz w:val="20"/>
        </w:rPr>
        <w:t>Tower</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accordance with the requirements of the Companies Law (this "</w:t>
      </w:r>
      <w:r>
        <w:rPr>
          <w:rFonts w:ascii="Times New Roman;Times;Serif" w:hAnsi="Times New Roman;Times;Serif"/>
          <w:b/>
          <w:i w:val="false"/>
          <w:caps w:val="false"/>
          <w:smallCaps w:val="false"/>
          <w:sz w:val="20"/>
        </w:rPr>
        <w:t>Compensation Policy</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Policy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is a key component of Tower’s overall human capital strategy to attract, retain, reward, and motivate highly skilled individuals who will enhance Tower's value and otherwise assist Tower to reach its business and financial long term goals. The Policy is designed to provide the Compensation Committee and Board of Directors the tools and mechanisms to incentivize the Executive Officers and promote the Company’s growth plans. Accordingly, the structure of this Policy is established to tie the compensation for each Executive Officer to Tower's goals and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Compensation Policy will be in effect for a period of three (3) years from the date the Policy is duly approved under the Companies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and the Board of Directors of Tower shall review and reassess the adequacy of this Policy from time to time, as required by the Companies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setting the compensation of the Executive Officers and Directors, the Compensation Committee and the Board of Directors shall consider, among other things, the following factors:</w:t>
      </w:r>
    </w:p>
    <w:p>
      <w:pPr>
        <w:pStyle w:val="TextBody"/>
        <w:bidi w:val="0"/>
        <w:spacing w:before="0" w:after="0"/>
        <w:ind w:left="0" w:right="0" w:hanging="0"/>
        <w:jc w:val="both"/>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75"/>
        <w:gridCol w:w="125"/>
        <w:gridCol w:w="938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380" w:type="dxa"/>
            <w:tcBorders/>
            <w:vAlign w:val="center"/>
          </w:tcPr>
          <w:p>
            <w:pPr>
              <w:pStyle w:val="TableContents"/>
              <w:bidi w:val="0"/>
              <w:spacing w:before="0" w:after="283"/>
              <w:jc w:val="left"/>
              <w:rPr/>
            </w:pPr>
            <w:r>
              <w:rPr/>
              <w:t>the educational, professional experience and accomplishments of the Executive Officer or Director;</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380" w:type="dxa"/>
            <w:tcBorders/>
            <w:vAlign w:val="center"/>
          </w:tcPr>
          <w:p>
            <w:pPr>
              <w:pStyle w:val="TableContents"/>
              <w:bidi w:val="0"/>
              <w:spacing w:before="0" w:after="283"/>
              <w:jc w:val="left"/>
              <w:rPr/>
            </w:pPr>
            <w:r>
              <w:rPr/>
              <w:t> </w:t>
            </w:r>
          </w:p>
        </w:tc>
      </w:tr>
    </w:tbl>
    <w:tbl>
      <w:tblPr>
        <w:tblW w:w="9475" w:type="dxa"/>
        <w:jc w:val="left"/>
        <w:tblInd w:w="0" w:type="dxa"/>
        <w:tblLayout w:type="fixed"/>
        <w:tblCellMar>
          <w:top w:w="0" w:type="dxa"/>
          <w:left w:w="0" w:type="dxa"/>
          <w:bottom w:w="0" w:type="dxa"/>
          <w:right w:w="0" w:type="dxa"/>
        </w:tblCellMar>
      </w:tblPr>
      <w:tblGrid>
        <w:gridCol w:w="75"/>
        <w:gridCol w:w="125"/>
        <w:gridCol w:w="927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275" w:type="dxa"/>
            <w:tcBorders/>
            <w:vAlign w:val="center"/>
          </w:tcPr>
          <w:p>
            <w:pPr>
              <w:pStyle w:val="TableContents"/>
              <w:bidi w:val="0"/>
              <w:spacing w:before="0" w:after="283"/>
              <w:jc w:val="left"/>
              <w:rPr/>
            </w:pPr>
            <w:r>
              <w:rPr/>
              <w:t>the Executive Officer or Director's position, responsibilities and prior compensation arrangements;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275"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compensation data for comparably situated executives at peer companies, including companies in the industry and/or geographic market;</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bl>
    <w:tbl>
      <w:tblPr>
        <w:tblW w:w="4738" w:type="dxa"/>
        <w:jc w:val="left"/>
        <w:tblInd w:w="0" w:type="dxa"/>
        <w:tblLayout w:type="fixed"/>
        <w:tblCellMar>
          <w:top w:w="0" w:type="dxa"/>
          <w:left w:w="0" w:type="dxa"/>
          <w:bottom w:w="0" w:type="dxa"/>
          <w:right w:w="0" w:type="dxa"/>
        </w:tblCellMar>
      </w:tblPr>
      <w:tblGrid>
        <w:gridCol w:w="75"/>
        <w:gridCol w:w="125"/>
        <w:gridCol w:w="4538"/>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538" w:type="dxa"/>
            <w:tcBorders/>
            <w:vAlign w:val="center"/>
          </w:tcPr>
          <w:p>
            <w:pPr>
              <w:pStyle w:val="TableContents"/>
              <w:bidi w:val="0"/>
              <w:spacing w:before="0" w:after="283"/>
              <w:jc w:val="left"/>
              <w:rPr/>
            </w:pPr>
            <w:r>
              <w:rPr/>
              <w:t xml:space="preserve">data of other senior executives of the </w:t>
            </w:r>
            <w:r>
              <w:rPr>
                <w:spacing w:val="-2"/>
              </w:rPr>
              <w:t>Company;</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538" w:type="dxa"/>
            <w:tcBorders/>
            <w:vAlign w:val="center"/>
          </w:tcPr>
          <w:p>
            <w:pPr>
              <w:pStyle w:val="TableContents"/>
              <w:bidi w:val="0"/>
              <w:spacing w:before="0" w:after="283"/>
              <w:jc w:val="left"/>
              <w:rPr/>
            </w:pPr>
            <w:r>
              <w:rPr/>
              <w:t> </w:t>
            </w:r>
          </w:p>
        </w:tc>
      </w:tr>
    </w:tbl>
    <w:tbl>
      <w:tblPr>
        <w:tblW w:w="3020" w:type="dxa"/>
        <w:jc w:val="left"/>
        <w:tblInd w:w="0" w:type="dxa"/>
        <w:tblLayout w:type="fixed"/>
        <w:tblCellMar>
          <w:top w:w="0" w:type="dxa"/>
          <w:left w:w="0" w:type="dxa"/>
          <w:bottom w:w="0" w:type="dxa"/>
          <w:right w:w="0" w:type="dxa"/>
        </w:tblCellMar>
      </w:tblPr>
      <w:tblGrid>
        <w:gridCol w:w="75"/>
        <w:gridCol w:w="125"/>
        <w:gridCol w:w="282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2820" w:type="dxa"/>
            <w:tcBorders/>
            <w:vAlign w:val="center"/>
          </w:tcPr>
          <w:p>
            <w:pPr>
              <w:pStyle w:val="TableContents"/>
              <w:bidi w:val="0"/>
              <w:spacing w:before="0" w:after="283"/>
              <w:jc w:val="left"/>
              <w:rPr/>
            </w:pPr>
            <w:r>
              <w:rPr/>
              <w:t xml:space="preserve">macroeconomic </w:t>
            </w:r>
            <w:r>
              <w:rPr>
                <w:spacing w:val="-2"/>
              </w:rPr>
              <w:t>environment;</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820" w:type="dxa"/>
            <w:tcBorders/>
            <w:vAlign w:val="center"/>
          </w:tcPr>
          <w:p>
            <w:pPr>
              <w:pStyle w:val="TableContents"/>
              <w:bidi w:val="0"/>
              <w:spacing w:before="0" w:after="283"/>
              <w:jc w:val="left"/>
              <w:rPr/>
            </w:pPr>
            <w:r>
              <w:rPr/>
              <w:t> </w:t>
            </w:r>
          </w:p>
        </w:tc>
      </w:tr>
    </w:tbl>
    <w:tbl>
      <w:tblPr>
        <w:tblW w:w="3065" w:type="dxa"/>
        <w:jc w:val="left"/>
        <w:tblInd w:w="0" w:type="dxa"/>
        <w:tblLayout w:type="fixed"/>
        <w:tblCellMar>
          <w:top w:w="0" w:type="dxa"/>
          <w:left w:w="0" w:type="dxa"/>
          <w:bottom w:w="0" w:type="dxa"/>
          <w:right w:w="0" w:type="dxa"/>
        </w:tblCellMar>
      </w:tblPr>
      <w:tblGrid>
        <w:gridCol w:w="75"/>
        <w:gridCol w:w="125"/>
        <w:gridCol w:w="286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2865" w:type="dxa"/>
            <w:tcBorders/>
            <w:vAlign w:val="center"/>
          </w:tcPr>
          <w:p>
            <w:pPr>
              <w:pStyle w:val="TableContents"/>
              <w:bidi w:val="0"/>
              <w:spacing w:before="0" w:after="283"/>
              <w:jc w:val="left"/>
              <w:rPr/>
            </w:pPr>
            <w:r>
              <w:rPr/>
              <w:t xml:space="preserve">Company's own </w:t>
            </w:r>
            <w:r>
              <w:rPr>
                <w:spacing w:val="-2"/>
              </w:rPr>
              <w:t>performance;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2865"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the Executive Officer or Director's expected contribution to the Company’s future growth and profitability;</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the relationship between the compensation paid to the Executive Officer or Director and the average and median compensation of the Company’s employees and contractors, as well as whether such variation has an effect on employment relations; and</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bl>
    <w:tbl>
      <w:tblPr>
        <w:tblW w:w="6347" w:type="dxa"/>
        <w:jc w:val="left"/>
        <w:tblInd w:w="0" w:type="dxa"/>
        <w:tblLayout w:type="fixed"/>
        <w:tblCellMar>
          <w:top w:w="0" w:type="dxa"/>
          <w:left w:w="0" w:type="dxa"/>
          <w:bottom w:w="0" w:type="dxa"/>
          <w:right w:w="0" w:type="dxa"/>
        </w:tblCellMar>
      </w:tblPr>
      <w:tblGrid>
        <w:gridCol w:w="75"/>
        <w:gridCol w:w="125"/>
        <w:gridCol w:w="6147"/>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147" w:type="dxa"/>
            <w:tcBorders/>
            <w:vAlign w:val="center"/>
          </w:tcPr>
          <w:p>
            <w:pPr>
              <w:pStyle w:val="TableContents"/>
              <w:bidi w:val="0"/>
              <w:spacing w:before="0" w:after="283"/>
              <w:jc w:val="left"/>
              <w:rPr/>
            </w:pPr>
            <w:r>
              <w:rPr/>
              <w:t xml:space="preserve">any requirements prescribed by applicable law from time to </w:t>
            </w:r>
            <w:r>
              <w:rPr>
                <w:spacing w:val="-2"/>
              </w:rPr>
              <w:t>time.</w:t>
            </w:r>
          </w:p>
        </w:tc>
      </w:tr>
    </w:tbl>
    <w:p>
      <w:pPr>
        <w:pStyle w:val="TextBody"/>
        <w:bidi w:val="0"/>
        <w:spacing w:before="0" w:after="283"/>
        <w:jc w:val="left"/>
        <w:rPr/>
      </w:pPr>
      <w:r>
        <w:rPr/>
        <w:t> </w:t>
      </w:r>
    </w:p>
    <w:p>
      <w:pPr>
        <w:pStyle w:val="TextBody"/>
        <w:bidi w:val="0"/>
        <w:jc w:val="center"/>
        <w:rPr/>
      </w:pPr>
      <w:r>
        <w:rPr/>
        <w:t> </w:t>
      </w:r>
      <w:r>
        <w:rPr/>
        <w:drawing>
          <wp:inline distT="0" distB="0" distL="0" distR="0">
            <wp:extent cx="7620000" cy="1181100"/>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7620000" cy="1181100"/>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7620000" cy="10953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69"/>
                    <a:stretch>
                      <a:fillRect/>
                    </a:stretch>
                  </pic:blipFill>
                  <pic:spPr bwMode="auto">
                    <a:xfrm>
                      <a:off x="0" y="0"/>
                      <a:ext cx="7620000" cy="1095375"/>
                    </a:xfrm>
                    <a:prstGeom prst="rect">
                      <a:avLst/>
                    </a:prstGeom>
                  </pic:spPr>
                </pic:pic>
              </a:graphicData>
            </a:graphic>
          </wp:inline>
        </w:drawing>
      </w:r>
    </w:p>
    <w:p>
      <w:pPr>
        <w:pStyle w:val="TextBody"/>
        <w:bidi w:val="0"/>
        <w:spacing w:before="0" w:after="283"/>
        <w:jc w:val="left"/>
        <w:rPr/>
      </w:pPr>
      <w:r>
        <w:rPr/>
        <w:t> </w:t>
      </w:r>
    </w:p>
    <w:tbl>
      <w:tblPr>
        <w:tblW w:w="1282" w:type="dxa"/>
        <w:jc w:val="left"/>
        <w:tblInd w:w="0" w:type="dxa"/>
        <w:tblLayout w:type="fixed"/>
        <w:tblCellMar>
          <w:top w:w="0" w:type="dxa"/>
          <w:left w:w="0" w:type="dxa"/>
          <w:bottom w:w="0" w:type="dxa"/>
          <w:right w:w="0" w:type="dxa"/>
        </w:tblCellMar>
      </w:tblPr>
      <w:tblGrid>
        <w:gridCol w:w="215"/>
        <w:gridCol w:w="1067"/>
      </w:tblGrid>
      <w:tr>
        <w:trPr/>
        <w:tc>
          <w:tcPr>
            <w:tcW w:w="215" w:type="dxa"/>
            <w:tcBorders/>
            <w:vAlign w:val="center"/>
          </w:tcPr>
          <w:p>
            <w:pPr>
              <w:pStyle w:val="TableContents"/>
              <w:bidi w:val="0"/>
              <w:spacing w:before="0" w:after="283"/>
              <w:jc w:val="left"/>
              <w:rPr>
                <w:b/>
              </w:rPr>
            </w:pPr>
            <w:r>
              <w:rPr>
                <w:b/>
              </w:rPr>
              <w:t>2.</w:t>
            </w:r>
          </w:p>
        </w:tc>
        <w:tc>
          <w:tcPr>
            <w:tcW w:w="1067" w:type="dxa"/>
            <w:tcBorders/>
            <w:vAlign w:val="center"/>
          </w:tcPr>
          <w:p>
            <w:pPr>
              <w:pStyle w:val="TableContents"/>
              <w:bidi w:val="0"/>
              <w:spacing w:before="0" w:after="283"/>
              <w:jc w:val="left"/>
              <w:rPr>
                <w:b/>
                <w:spacing w:val="-2"/>
              </w:rPr>
            </w:pPr>
            <w:r>
              <w:rPr>
                <w:b/>
                <w:spacing w:val="-2"/>
              </w:rPr>
              <w:t>Objectives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Tower’s objectives and goals in setting this Compensation Policy are to maintain competitiveness by attracting, motivating and retaining highly talented and experienced personnel with the necessary capabilities to promote creativity and manage global operations. These abilities are critical to Tower's long-term success in order to provide leadership, and enhance shareholder value, while supporting a performance culture that is based on merit, motivates individuals to perform at their highest level, differentiates and rewards excellent performance, and recognizes Tower's values. Due to Tower's unique position as an Israeli company with a global footprint, it aims to adopt compensation policies and procedures that match global companies of similar complexity, including semiconductor companies and other companies which compete with Tower for similar talent, and companies in the relevant geographical location, while complying with applicable local laws and customs as well. Executive Officers’ or Directors’ total compensation may deviate from target level where required to attract or retain individuals or reflect their respective characteristics or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that end, this Policy is designed, among </w:t>
      </w:r>
      <w:r>
        <w:rPr>
          <w:rFonts w:ascii="Times New Roman;Times;Serif" w:hAnsi="Times New Roman;Times;Serif"/>
          <w:b w:val="false"/>
          <w:i w:val="false"/>
          <w:caps w:val="false"/>
          <w:smallCaps w:val="false"/>
          <w:spacing w:val="-2"/>
          <w:sz w:val="20"/>
        </w:rPr>
        <w:t>others: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61"/>
        <w:gridCol w:w="9769"/>
      </w:tblGrid>
      <w:tr>
        <w:trPr/>
        <w:tc>
          <w:tcPr>
            <w:tcW w:w="75"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2.1.</w:t>
            </w:r>
          </w:p>
        </w:tc>
        <w:tc>
          <w:tcPr>
            <w:tcW w:w="9769" w:type="dxa"/>
            <w:tcBorders/>
            <w:vAlign w:val="center"/>
          </w:tcPr>
          <w:p>
            <w:pPr>
              <w:pStyle w:val="TableContents"/>
              <w:bidi w:val="0"/>
              <w:spacing w:before="0" w:after="283"/>
              <w:jc w:val="left"/>
              <w:rPr/>
            </w:pPr>
            <w:r>
              <w:rPr/>
              <w:t xml:space="preserve">To closely align the interests of the Executive Officers and Directors with those of </w:t>
            </w:r>
            <w:r>
              <w:rPr>
                <w:spacing w:val="0"/>
              </w:rPr>
              <w:t>Tower’s shareholders in order to enhance shareholder value;</w:t>
            </w:r>
          </w:p>
        </w:tc>
      </w:tr>
      <w:tr>
        <w:trPr/>
        <w:tc>
          <w:tcPr>
            <w:tcW w:w="75"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c>
          <w:tcPr>
            <w:tcW w:w="9769"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351"/>
        <w:gridCol w:w="9779"/>
      </w:tblGrid>
      <w:tr>
        <w:trPr/>
        <w:tc>
          <w:tcPr>
            <w:tcW w:w="75"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left"/>
              <w:rPr/>
            </w:pPr>
            <w:r>
              <w:rPr/>
              <w:t>2.2.</w:t>
            </w:r>
          </w:p>
        </w:tc>
        <w:tc>
          <w:tcPr>
            <w:tcW w:w="9779" w:type="dxa"/>
            <w:tcBorders/>
            <w:vAlign w:val="center"/>
          </w:tcPr>
          <w:p>
            <w:pPr>
              <w:pStyle w:val="TableContents"/>
              <w:bidi w:val="0"/>
              <w:spacing w:before="0" w:after="283"/>
              <w:jc w:val="both"/>
              <w:rPr/>
            </w:pPr>
            <w:r>
              <w:rPr/>
              <w:t>To provide the Executive Officers and Directors with a structured compensation package, including competitive salaries and performance-based cash and equity incentive programs;</w:t>
            </w:r>
          </w:p>
        </w:tc>
      </w:tr>
      <w:tr>
        <w:trPr/>
        <w:tc>
          <w:tcPr>
            <w:tcW w:w="75"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left"/>
              <w:rPr/>
            </w:pPr>
            <w:r>
              <w:rPr/>
              <w:t> </w:t>
            </w:r>
          </w:p>
        </w:tc>
        <w:tc>
          <w:tcPr>
            <w:tcW w:w="9779"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356"/>
        <w:gridCol w:w="9774"/>
      </w:tblGrid>
      <w:tr>
        <w:trPr/>
        <w:tc>
          <w:tcPr>
            <w:tcW w:w="75"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pPr>
            <w:r>
              <w:rPr/>
              <w:t>2.3.</w:t>
            </w:r>
          </w:p>
        </w:tc>
        <w:tc>
          <w:tcPr>
            <w:tcW w:w="9774" w:type="dxa"/>
            <w:tcBorders/>
            <w:vAlign w:val="center"/>
          </w:tcPr>
          <w:p>
            <w:pPr>
              <w:pStyle w:val="TableContents"/>
              <w:bidi w:val="0"/>
              <w:spacing w:before="0" w:after="283"/>
              <w:jc w:val="both"/>
              <w:rPr/>
            </w:pPr>
            <w:r>
              <w:rPr/>
              <w:t>To maintain and increase the level of motivation and ambition and promote for each an opportunity to advance in a growing organization and strive for excellence;</w:t>
            </w:r>
          </w:p>
        </w:tc>
      </w:tr>
      <w:tr>
        <w:trPr/>
        <w:tc>
          <w:tcPr>
            <w:tcW w:w="75"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pPr>
            <w:r>
              <w:rPr/>
              <w:t> </w:t>
            </w:r>
          </w:p>
        </w:tc>
        <w:tc>
          <w:tcPr>
            <w:tcW w:w="9774" w:type="dxa"/>
            <w:tcBorders/>
            <w:vAlign w:val="center"/>
          </w:tcPr>
          <w:p>
            <w:pPr>
              <w:pStyle w:val="TableContents"/>
              <w:bidi w:val="0"/>
              <w:spacing w:before="0" w:after="283"/>
              <w:jc w:val="both"/>
              <w:rPr/>
            </w:pPr>
            <w:r>
              <w:rPr/>
              <w:t> </w:t>
            </w:r>
          </w:p>
        </w:tc>
      </w:tr>
    </w:tbl>
    <w:tbl>
      <w:tblPr>
        <w:tblW w:w="8195" w:type="dxa"/>
        <w:jc w:val="left"/>
        <w:tblInd w:w="0" w:type="dxa"/>
        <w:tblLayout w:type="fixed"/>
        <w:tblCellMar>
          <w:top w:w="0" w:type="dxa"/>
          <w:left w:w="0" w:type="dxa"/>
          <w:bottom w:w="0" w:type="dxa"/>
          <w:right w:w="0" w:type="dxa"/>
        </w:tblCellMar>
      </w:tblPr>
      <w:tblGrid>
        <w:gridCol w:w="75"/>
        <w:gridCol w:w="380"/>
        <w:gridCol w:w="774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2.4.</w:t>
            </w:r>
          </w:p>
        </w:tc>
        <w:tc>
          <w:tcPr>
            <w:tcW w:w="7740" w:type="dxa"/>
            <w:tcBorders/>
            <w:vAlign w:val="center"/>
          </w:tcPr>
          <w:p>
            <w:pPr>
              <w:pStyle w:val="TableContents"/>
              <w:bidi w:val="0"/>
              <w:spacing w:before="0" w:after="283"/>
              <w:jc w:val="both"/>
              <w:rPr/>
            </w:pPr>
            <w:r>
              <w:rPr/>
              <w:t xml:space="preserve">To provide appropriate awards for superior individual and corporate </w:t>
            </w:r>
            <w:r>
              <w:rPr>
                <w:spacing w:val="-2"/>
              </w:rPr>
              <w:t>performance;</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7740" w:type="dxa"/>
            <w:tcBorders/>
            <w:vAlign w:val="center"/>
          </w:tcPr>
          <w:p>
            <w:pPr>
              <w:pStyle w:val="TableContents"/>
              <w:bidi w:val="0"/>
              <w:spacing w:before="0" w:after="283"/>
              <w:jc w:val="both"/>
              <w:rPr/>
            </w:pPr>
            <w:r>
              <w:rPr/>
              <w:t> </w:t>
            </w:r>
          </w:p>
        </w:tc>
      </w:tr>
    </w:tbl>
    <w:tbl>
      <w:tblPr>
        <w:tblW w:w="8400" w:type="dxa"/>
        <w:jc w:val="left"/>
        <w:tblInd w:w="0" w:type="dxa"/>
        <w:tblLayout w:type="fixed"/>
        <w:tblCellMar>
          <w:top w:w="0" w:type="dxa"/>
          <w:left w:w="0" w:type="dxa"/>
          <w:bottom w:w="0" w:type="dxa"/>
          <w:right w:w="0" w:type="dxa"/>
        </w:tblCellMar>
      </w:tblPr>
      <w:tblGrid>
        <w:gridCol w:w="75"/>
        <w:gridCol w:w="380"/>
        <w:gridCol w:w="794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2.5.</w:t>
            </w:r>
          </w:p>
        </w:tc>
        <w:tc>
          <w:tcPr>
            <w:tcW w:w="7945" w:type="dxa"/>
            <w:tcBorders/>
            <w:vAlign w:val="center"/>
          </w:tcPr>
          <w:p>
            <w:pPr>
              <w:pStyle w:val="TableContents"/>
              <w:bidi w:val="0"/>
              <w:spacing w:before="0" w:after="283"/>
              <w:jc w:val="both"/>
              <w:rPr/>
            </w:pPr>
            <w:r>
              <w:rPr/>
              <w:t xml:space="preserve">To improve the business results and increase income and profitability over time; </w:t>
            </w:r>
            <w:r>
              <w:rPr>
                <w:spacing w:val="-5"/>
              </w:rPr>
              <w:t>and</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7945" w:type="dxa"/>
            <w:tcBorders/>
            <w:vAlign w:val="center"/>
          </w:tcPr>
          <w:p>
            <w:pPr>
              <w:pStyle w:val="TableContents"/>
              <w:bidi w:val="0"/>
              <w:spacing w:before="0" w:after="283"/>
              <w:jc w:val="both"/>
              <w:rPr/>
            </w:pPr>
            <w:r>
              <w:rPr/>
              <w:t> </w:t>
            </w:r>
          </w:p>
        </w:tc>
      </w:tr>
    </w:tbl>
    <w:tbl>
      <w:tblPr>
        <w:tblW w:w="6804" w:type="dxa"/>
        <w:jc w:val="left"/>
        <w:tblInd w:w="0" w:type="dxa"/>
        <w:tblLayout w:type="fixed"/>
        <w:tblCellMar>
          <w:top w:w="0" w:type="dxa"/>
          <w:left w:w="0" w:type="dxa"/>
          <w:bottom w:w="0" w:type="dxa"/>
          <w:right w:w="0" w:type="dxa"/>
        </w:tblCellMar>
      </w:tblPr>
      <w:tblGrid>
        <w:gridCol w:w="75"/>
        <w:gridCol w:w="380"/>
        <w:gridCol w:w="6349"/>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2.6.</w:t>
            </w:r>
          </w:p>
        </w:tc>
        <w:tc>
          <w:tcPr>
            <w:tcW w:w="6349" w:type="dxa"/>
            <w:tcBorders/>
            <w:vAlign w:val="center"/>
          </w:tcPr>
          <w:p>
            <w:pPr>
              <w:pStyle w:val="TableContents"/>
              <w:bidi w:val="0"/>
              <w:spacing w:before="0" w:after="283"/>
              <w:jc w:val="both"/>
              <w:rPr/>
            </w:pPr>
            <w:r>
              <w:rPr/>
              <w:t xml:space="preserve">To support the implementation of the Company's business </w:t>
            </w:r>
            <w:r>
              <w:rPr>
                <w:spacing w:val="-2"/>
              </w:rPr>
              <w:t>strategy.</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6349" w:type="dxa"/>
            <w:tcBorders/>
            <w:vAlign w:val="center"/>
          </w:tcPr>
          <w:p>
            <w:pPr>
              <w:pStyle w:val="TableContents"/>
              <w:bidi w:val="0"/>
              <w:spacing w:before="0" w:after="283"/>
              <w:jc w:val="both"/>
              <w:rPr/>
            </w:pPr>
            <w:r>
              <w:rPr/>
              <w:t> </w:t>
            </w:r>
          </w:p>
        </w:tc>
      </w:tr>
    </w:tbl>
    <w:tbl>
      <w:tblPr>
        <w:tblW w:w="4420" w:type="dxa"/>
        <w:jc w:val="left"/>
        <w:tblInd w:w="0" w:type="dxa"/>
        <w:tblLayout w:type="fixed"/>
        <w:tblCellMar>
          <w:top w:w="0" w:type="dxa"/>
          <w:left w:w="0" w:type="dxa"/>
          <w:bottom w:w="0" w:type="dxa"/>
          <w:right w:w="0" w:type="dxa"/>
        </w:tblCellMar>
      </w:tblPr>
      <w:tblGrid>
        <w:gridCol w:w="215"/>
        <w:gridCol w:w="4205"/>
      </w:tblGrid>
      <w:tr>
        <w:trPr/>
        <w:tc>
          <w:tcPr>
            <w:tcW w:w="215" w:type="dxa"/>
            <w:tcBorders/>
            <w:vAlign w:val="center"/>
          </w:tcPr>
          <w:p>
            <w:pPr>
              <w:pStyle w:val="TableContents"/>
              <w:bidi w:val="0"/>
              <w:spacing w:before="0" w:after="283"/>
              <w:jc w:val="left"/>
              <w:rPr>
                <w:b/>
              </w:rPr>
            </w:pPr>
            <w:r>
              <w:rPr>
                <w:b/>
              </w:rPr>
              <w:t>3.</w:t>
            </w:r>
          </w:p>
        </w:tc>
        <w:tc>
          <w:tcPr>
            <w:tcW w:w="4205" w:type="dxa"/>
            <w:tcBorders/>
            <w:vAlign w:val="center"/>
          </w:tcPr>
          <w:p>
            <w:pPr>
              <w:pStyle w:val="TableContents"/>
              <w:bidi w:val="0"/>
              <w:spacing w:before="0" w:after="283"/>
              <w:jc w:val="left"/>
              <w:rPr>
                <w:b/>
              </w:rPr>
            </w:pPr>
            <w:r>
              <w:rPr>
                <w:b/>
              </w:rPr>
              <w:t xml:space="preserve">Compensation structure and </w:t>
            </w:r>
            <w:r>
              <w:rPr>
                <w:b/>
                <w:spacing w:val="0"/>
              </w:rPr>
              <w:t>instruments</w:t>
            </w:r>
          </w:p>
        </w:tc>
      </w:tr>
    </w:tbl>
    <w:p>
      <w:pPr>
        <w:pStyle w:val="TextBody"/>
        <w:bidi w:val="0"/>
        <w:spacing w:before="0" w:after="0"/>
        <w:ind w:left="600" w:right="0" w:hanging="0"/>
        <w:jc w:val="left"/>
        <w:rPr>
          <w:caps w:val="false"/>
          <w:smallCaps w:val="false"/>
        </w:rPr>
      </w:pPr>
      <w:r>
        <w:rPr>
          <w:caps w:val="false"/>
          <w:smallCaps w:val="false"/>
        </w:rPr>
        <w:t> </w:t>
      </w:r>
    </w:p>
    <w:p>
      <w:pPr>
        <w:pStyle w:val="TextBody"/>
        <w:bidi w:val="0"/>
        <w:spacing w:before="0" w:after="0"/>
        <w:ind w:left="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Compensation instruments under this Compensation Policy may include the </w:t>
      </w:r>
      <w:r>
        <w:rPr>
          <w:rFonts w:ascii="Times New Roman;Times;Serif" w:hAnsi="Times New Roman;Times;Serif"/>
          <w:b w:val="false"/>
          <w:i w:val="false"/>
          <w:caps w:val="false"/>
          <w:smallCaps w:val="false"/>
          <w:spacing w:val="-2"/>
          <w:sz w:val="20"/>
        </w:rPr>
        <w:t>following:</w:t>
      </w:r>
    </w:p>
    <w:p>
      <w:pPr>
        <w:pStyle w:val="TextBody"/>
        <w:bidi w:val="0"/>
        <w:spacing w:before="0" w:after="0"/>
        <w:ind w:left="600" w:right="0" w:hanging="0"/>
        <w:jc w:val="left"/>
        <w:rPr>
          <w:caps w:val="false"/>
          <w:smallCaps w:val="false"/>
        </w:rPr>
      </w:pPr>
      <w:r>
        <w:rPr>
          <w:caps w:val="false"/>
          <w:smallCaps w:val="false"/>
        </w:rPr>
        <w:t> </w:t>
      </w:r>
    </w:p>
    <w:tbl>
      <w:tblPr>
        <w:tblW w:w="1620" w:type="dxa"/>
        <w:jc w:val="left"/>
        <w:tblInd w:w="0" w:type="dxa"/>
        <w:tblLayout w:type="fixed"/>
        <w:tblCellMar>
          <w:top w:w="0" w:type="dxa"/>
          <w:left w:w="0" w:type="dxa"/>
          <w:bottom w:w="0" w:type="dxa"/>
          <w:right w:w="0" w:type="dxa"/>
        </w:tblCellMar>
      </w:tblPr>
      <w:tblGrid>
        <w:gridCol w:w="75"/>
        <w:gridCol w:w="380"/>
        <w:gridCol w:w="116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3.1.</w:t>
            </w:r>
          </w:p>
        </w:tc>
        <w:tc>
          <w:tcPr>
            <w:tcW w:w="1165" w:type="dxa"/>
            <w:tcBorders/>
            <w:vAlign w:val="center"/>
          </w:tcPr>
          <w:p>
            <w:pPr>
              <w:pStyle w:val="TableContents"/>
              <w:bidi w:val="0"/>
              <w:spacing w:before="0" w:after="283"/>
              <w:jc w:val="both"/>
              <w:rPr/>
            </w:pPr>
            <w:r>
              <w:rPr/>
              <w:t xml:space="preserve">Base </w:t>
            </w:r>
            <w:r>
              <w:rPr>
                <w:spacing w:val="-2"/>
              </w:rPr>
              <w:t>salary;</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1165" w:type="dxa"/>
            <w:tcBorders/>
            <w:vAlign w:val="center"/>
          </w:tcPr>
          <w:p>
            <w:pPr>
              <w:pStyle w:val="TableContents"/>
              <w:bidi w:val="0"/>
              <w:spacing w:before="0" w:after="283"/>
              <w:jc w:val="both"/>
              <w:rPr/>
            </w:pPr>
            <w:r>
              <w:rPr/>
              <w:t> </w:t>
            </w:r>
          </w:p>
        </w:tc>
      </w:tr>
    </w:tbl>
    <w:tbl>
      <w:tblPr>
        <w:tblW w:w="2780" w:type="dxa"/>
        <w:jc w:val="left"/>
        <w:tblInd w:w="0" w:type="dxa"/>
        <w:tblLayout w:type="fixed"/>
        <w:tblCellMar>
          <w:top w:w="0" w:type="dxa"/>
          <w:left w:w="0" w:type="dxa"/>
          <w:bottom w:w="0" w:type="dxa"/>
          <w:right w:w="0" w:type="dxa"/>
        </w:tblCellMar>
      </w:tblPr>
      <w:tblGrid>
        <w:gridCol w:w="75"/>
        <w:gridCol w:w="380"/>
        <w:gridCol w:w="232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3.2.</w:t>
            </w:r>
          </w:p>
        </w:tc>
        <w:tc>
          <w:tcPr>
            <w:tcW w:w="2325" w:type="dxa"/>
            <w:tcBorders/>
            <w:vAlign w:val="center"/>
          </w:tcPr>
          <w:p>
            <w:pPr>
              <w:pStyle w:val="TableContents"/>
              <w:bidi w:val="0"/>
              <w:spacing w:before="0" w:after="283"/>
              <w:jc w:val="left"/>
              <w:rPr/>
            </w:pPr>
            <w:r>
              <w:rPr/>
              <w:t xml:space="preserve">Benefits and </w:t>
            </w:r>
            <w:r>
              <w:rPr>
                <w:spacing w:val="-2"/>
              </w:rPr>
              <w:t>perquisites;</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2325" w:type="dxa"/>
            <w:tcBorders/>
            <w:vAlign w:val="center"/>
          </w:tcPr>
          <w:p>
            <w:pPr>
              <w:pStyle w:val="TableContents"/>
              <w:bidi w:val="0"/>
              <w:spacing w:before="0" w:after="283"/>
              <w:jc w:val="left"/>
              <w:rPr/>
            </w:pPr>
            <w:r>
              <w:rPr/>
              <w:t> </w:t>
            </w:r>
          </w:p>
        </w:tc>
      </w:tr>
    </w:tbl>
    <w:tbl>
      <w:tblPr>
        <w:tblW w:w="3658" w:type="dxa"/>
        <w:jc w:val="left"/>
        <w:tblInd w:w="0" w:type="dxa"/>
        <w:tblLayout w:type="fixed"/>
        <w:tblCellMar>
          <w:top w:w="0" w:type="dxa"/>
          <w:left w:w="0" w:type="dxa"/>
          <w:bottom w:w="0" w:type="dxa"/>
          <w:right w:w="0" w:type="dxa"/>
        </w:tblCellMar>
      </w:tblPr>
      <w:tblGrid>
        <w:gridCol w:w="75"/>
        <w:gridCol w:w="380"/>
        <w:gridCol w:w="3203"/>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3.3.</w:t>
            </w:r>
          </w:p>
        </w:tc>
        <w:tc>
          <w:tcPr>
            <w:tcW w:w="3203" w:type="dxa"/>
            <w:tcBorders/>
            <w:vAlign w:val="center"/>
          </w:tcPr>
          <w:p>
            <w:pPr>
              <w:pStyle w:val="TableContents"/>
              <w:bidi w:val="0"/>
              <w:spacing w:before="0" w:after="283"/>
              <w:jc w:val="left"/>
              <w:rPr/>
            </w:pPr>
            <w:r>
              <w:rPr/>
              <w:t xml:space="preserve">Performance-based cash </w:t>
            </w:r>
            <w:r>
              <w:rPr>
                <w:spacing w:val="-2"/>
              </w:rPr>
              <w:t>bonuses;</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3203" w:type="dxa"/>
            <w:tcBorders/>
            <w:vAlign w:val="center"/>
          </w:tcPr>
          <w:p>
            <w:pPr>
              <w:pStyle w:val="TableContents"/>
              <w:bidi w:val="0"/>
              <w:spacing w:before="0" w:after="283"/>
              <w:jc w:val="left"/>
              <w:rPr/>
            </w:pPr>
            <w:r>
              <w:rPr/>
              <w:t> </w:t>
            </w:r>
          </w:p>
        </w:tc>
      </w:tr>
    </w:tbl>
    <w:tbl>
      <w:tblPr>
        <w:tblW w:w="3540" w:type="dxa"/>
        <w:jc w:val="left"/>
        <w:tblInd w:w="0" w:type="dxa"/>
        <w:tblLayout w:type="fixed"/>
        <w:tblCellMar>
          <w:top w:w="0" w:type="dxa"/>
          <w:left w:w="0" w:type="dxa"/>
          <w:bottom w:w="0" w:type="dxa"/>
          <w:right w:w="0" w:type="dxa"/>
        </w:tblCellMar>
      </w:tblPr>
      <w:tblGrid>
        <w:gridCol w:w="75"/>
        <w:gridCol w:w="380"/>
        <w:gridCol w:w="308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3.4.</w:t>
            </w:r>
          </w:p>
        </w:tc>
        <w:tc>
          <w:tcPr>
            <w:tcW w:w="3085" w:type="dxa"/>
            <w:tcBorders/>
            <w:vAlign w:val="center"/>
          </w:tcPr>
          <w:p>
            <w:pPr>
              <w:pStyle w:val="TableContents"/>
              <w:bidi w:val="0"/>
              <w:spacing w:before="0" w:after="283"/>
              <w:jc w:val="left"/>
              <w:rPr/>
            </w:pPr>
            <w:r>
              <w:rPr/>
              <w:t xml:space="preserve">Equity based compensation; </w:t>
            </w:r>
            <w:r>
              <w:rPr>
                <w:spacing w:val="-5"/>
              </w:rPr>
              <w:t>and</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3085" w:type="dxa"/>
            <w:tcBorders/>
            <w:vAlign w:val="center"/>
          </w:tcPr>
          <w:p>
            <w:pPr>
              <w:pStyle w:val="TableContents"/>
              <w:bidi w:val="0"/>
              <w:spacing w:before="0" w:after="283"/>
              <w:jc w:val="left"/>
              <w:rPr/>
            </w:pPr>
            <w:r>
              <w:rPr/>
              <w:t> </w:t>
            </w:r>
          </w:p>
        </w:tc>
      </w:tr>
    </w:tbl>
    <w:tbl>
      <w:tblPr>
        <w:tblW w:w="5035" w:type="dxa"/>
        <w:jc w:val="left"/>
        <w:tblInd w:w="0" w:type="dxa"/>
        <w:tblLayout w:type="fixed"/>
        <w:tblCellMar>
          <w:top w:w="0" w:type="dxa"/>
          <w:left w:w="0" w:type="dxa"/>
          <w:bottom w:w="0" w:type="dxa"/>
          <w:right w:w="0" w:type="dxa"/>
        </w:tblCellMar>
      </w:tblPr>
      <w:tblGrid>
        <w:gridCol w:w="75"/>
        <w:gridCol w:w="380"/>
        <w:gridCol w:w="458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3.5.</w:t>
            </w:r>
          </w:p>
        </w:tc>
        <w:tc>
          <w:tcPr>
            <w:tcW w:w="4580" w:type="dxa"/>
            <w:tcBorders/>
            <w:vAlign w:val="center"/>
          </w:tcPr>
          <w:p>
            <w:pPr>
              <w:pStyle w:val="TableContents"/>
              <w:bidi w:val="0"/>
              <w:spacing w:before="0" w:after="283"/>
              <w:jc w:val="left"/>
              <w:rPr/>
            </w:pPr>
            <w:r>
              <w:rPr/>
              <w:t xml:space="preserve">Retirement, termination and other </w:t>
            </w:r>
            <w:r>
              <w:rPr>
                <w:spacing w:val="0"/>
              </w:rPr>
              <w:t>arrangements.</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4580" w:type="dxa"/>
            <w:tcBorders/>
            <w:vAlign w:val="center"/>
          </w:tcPr>
          <w:p>
            <w:pPr>
              <w:pStyle w:val="TableContents"/>
              <w:bidi w:val="0"/>
              <w:spacing w:before="0" w:after="283"/>
              <w:jc w:val="left"/>
              <w:rPr/>
            </w:pPr>
            <w:r>
              <w:rPr/>
              <w:t> </w:t>
            </w:r>
          </w:p>
        </w:tc>
      </w:tr>
    </w:tbl>
    <w:tbl>
      <w:tblPr>
        <w:tblW w:w="5028" w:type="dxa"/>
        <w:jc w:val="left"/>
        <w:tblInd w:w="0" w:type="dxa"/>
        <w:tblLayout w:type="fixed"/>
        <w:tblCellMar>
          <w:top w:w="0" w:type="dxa"/>
          <w:left w:w="0" w:type="dxa"/>
          <w:bottom w:w="0" w:type="dxa"/>
          <w:right w:w="0" w:type="dxa"/>
        </w:tblCellMar>
      </w:tblPr>
      <w:tblGrid>
        <w:gridCol w:w="215"/>
        <w:gridCol w:w="4813"/>
      </w:tblGrid>
      <w:tr>
        <w:trPr/>
        <w:tc>
          <w:tcPr>
            <w:tcW w:w="215" w:type="dxa"/>
            <w:tcBorders/>
            <w:vAlign w:val="center"/>
          </w:tcPr>
          <w:p>
            <w:pPr>
              <w:pStyle w:val="TableContents"/>
              <w:bidi w:val="0"/>
              <w:spacing w:before="0" w:after="283"/>
              <w:jc w:val="left"/>
              <w:rPr>
                <w:b/>
              </w:rPr>
            </w:pPr>
            <w:r>
              <w:rPr>
                <w:b/>
              </w:rPr>
              <w:t>4.</w:t>
            </w:r>
          </w:p>
        </w:tc>
        <w:tc>
          <w:tcPr>
            <w:tcW w:w="4813" w:type="dxa"/>
            <w:tcBorders/>
            <w:vAlign w:val="center"/>
          </w:tcPr>
          <w:p>
            <w:pPr>
              <w:pStyle w:val="TableContents"/>
              <w:bidi w:val="0"/>
              <w:spacing w:before="0" w:after="283"/>
              <w:jc w:val="left"/>
              <w:rPr>
                <w:b/>
              </w:rPr>
            </w:pPr>
            <w:r>
              <w:rPr>
                <w:b/>
              </w:rPr>
              <w:t xml:space="preserve">Ratio between variable and fixed </w:t>
            </w:r>
            <w:r>
              <w:rPr>
                <w:b/>
                <w:spacing w:val="-2"/>
              </w:rPr>
              <w:t>compensation</w:t>
            </w:r>
          </w:p>
        </w:tc>
      </w:tr>
      <w:tr>
        <w:trPr/>
        <w:tc>
          <w:tcPr>
            <w:tcW w:w="215" w:type="dxa"/>
            <w:tcBorders/>
            <w:vAlign w:val="center"/>
          </w:tcPr>
          <w:p>
            <w:pPr>
              <w:pStyle w:val="TableContents"/>
              <w:bidi w:val="0"/>
              <w:spacing w:before="0" w:after="283"/>
              <w:jc w:val="left"/>
              <w:rPr/>
            </w:pPr>
            <w:r>
              <w:rPr/>
              <w:t> </w:t>
            </w:r>
          </w:p>
        </w:tc>
        <w:tc>
          <w:tcPr>
            <w:tcW w:w="4813"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340"/>
        <w:gridCol w:w="9790"/>
      </w:tblGrid>
      <w:tr>
        <w:trPr/>
        <w:tc>
          <w:tcPr>
            <w:tcW w:w="75"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4.1.</w:t>
            </w:r>
          </w:p>
        </w:tc>
        <w:tc>
          <w:tcPr>
            <w:tcW w:w="9790" w:type="dxa"/>
            <w:tcBorders/>
            <w:vAlign w:val="center"/>
          </w:tcPr>
          <w:p>
            <w:pPr>
              <w:pStyle w:val="TableContents"/>
              <w:bidi w:val="0"/>
              <w:spacing w:before="0" w:after="283"/>
              <w:jc w:val="both"/>
              <w:rPr/>
            </w:pPr>
            <w:r>
              <w:rPr/>
              <w:t>This Policy aims to optimize the mix of Fixed Compensation and Variable Compensation (both as defined herein) in order to, among other things, appropriately incentivize Executive Officers to meet Tower's goals while considering Tower's management of business risks.</w:t>
            </w:r>
          </w:p>
        </w:tc>
      </w:tr>
      <w:tr>
        <w:trPr/>
        <w:tc>
          <w:tcPr>
            <w:tcW w:w="75"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979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326"/>
        <w:gridCol w:w="9804"/>
      </w:tblGrid>
      <w:tr>
        <w:trPr/>
        <w:tc>
          <w:tcPr>
            <w:tcW w:w="75"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4.2.</w:t>
            </w:r>
          </w:p>
        </w:tc>
        <w:tc>
          <w:tcPr>
            <w:tcW w:w="9804" w:type="dxa"/>
            <w:tcBorders/>
            <w:vAlign w:val="center"/>
          </w:tcPr>
          <w:p>
            <w:pPr>
              <w:pStyle w:val="TableContents"/>
              <w:bidi w:val="0"/>
              <w:spacing w:before="0" w:after="283"/>
              <w:jc w:val="both"/>
              <w:rPr/>
            </w:pPr>
            <w:r>
              <w:rPr/>
              <w:t xml:space="preserve">As a rule, the total of the Variable Compensation to be given to an Executive Officer over a calendar year relative to the Fixed Compensation shall not exceed the “Executive Ratio” which shall be </w:t>
            </w:r>
            <w:r>
              <w:rPr>
                <w:strike/>
              </w:rPr>
              <w:t>17</w:t>
            </w:r>
            <w:r>
              <w:rPr>
                <w:u w:val="single"/>
              </w:rPr>
              <w:t>20</w:t>
            </w:r>
            <w:r>
              <w:rPr/>
              <w:t xml:space="preserve"> for the CEO and 1</w:t>
            </w:r>
            <w:r>
              <w:rPr>
                <w:strike/>
              </w:rPr>
              <w:t>1</w:t>
            </w:r>
            <w:r>
              <w:rPr>
                <w:u w:val="single"/>
              </w:rPr>
              <w:t>4</w:t>
            </w:r>
            <w:r>
              <w:rPr/>
              <w:t xml:space="preserve"> for Other Executive Officers. The Executive Ratio is </w:t>
            </w:r>
            <w:r>
              <w:rPr>
                <w:spacing w:val="-2"/>
              </w:rPr>
              <w:t xml:space="preserve">calculated based on the following assumptions: (i) maximal possible payments that may be made </w:t>
            </w:r>
            <w:r>
              <w:rPr/>
              <w:t xml:space="preserve">to Executive Officers under the Variable Compensation covered by this Policy (bonuses and equity); (ii) any CEO relocation related reimbursement expenses included under Fixed Compensation and assuming no relocation expenses for any Other Executive Officer; and </w:t>
            </w:r>
            <w:r>
              <w:rPr>
                <w:spacing w:val="0"/>
              </w:rPr>
              <w:t>(iii) excluding any potential sign-on bonuses for new hires. The variable component in regard of the equity compensation reflects the annual amortization over the vesting period.</w:t>
            </w:r>
          </w:p>
        </w:tc>
      </w:tr>
    </w:tbl>
    <w:p>
      <w:pPr>
        <w:pStyle w:val="TextBody"/>
        <w:bidi w:val="0"/>
        <w:spacing w:before="0" w:after="283"/>
        <w:jc w:val="left"/>
        <w:rPr/>
      </w:pPr>
      <w:r>
        <w:rPr/>
        <w:t> </w:t>
      </w:r>
    </w:p>
    <w:p>
      <w:pPr>
        <w:pStyle w:val="TextBody"/>
        <w:bidi w:val="0"/>
        <w:jc w:val="center"/>
        <w:rPr/>
      </w:pPr>
      <w:r>
        <w:rPr/>
        <w:drawing>
          <wp:inline distT="0" distB="0" distL="0" distR="0">
            <wp:extent cx="7620000" cy="1181100"/>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0"/>
                    <a:stretch>
                      <a:fillRect/>
                    </a:stretch>
                  </pic:blipFill>
                  <pic:spPr bwMode="auto">
                    <a:xfrm>
                      <a:off x="0" y="0"/>
                      <a:ext cx="7620000" cy="1181100"/>
                    </a:xfrm>
                    <a:prstGeom prst="rect">
                      <a:avLst/>
                    </a:prstGeom>
                  </pic:spPr>
                </pic:pic>
              </a:graphicData>
            </a:graphic>
          </wp:inline>
        </w:drawing>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7620000" cy="10953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1"/>
                    <a:stretch>
                      <a:fillRect/>
                    </a:stretch>
                  </pic:blipFill>
                  <pic:spPr bwMode="auto">
                    <a:xfrm>
                      <a:off x="0" y="0"/>
                      <a:ext cx="7620000" cy="1095375"/>
                    </a:xfrm>
                    <a:prstGeom prst="rect">
                      <a:avLst/>
                    </a:prstGeom>
                  </pic:spPr>
                </pic:pic>
              </a:graphicData>
            </a:graphic>
          </wp:inline>
        </w:drawing>
      </w:r>
    </w:p>
    <w:p>
      <w:pPr>
        <w:pStyle w:val="TextBody"/>
        <w:bidi w:val="0"/>
        <w:spacing w:before="0" w:after="283"/>
        <w:jc w:val="left"/>
        <w:rPr/>
      </w:pPr>
      <w:r>
        <w:rPr/>
        <w:t> </w:t>
      </w:r>
    </w:p>
    <w:tbl>
      <w:tblPr>
        <w:tblW w:w="3931" w:type="dxa"/>
        <w:jc w:val="left"/>
        <w:tblInd w:w="0" w:type="dxa"/>
        <w:tblLayout w:type="fixed"/>
        <w:tblCellMar>
          <w:top w:w="0" w:type="dxa"/>
          <w:left w:w="0" w:type="dxa"/>
          <w:bottom w:w="0" w:type="dxa"/>
          <w:right w:w="0" w:type="dxa"/>
        </w:tblCellMar>
      </w:tblPr>
      <w:tblGrid>
        <w:gridCol w:w="215"/>
        <w:gridCol w:w="3716"/>
      </w:tblGrid>
      <w:tr>
        <w:trPr/>
        <w:tc>
          <w:tcPr>
            <w:tcW w:w="215" w:type="dxa"/>
            <w:tcBorders/>
            <w:vAlign w:val="center"/>
          </w:tcPr>
          <w:p>
            <w:pPr>
              <w:pStyle w:val="TableContents"/>
              <w:bidi w:val="0"/>
              <w:spacing w:before="0" w:after="283"/>
              <w:jc w:val="left"/>
              <w:rPr>
                <w:b/>
              </w:rPr>
            </w:pPr>
            <w:r>
              <w:rPr>
                <w:b/>
              </w:rPr>
              <w:t>5.</w:t>
            </w:r>
          </w:p>
        </w:tc>
        <w:tc>
          <w:tcPr>
            <w:tcW w:w="3716" w:type="dxa"/>
            <w:tcBorders/>
            <w:vAlign w:val="center"/>
          </w:tcPr>
          <w:p>
            <w:pPr>
              <w:pStyle w:val="TableContents"/>
              <w:bidi w:val="0"/>
              <w:spacing w:before="0" w:after="283"/>
              <w:jc w:val="left"/>
              <w:rPr>
                <w:b/>
                <w:spacing w:val="-2"/>
              </w:rPr>
            </w:pPr>
            <w:r>
              <w:rPr>
                <w:b/>
                <w:spacing w:val="-2"/>
              </w:rPr>
              <w:t>Inter-Company Compensation Ratio</w:t>
            </w:r>
          </w:p>
        </w:tc>
      </w:tr>
    </w:tbl>
    <w:p>
      <w:pPr>
        <w:pStyle w:val="TextBody"/>
        <w:bidi w:val="0"/>
        <w:spacing w:before="0" w:after="0"/>
        <w:ind w:left="600" w:right="0" w:hanging="0"/>
        <w:jc w:val="left"/>
        <w:rPr>
          <w:caps w:val="false"/>
          <w:smallCaps w:val="false"/>
        </w:rPr>
      </w:pPr>
      <w:r>
        <w:rPr>
          <w:caps w:val="false"/>
          <w:smallCaps w:val="false"/>
        </w:rPr>
        <w:t> </w:t>
      </w:r>
    </w:p>
    <w:p>
      <w:pPr>
        <w:pStyle w:val="TextBody"/>
        <w:bidi w:val="0"/>
        <w:spacing w:before="0" w:after="0"/>
        <w:ind w:left="6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process of composing this Policy, the possible ramifications of the Employee Ratio on the work environment in Tower were examined in order to ensure that levels of executive compensation, as compared to the overall workforce, will not have a negative impact on work relations in Tower.</w:t>
      </w:r>
    </w:p>
    <w:p>
      <w:pPr>
        <w:pStyle w:val="TextBody"/>
        <w:bidi w:val="0"/>
        <w:spacing w:before="0" w:after="0"/>
        <w:ind w:left="60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 Base Salary, Benefits and Perquisites</w:t>
      </w:r>
    </w:p>
    <w:p>
      <w:pPr>
        <w:pStyle w:val="TextBody"/>
        <w:bidi w:val="0"/>
        <w:spacing w:before="0" w:after="0"/>
        <w:jc w:val="left"/>
        <w:rPr>
          <w:caps w:val="false"/>
          <w:smallCaps w:val="false"/>
        </w:rPr>
      </w:pPr>
      <w:r>
        <w:rPr>
          <w:caps w:val="false"/>
          <w:smallCaps w:val="false"/>
        </w:rPr>
        <w:t> </w:t>
      </w:r>
    </w:p>
    <w:tbl>
      <w:tblPr>
        <w:tblW w:w="1440" w:type="dxa"/>
        <w:jc w:val="left"/>
        <w:tblInd w:w="0" w:type="dxa"/>
        <w:tblLayout w:type="fixed"/>
        <w:tblCellMar>
          <w:top w:w="0" w:type="dxa"/>
          <w:left w:w="0" w:type="dxa"/>
          <w:bottom w:w="0" w:type="dxa"/>
          <w:right w:w="0" w:type="dxa"/>
        </w:tblCellMar>
      </w:tblPr>
      <w:tblGrid>
        <w:gridCol w:w="215"/>
        <w:gridCol w:w="1225"/>
      </w:tblGrid>
      <w:tr>
        <w:trPr/>
        <w:tc>
          <w:tcPr>
            <w:tcW w:w="215" w:type="dxa"/>
            <w:tcBorders/>
            <w:vAlign w:val="center"/>
          </w:tcPr>
          <w:p>
            <w:pPr>
              <w:pStyle w:val="TableContents"/>
              <w:bidi w:val="0"/>
              <w:spacing w:before="0" w:after="283"/>
              <w:jc w:val="left"/>
              <w:rPr>
                <w:b/>
              </w:rPr>
            </w:pPr>
            <w:r>
              <w:rPr>
                <w:b/>
              </w:rPr>
              <w:t>6.</w:t>
            </w:r>
          </w:p>
        </w:tc>
        <w:tc>
          <w:tcPr>
            <w:tcW w:w="1225" w:type="dxa"/>
            <w:tcBorders/>
            <w:vAlign w:val="center"/>
          </w:tcPr>
          <w:p>
            <w:pPr>
              <w:pStyle w:val="TableContents"/>
              <w:bidi w:val="0"/>
              <w:spacing w:before="0" w:after="283"/>
              <w:jc w:val="left"/>
              <w:rPr>
                <w:b/>
              </w:rPr>
            </w:pPr>
            <w:r>
              <w:rPr>
                <w:b/>
              </w:rPr>
              <w:t xml:space="preserve">Base </w:t>
            </w:r>
            <w:r>
              <w:rPr>
                <w:b/>
                <w:spacing w:val="-2"/>
              </w:rPr>
              <w:t>Salary</w:t>
            </w:r>
          </w:p>
        </w:tc>
      </w:tr>
      <w:tr>
        <w:trPr/>
        <w:tc>
          <w:tcPr>
            <w:tcW w:w="215" w:type="dxa"/>
            <w:tcBorders/>
            <w:vAlign w:val="center"/>
          </w:tcPr>
          <w:p>
            <w:pPr>
              <w:pStyle w:val="TableContents"/>
              <w:bidi w:val="0"/>
              <w:spacing w:before="0" w:after="283"/>
              <w:jc w:val="left"/>
              <w:rPr/>
            </w:pPr>
            <w:r>
              <w:rPr/>
              <w:t> </w:t>
            </w:r>
          </w:p>
        </w:tc>
        <w:tc>
          <w:tcPr>
            <w:tcW w:w="1225"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335"/>
        <w:gridCol w:w="9795"/>
      </w:tblGrid>
      <w:tr>
        <w:trPr/>
        <w:tc>
          <w:tcPr>
            <w:tcW w:w="7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6.1.</w:t>
            </w:r>
          </w:p>
        </w:tc>
        <w:tc>
          <w:tcPr>
            <w:tcW w:w="9795" w:type="dxa"/>
            <w:tcBorders/>
            <w:vAlign w:val="center"/>
          </w:tcPr>
          <w:p>
            <w:pPr>
              <w:pStyle w:val="TableContents"/>
              <w:bidi w:val="0"/>
              <w:spacing w:before="0" w:after="283"/>
              <w:jc w:val="both"/>
              <w:rPr/>
            </w:pPr>
            <w:r>
              <w:rPr/>
              <w:t>The base salary varies between Executive Officers, and is individually determined according to the past performance, educational background, place of residence, prior business experience, qualifications, specializations, situation, role, business responsibilities and achievements of the Executive Officer and the previous salary arrangements therewith.</w:t>
            </w:r>
          </w:p>
        </w:tc>
      </w:tr>
      <w:tr>
        <w:trPr/>
        <w:tc>
          <w:tcPr>
            <w:tcW w:w="7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979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333"/>
        <w:gridCol w:w="9797"/>
      </w:tblGrid>
      <w:tr>
        <w:trPr/>
        <w:tc>
          <w:tcPr>
            <w:tcW w:w="75"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6.2.</w:t>
            </w:r>
          </w:p>
        </w:tc>
        <w:tc>
          <w:tcPr>
            <w:tcW w:w="9797" w:type="dxa"/>
            <w:tcBorders/>
            <w:vAlign w:val="center"/>
          </w:tcPr>
          <w:p>
            <w:pPr>
              <w:pStyle w:val="TableContents"/>
              <w:bidi w:val="0"/>
              <w:spacing w:before="0" w:after="283"/>
              <w:jc w:val="both"/>
              <w:rPr/>
            </w:pPr>
            <w:r>
              <w:rPr/>
              <w:t>Since a competitive base salary is essential to Tower's ability to attract and retain highly skilled professionals, Tower will seek to establish and maintain base salaries that are based on competitive market analyses. The comparative peer group will include direct competitors, or companies that operate in similar industries, with similar market capitalization, enterprise value, and/or revenues, active in similar geographic locations.</w:t>
            </w:r>
          </w:p>
        </w:tc>
      </w:tr>
      <w:tr>
        <w:trPr/>
        <w:tc>
          <w:tcPr>
            <w:tcW w:w="75"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9797" w:type="dxa"/>
            <w:tcBorders/>
            <w:vAlign w:val="center"/>
          </w:tcPr>
          <w:p>
            <w:pPr>
              <w:pStyle w:val="TableContents"/>
              <w:bidi w:val="0"/>
              <w:spacing w:before="0" w:after="283"/>
              <w:jc w:val="both"/>
              <w:rPr/>
            </w:pPr>
            <w:r>
              <w:rPr/>
              <w:t> </w:t>
            </w:r>
          </w:p>
        </w:tc>
      </w:tr>
    </w:tbl>
    <w:tbl>
      <w:tblPr>
        <w:tblW w:w="2660" w:type="dxa"/>
        <w:jc w:val="left"/>
        <w:tblInd w:w="0" w:type="dxa"/>
        <w:tblLayout w:type="fixed"/>
        <w:tblCellMar>
          <w:top w:w="0" w:type="dxa"/>
          <w:left w:w="0" w:type="dxa"/>
          <w:bottom w:w="0" w:type="dxa"/>
          <w:right w:w="0" w:type="dxa"/>
        </w:tblCellMar>
      </w:tblPr>
      <w:tblGrid>
        <w:gridCol w:w="215"/>
        <w:gridCol w:w="2445"/>
      </w:tblGrid>
      <w:tr>
        <w:trPr/>
        <w:tc>
          <w:tcPr>
            <w:tcW w:w="215" w:type="dxa"/>
            <w:tcBorders/>
            <w:vAlign w:val="center"/>
          </w:tcPr>
          <w:p>
            <w:pPr>
              <w:pStyle w:val="TableContents"/>
              <w:bidi w:val="0"/>
              <w:spacing w:before="0" w:after="283"/>
              <w:jc w:val="left"/>
              <w:rPr>
                <w:b/>
              </w:rPr>
            </w:pPr>
            <w:r>
              <w:rPr>
                <w:b/>
              </w:rPr>
              <w:t>7.</w:t>
            </w:r>
          </w:p>
        </w:tc>
        <w:tc>
          <w:tcPr>
            <w:tcW w:w="2445" w:type="dxa"/>
            <w:tcBorders/>
            <w:vAlign w:val="center"/>
          </w:tcPr>
          <w:p>
            <w:pPr>
              <w:pStyle w:val="TableContents"/>
              <w:bidi w:val="0"/>
              <w:spacing w:before="0" w:after="283"/>
              <w:jc w:val="left"/>
              <w:rPr>
                <w:b/>
              </w:rPr>
            </w:pPr>
            <w:r>
              <w:rPr>
                <w:b/>
              </w:rPr>
              <w:t xml:space="preserve">Benefits and </w:t>
            </w:r>
            <w:r>
              <w:rPr>
                <w:b/>
                <w:spacing w:val="-2"/>
              </w:rPr>
              <w:t>Perquisites</w:t>
            </w:r>
          </w:p>
        </w:tc>
      </w:tr>
      <w:tr>
        <w:trPr/>
        <w:tc>
          <w:tcPr>
            <w:tcW w:w="215" w:type="dxa"/>
            <w:tcBorders/>
            <w:vAlign w:val="center"/>
          </w:tcPr>
          <w:p>
            <w:pPr>
              <w:pStyle w:val="TableContents"/>
              <w:bidi w:val="0"/>
              <w:spacing w:before="0" w:after="283"/>
              <w:jc w:val="left"/>
              <w:rPr/>
            </w:pPr>
            <w:r>
              <w:rPr/>
              <w:t> </w:t>
            </w:r>
          </w:p>
        </w:tc>
        <w:tc>
          <w:tcPr>
            <w:tcW w:w="2445"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374"/>
        <w:gridCol w:w="9756"/>
      </w:tblGrid>
      <w:tr>
        <w:trPr/>
        <w:tc>
          <w:tcPr>
            <w:tcW w:w="75"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pPr>
            <w:r>
              <w:rPr/>
              <w:t>7.1.</w:t>
            </w:r>
          </w:p>
        </w:tc>
        <w:tc>
          <w:tcPr>
            <w:tcW w:w="9756" w:type="dxa"/>
            <w:tcBorders/>
            <w:vAlign w:val="center"/>
          </w:tcPr>
          <w:p>
            <w:pPr>
              <w:pStyle w:val="TableContents"/>
              <w:bidi w:val="0"/>
              <w:spacing w:before="0" w:after="283"/>
              <w:jc w:val="both"/>
              <w:rPr/>
            </w:pPr>
            <w:r>
              <w:rPr/>
              <w:t>Executive Officers will be entitled to benefits stated as such by relevant law and best practice for peer companies.</w:t>
            </w:r>
          </w:p>
        </w:tc>
      </w:tr>
      <w:tr>
        <w:trPr/>
        <w:tc>
          <w:tcPr>
            <w:tcW w:w="75"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pPr>
            <w:r>
              <w:rPr/>
              <w:t> </w:t>
            </w:r>
          </w:p>
        </w:tc>
        <w:tc>
          <w:tcPr>
            <w:tcW w:w="9756"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327"/>
        <w:gridCol w:w="9803"/>
      </w:tblGrid>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7.2.</w:t>
            </w:r>
          </w:p>
        </w:tc>
        <w:tc>
          <w:tcPr>
            <w:tcW w:w="9803" w:type="dxa"/>
            <w:tcBorders/>
            <w:vAlign w:val="center"/>
          </w:tcPr>
          <w:p>
            <w:pPr>
              <w:pStyle w:val="TableContents"/>
              <w:bidi w:val="0"/>
              <w:spacing w:before="0" w:after="283"/>
              <w:jc w:val="both"/>
              <w:rPr/>
            </w:pPr>
            <w:r>
              <w:rPr/>
              <w:t>Executive Officers may also be entitled to additional benefits, taking into consideration their rank, seniority in the territory they reside in, market and local practice and legislation. Such additional benefits, which shall be subject to approval of the Compensation Committee and the Board of Directors, may include, inter alia, annual vacation, sick leave, medical insurance, allocations to pensions, long term disability, -contribution to an education fund (up to the maximum allowable by law), car expenses, contribution to managers' insurance, cellular phone and laptop computer, as well as taxes and expenses which may be incurred in relation to such benefits being borne by the Company.</w:t>
            </w:r>
          </w:p>
        </w:tc>
      </w:tr>
      <w:tr>
        <w:trPr/>
        <w:tc>
          <w:tcPr>
            <w:tcW w:w="75"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9803"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336"/>
        <w:gridCol w:w="9794"/>
      </w:tblGrid>
      <w:tr>
        <w:trPr/>
        <w:tc>
          <w:tcPr>
            <w:tcW w:w="75"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7.3.</w:t>
            </w:r>
          </w:p>
        </w:tc>
        <w:tc>
          <w:tcPr>
            <w:tcW w:w="9794" w:type="dxa"/>
            <w:tcBorders/>
            <w:vAlign w:val="center"/>
          </w:tcPr>
          <w:p>
            <w:pPr>
              <w:pStyle w:val="TableContents"/>
              <w:bidi w:val="0"/>
              <w:spacing w:before="0" w:after="283"/>
              <w:jc w:val="both"/>
              <w:rPr/>
            </w:pPr>
            <w:r>
              <w:rPr/>
              <w:t>In addition, when relevant, and subject to approval of the Compensation Committee and the Board of Directors, Executive Officers may be entitled to relocation related expenses and benefits until termination, including housing costs, family flights and related repatriation costs, which shall not exceed $280,000 on an annual basis.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 Cash Bonuses</w:t>
      </w:r>
    </w:p>
    <w:p>
      <w:pPr>
        <w:pStyle w:val="TextBody"/>
        <w:bidi w:val="0"/>
        <w:spacing w:before="0" w:after="0"/>
        <w:jc w:val="left"/>
        <w:rPr>
          <w:caps w:val="false"/>
          <w:smallCaps w:val="false"/>
        </w:rPr>
      </w:pPr>
      <w:r>
        <w:rPr>
          <w:caps w:val="false"/>
          <w:smallCaps w:val="false"/>
        </w:rPr>
        <w:t> </w:t>
      </w:r>
    </w:p>
    <w:tbl>
      <w:tblPr>
        <w:tblW w:w="1727" w:type="dxa"/>
        <w:jc w:val="left"/>
        <w:tblInd w:w="0" w:type="dxa"/>
        <w:tblLayout w:type="fixed"/>
        <w:tblCellMar>
          <w:top w:w="0" w:type="dxa"/>
          <w:left w:w="0" w:type="dxa"/>
          <w:bottom w:w="0" w:type="dxa"/>
          <w:right w:w="0" w:type="dxa"/>
        </w:tblCellMar>
      </w:tblPr>
      <w:tblGrid>
        <w:gridCol w:w="215"/>
        <w:gridCol w:w="1512"/>
      </w:tblGrid>
      <w:tr>
        <w:trPr/>
        <w:tc>
          <w:tcPr>
            <w:tcW w:w="215" w:type="dxa"/>
            <w:tcBorders/>
            <w:vAlign w:val="center"/>
          </w:tcPr>
          <w:p>
            <w:pPr>
              <w:pStyle w:val="TableContents"/>
              <w:bidi w:val="0"/>
              <w:spacing w:before="0" w:after="283"/>
              <w:jc w:val="left"/>
              <w:rPr>
                <w:b/>
              </w:rPr>
            </w:pPr>
            <w:r>
              <w:rPr>
                <w:b/>
              </w:rPr>
              <w:t>8.</w:t>
            </w:r>
          </w:p>
        </w:tc>
        <w:tc>
          <w:tcPr>
            <w:tcW w:w="1512" w:type="dxa"/>
            <w:tcBorders/>
            <w:vAlign w:val="center"/>
          </w:tcPr>
          <w:p>
            <w:pPr>
              <w:pStyle w:val="TableContents"/>
              <w:bidi w:val="0"/>
              <w:spacing w:before="0" w:after="283"/>
              <w:jc w:val="left"/>
              <w:rPr>
                <w:b/>
              </w:rPr>
            </w:pPr>
            <w:r>
              <w:rPr>
                <w:b/>
              </w:rPr>
              <w:t xml:space="preserve">Sign-on </w:t>
            </w:r>
            <w:r>
              <w:rPr>
                <w:b/>
                <w:spacing w:val="-2"/>
              </w:rPr>
              <w:t>Bonus</w:t>
            </w:r>
          </w:p>
        </w:tc>
      </w:tr>
      <w:tr>
        <w:trPr/>
        <w:tc>
          <w:tcPr>
            <w:tcW w:w="215" w:type="dxa"/>
            <w:tcBorders/>
            <w:vAlign w:val="center"/>
          </w:tcPr>
          <w:p>
            <w:pPr>
              <w:pStyle w:val="TableContents"/>
              <w:bidi w:val="0"/>
              <w:spacing w:before="0" w:after="283"/>
              <w:jc w:val="left"/>
              <w:rPr/>
            </w:pPr>
            <w:r>
              <w:rPr/>
              <w:t> </w:t>
            </w:r>
          </w:p>
        </w:tc>
        <w:tc>
          <w:tcPr>
            <w:tcW w:w="1512"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362"/>
        <w:gridCol w:w="9768"/>
      </w:tblGrid>
      <w:tr>
        <w:trPr/>
        <w:tc>
          <w:tcPr>
            <w:tcW w:w="75"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pPr>
            <w:r>
              <w:rPr/>
              <w:t>8.1.</w:t>
            </w:r>
          </w:p>
        </w:tc>
        <w:tc>
          <w:tcPr>
            <w:tcW w:w="9768" w:type="dxa"/>
            <w:tcBorders/>
            <w:vAlign w:val="center"/>
          </w:tcPr>
          <w:p>
            <w:pPr>
              <w:pStyle w:val="TableContents"/>
              <w:bidi w:val="0"/>
              <w:spacing w:before="0" w:after="283"/>
              <w:jc w:val="both"/>
              <w:rPr/>
            </w:pPr>
            <w:r>
              <w:rPr/>
              <w:t>For purposes of attracting high quality personnel, Tower may offer an Executive Officer a sign-on bonus as an incentive to join the Company.</w:t>
            </w:r>
          </w:p>
        </w:tc>
      </w:tr>
      <w:tr>
        <w:trPr/>
        <w:tc>
          <w:tcPr>
            <w:tcW w:w="75"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pPr>
            <w:r>
              <w:rPr/>
              <w:t> </w:t>
            </w:r>
          </w:p>
        </w:tc>
        <w:tc>
          <w:tcPr>
            <w:tcW w:w="9768"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336"/>
        <w:gridCol w:w="9794"/>
      </w:tblGrid>
      <w:tr>
        <w:trPr/>
        <w:tc>
          <w:tcPr>
            <w:tcW w:w="75"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8.2.</w:t>
            </w:r>
          </w:p>
        </w:tc>
        <w:tc>
          <w:tcPr>
            <w:tcW w:w="9794" w:type="dxa"/>
            <w:tcBorders/>
            <w:vAlign w:val="center"/>
          </w:tcPr>
          <w:p>
            <w:pPr>
              <w:pStyle w:val="TableContents"/>
              <w:bidi w:val="0"/>
              <w:spacing w:before="0" w:after="283"/>
              <w:jc w:val="both"/>
              <w:rPr/>
            </w:pPr>
            <w:r>
              <w:rPr/>
              <w:t>The sign-on bonus may be comprised of cash and/or equity and shall not exceed an amount equal to the Executive's Officer's annual base salary. Any equity based compensation to be granted as part of a sign-on bonus shall be subject to the vesting and expiration periods, as well as the other terms with respect to equity set forth in Section 14 below.</w:t>
            </w:r>
          </w:p>
        </w:tc>
      </w:tr>
      <w:tr>
        <w:trPr/>
        <w:tc>
          <w:tcPr>
            <w:tcW w:w="75"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9794"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333"/>
        <w:gridCol w:w="9797"/>
      </w:tblGrid>
      <w:tr>
        <w:trPr/>
        <w:tc>
          <w:tcPr>
            <w:tcW w:w="75"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8.3.</w:t>
            </w:r>
          </w:p>
        </w:tc>
        <w:tc>
          <w:tcPr>
            <w:tcW w:w="9797" w:type="dxa"/>
            <w:tcBorders/>
            <w:vAlign w:val="center"/>
          </w:tcPr>
          <w:p>
            <w:pPr>
              <w:pStyle w:val="TableContents"/>
              <w:bidi w:val="0"/>
              <w:spacing w:before="0" w:after="283"/>
              <w:jc w:val="both"/>
              <w:rPr/>
            </w:pPr>
            <w:r>
              <w:rPr/>
              <w:t>The sign-on cash bonus will be paid half on signing the employment contract and half will be paid on the second anniversary from the signing date, subject to continued employment with Tower during said two year period. -In the event the employee resigns or is terminated for cause before the end of said two (2) year period, the first half of said cash bonus may be clawed back and repaid to the Company.</w:t>
            </w:r>
          </w:p>
        </w:tc>
      </w:tr>
    </w:tbl>
    <w:p>
      <w:pPr>
        <w:pStyle w:val="TextBody"/>
        <w:bidi w:val="0"/>
        <w:spacing w:before="0" w:after="283"/>
        <w:jc w:val="left"/>
        <w:rPr/>
      </w:pPr>
      <w:r>
        <w:rPr/>
        <w:t> </w:t>
      </w:r>
    </w:p>
    <w:p>
      <w:pPr>
        <w:pStyle w:val="TextBody"/>
        <w:bidi w:val="0"/>
        <w:jc w:val="center"/>
        <w:rPr/>
      </w:pPr>
      <w:r>
        <w:rPr/>
        <w:t> </w:t>
      </w:r>
      <w:r>
        <w:rPr/>
        <w:drawing>
          <wp:inline distT="0" distB="0" distL="0" distR="0">
            <wp:extent cx="7620000" cy="1181100"/>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2"/>
                    <a:stretch>
                      <a:fillRect/>
                    </a:stretch>
                  </pic:blipFill>
                  <pic:spPr bwMode="auto">
                    <a:xfrm>
                      <a:off x="0" y="0"/>
                      <a:ext cx="7620000" cy="1181100"/>
                    </a:xfrm>
                    <a:prstGeom prst="rect">
                      <a:avLst/>
                    </a:prstGeom>
                  </pic:spPr>
                </pic:pic>
              </a:graphicData>
            </a:graphic>
          </wp:inline>
        </w:drawing>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7620000" cy="10953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3"/>
                    <a:stretch>
                      <a:fillRect/>
                    </a:stretch>
                  </pic:blipFill>
                  <pic:spPr bwMode="auto">
                    <a:xfrm>
                      <a:off x="0" y="0"/>
                      <a:ext cx="7620000" cy="1095375"/>
                    </a:xfrm>
                    <a:prstGeom prst="rect">
                      <a:avLst/>
                    </a:prstGeom>
                  </pic:spPr>
                </pic:pic>
              </a:graphicData>
            </a:graphic>
          </wp:inline>
        </w:drawing>
      </w:r>
    </w:p>
    <w:p>
      <w:pPr>
        <w:pStyle w:val="TextBody"/>
        <w:bidi w:val="0"/>
        <w:spacing w:before="0" w:after="283"/>
        <w:jc w:val="left"/>
        <w:rPr/>
      </w:pPr>
      <w:r>
        <w:rPr/>
        <w:t> </w:t>
      </w:r>
    </w:p>
    <w:tbl>
      <w:tblPr>
        <w:tblW w:w="6294" w:type="dxa"/>
        <w:jc w:val="left"/>
        <w:tblInd w:w="0" w:type="dxa"/>
        <w:tblLayout w:type="fixed"/>
        <w:tblCellMar>
          <w:top w:w="0" w:type="dxa"/>
          <w:left w:w="0" w:type="dxa"/>
          <w:bottom w:w="0" w:type="dxa"/>
          <w:right w:w="0" w:type="dxa"/>
        </w:tblCellMar>
      </w:tblPr>
      <w:tblGrid>
        <w:gridCol w:w="215"/>
        <w:gridCol w:w="6079"/>
      </w:tblGrid>
      <w:tr>
        <w:trPr/>
        <w:tc>
          <w:tcPr>
            <w:tcW w:w="215" w:type="dxa"/>
            <w:tcBorders/>
            <w:vAlign w:val="center"/>
          </w:tcPr>
          <w:p>
            <w:pPr>
              <w:pStyle w:val="TableContents"/>
              <w:bidi w:val="0"/>
              <w:spacing w:before="0" w:after="283"/>
              <w:jc w:val="left"/>
              <w:rPr>
                <w:b/>
              </w:rPr>
            </w:pPr>
            <w:r>
              <w:rPr>
                <w:b/>
              </w:rPr>
              <w:t>9.</w:t>
            </w:r>
          </w:p>
        </w:tc>
        <w:tc>
          <w:tcPr>
            <w:tcW w:w="6079" w:type="dxa"/>
            <w:tcBorders/>
            <w:vAlign w:val="center"/>
          </w:tcPr>
          <w:p>
            <w:pPr>
              <w:pStyle w:val="TableContents"/>
              <w:bidi w:val="0"/>
              <w:spacing w:before="0" w:after="283"/>
              <w:jc w:val="left"/>
              <w:rPr>
                <w:b/>
              </w:rPr>
            </w:pPr>
            <w:r>
              <w:rPr>
                <w:b/>
              </w:rPr>
              <w:t xml:space="preserve">Annual Bonus - The Objective, Components and </w:t>
            </w:r>
            <w:r>
              <w:rPr>
                <w:b/>
                <w:spacing w:val="-2"/>
              </w:rPr>
              <w:t>Threshold</w:t>
            </w:r>
          </w:p>
        </w:tc>
      </w:tr>
      <w:tr>
        <w:trPr/>
        <w:tc>
          <w:tcPr>
            <w:tcW w:w="215" w:type="dxa"/>
            <w:tcBorders/>
            <w:vAlign w:val="center"/>
          </w:tcPr>
          <w:p>
            <w:pPr>
              <w:pStyle w:val="TableContents"/>
              <w:bidi w:val="0"/>
              <w:spacing w:before="0" w:after="283"/>
              <w:jc w:val="left"/>
              <w:rPr/>
            </w:pPr>
            <w:r>
              <w:rPr/>
              <w:t> </w:t>
            </w:r>
          </w:p>
        </w:tc>
        <w:tc>
          <w:tcPr>
            <w:tcW w:w="6079"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341"/>
        <w:gridCol w:w="9789"/>
      </w:tblGrid>
      <w:tr>
        <w:trPr/>
        <w:tc>
          <w:tcPr>
            <w:tcW w:w="75"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9.1.</w:t>
            </w:r>
          </w:p>
        </w:tc>
        <w:tc>
          <w:tcPr>
            <w:tcW w:w="9789" w:type="dxa"/>
            <w:tcBorders/>
            <w:vAlign w:val="center"/>
          </w:tcPr>
          <w:p>
            <w:pPr>
              <w:pStyle w:val="TableContents"/>
              <w:bidi w:val="0"/>
              <w:spacing w:before="0" w:after="283"/>
              <w:jc w:val="both"/>
              <w:rPr/>
            </w:pPr>
            <w:r>
              <w:rPr/>
              <w:t>Compensation in the form of cash bonus(es) is an important element in aligning Executive Officers' compensation with Tower's objectives and business goals in the long-term, such that both individual performance and overall company success are rewarded.</w:t>
            </w:r>
          </w:p>
        </w:tc>
      </w:tr>
      <w:tr>
        <w:trPr/>
        <w:tc>
          <w:tcPr>
            <w:tcW w:w="75"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9789"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333"/>
        <w:gridCol w:w="9797"/>
      </w:tblGrid>
      <w:tr>
        <w:trPr/>
        <w:tc>
          <w:tcPr>
            <w:tcW w:w="75"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9.2.</w:t>
            </w:r>
          </w:p>
        </w:tc>
        <w:tc>
          <w:tcPr>
            <w:tcW w:w="9797" w:type="dxa"/>
            <w:tcBorders/>
            <w:vAlign w:val="center"/>
          </w:tcPr>
          <w:p>
            <w:pPr>
              <w:pStyle w:val="TableContents"/>
              <w:bidi w:val="0"/>
              <w:spacing w:before="0" w:after="283"/>
              <w:jc w:val="both"/>
              <w:rPr/>
            </w:pPr>
            <w:r>
              <w:rPr/>
              <w:t>Tower's policy is to allow annual cash bonuses, which may be awarded to the Executive Officers upon the attainment of pre-set annual measurable objectives and personal performance, which are set in the first quarter of the year, and include minimum thresholds for performance, as well as individual and/or division/department performance goals and personal development goals for Other Executive Officers.</w:t>
            </w:r>
          </w:p>
        </w:tc>
      </w:tr>
      <w:tr>
        <w:trPr/>
        <w:tc>
          <w:tcPr>
            <w:tcW w:w="75" w:type="dxa"/>
            <w:tcBorders/>
            <w:vAlign w:val="center"/>
          </w:tcPr>
          <w:p>
            <w:pPr>
              <w:pStyle w:val="TableContents"/>
              <w:bidi w:val="0"/>
              <w:spacing w:before="0" w:after="283"/>
              <w:jc w:val="left"/>
              <w:rPr/>
            </w:pPr>
            <w:r>
              <w:rPr/>
              <w:t> </w:t>
            </w:r>
          </w:p>
        </w:tc>
        <w:tc>
          <w:tcPr>
            <w:tcW w:w="333" w:type="dxa"/>
            <w:tcBorders/>
            <w:vAlign w:val="center"/>
          </w:tcPr>
          <w:p>
            <w:pPr>
              <w:pStyle w:val="TableContents"/>
              <w:bidi w:val="0"/>
              <w:spacing w:before="0" w:after="283"/>
              <w:jc w:val="left"/>
              <w:rPr/>
            </w:pPr>
            <w:r>
              <w:rPr/>
              <w:t> </w:t>
            </w:r>
          </w:p>
        </w:tc>
        <w:tc>
          <w:tcPr>
            <w:tcW w:w="9797"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348"/>
        <w:gridCol w:w="9782"/>
      </w:tblGrid>
      <w:tr>
        <w:trPr/>
        <w:tc>
          <w:tcPr>
            <w:tcW w:w="75" w:type="dxa"/>
            <w:tcBorders/>
            <w:vAlign w:val="center"/>
          </w:tcPr>
          <w:p>
            <w:pPr>
              <w:pStyle w:val="TableContents"/>
              <w:bidi w:val="0"/>
              <w:spacing w:before="0" w:after="283"/>
              <w:jc w:val="left"/>
              <w:rPr/>
            </w:pPr>
            <w:r>
              <w:rPr/>
              <w:t> </w:t>
            </w:r>
          </w:p>
        </w:tc>
        <w:tc>
          <w:tcPr>
            <w:tcW w:w="348" w:type="dxa"/>
            <w:tcBorders/>
            <w:vAlign w:val="center"/>
          </w:tcPr>
          <w:p>
            <w:pPr>
              <w:pStyle w:val="TableContents"/>
              <w:bidi w:val="0"/>
              <w:spacing w:before="0" w:after="283"/>
              <w:jc w:val="left"/>
              <w:rPr/>
            </w:pPr>
            <w:r>
              <w:rPr/>
              <w:t>9.3.</w:t>
            </w:r>
          </w:p>
        </w:tc>
        <w:tc>
          <w:tcPr>
            <w:tcW w:w="9782" w:type="dxa"/>
            <w:tcBorders/>
            <w:vAlign w:val="center"/>
          </w:tcPr>
          <w:p>
            <w:pPr>
              <w:pStyle w:val="TableContents"/>
              <w:bidi w:val="0"/>
              <w:spacing w:before="0" w:after="283"/>
              <w:jc w:val="both"/>
              <w:rPr/>
            </w:pPr>
            <w:r>
              <w:rPr/>
              <w:t>A pre-defined mechanism will include bonus criteria based on the following components, with the weight (in percentage terms) of each group of measures as a portion of the annual criteria as set out below:</w:t>
            </w:r>
          </w:p>
        </w:tc>
      </w:tr>
    </w:tbl>
    <w:p>
      <w:pPr>
        <w:pStyle w:val="TextBody"/>
        <w:bidi w:val="0"/>
        <w:spacing w:before="0" w:after="0"/>
        <w:ind w:left="1200" w:right="0" w:hanging="0"/>
        <w:jc w:val="both"/>
        <w:rPr>
          <w:caps w:val="false"/>
          <w:smallCaps w:val="false"/>
        </w:rPr>
      </w:pPr>
      <w:r>
        <w:rPr>
          <w:caps w:val="false"/>
          <w:smallCaps w:val="false"/>
        </w:rPr>
        <w:t> </w:t>
      </w:r>
    </w:p>
    <w:p>
      <w:pPr>
        <w:pStyle w:val="TextBody"/>
        <w:bidi w:val="0"/>
        <w:spacing w:before="0" w:after="0"/>
        <w:ind w:left="12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Corporate MBO Score (as defined herein) that is calculated in any year based on Tower financial/operational/strategic measures (subject to bonus threshold criteria), such as the criteria specified below, which score can range from 0 to 1.5. Each measure has 3 points: threshold, base and maximum.</w:t>
      </w:r>
    </w:p>
    <w:p>
      <w:pPr>
        <w:pStyle w:val="TextBody"/>
        <w:bidi w:val="0"/>
        <w:spacing w:before="0" w:after="0"/>
        <w:ind w:left="1200" w:right="0" w:hanging="0"/>
        <w:jc w:val="both"/>
        <w:rPr>
          <w:caps w:val="false"/>
          <w:smallCaps w:val="false"/>
        </w:rPr>
      </w:pPr>
      <w:r>
        <w:rPr>
          <w:caps w:val="false"/>
          <w:smallCaps w:val="false"/>
        </w:rPr>
        <w:t> </w:t>
      </w:r>
    </w:p>
    <w:tbl>
      <w:tblPr>
        <w:tblW w:w="5855" w:type="dxa"/>
        <w:jc w:val="left"/>
        <w:tblInd w:w="0" w:type="dxa"/>
        <w:tblLayout w:type="fixed"/>
        <w:tblCellMar>
          <w:top w:w="0" w:type="dxa"/>
          <w:left w:w="0" w:type="dxa"/>
          <w:bottom w:w="0" w:type="dxa"/>
          <w:right w:w="0" w:type="dxa"/>
        </w:tblCellMar>
      </w:tblPr>
      <w:tblGrid>
        <w:gridCol w:w="75"/>
        <w:gridCol w:w="125"/>
        <w:gridCol w:w="565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5655" w:type="dxa"/>
            <w:tcBorders/>
            <w:vAlign w:val="center"/>
          </w:tcPr>
          <w:p>
            <w:pPr>
              <w:pStyle w:val="TableContents"/>
              <w:bidi w:val="0"/>
              <w:spacing w:before="0" w:after="283"/>
              <w:jc w:val="left"/>
              <w:rPr/>
            </w:pPr>
            <w:r>
              <w:rPr/>
              <w:t xml:space="preserve">Financials metrics: </w:t>
            </w:r>
            <w:r>
              <w:rPr>
                <w:strike/>
              </w:rPr>
              <w:t>3</w:t>
            </w:r>
            <w:r>
              <w:rPr>
                <w:u w:val="single"/>
              </w:rPr>
              <w:t>4</w:t>
            </w:r>
            <w:r>
              <w:rPr/>
              <w:t>0-</w:t>
            </w:r>
            <w:r>
              <w:rPr>
                <w:strike/>
              </w:rPr>
              <w:t>7</w:t>
            </w:r>
            <w:r>
              <w:rPr>
                <w:u w:val="single"/>
              </w:rPr>
              <w:t>9</w:t>
            </w:r>
            <w:r>
              <w:rPr/>
              <w:t xml:space="preserve">0%, including categories such </w:t>
            </w:r>
            <w:r>
              <w:rPr>
                <w:spacing w:val="-5"/>
              </w:rPr>
              <w:t>as:</w:t>
            </w:r>
          </w:p>
        </w:tc>
      </w:tr>
    </w:tbl>
    <w:tbl>
      <w:tblPr>
        <w:tblW w:w="1078" w:type="dxa"/>
        <w:jc w:val="left"/>
        <w:tblInd w:w="0" w:type="dxa"/>
        <w:tblLayout w:type="fixed"/>
        <w:tblCellMar>
          <w:top w:w="0" w:type="dxa"/>
          <w:left w:w="0" w:type="dxa"/>
          <w:bottom w:w="0" w:type="dxa"/>
          <w:right w:w="0" w:type="dxa"/>
        </w:tblCellMar>
      </w:tblPr>
      <w:tblGrid>
        <w:gridCol w:w="75"/>
        <w:gridCol w:w="140"/>
        <w:gridCol w:w="863"/>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63" w:type="dxa"/>
            <w:tcBorders/>
            <w:vAlign w:val="center"/>
          </w:tcPr>
          <w:p>
            <w:pPr>
              <w:pStyle w:val="TableContents"/>
              <w:bidi w:val="0"/>
              <w:spacing w:before="0" w:after="283"/>
              <w:jc w:val="left"/>
              <w:rPr>
                <w:spacing w:val="-2"/>
              </w:rPr>
            </w:pPr>
            <w:r>
              <w:rPr>
                <w:spacing w:val="-2"/>
              </w:rPr>
              <w:t>Revenue</w:t>
            </w:r>
          </w:p>
        </w:tc>
      </w:tr>
    </w:tbl>
    <w:tbl>
      <w:tblPr>
        <w:tblW w:w="1140" w:type="dxa"/>
        <w:jc w:val="left"/>
        <w:tblInd w:w="0" w:type="dxa"/>
        <w:tblLayout w:type="fixed"/>
        <w:tblCellMar>
          <w:top w:w="0" w:type="dxa"/>
          <w:left w:w="0" w:type="dxa"/>
          <w:bottom w:w="0" w:type="dxa"/>
          <w:right w:w="0" w:type="dxa"/>
        </w:tblCellMar>
      </w:tblPr>
      <w:tblGrid>
        <w:gridCol w:w="75"/>
        <w:gridCol w:w="140"/>
        <w:gridCol w:w="92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25" w:type="dxa"/>
            <w:tcBorders/>
            <w:vAlign w:val="center"/>
          </w:tcPr>
          <w:p>
            <w:pPr>
              <w:pStyle w:val="TableContents"/>
              <w:bidi w:val="0"/>
              <w:spacing w:before="0" w:after="283"/>
              <w:jc w:val="left"/>
              <w:rPr>
                <w:spacing w:val="-2"/>
              </w:rPr>
            </w:pPr>
            <w:r>
              <w:rPr>
                <w:spacing w:val="-2"/>
              </w:rPr>
              <w:t>EBITDA</w:t>
            </w:r>
          </w:p>
        </w:tc>
      </w:tr>
    </w:tbl>
    <w:tbl>
      <w:tblPr>
        <w:tblW w:w="1498" w:type="dxa"/>
        <w:jc w:val="left"/>
        <w:tblInd w:w="0" w:type="dxa"/>
        <w:tblLayout w:type="fixed"/>
        <w:tblCellMar>
          <w:top w:w="0" w:type="dxa"/>
          <w:left w:w="0" w:type="dxa"/>
          <w:bottom w:w="0" w:type="dxa"/>
          <w:right w:w="0" w:type="dxa"/>
        </w:tblCellMar>
      </w:tblPr>
      <w:tblGrid>
        <w:gridCol w:w="75"/>
        <w:gridCol w:w="140"/>
        <w:gridCol w:w="1283"/>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83" w:type="dxa"/>
            <w:tcBorders/>
            <w:vAlign w:val="center"/>
          </w:tcPr>
          <w:p>
            <w:pPr>
              <w:pStyle w:val="TableContents"/>
              <w:bidi w:val="0"/>
              <w:spacing w:before="0" w:after="283"/>
              <w:jc w:val="left"/>
              <w:rPr/>
            </w:pPr>
            <w:r>
              <w:rPr/>
              <w:t xml:space="preserve">Cash </w:t>
            </w:r>
            <w:r>
              <w:rPr>
                <w:spacing w:val="-2"/>
              </w:rPr>
              <w:t>balance</w:t>
            </w:r>
          </w:p>
        </w:tc>
      </w:tr>
    </w:tbl>
    <w:tbl>
      <w:tblPr>
        <w:tblW w:w="1155" w:type="dxa"/>
        <w:jc w:val="left"/>
        <w:tblInd w:w="0" w:type="dxa"/>
        <w:tblLayout w:type="fixed"/>
        <w:tblCellMar>
          <w:top w:w="0" w:type="dxa"/>
          <w:left w:w="0" w:type="dxa"/>
          <w:bottom w:w="0" w:type="dxa"/>
          <w:right w:w="0" w:type="dxa"/>
        </w:tblCellMar>
      </w:tblPr>
      <w:tblGrid>
        <w:gridCol w:w="75"/>
        <w:gridCol w:w="140"/>
        <w:gridCol w:w="94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40" w:type="dxa"/>
            <w:tcBorders/>
            <w:vAlign w:val="center"/>
          </w:tcPr>
          <w:p>
            <w:pPr>
              <w:pStyle w:val="TableContents"/>
              <w:bidi w:val="0"/>
              <w:spacing w:before="0" w:after="283"/>
              <w:jc w:val="left"/>
              <w:rPr/>
            </w:pPr>
            <w:r>
              <w:rPr/>
              <w:t xml:space="preserve">Net </w:t>
            </w:r>
            <w:r>
              <w:rPr>
                <w:spacing w:val="-2"/>
              </w:rPr>
              <w:t>profit</w:t>
            </w:r>
          </w:p>
        </w:tc>
      </w:tr>
    </w:tbl>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283"/>
              <w:jc w:val="left"/>
              <w:rPr/>
            </w:pPr>
            <w:r>
              <w:rPr/>
              <w:t>Specific annual balance sheet cap-table related metrics, focused on increasing shareholders' value, such as balance sheet ratios, refinancing, restructurings.</w:t>
            </w:r>
          </w:p>
        </w:tc>
      </w:tr>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990" w:type="dxa"/>
            <w:tcBorders/>
            <w:vAlign w:val="center"/>
          </w:tcPr>
          <w:p>
            <w:pPr>
              <w:pStyle w:val="TableContents"/>
              <w:bidi w:val="0"/>
              <w:spacing w:before="0" w:after="283"/>
              <w:jc w:val="left"/>
              <w:rPr/>
            </w:pPr>
            <w:r>
              <w:rPr/>
              <w:t> </w:t>
            </w:r>
          </w:p>
        </w:tc>
      </w:tr>
    </w:tbl>
    <w:tbl>
      <w:tblPr>
        <w:tblW w:w="6920" w:type="dxa"/>
        <w:jc w:val="left"/>
        <w:tblInd w:w="0" w:type="dxa"/>
        <w:tblLayout w:type="fixed"/>
        <w:tblCellMar>
          <w:top w:w="0" w:type="dxa"/>
          <w:left w:w="0" w:type="dxa"/>
          <w:bottom w:w="0" w:type="dxa"/>
          <w:right w:w="0" w:type="dxa"/>
        </w:tblCellMar>
      </w:tblPr>
      <w:tblGrid>
        <w:gridCol w:w="75"/>
        <w:gridCol w:w="125"/>
        <w:gridCol w:w="672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6720" w:type="dxa"/>
            <w:tcBorders/>
            <w:vAlign w:val="center"/>
          </w:tcPr>
          <w:p>
            <w:pPr>
              <w:pStyle w:val="TableContents"/>
              <w:bidi w:val="0"/>
              <w:spacing w:before="0" w:after="283"/>
              <w:jc w:val="left"/>
              <w:rPr/>
            </w:pPr>
            <w:r>
              <w:rPr/>
              <w:t xml:space="preserve">Business - Strategic &amp; tactical : </w:t>
            </w:r>
            <w:r>
              <w:rPr>
                <w:strike/>
              </w:rPr>
              <w:t>15</w:t>
            </w:r>
            <w:r>
              <w:rPr>
                <w:u w:val="single"/>
              </w:rPr>
              <w:t>0</w:t>
            </w:r>
            <w:r>
              <w:rPr/>
              <w:t xml:space="preserve">-50%, including categories such </w:t>
            </w:r>
            <w:r>
              <w:rPr>
                <w:spacing w:val="-5"/>
              </w:rPr>
              <w:t>as:</w:t>
            </w:r>
          </w:p>
        </w:tc>
      </w:tr>
    </w:tbl>
    <w:tbl>
      <w:tblPr>
        <w:tblW w:w="9385" w:type="dxa"/>
        <w:jc w:val="left"/>
        <w:tblInd w:w="0" w:type="dxa"/>
        <w:tblLayout w:type="fixed"/>
        <w:tblCellMar>
          <w:top w:w="0" w:type="dxa"/>
          <w:left w:w="0" w:type="dxa"/>
          <w:bottom w:w="0" w:type="dxa"/>
          <w:right w:w="0" w:type="dxa"/>
        </w:tblCellMar>
      </w:tblPr>
      <w:tblGrid>
        <w:gridCol w:w="75"/>
        <w:gridCol w:w="140"/>
        <w:gridCol w:w="917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170" w:type="dxa"/>
            <w:tcBorders/>
            <w:vAlign w:val="center"/>
          </w:tcPr>
          <w:p>
            <w:pPr>
              <w:pStyle w:val="TableContents"/>
              <w:bidi w:val="0"/>
              <w:spacing w:before="0" w:after="283"/>
              <w:jc w:val="left"/>
              <w:rPr/>
            </w:pPr>
            <w:r>
              <w:rPr/>
              <w:t>Existing customers and revenue funnel which is the base for the following years' revenue growth</w:t>
            </w:r>
          </w:p>
        </w:tc>
      </w:tr>
    </w:tbl>
    <w:tbl>
      <w:tblPr>
        <w:tblW w:w="4031" w:type="dxa"/>
        <w:jc w:val="left"/>
        <w:tblInd w:w="0" w:type="dxa"/>
        <w:tblLayout w:type="fixed"/>
        <w:tblCellMar>
          <w:top w:w="0" w:type="dxa"/>
          <w:left w:w="0" w:type="dxa"/>
          <w:bottom w:w="0" w:type="dxa"/>
          <w:right w:w="0" w:type="dxa"/>
        </w:tblCellMar>
      </w:tblPr>
      <w:tblGrid>
        <w:gridCol w:w="75"/>
        <w:gridCol w:w="140"/>
        <w:gridCol w:w="3816"/>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3816" w:type="dxa"/>
            <w:tcBorders/>
            <w:vAlign w:val="center"/>
          </w:tcPr>
          <w:p>
            <w:pPr>
              <w:pStyle w:val="TableContents"/>
              <w:bidi w:val="0"/>
              <w:spacing w:before="0" w:after="283"/>
              <w:jc w:val="left"/>
              <w:rPr/>
            </w:pPr>
            <w:r>
              <w:rPr/>
              <w:t xml:space="preserve">Business Units major strategic </w:t>
            </w:r>
            <w:r>
              <w:rPr>
                <w:spacing w:val="-2"/>
              </w:rPr>
              <w:t>programs</w:t>
            </w:r>
          </w:p>
        </w:tc>
      </w:tr>
    </w:tbl>
    <w:tbl>
      <w:tblPr>
        <w:tblW w:w="2308" w:type="dxa"/>
        <w:jc w:val="left"/>
        <w:tblInd w:w="0" w:type="dxa"/>
        <w:tblLayout w:type="fixed"/>
        <w:tblCellMar>
          <w:top w:w="0" w:type="dxa"/>
          <w:left w:w="0" w:type="dxa"/>
          <w:bottom w:w="0" w:type="dxa"/>
          <w:right w:w="0" w:type="dxa"/>
        </w:tblCellMar>
      </w:tblPr>
      <w:tblGrid>
        <w:gridCol w:w="75"/>
        <w:gridCol w:w="140"/>
        <w:gridCol w:w="2093"/>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2093" w:type="dxa"/>
            <w:tcBorders/>
            <w:vAlign w:val="center"/>
          </w:tcPr>
          <w:p>
            <w:pPr>
              <w:pStyle w:val="TableContents"/>
              <w:bidi w:val="0"/>
              <w:spacing w:before="0" w:after="283"/>
              <w:jc w:val="left"/>
              <w:rPr/>
            </w:pPr>
            <w:r>
              <w:rPr/>
              <w:t xml:space="preserve">Specific M&amp;A </w:t>
            </w:r>
            <w:r>
              <w:rPr>
                <w:spacing w:val="-2"/>
              </w:rPr>
              <w:t>targets</w:t>
            </w:r>
          </w:p>
        </w:tc>
      </w:tr>
    </w:tbl>
    <w:tbl>
      <w:tblPr>
        <w:tblW w:w="5497" w:type="dxa"/>
        <w:jc w:val="left"/>
        <w:tblInd w:w="0" w:type="dxa"/>
        <w:tblLayout w:type="fixed"/>
        <w:tblCellMar>
          <w:top w:w="0" w:type="dxa"/>
          <w:left w:w="0" w:type="dxa"/>
          <w:bottom w:w="0" w:type="dxa"/>
          <w:right w:w="0" w:type="dxa"/>
        </w:tblCellMar>
      </w:tblPr>
      <w:tblGrid>
        <w:gridCol w:w="75"/>
        <w:gridCol w:w="140"/>
        <w:gridCol w:w="5282"/>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282" w:type="dxa"/>
            <w:tcBorders/>
            <w:vAlign w:val="center"/>
          </w:tcPr>
          <w:p>
            <w:pPr>
              <w:pStyle w:val="TableContents"/>
              <w:bidi w:val="0"/>
              <w:spacing w:before="0" w:after="283"/>
              <w:jc w:val="left"/>
              <w:rPr/>
            </w:pPr>
            <w:r>
              <w:rPr/>
              <w:t xml:space="preserve">Annual specific major tactical customer driven </w:t>
            </w:r>
            <w:r>
              <w:rPr>
                <w:spacing w:val="-2"/>
              </w:rPr>
              <w:t>activities</w:t>
            </w:r>
          </w:p>
        </w:tc>
      </w:tr>
    </w:tbl>
    <w:tbl>
      <w:tblPr>
        <w:tblW w:w="7898" w:type="dxa"/>
        <w:jc w:val="left"/>
        <w:tblInd w:w="0" w:type="dxa"/>
        <w:tblLayout w:type="fixed"/>
        <w:tblCellMar>
          <w:top w:w="0" w:type="dxa"/>
          <w:left w:w="0" w:type="dxa"/>
          <w:bottom w:w="0" w:type="dxa"/>
          <w:right w:w="0" w:type="dxa"/>
        </w:tblCellMar>
      </w:tblPr>
      <w:tblGrid>
        <w:gridCol w:w="75"/>
        <w:gridCol w:w="140"/>
        <w:gridCol w:w="7683"/>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683" w:type="dxa"/>
            <w:tcBorders/>
            <w:vAlign w:val="center"/>
          </w:tcPr>
          <w:p>
            <w:pPr>
              <w:pStyle w:val="TableContents"/>
              <w:bidi w:val="0"/>
              <w:spacing w:before="0" w:after="283"/>
              <w:jc w:val="left"/>
              <w:rPr>
                <w:spacing w:val="-2"/>
              </w:rPr>
            </w:pPr>
            <w:r>
              <w:rPr>
                <w:spacing w:val="-2"/>
              </w:rPr>
              <w:t>Customer support, including categories such as top customers scorecards feedback</w:t>
            </w:r>
          </w:p>
        </w:tc>
      </w:tr>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683" w:type="dxa"/>
            <w:tcBorders/>
            <w:vAlign w:val="center"/>
          </w:tcPr>
          <w:p>
            <w:pPr>
              <w:pStyle w:val="TableContents"/>
              <w:bidi w:val="0"/>
              <w:spacing w:before="0" w:after="283"/>
              <w:jc w:val="left"/>
              <w:rPr/>
            </w:pPr>
            <w:r>
              <w:rPr/>
              <w:t> </w:t>
            </w:r>
          </w:p>
        </w:tc>
      </w:tr>
    </w:tbl>
    <w:tbl>
      <w:tblPr>
        <w:tblW w:w="5015" w:type="dxa"/>
        <w:jc w:val="left"/>
        <w:tblInd w:w="0" w:type="dxa"/>
        <w:tblLayout w:type="fixed"/>
        <w:tblCellMar>
          <w:top w:w="0" w:type="dxa"/>
          <w:left w:w="0" w:type="dxa"/>
          <w:bottom w:w="0" w:type="dxa"/>
          <w:right w:w="0" w:type="dxa"/>
        </w:tblCellMar>
      </w:tblPr>
      <w:tblGrid>
        <w:gridCol w:w="75"/>
        <w:gridCol w:w="125"/>
        <w:gridCol w:w="481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4815" w:type="dxa"/>
            <w:tcBorders/>
            <w:vAlign w:val="center"/>
          </w:tcPr>
          <w:p>
            <w:pPr>
              <w:pStyle w:val="TableContents"/>
              <w:bidi w:val="0"/>
              <w:spacing w:before="0" w:after="283"/>
              <w:jc w:val="left"/>
              <w:rPr/>
            </w:pPr>
            <w:r>
              <w:rPr/>
              <w:t xml:space="preserve">Operations : </w:t>
            </w:r>
            <w:r>
              <w:rPr>
                <w:strike/>
              </w:rPr>
              <w:t>1</w:t>
            </w:r>
            <w:r>
              <w:rPr/>
              <w:t xml:space="preserve">0-40%, including categories such </w:t>
            </w:r>
            <w:r>
              <w:rPr>
                <w:spacing w:val="-5"/>
              </w:rPr>
              <w:t>as:</w:t>
            </w:r>
          </w:p>
        </w:tc>
      </w:tr>
    </w:tbl>
    <w:tbl>
      <w:tblPr>
        <w:tblW w:w="673" w:type="dxa"/>
        <w:jc w:val="left"/>
        <w:tblInd w:w="0" w:type="dxa"/>
        <w:tblLayout w:type="fixed"/>
        <w:tblCellMar>
          <w:top w:w="0" w:type="dxa"/>
          <w:left w:w="0" w:type="dxa"/>
          <w:bottom w:w="0" w:type="dxa"/>
          <w:right w:w="0" w:type="dxa"/>
        </w:tblCellMar>
      </w:tblPr>
      <w:tblGrid>
        <w:gridCol w:w="75"/>
        <w:gridCol w:w="140"/>
        <w:gridCol w:w="458"/>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458" w:type="dxa"/>
            <w:tcBorders/>
            <w:vAlign w:val="center"/>
          </w:tcPr>
          <w:p>
            <w:pPr>
              <w:pStyle w:val="TableContents"/>
              <w:bidi w:val="0"/>
              <w:spacing w:before="0" w:after="283"/>
              <w:jc w:val="left"/>
              <w:rPr>
                <w:spacing w:val="-4"/>
              </w:rPr>
            </w:pPr>
            <w:r>
              <w:rPr>
                <w:spacing w:val="-4"/>
              </w:rPr>
              <w:t>Cost</w:t>
            </w:r>
          </w:p>
        </w:tc>
      </w:tr>
    </w:tbl>
    <w:tbl>
      <w:tblPr>
        <w:tblW w:w="1826" w:type="dxa"/>
        <w:jc w:val="left"/>
        <w:tblInd w:w="0" w:type="dxa"/>
        <w:tblLayout w:type="fixed"/>
        <w:tblCellMar>
          <w:top w:w="0" w:type="dxa"/>
          <w:left w:w="0" w:type="dxa"/>
          <w:bottom w:w="0" w:type="dxa"/>
          <w:right w:w="0" w:type="dxa"/>
        </w:tblCellMar>
      </w:tblPr>
      <w:tblGrid>
        <w:gridCol w:w="75"/>
        <w:gridCol w:w="140"/>
        <w:gridCol w:w="1611"/>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611" w:type="dxa"/>
            <w:tcBorders/>
            <w:vAlign w:val="center"/>
          </w:tcPr>
          <w:p>
            <w:pPr>
              <w:pStyle w:val="TableContents"/>
              <w:bidi w:val="0"/>
              <w:spacing w:before="0" w:after="283"/>
              <w:jc w:val="left"/>
              <w:rPr/>
            </w:pPr>
            <w:r>
              <w:rPr/>
              <w:t xml:space="preserve">On time </w:t>
            </w:r>
            <w:r>
              <w:rPr>
                <w:spacing w:val="-2"/>
              </w:rPr>
              <w:t>delivery</w:t>
            </w:r>
          </w:p>
        </w:tc>
      </w:tr>
    </w:tbl>
    <w:tbl>
      <w:tblPr>
        <w:tblW w:w="943" w:type="dxa"/>
        <w:jc w:val="left"/>
        <w:tblInd w:w="0" w:type="dxa"/>
        <w:tblLayout w:type="fixed"/>
        <w:tblCellMar>
          <w:top w:w="0" w:type="dxa"/>
          <w:left w:w="0" w:type="dxa"/>
          <w:bottom w:w="0" w:type="dxa"/>
          <w:right w:w="0" w:type="dxa"/>
        </w:tblCellMar>
      </w:tblPr>
      <w:tblGrid>
        <w:gridCol w:w="75"/>
        <w:gridCol w:w="140"/>
        <w:gridCol w:w="728"/>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28" w:type="dxa"/>
            <w:tcBorders/>
            <w:vAlign w:val="center"/>
          </w:tcPr>
          <w:p>
            <w:pPr>
              <w:pStyle w:val="TableContents"/>
              <w:bidi w:val="0"/>
              <w:spacing w:before="0" w:after="283"/>
              <w:jc w:val="left"/>
              <w:rPr>
                <w:spacing w:val="-2"/>
              </w:rPr>
            </w:pPr>
            <w:r>
              <w:rPr>
                <w:spacing w:val="-2"/>
              </w:rPr>
              <w:t>Quality</w:t>
            </w:r>
          </w:p>
        </w:tc>
      </w:tr>
    </w:tbl>
    <w:tbl>
      <w:tblPr>
        <w:tblW w:w="4048" w:type="dxa"/>
        <w:jc w:val="left"/>
        <w:tblInd w:w="0" w:type="dxa"/>
        <w:tblLayout w:type="fixed"/>
        <w:tblCellMar>
          <w:top w:w="0" w:type="dxa"/>
          <w:left w:w="0" w:type="dxa"/>
          <w:bottom w:w="0" w:type="dxa"/>
          <w:right w:w="0" w:type="dxa"/>
        </w:tblCellMar>
      </w:tblPr>
      <w:tblGrid>
        <w:gridCol w:w="75"/>
        <w:gridCol w:w="140"/>
        <w:gridCol w:w="3833"/>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3833" w:type="dxa"/>
            <w:tcBorders/>
            <w:vAlign w:val="center"/>
          </w:tcPr>
          <w:p>
            <w:pPr>
              <w:pStyle w:val="TableContents"/>
              <w:bidi w:val="0"/>
              <w:spacing w:before="0" w:after="283"/>
              <w:jc w:val="left"/>
              <w:rPr/>
            </w:pPr>
            <w:r>
              <w:rPr/>
              <w:t xml:space="preserve">Other measurable manufacturing </w:t>
            </w:r>
            <w:r>
              <w:rPr>
                <w:spacing w:val="-2"/>
              </w:rPr>
              <w:t>indices</w:t>
            </w:r>
          </w:p>
        </w:tc>
      </w:tr>
    </w:tbl>
    <w:tbl>
      <w:tblPr>
        <w:tblW w:w="840" w:type="dxa"/>
        <w:jc w:val="left"/>
        <w:tblInd w:w="0" w:type="dxa"/>
        <w:tblLayout w:type="fixed"/>
        <w:tblCellMar>
          <w:top w:w="0" w:type="dxa"/>
          <w:left w:w="0" w:type="dxa"/>
          <w:bottom w:w="0" w:type="dxa"/>
          <w:right w:w="0" w:type="dxa"/>
        </w:tblCellMar>
      </w:tblPr>
      <w:tblGrid>
        <w:gridCol w:w="75"/>
        <w:gridCol w:w="140"/>
        <w:gridCol w:w="62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25" w:type="dxa"/>
            <w:tcBorders/>
            <w:vAlign w:val="center"/>
          </w:tcPr>
          <w:p>
            <w:pPr>
              <w:pStyle w:val="TableContents"/>
              <w:bidi w:val="0"/>
              <w:spacing w:before="0" w:after="283"/>
              <w:jc w:val="left"/>
              <w:rPr>
                <w:spacing w:val="-2"/>
              </w:rPr>
            </w:pPr>
            <w:r>
              <w:rPr>
                <w:spacing w:val="-2"/>
              </w:rPr>
              <w:t>Safety</w:t>
            </w:r>
          </w:p>
        </w:tc>
      </w:tr>
    </w:tbl>
    <w:tbl>
      <w:tblPr>
        <w:tblW w:w="5365" w:type="dxa"/>
        <w:jc w:val="left"/>
        <w:tblInd w:w="0" w:type="dxa"/>
        <w:tblLayout w:type="fixed"/>
        <w:tblCellMar>
          <w:top w:w="0" w:type="dxa"/>
          <w:left w:w="0" w:type="dxa"/>
          <w:bottom w:w="0" w:type="dxa"/>
          <w:right w:w="0" w:type="dxa"/>
        </w:tblCellMar>
      </w:tblPr>
      <w:tblGrid>
        <w:gridCol w:w="75"/>
        <w:gridCol w:w="140"/>
        <w:gridCol w:w="515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150" w:type="dxa"/>
            <w:tcBorders/>
            <w:vAlign w:val="center"/>
          </w:tcPr>
          <w:p>
            <w:pPr>
              <w:pStyle w:val="TableContents"/>
              <w:bidi w:val="0"/>
              <w:spacing w:before="0" w:after="283"/>
              <w:jc w:val="left"/>
              <w:rPr/>
            </w:pPr>
            <w:r>
              <w:rPr/>
              <w:t>Annually specific activities (such as capacity increase)</w:t>
            </w:r>
          </w:p>
        </w:tc>
      </w:tr>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283"/>
              <w:jc w:val="left"/>
              <w:rPr/>
            </w:pPr>
            <w:r>
              <w:rPr/>
              <w:t> </w:t>
            </w:r>
          </w:p>
        </w:tc>
      </w:tr>
    </w:tbl>
    <w:tbl>
      <w:tblPr>
        <w:tblW w:w="4265" w:type="dxa"/>
        <w:jc w:val="left"/>
        <w:tblInd w:w="0" w:type="dxa"/>
        <w:tblLayout w:type="fixed"/>
        <w:tblCellMar>
          <w:top w:w="0" w:type="dxa"/>
          <w:left w:w="0" w:type="dxa"/>
          <w:bottom w:w="0" w:type="dxa"/>
          <w:right w:w="0" w:type="dxa"/>
        </w:tblCellMar>
      </w:tblPr>
      <w:tblGrid>
        <w:gridCol w:w="75"/>
        <w:gridCol w:w="125"/>
        <w:gridCol w:w="406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Wingdings" w:hAnsi="Wingdings"/>
              </w:rPr>
            </w:pPr>
            <w:r>
              <w:rPr>
                <w:rFonts w:ascii="Wingdings" w:hAnsi="Wingdings"/>
              </w:rPr>
              <w:t>§</w:t>
            </w:r>
          </w:p>
        </w:tc>
        <w:tc>
          <w:tcPr>
            <w:tcW w:w="4065" w:type="dxa"/>
            <w:tcBorders/>
            <w:vAlign w:val="center"/>
          </w:tcPr>
          <w:p>
            <w:pPr>
              <w:pStyle w:val="TableContents"/>
              <w:bidi w:val="0"/>
              <w:spacing w:before="0" w:after="283"/>
              <w:jc w:val="left"/>
              <w:rPr/>
            </w:pPr>
            <w:r>
              <w:rPr/>
              <w:t xml:space="preserve">HR: </w:t>
            </w:r>
            <w:r>
              <w:rPr>
                <w:strike/>
              </w:rPr>
              <w:t>5</w:t>
            </w:r>
            <w:r>
              <w:rPr>
                <w:u w:val="single"/>
              </w:rPr>
              <w:t>0</w:t>
            </w:r>
            <w:r>
              <w:rPr/>
              <w:t xml:space="preserve">-15%, including categories such </w:t>
            </w:r>
            <w:r>
              <w:rPr>
                <w:spacing w:val="-5"/>
              </w:rPr>
              <w:t>as:</w:t>
            </w:r>
          </w:p>
        </w:tc>
      </w:tr>
    </w:tbl>
    <w:tbl>
      <w:tblPr>
        <w:tblW w:w="2065" w:type="dxa"/>
        <w:jc w:val="left"/>
        <w:tblInd w:w="0" w:type="dxa"/>
        <w:tblLayout w:type="fixed"/>
        <w:tblCellMar>
          <w:top w:w="0" w:type="dxa"/>
          <w:left w:w="0" w:type="dxa"/>
          <w:bottom w:w="0" w:type="dxa"/>
          <w:right w:w="0" w:type="dxa"/>
        </w:tblCellMar>
      </w:tblPr>
      <w:tblGrid>
        <w:gridCol w:w="75"/>
        <w:gridCol w:w="140"/>
        <w:gridCol w:w="185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850" w:type="dxa"/>
            <w:tcBorders/>
            <w:vAlign w:val="center"/>
          </w:tcPr>
          <w:p>
            <w:pPr>
              <w:pStyle w:val="TableContents"/>
              <w:bidi w:val="0"/>
              <w:spacing w:before="0" w:after="283"/>
              <w:jc w:val="left"/>
              <w:rPr/>
            </w:pPr>
            <w:r>
              <w:rPr/>
              <w:t xml:space="preserve">Employee </w:t>
            </w:r>
            <w:r>
              <w:rPr>
                <w:spacing w:val="0"/>
              </w:rPr>
              <w:t>turnover</w:t>
            </w:r>
          </w:p>
        </w:tc>
      </w:tr>
    </w:tbl>
    <w:tbl>
      <w:tblPr>
        <w:tblW w:w="2605" w:type="dxa"/>
        <w:jc w:val="left"/>
        <w:tblInd w:w="0" w:type="dxa"/>
        <w:tblLayout w:type="fixed"/>
        <w:tblCellMar>
          <w:top w:w="0" w:type="dxa"/>
          <w:left w:w="0" w:type="dxa"/>
          <w:bottom w:w="0" w:type="dxa"/>
          <w:right w:w="0" w:type="dxa"/>
        </w:tblCellMar>
      </w:tblPr>
      <w:tblGrid>
        <w:gridCol w:w="75"/>
        <w:gridCol w:w="140"/>
        <w:gridCol w:w="23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2390" w:type="dxa"/>
            <w:tcBorders/>
            <w:vAlign w:val="center"/>
          </w:tcPr>
          <w:p>
            <w:pPr>
              <w:pStyle w:val="TableContents"/>
              <w:bidi w:val="0"/>
              <w:spacing w:before="0" w:after="283"/>
              <w:jc w:val="left"/>
              <w:rPr/>
            </w:pPr>
            <w:r>
              <w:rPr/>
              <w:t xml:space="preserve">Talent programs' </w:t>
            </w:r>
            <w:r>
              <w:rPr>
                <w:spacing w:val="0"/>
              </w:rPr>
              <w:t>success</w:t>
            </w:r>
          </w:p>
        </w:tc>
      </w:tr>
    </w:tbl>
    <w:tbl>
      <w:tblPr>
        <w:tblW w:w="2455" w:type="dxa"/>
        <w:jc w:val="left"/>
        <w:tblInd w:w="0" w:type="dxa"/>
        <w:tblLayout w:type="fixed"/>
        <w:tblCellMar>
          <w:top w:w="0" w:type="dxa"/>
          <w:left w:w="0" w:type="dxa"/>
          <w:bottom w:w="0" w:type="dxa"/>
          <w:right w:w="0" w:type="dxa"/>
        </w:tblCellMar>
      </w:tblPr>
      <w:tblGrid>
        <w:gridCol w:w="75"/>
        <w:gridCol w:w="140"/>
        <w:gridCol w:w="224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left"/>
              <w:rPr/>
            </w:pPr>
            <w:r>
              <w:rPr/>
              <w:t xml:space="preserve">Employees' </w:t>
            </w:r>
            <w:r>
              <w:rPr>
                <w:spacing w:val="0"/>
              </w:rPr>
              <w:t>satisfaction</w:t>
            </w:r>
          </w:p>
        </w:tc>
      </w:tr>
    </w:tbl>
    <w:p>
      <w:pPr>
        <w:pStyle w:val="TextBody"/>
        <w:bidi w:val="0"/>
        <w:spacing w:before="0" w:after="0"/>
        <w:ind w:left="1200" w:right="0" w:hanging="0"/>
        <w:jc w:val="both"/>
        <w:rPr>
          <w:caps w:val="false"/>
          <w:smallCaps w:val="false"/>
        </w:rPr>
      </w:pPr>
      <w:r>
        <w:rPr>
          <w:caps w:val="false"/>
          <w:smallCaps w:val="false"/>
        </w:rPr>
        <w:t> </w:t>
      </w:r>
    </w:p>
    <w:p>
      <w:pPr>
        <w:pStyle w:val="TextBody"/>
        <w:bidi w:val="0"/>
        <w:spacing w:before="0" w:after="0"/>
        <w:ind w:left="12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score granted to the Executive Officer after an evaluation of his/her individual performance, considering the position of the Executive Officer and the contribution of the Executive Officer to the achievement of the Company's targets. The B score will result in a bonus (not subject to the bonus threshold) as described below.</w:t>
      </w:r>
    </w:p>
    <w:p>
      <w:pPr>
        <w:pStyle w:val="TextBody"/>
        <w:bidi w:val="0"/>
        <w:spacing w:before="0" w:after="0"/>
        <w:ind w:left="12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47"/>
        <w:gridCol w:w="9783"/>
      </w:tblGrid>
      <w:tr>
        <w:trPr/>
        <w:tc>
          <w:tcPr>
            <w:tcW w:w="75" w:type="dxa"/>
            <w:tcBorders/>
            <w:vAlign w:val="center"/>
          </w:tcPr>
          <w:p>
            <w:pPr>
              <w:pStyle w:val="TableContents"/>
              <w:bidi w:val="0"/>
              <w:spacing w:before="0" w:after="283"/>
              <w:jc w:val="left"/>
              <w:rPr/>
            </w:pPr>
            <w:r>
              <w:rPr/>
              <w:t> </w:t>
            </w:r>
          </w:p>
        </w:tc>
        <w:tc>
          <w:tcPr>
            <w:tcW w:w="347" w:type="dxa"/>
            <w:tcBorders/>
            <w:vAlign w:val="center"/>
          </w:tcPr>
          <w:p>
            <w:pPr>
              <w:pStyle w:val="TableContents"/>
              <w:bidi w:val="0"/>
              <w:spacing w:before="0" w:after="283"/>
              <w:jc w:val="left"/>
              <w:rPr/>
            </w:pPr>
            <w:r>
              <w:rPr/>
              <w:t>9.4.</w:t>
            </w:r>
          </w:p>
        </w:tc>
        <w:tc>
          <w:tcPr>
            <w:tcW w:w="9783" w:type="dxa"/>
            <w:tcBorders/>
            <w:vAlign w:val="center"/>
          </w:tcPr>
          <w:p>
            <w:pPr>
              <w:pStyle w:val="TableContents"/>
              <w:bidi w:val="0"/>
              <w:spacing w:before="0" w:after="283"/>
              <w:jc w:val="both"/>
              <w:rPr/>
            </w:pPr>
            <w:r>
              <w:rPr/>
              <w:t>General bonus threshold – if the Corporate MBO Score is less than the applicable score set forth in Section 10 below, no bonus will be granted for the “A” component of the Corporate MBO Score in such year.</w:t>
            </w:r>
          </w:p>
        </w:tc>
      </w:tr>
    </w:tbl>
    <w:p>
      <w:pPr>
        <w:pStyle w:val="TextBody"/>
        <w:bidi w:val="0"/>
        <w:spacing w:before="0" w:after="283"/>
        <w:jc w:val="left"/>
        <w:rPr/>
      </w:pPr>
      <w:r>
        <w:rPr/>
        <w:t> </w:t>
      </w:r>
    </w:p>
    <w:p>
      <w:pPr>
        <w:pStyle w:val="TextBody"/>
        <w:bidi w:val="0"/>
        <w:jc w:val="center"/>
        <w:rPr/>
      </w:pPr>
      <w:r>
        <w:rPr/>
        <w:t> </w:t>
      </w:r>
      <w:r>
        <w:rPr/>
        <w:drawing>
          <wp:inline distT="0" distB="0" distL="0" distR="0">
            <wp:extent cx="7620000" cy="1181100"/>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4"/>
                    <a:stretch>
                      <a:fillRect/>
                    </a:stretch>
                  </pic:blipFill>
                  <pic:spPr bwMode="auto">
                    <a:xfrm>
                      <a:off x="0" y="0"/>
                      <a:ext cx="7620000" cy="1181100"/>
                    </a:xfrm>
                    <a:prstGeom prst="rect">
                      <a:avLst/>
                    </a:prstGeom>
                  </pic:spPr>
                </pic:pic>
              </a:graphicData>
            </a:graphic>
          </wp:inline>
        </w:drawing>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7620000" cy="10953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75"/>
                    <a:stretch>
                      <a:fillRect/>
                    </a:stretch>
                  </pic:blipFill>
                  <pic:spPr bwMode="auto">
                    <a:xfrm>
                      <a:off x="0" y="0"/>
                      <a:ext cx="7620000" cy="1095375"/>
                    </a:xfrm>
                    <a:prstGeom prst="rect">
                      <a:avLst/>
                    </a:prstGeom>
                  </pic:spPr>
                </pic:pic>
              </a:graphicData>
            </a:graphic>
          </wp:inline>
        </w:drawing>
      </w:r>
    </w:p>
    <w:p>
      <w:pPr>
        <w:pStyle w:val="TextBody"/>
        <w:bidi w:val="0"/>
        <w:spacing w:before="0" w:after="283"/>
        <w:jc w:val="left"/>
        <w:rPr/>
      </w:pPr>
      <w:r>
        <w:rPr/>
        <w:t> </w:t>
      </w:r>
    </w:p>
    <w:tbl>
      <w:tblPr>
        <w:tblW w:w="1708" w:type="dxa"/>
        <w:jc w:val="left"/>
        <w:tblInd w:w="0" w:type="dxa"/>
        <w:tblLayout w:type="fixed"/>
        <w:tblCellMar>
          <w:top w:w="0" w:type="dxa"/>
          <w:left w:w="0" w:type="dxa"/>
          <w:bottom w:w="0" w:type="dxa"/>
          <w:right w:w="0" w:type="dxa"/>
        </w:tblCellMar>
      </w:tblPr>
      <w:tblGrid>
        <w:gridCol w:w="335"/>
        <w:gridCol w:w="1373"/>
      </w:tblGrid>
      <w:tr>
        <w:trPr/>
        <w:tc>
          <w:tcPr>
            <w:tcW w:w="335" w:type="dxa"/>
            <w:tcBorders/>
            <w:vAlign w:val="center"/>
          </w:tcPr>
          <w:p>
            <w:pPr>
              <w:pStyle w:val="TableContents"/>
              <w:bidi w:val="0"/>
              <w:spacing w:before="0" w:after="283"/>
              <w:jc w:val="left"/>
              <w:rPr>
                <w:b/>
              </w:rPr>
            </w:pPr>
            <w:r>
              <w:rPr>
                <w:b/>
              </w:rPr>
              <w:t>10.</w:t>
            </w:r>
          </w:p>
        </w:tc>
        <w:tc>
          <w:tcPr>
            <w:tcW w:w="1373" w:type="dxa"/>
            <w:tcBorders/>
            <w:vAlign w:val="center"/>
          </w:tcPr>
          <w:p>
            <w:pPr>
              <w:pStyle w:val="TableContents"/>
              <w:bidi w:val="0"/>
              <w:spacing w:before="0" w:after="283"/>
              <w:jc w:val="left"/>
              <w:rPr>
                <w:b/>
              </w:rPr>
            </w:pPr>
            <w:r>
              <w:rPr>
                <w:b/>
              </w:rPr>
              <w:t xml:space="preserve">The </w:t>
            </w:r>
            <w:r>
              <w:rPr>
                <w:b/>
                <w:spacing w:val="-2"/>
              </w:rPr>
              <w:t>Formula</w:t>
            </w:r>
          </w:p>
        </w:tc>
      </w:tr>
      <w:tr>
        <w:trPr/>
        <w:tc>
          <w:tcPr>
            <w:tcW w:w="335" w:type="dxa"/>
            <w:tcBorders/>
            <w:vAlign w:val="center"/>
          </w:tcPr>
          <w:p>
            <w:pPr>
              <w:pStyle w:val="TableContents"/>
              <w:bidi w:val="0"/>
              <w:spacing w:before="0" w:after="283"/>
              <w:jc w:val="left"/>
              <w:rPr/>
            </w:pPr>
            <w:r>
              <w:rPr/>
              <w:t> </w:t>
            </w:r>
          </w:p>
        </w:tc>
        <w:tc>
          <w:tcPr>
            <w:tcW w:w="1373"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452"/>
        <w:gridCol w:w="9678"/>
      </w:tblGrid>
      <w:tr>
        <w:trPr/>
        <w:tc>
          <w:tcPr>
            <w:tcW w:w="75"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left"/>
              <w:rPr/>
            </w:pPr>
            <w:r>
              <w:rPr/>
              <w:t>10.1.</w:t>
            </w:r>
          </w:p>
        </w:tc>
        <w:tc>
          <w:tcPr>
            <w:tcW w:w="9678" w:type="dxa"/>
            <w:tcBorders/>
            <w:vAlign w:val="center"/>
          </w:tcPr>
          <w:p>
            <w:pPr>
              <w:pStyle w:val="TableContents"/>
              <w:bidi w:val="0"/>
              <w:spacing w:before="0" w:after="283"/>
              <w:jc w:val="both"/>
              <w:rPr/>
            </w:pPr>
            <w:r>
              <w:rPr/>
              <w:t>The annual bonus will be based on the measurable objectives of the Company as described above. Such measurable criteria will be determined for each fiscal year as a function of the annual operating plan that is approved by the Board of Directors before the end of the first quarter of each year, and will include financial, operational and strategic measures, on the basis of the balance between long term and short term considerations.</w:t>
            </w:r>
          </w:p>
        </w:tc>
      </w:tr>
      <w:tr>
        <w:trPr/>
        <w:tc>
          <w:tcPr>
            <w:tcW w:w="75"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left"/>
              <w:rPr/>
            </w:pPr>
            <w:r>
              <w:rPr/>
              <w:t> </w:t>
            </w:r>
          </w:p>
        </w:tc>
        <w:tc>
          <w:tcPr>
            <w:tcW w:w="9678" w:type="dxa"/>
            <w:tcBorders/>
            <w:vAlign w:val="center"/>
          </w:tcPr>
          <w:p>
            <w:pPr>
              <w:pStyle w:val="TableContents"/>
              <w:bidi w:val="0"/>
              <w:spacing w:before="0" w:after="283"/>
              <w:jc w:val="both"/>
              <w:rPr/>
            </w:pPr>
            <w:r>
              <w:rPr/>
              <w:t> </w:t>
            </w:r>
          </w:p>
        </w:tc>
      </w:tr>
    </w:tbl>
    <w:tbl>
      <w:tblPr>
        <w:tblW w:w="7573" w:type="dxa"/>
        <w:jc w:val="left"/>
        <w:tblInd w:w="0" w:type="dxa"/>
        <w:tblLayout w:type="fixed"/>
        <w:tblCellMar>
          <w:top w:w="0" w:type="dxa"/>
          <w:left w:w="0" w:type="dxa"/>
          <w:bottom w:w="0" w:type="dxa"/>
          <w:right w:w="0" w:type="dxa"/>
        </w:tblCellMar>
      </w:tblPr>
      <w:tblGrid>
        <w:gridCol w:w="75"/>
        <w:gridCol w:w="500"/>
        <w:gridCol w:w="6998"/>
      </w:tblGrid>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10.2.</w:t>
            </w:r>
          </w:p>
        </w:tc>
        <w:tc>
          <w:tcPr>
            <w:tcW w:w="6998" w:type="dxa"/>
            <w:tcBorders/>
            <w:vAlign w:val="center"/>
          </w:tcPr>
          <w:p>
            <w:pPr>
              <w:pStyle w:val="TableContents"/>
              <w:bidi w:val="0"/>
              <w:spacing w:before="0" w:after="283"/>
              <w:jc w:val="left"/>
              <w:rPr>
                <w:u w:val="single"/>
              </w:rPr>
            </w:pPr>
            <w:r>
              <w:rPr>
                <w:u w:val="single"/>
              </w:rPr>
              <w:t xml:space="preserve">The annual bonus of the CEO will be calculated using the below </w:t>
            </w:r>
            <w:r>
              <w:rPr>
                <w:spacing w:val="-2"/>
                <w:u w:val="single"/>
              </w:rPr>
              <w:t>formula:</w:t>
            </w:r>
          </w:p>
        </w:tc>
      </w:tr>
    </w:tbl>
    <w:p>
      <w:pPr>
        <w:pStyle w:val="TextBody"/>
        <w:bidi w:val="0"/>
        <w:spacing w:before="0" w:after="0"/>
        <w:ind w:left="1200" w:right="0" w:hanging="0"/>
        <w:jc w:val="both"/>
        <w:rPr>
          <w:caps w:val="false"/>
          <w:smallCaps w:val="false"/>
        </w:rPr>
      </w:pPr>
      <w:r>
        <w:rPr>
          <w:caps w:val="false"/>
          <w:smallCaps w:val="false"/>
        </w:rPr>
        <w:t> </w:t>
      </w:r>
    </w:p>
    <w:p>
      <w:pPr>
        <w:pStyle w:val="TextBody"/>
        <w:bidi w:val="0"/>
        <w:spacing w:before="0" w:after="0"/>
        <w:ind w:left="12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CEO monthly actual base salary x [A + B] = Total </w:t>
      </w:r>
      <w:r>
        <w:rPr>
          <w:rFonts w:ascii="Times New Roman;Times;Serif" w:hAnsi="Times New Roman;Times;Serif"/>
          <w:b w:val="false"/>
          <w:i w:val="false"/>
          <w:caps w:val="false"/>
          <w:smallCaps w:val="false"/>
          <w:spacing w:val="0"/>
          <w:sz w:val="20"/>
        </w:rPr>
        <w:t>Payout</w:t>
      </w:r>
    </w:p>
    <w:p>
      <w:pPr>
        <w:pStyle w:val="TextBody"/>
        <w:bidi w:val="0"/>
        <w:spacing w:before="0" w:after="0"/>
        <w:ind w:left="1200" w:right="0" w:hanging="0"/>
        <w:jc w:val="both"/>
        <w:rPr>
          <w:caps w:val="false"/>
          <w:smallCaps w:val="false"/>
        </w:rPr>
      </w:pPr>
      <w:r>
        <w:rPr>
          <w:caps w:val="false"/>
          <w:smallCaps w:val="false"/>
        </w:rPr>
        <w:t> </w:t>
      </w:r>
    </w:p>
    <w:p>
      <w:pPr>
        <w:pStyle w:val="TextBody"/>
        <w:bidi w:val="0"/>
        <w:spacing w:before="0" w:after="0"/>
        <w:ind w:left="12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 component applicable to this Section 10.2, after meeting the minimum threshold which enables a bonus, multiple sections (financial/operational/strategic measures) will have individual weights and criteria, with the weight (in percentage terms) of each measure as a portion of the annual criteria, such that the total "A" component of the bonus shall be set at 7.5 months, 15 months and 21 months of the CEO’s monthly base salary for "A" scores of 0.7, 1.0 and 1.3, respectively. Between each two of the abovementioned scores, the "A" component shall be calculated linearly based on the Corporate MBO Score. The maximum bonus amount under the "A" component is capped at 21 months of the CEO's monthly base salary for any "A" score of 1.3 or above.</w:t>
      </w:r>
    </w:p>
    <w:p>
      <w:pPr>
        <w:pStyle w:val="TextBody"/>
        <w:bidi w:val="0"/>
        <w:spacing w:before="0" w:after="0"/>
        <w:ind w:left="1200" w:right="0" w:hanging="0"/>
        <w:jc w:val="both"/>
        <w:rPr>
          <w:caps w:val="false"/>
          <w:smallCaps w:val="false"/>
        </w:rPr>
      </w:pPr>
      <w:r>
        <w:rPr>
          <w:caps w:val="false"/>
          <w:smallCaps w:val="false"/>
        </w:rPr>
        <w:t> </w:t>
      </w:r>
    </w:p>
    <w:p>
      <w:pPr>
        <w:pStyle w:val="TextBody"/>
        <w:bidi w:val="0"/>
        <w:spacing w:before="0" w:after="0"/>
        <w:ind w:left="12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"B" component, a bonus with an annual cap of 3 monthly base salaries may be granted according to the chairman of the board of director's recommendation in regard to an evaluation of the CEO's individual performance, and subject to Compensation Committee and Board of Directors approval.</w:t>
      </w:r>
    </w:p>
    <w:p>
      <w:pPr>
        <w:pStyle w:val="TextBody"/>
        <w:bidi w:val="0"/>
        <w:spacing w:before="0" w:after="0"/>
        <w:ind w:left="1200" w:right="0" w:hanging="0"/>
        <w:jc w:val="both"/>
        <w:rPr>
          <w:caps w:val="false"/>
          <w:smallCaps w:val="false"/>
        </w:rPr>
      </w:pPr>
      <w:r>
        <w:rPr>
          <w:caps w:val="false"/>
          <w:smallCaps w:val="false"/>
        </w:rPr>
        <w:t> </w:t>
      </w:r>
    </w:p>
    <w:p>
      <w:pPr>
        <w:pStyle w:val="TextBody"/>
        <w:bidi w:val="0"/>
        <w:spacing w:before="0" w:after="0"/>
        <w:ind w:left="12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minimum threshold for the entitlement of the CEO to receive the bonus under the "A" component is a weighted average Corporate MBO Score of 0.7. </w:t>
      </w:r>
      <w:r>
        <w:rPr>
          <w:rFonts w:ascii="Times New Roman;Times;Serif" w:hAnsi="Times New Roman;Times;Serif"/>
          <w:b w:val="false"/>
          <w:i w:val="false"/>
          <w:caps w:val="false"/>
          <w:smallCaps w:val="false"/>
          <w:sz w:val="20"/>
          <w:u w:val="single"/>
        </w:rPr>
        <w:t>The Board of Directors may define additional threshold(s) at its discretion.</w:t>
      </w:r>
      <w:r>
        <w:rPr>
          <w:rFonts w:ascii="Times New Roman;Times;Serif" w:hAnsi="Times New Roman;Times;Serif"/>
          <w:b w:val="false"/>
          <w:i w:val="false"/>
          <w:caps w:val="false"/>
          <w:smallCaps w:val="false"/>
          <w:sz w:val="20"/>
        </w:rPr>
        <w:t xml:space="preserve"> The entitlement for the "B" component of the cash bonus has no minimal threshold.</w:t>
      </w:r>
    </w:p>
    <w:p>
      <w:pPr>
        <w:pStyle w:val="TextBody"/>
        <w:bidi w:val="0"/>
        <w:spacing w:before="0" w:after="0"/>
        <w:ind w:left="12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78"/>
        <w:gridCol w:w="9652"/>
      </w:tblGrid>
      <w:tr>
        <w:trPr/>
        <w:tc>
          <w:tcPr>
            <w:tcW w:w="75"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283"/>
              <w:jc w:val="left"/>
              <w:rPr/>
            </w:pPr>
            <w:r>
              <w:rPr/>
              <w:t>10.3.</w:t>
            </w:r>
          </w:p>
        </w:tc>
        <w:tc>
          <w:tcPr>
            <w:tcW w:w="9652" w:type="dxa"/>
            <w:tcBorders/>
            <w:vAlign w:val="center"/>
          </w:tcPr>
          <w:p>
            <w:pPr>
              <w:pStyle w:val="TableContents"/>
              <w:bidi w:val="0"/>
              <w:spacing w:before="0" w:after="283"/>
              <w:jc w:val="both"/>
              <w:rPr/>
            </w:pPr>
            <w:r>
              <w:rPr/>
              <w:t>The annual bonuses of Other Executive Officers will not exceed the Executive Maximum Amount, subject to the Executive Ratio described in 4.2 above.</w:t>
            </w:r>
          </w:p>
        </w:tc>
      </w:tr>
      <w:tr>
        <w:trPr/>
        <w:tc>
          <w:tcPr>
            <w:tcW w:w="75" w:type="dxa"/>
            <w:tcBorders/>
            <w:vAlign w:val="center"/>
          </w:tcPr>
          <w:p>
            <w:pPr>
              <w:pStyle w:val="TableContents"/>
              <w:bidi w:val="0"/>
              <w:spacing w:before="0" w:after="283"/>
              <w:jc w:val="left"/>
              <w:rPr/>
            </w:pPr>
            <w:r>
              <w:rPr/>
              <w:t> </w:t>
            </w:r>
          </w:p>
        </w:tc>
        <w:tc>
          <w:tcPr>
            <w:tcW w:w="478" w:type="dxa"/>
            <w:tcBorders/>
            <w:vAlign w:val="center"/>
          </w:tcPr>
          <w:p>
            <w:pPr>
              <w:pStyle w:val="TableContents"/>
              <w:bidi w:val="0"/>
              <w:spacing w:before="0" w:after="283"/>
              <w:jc w:val="left"/>
              <w:rPr/>
            </w:pPr>
            <w:r>
              <w:rPr/>
              <w:t> </w:t>
            </w:r>
          </w:p>
        </w:tc>
        <w:tc>
          <w:tcPr>
            <w:tcW w:w="9652"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450"/>
        <w:gridCol w:w="9680"/>
      </w:tblGrid>
      <w:tr>
        <w:trPr/>
        <w:tc>
          <w:tcPr>
            <w:tcW w:w="75"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283"/>
              <w:jc w:val="left"/>
              <w:rPr/>
            </w:pPr>
            <w:r>
              <w:rPr/>
              <w:t>10.4.</w:t>
            </w:r>
          </w:p>
        </w:tc>
        <w:tc>
          <w:tcPr>
            <w:tcW w:w="9680" w:type="dxa"/>
            <w:tcBorders/>
            <w:vAlign w:val="center"/>
          </w:tcPr>
          <w:p>
            <w:pPr>
              <w:pStyle w:val="TableContents"/>
              <w:bidi w:val="0"/>
              <w:spacing w:before="0" w:after="283"/>
              <w:jc w:val="both"/>
              <w:rPr/>
            </w:pPr>
            <w:r>
              <w:rPr/>
              <w:t xml:space="preserve">The minimum threshold for the entitlement of the Other Executive Officers to receive the bonus under the "A" component is a weighted average Corporate MBO Score of 0.65. </w:t>
            </w:r>
            <w:r>
              <w:rPr>
                <w:u w:val="single"/>
              </w:rPr>
              <w:t>The Board of Directors may define additional threshold(s) at its discretion.</w:t>
            </w:r>
            <w:r>
              <w:rPr/>
              <w:t xml:space="preserve"> The entitlement for the "B" component of the cash bonus has no minimal threshold. Achievement of the individual and/or division/department performance goals and personal development goals of the Other Executive Officers may have a minimum threshold according to the CEO’s discretion.</w:t>
            </w:r>
          </w:p>
        </w:tc>
      </w:tr>
      <w:tr>
        <w:trPr/>
        <w:tc>
          <w:tcPr>
            <w:tcW w:w="75"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283"/>
              <w:jc w:val="left"/>
              <w:rPr/>
            </w:pPr>
            <w:r>
              <w:rPr/>
              <w:t> </w:t>
            </w:r>
          </w:p>
        </w:tc>
        <w:tc>
          <w:tcPr>
            <w:tcW w:w="968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445"/>
        <w:gridCol w:w="9685"/>
      </w:tblGrid>
      <w:tr>
        <w:trPr/>
        <w:tc>
          <w:tcPr>
            <w:tcW w:w="75"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left"/>
              <w:rPr/>
            </w:pPr>
            <w:r>
              <w:rPr/>
              <w:t>10.5.</w:t>
            </w:r>
          </w:p>
        </w:tc>
        <w:tc>
          <w:tcPr>
            <w:tcW w:w="9685" w:type="dxa"/>
            <w:tcBorders/>
            <w:vAlign w:val="center"/>
          </w:tcPr>
          <w:p>
            <w:pPr>
              <w:pStyle w:val="TableContents"/>
              <w:bidi w:val="0"/>
              <w:spacing w:before="0" w:after="283"/>
              <w:jc w:val="both"/>
              <w:rPr/>
            </w:pPr>
            <w:r>
              <w:rPr/>
              <w:t>The Compensation Committee and Board intend to review, discuss and approve management recommendation for the specific Corporate MBO objectives which recommendation shall be made in the first quarter of each fiscal year with respect to such year, and which if met shall entitle the Executive Officers to an annual bonus for his/her performance in such year. Notwithstanding the foregoing, the CEO shall be entitled to determine and approve the annual measurable objectives, individual and/or division/department performance goals and personal development goals for the Other Executive Officers, which if met shall entitle the Other Executive Officers to an annual bonus for his/her performance in such year, in which case the CEO shall update and report to the Compensation Committee on such objectives and goals of the Other Executive Officers so established.</w:t>
            </w:r>
          </w:p>
        </w:tc>
      </w:tr>
      <w:tr>
        <w:trPr/>
        <w:tc>
          <w:tcPr>
            <w:tcW w:w="75" w:type="dxa"/>
            <w:tcBorders/>
            <w:vAlign w:val="center"/>
          </w:tcPr>
          <w:p>
            <w:pPr>
              <w:pStyle w:val="TableContents"/>
              <w:bidi w:val="0"/>
              <w:spacing w:before="0" w:after="283"/>
              <w:jc w:val="left"/>
              <w:rPr/>
            </w:pPr>
            <w:r>
              <w:rPr/>
              <w:t> </w:t>
            </w:r>
          </w:p>
        </w:tc>
        <w:tc>
          <w:tcPr>
            <w:tcW w:w="445" w:type="dxa"/>
            <w:tcBorders/>
            <w:vAlign w:val="center"/>
          </w:tcPr>
          <w:p>
            <w:pPr>
              <w:pStyle w:val="TableContents"/>
              <w:bidi w:val="0"/>
              <w:spacing w:before="0" w:after="283"/>
              <w:jc w:val="left"/>
              <w:rPr/>
            </w:pPr>
            <w:r>
              <w:rPr/>
              <w:t> </w:t>
            </w:r>
          </w:p>
        </w:tc>
        <w:tc>
          <w:tcPr>
            <w:tcW w:w="9685" w:type="dxa"/>
            <w:tcBorders/>
            <w:vAlign w:val="center"/>
          </w:tcPr>
          <w:p>
            <w:pPr>
              <w:pStyle w:val="TableContents"/>
              <w:bidi w:val="0"/>
              <w:spacing w:before="0" w:after="283"/>
              <w:jc w:val="both"/>
              <w:rPr/>
            </w:pPr>
            <w:r>
              <w:rPr/>
              <w:t> </w:t>
            </w:r>
          </w:p>
        </w:tc>
      </w:tr>
    </w:tbl>
    <w:tbl>
      <w:tblPr>
        <w:tblW w:w="4248" w:type="dxa"/>
        <w:jc w:val="left"/>
        <w:tblInd w:w="0" w:type="dxa"/>
        <w:tblLayout w:type="fixed"/>
        <w:tblCellMar>
          <w:top w:w="0" w:type="dxa"/>
          <w:left w:w="0" w:type="dxa"/>
          <w:bottom w:w="0" w:type="dxa"/>
          <w:right w:w="0" w:type="dxa"/>
        </w:tblCellMar>
      </w:tblPr>
      <w:tblGrid>
        <w:gridCol w:w="335"/>
        <w:gridCol w:w="3913"/>
      </w:tblGrid>
      <w:tr>
        <w:trPr/>
        <w:tc>
          <w:tcPr>
            <w:tcW w:w="335" w:type="dxa"/>
            <w:tcBorders/>
            <w:vAlign w:val="center"/>
          </w:tcPr>
          <w:p>
            <w:pPr>
              <w:pStyle w:val="TableContents"/>
              <w:bidi w:val="0"/>
              <w:spacing w:before="0" w:after="283"/>
              <w:jc w:val="left"/>
              <w:rPr>
                <w:b/>
              </w:rPr>
            </w:pPr>
            <w:r>
              <w:rPr>
                <w:b/>
              </w:rPr>
              <w:t>11.</w:t>
            </w:r>
          </w:p>
        </w:tc>
        <w:tc>
          <w:tcPr>
            <w:tcW w:w="3913" w:type="dxa"/>
            <w:tcBorders/>
            <w:vAlign w:val="center"/>
          </w:tcPr>
          <w:p>
            <w:pPr>
              <w:pStyle w:val="TableContents"/>
              <w:bidi w:val="0"/>
              <w:spacing w:before="0" w:after="283"/>
              <w:jc w:val="left"/>
              <w:rPr>
                <w:b/>
              </w:rPr>
            </w:pPr>
            <w:r>
              <w:rPr>
                <w:b/>
              </w:rPr>
              <w:t xml:space="preserve">Special bonus for special </w:t>
            </w:r>
            <w:r>
              <w:rPr>
                <w:b/>
                <w:spacing w:val="-2"/>
              </w:rPr>
              <w:t>achievements</w:t>
            </w:r>
          </w:p>
        </w:tc>
      </w:tr>
      <w:tr>
        <w:trPr/>
        <w:tc>
          <w:tcPr>
            <w:tcW w:w="335" w:type="dxa"/>
            <w:tcBorders/>
            <w:vAlign w:val="center"/>
          </w:tcPr>
          <w:p>
            <w:pPr>
              <w:pStyle w:val="TableContents"/>
              <w:bidi w:val="0"/>
              <w:spacing w:before="0" w:after="283"/>
              <w:jc w:val="left"/>
              <w:rPr/>
            </w:pPr>
            <w:r>
              <w:rPr/>
              <w:t> </w:t>
            </w:r>
          </w:p>
        </w:tc>
        <w:tc>
          <w:tcPr>
            <w:tcW w:w="3913"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452"/>
        <w:gridCol w:w="9678"/>
      </w:tblGrid>
      <w:tr>
        <w:trPr/>
        <w:tc>
          <w:tcPr>
            <w:tcW w:w="75"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left"/>
              <w:rPr/>
            </w:pPr>
            <w:r>
              <w:rPr/>
              <w:t>11.1.</w:t>
            </w:r>
          </w:p>
        </w:tc>
        <w:tc>
          <w:tcPr>
            <w:tcW w:w="9678" w:type="dxa"/>
            <w:tcBorders/>
            <w:vAlign w:val="center"/>
          </w:tcPr>
          <w:p>
            <w:pPr>
              <w:pStyle w:val="TableContents"/>
              <w:bidi w:val="0"/>
              <w:spacing w:before="0" w:after="283"/>
              <w:jc w:val="both"/>
              <w:rPr/>
            </w:pPr>
            <w:r>
              <w:rPr/>
              <w:t>Executive Officers may receive a special bonus for substantial achievements on special transactions that are unexpected when determining the Company's annual MBO plan as defined below, following recommendation and approval of the Compensation Committee and Board. It is clarified that this special bonus mechanism will not be awarded as a matter of routine and granted only in situations where it is warranted as described below.</w:t>
            </w:r>
          </w:p>
        </w:tc>
      </w:tr>
    </w:tbl>
    <w:p>
      <w:pPr>
        <w:pStyle w:val="TextBody"/>
        <w:bidi w:val="0"/>
        <w:spacing w:before="0" w:after="283"/>
        <w:jc w:val="left"/>
        <w:rPr/>
      </w:pPr>
      <w:r>
        <w:rPr/>
        <w:t> </w:t>
      </w:r>
    </w:p>
    <w:p>
      <w:pPr>
        <w:pStyle w:val="TextBody"/>
        <w:bidi w:val="0"/>
        <w:jc w:val="center"/>
        <w:rPr/>
      </w:pPr>
      <w:r>
        <w:rPr/>
        <w:t> </w:t>
      </w:r>
      <w:r>
        <w:rPr/>
        <w:drawing>
          <wp:inline distT="0" distB="0" distL="0" distR="0">
            <wp:extent cx="7620000" cy="1181100"/>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76"/>
                    <a:stretch>
                      <a:fillRect/>
                    </a:stretch>
                  </pic:blipFill>
                  <pic:spPr bwMode="auto">
                    <a:xfrm>
                      <a:off x="0" y="0"/>
                      <a:ext cx="7620000" cy="1181100"/>
                    </a:xfrm>
                    <a:prstGeom prst="rect">
                      <a:avLst/>
                    </a:prstGeom>
                  </pic:spPr>
                </pic:pic>
              </a:graphicData>
            </a:graphic>
          </wp:inline>
        </w:drawing>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ind w:left="1200" w:right="0" w:hanging="0"/>
        <w:jc w:val="center"/>
        <w:rPr/>
      </w:pPr>
      <w:r>
        <w:rPr/>
        <w:drawing>
          <wp:inline distT="0" distB="0" distL="0" distR="0">
            <wp:extent cx="7620000" cy="10953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embed="rId77"/>
                    <a:stretch>
                      <a:fillRect/>
                    </a:stretch>
                  </pic:blipFill>
                  <pic:spPr bwMode="auto">
                    <a:xfrm>
                      <a:off x="0" y="0"/>
                      <a:ext cx="7620000" cy="1095375"/>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12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transactions shall include M&amp;A Transactions (defined below) with financial or strategic parties as well as transactions in which third parties enter into binding agreements pursuant to which they undertake to invest in the Company or its subsidiaries, new business models/joint development projects, customer financed large technology and new technology entrance, equity or debt financing, restructure the Company's debt or which include a “take or pay” commitment or which transaction includes a “pre-payment” basis.</w:t>
      </w:r>
    </w:p>
    <w:p>
      <w:pPr>
        <w:pStyle w:val="TextBody"/>
        <w:bidi w:val="0"/>
        <w:spacing w:before="0" w:after="0"/>
        <w:ind w:left="12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71"/>
        <w:gridCol w:w="9659"/>
      </w:tblGrid>
      <w:tr>
        <w:trPr/>
        <w:tc>
          <w:tcPr>
            <w:tcW w:w="75"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left"/>
              <w:rPr/>
            </w:pPr>
            <w:r>
              <w:rPr/>
              <w:t>11.2.</w:t>
            </w:r>
          </w:p>
        </w:tc>
        <w:tc>
          <w:tcPr>
            <w:tcW w:w="9659" w:type="dxa"/>
            <w:tcBorders/>
            <w:vAlign w:val="center"/>
          </w:tcPr>
          <w:p>
            <w:pPr>
              <w:pStyle w:val="TableContents"/>
              <w:bidi w:val="0"/>
              <w:spacing w:before="0" w:after="283"/>
              <w:jc w:val="both"/>
              <w:rPr/>
            </w:pPr>
            <w:r>
              <w:rPr/>
              <w:t xml:space="preserve">Such special bonus shall not exceed the amount of four (4) monthly salaries of each applicable Executive Officer and the entitlement for this bonus has no minimal threshold </w:t>
            </w:r>
            <w:r>
              <w:rPr>
                <w:spacing w:val="-2"/>
              </w:rPr>
              <w:t>condition.</w:t>
            </w:r>
          </w:p>
        </w:tc>
      </w:tr>
      <w:tr>
        <w:trPr/>
        <w:tc>
          <w:tcPr>
            <w:tcW w:w="75"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left"/>
              <w:rPr/>
            </w:pPr>
            <w:r>
              <w:rPr/>
              <w:t> </w:t>
            </w:r>
          </w:p>
        </w:tc>
        <w:tc>
          <w:tcPr>
            <w:tcW w:w="9659" w:type="dxa"/>
            <w:tcBorders/>
            <w:vAlign w:val="center"/>
          </w:tcPr>
          <w:p>
            <w:pPr>
              <w:pStyle w:val="TableContents"/>
              <w:bidi w:val="0"/>
              <w:spacing w:before="0" w:after="283"/>
              <w:jc w:val="both"/>
              <w:rPr/>
            </w:pPr>
            <w:r>
              <w:rPr/>
              <w:t> </w:t>
            </w:r>
          </w:p>
        </w:tc>
      </w:tr>
    </w:tbl>
    <w:tbl>
      <w:tblPr>
        <w:tblW w:w="4355" w:type="dxa"/>
        <w:jc w:val="left"/>
        <w:tblInd w:w="0" w:type="dxa"/>
        <w:tblLayout w:type="fixed"/>
        <w:tblCellMar>
          <w:top w:w="0" w:type="dxa"/>
          <w:left w:w="0" w:type="dxa"/>
          <w:bottom w:w="0" w:type="dxa"/>
          <w:right w:w="0" w:type="dxa"/>
        </w:tblCellMar>
      </w:tblPr>
      <w:tblGrid>
        <w:gridCol w:w="335"/>
        <w:gridCol w:w="4020"/>
      </w:tblGrid>
      <w:tr>
        <w:trPr/>
        <w:tc>
          <w:tcPr>
            <w:tcW w:w="335" w:type="dxa"/>
            <w:tcBorders/>
            <w:vAlign w:val="center"/>
          </w:tcPr>
          <w:p>
            <w:pPr>
              <w:pStyle w:val="TableContents"/>
              <w:bidi w:val="0"/>
              <w:spacing w:before="0" w:after="283"/>
              <w:jc w:val="left"/>
              <w:rPr>
                <w:b/>
              </w:rPr>
            </w:pPr>
            <w:r>
              <w:rPr>
                <w:b/>
              </w:rPr>
              <w:t>12.</w:t>
            </w:r>
          </w:p>
        </w:tc>
        <w:tc>
          <w:tcPr>
            <w:tcW w:w="4020" w:type="dxa"/>
            <w:tcBorders/>
            <w:vAlign w:val="center"/>
          </w:tcPr>
          <w:p>
            <w:pPr>
              <w:pStyle w:val="TableContents"/>
              <w:bidi w:val="0"/>
              <w:spacing w:before="0" w:after="283"/>
              <w:jc w:val="left"/>
              <w:rPr>
                <w:b/>
              </w:rPr>
            </w:pPr>
            <w:r>
              <w:rPr>
                <w:b/>
              </w:rPr>
              <w:t xml:space="preserve">Compensation Recovery </w:t>
            </w:r>
            <w:r>
              <w:rPr>
                <w:b/>
                <w:spacing w:val="-2"/>
              </w:rPr>
              <w:t>("Clawback")</w:t>
            </w:r>
          </w:p>
        </w:tc>
      </w:tr>
      <w:tr>
        <w:trPr/>
        <w:tc>
          <w:tcPr>
            <w:tcW w:w="335" w:type="dxa"/>
            <w:tcBorders/>
            <w:vAlign w:val="center"/>
          </w:tcPr>
          <w:p>
            <w:pPr>
              <w:pStyle w:val="TableContents"/>
              <w:bidi w:val="0"/>
              <w:spacing w:before="0" w:after="283"/>
              <w:jc w:val="left"/>
              <w:rPr/>
            </w:pPr>
            <w:r>
              <w:rPr/>
              <w:t> </w:t>
            </w:r>
          </w:p>
        </w:tc>
        <w:tc>
          <w:tcPr>
            <w:tcW w:w="402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451"/>
        <w:gridCol w:w="9679"/>
      </w:tblGrid>
      <w:tr>
        <w:trPr/>
        <w:tc>
          <w:tcPr>
            <w:tcW w:w="75"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12.1.</w:t>
            </w:r>
          </w:p>
        </w:tc>
        <w:tc>
          <w:tcPr>
            <w:tcW w:w="9679" w:type="dxa"/>
            <w:tcBorders/>
            <w:vAlign w:val="center"/>
          </w:tcPr>
          <w:p>
            <w:pPr>
              <w:pStyle w:val="TableContents"/>
              <w:bidi w:val="0"/>
              <w:spacing w:before="0" w:after="283"/>
              <w:jc w:val="both"/>
              <w:rPr/>
            </w:pPr>
            <w:r>
              <w:rPr/>
              <w:t>In the event that an Executive Officer was paid any compensation based on erroneous data which is later restated in the Company’s financial statements within a period of three (3) financial years prior to the date of the correction, the Company shall be entitled to recover from such Executive Officer any compensation in the amount of the excess of the compensation that the Executive Officer received over what he/she should have been paid on the basis of the restated financial statements.</w:t>
            </w:r>
          </w:p>
        </w:tc>
      </w:tr>
      <w:tr>
        <w:trPr/>
        <w:tc>
          <w:tcPr>
            <w:tcW w:w="75"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9679"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469"/>
        <w:gridCol w:w="9661"/>
      </w:tblGrid>
      <w:tr>
        <w:trPr/>
        <w:tc>
          <w:tcPr>
            <w:tcW w:w="75" w:type="dxa"/>
            <w:tcBorders/>
            <w:vAlign w:val="center"/>
          </w:tcPr>
          <w:p>
            <w:pPr>
              <w:pStyle w:val="TableContents"/>
              <w:bidi w:val="0"/>
              <w:spacing w:before="0" w:after="283"/>
              <w:jc w:val="left"/>
              <w:rPr/>
            </w:pPr>
            <w:r>
              <w:rPr/>
              <w:t> </w:t>
            </w:r>
          </w:p>
        </w:tc>
        <w:tc>
          <w:tcPr>
            <w:tcW w:w="469" w:type="dxa"/>
            <w:tcBorders/>
            <w:vAlign w:val="center"/>
          </w:tcPr>
          <w:p>
            <w:pPr>
              <w:pStyle w:val="TableContents"/>
              <w:bidi w:val="0"/>
              <w:spacing w:before="0" w:after="283"/>
              <w:jc w:val="left"/>
              <w:rPr/>
            </w:pPr>
            <w:r>
              <w:rPr/>
              <w:t>12.2.</w:t>
            </w:r>
          </w:p>
        </w:tc>
        <w:tc>
          <w:tcPr>
            <w:tcW w:w="9661" w:type="dxa"/>
            <w:tcBorders/>
            <w:vAlign w:val="center"/>
          </w:tcPr>
          <w:p>
            <w:pPr>
              <w:pStyle w:val="TableContents"/>
              <w:bidi w:val="0"/>
              <w:spacing w:before="0" w:after="283"/>
              <w:jc w:val="both"/>
              <w:rPr/>
            </w:pPr>
            <w:r>
              <w:rPr/>
              <w:t xml:space="preserve">Notwithstanding the aforesaid, the compensation recovery will not be triggered in the event of a financial restatement required due to changes in the applicable financial reporting </w:t>
            </w:r>
            <w:r>
              <w:rPr>
                <w:spacing w:val="-2"/>
              </w:rPr>
              <w:t>standards.</w:t>
            </w:r>
          </w:p>
        </w:tc>
      </w:tr>
      <w:tr>
        <w:trPr/>
        <w:tc>
          <w:tcPr>
            <w:tcW w:w="75" w:type="dxa"/>
            <w:tcBorders/>
            <w:vAlign w:val="center"/>
          </w:tcPr>
          <w:p>
            <w:pPr>
              <w:pStyle w:val="TableContents"/>
              <w:bidi w:val="0"/>
              <w:spacing w:before="0" w:after="283"/>
              <w:jc w:val="left"/>
              <w:rPr/>
            </w:pPr>
            <w:r>
              <w:rPr/>
              <w:t> </w:t>
            </w:r>
          </w:p>
        </w:tc>
        <w:tc>
          <w:tcPr>
            <w:tcW w:w="469" w:type="dxa"/>
            <w:tcBorders/>
            <w:vAlign w:val="center"/>
          </w:tcPr>
          <w:p>
            <w:pPr>
              <w:pStyle w:val="TableContents"/>
              <w:bidi w:val="0"/>
              <w:spacing w:before="0" w:after="283"/>
              <w:jc w:val="left"/>
              <w:rPr/>
            </w:pPr>
            <w:r>
              <w:rPr/>
              <w:t> </w:t>
            </w:r>
          </w:p>
        </w:tc>
        <w:tc>
          <w:tcPr>
            <w:tcW w:w="9661"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477"/>
        <w:gridCol w:w="9653"/>
      </w:tblGrid>
      <w:tr>
        <w:trPr/>
        <w:tc>
          <w:tcPr>
            <w:tcW w:w="75" w:type="dxa"/>
            <w:tcBorders/>
            <w:vAlign w:val="center"/>
          </w:tcPr>
          <w:p>
            <w:pPr>
              <w:pStyle w:val="TableContents"/>
              <w:bidi w:val="0"/>
              <w:spacing w:before="0" w:after="283"/>
              <w:jc w:val="left"/>
              <w:rPr/>
            </w:pPr>
            <w:r>
              <w:rPr/>
              <w:t> </w:t>
            </w:r>
          </w:p>
        </w:tc>
        <w:tc>
          <w:tcPr>
            <w:tcW w:w="477" w:type="dxa"/>
            <w:tcBorders/>
            <w:vAlign w:val="center"/>
          </w:tcPr>
          <w:p>
            <w:pPr>
              <w:pStyle w:val="TableContents"/>
              <w:bidi w:val="0"/>
              <w:spacing w:before="0" w:after="283"/>
              <w:jc w:val="left"/>
              <w:rPr/>
            </w:pPr>
            <w:r>
              <w:rPr/>
              <w:t>12.3.</w:t>
            </w:r>
          </w:p>
        </w:tc>
        <w:tc>
          <w:tcPr>
            <w:tcW w:w="9653" w:type="dxa"/>
            <w:tcBorders/>
            <w:vAlign w:val="center"/>
          </w:tcPr>
          <w:p>
            <w:pPr>
              <w:pStyle w:val="TableContents"/>
              <w:bidi w:val="0"/>
              <w:spacing w:before="0" w:after="283"/>
              <w:jc w:val="both"/>
              <w:rPr/>
            </w:pPr>
            <w:r>
              <w:rPr/>
              <w:t>The Compensation Committee will be responsible for approving the amounts to be recouped and for setting terms for such recoupment from time to time.</w:t>
            </w:r>
          </w:p>
        </w:tc>
      </w:tr>
      <w:tr>
        <w:trPr/>
        <w:tc>
          <w:tcPr>
            <w:tcW w:w="75" w:type="dxa"/>
            <w:tcBorders/>
            <w:vAlign w:val="center"/>
          </w:tcPr>
          <w:p>
            <w:pPr>
              <w:pStyle w:val="TableContents"/>
              <w:bidi w:val="0"/>
              <w:spacing w:before="0" w:after="283"/>
              <w:jc w:val="left"/>
              <w:rPr/>
            </w:pPr>
            <w:r>
              <w:rPr/>
              <w:t> </w:t>
            </w:r>
          </w:p>
        </w:tc>
        <w:tc>
          <w:tcPr>
            <w:tcW w:w="477" w:type="dxa"/>
            <w:tcBorders/>
            <w:vAlign w:val="center"/>
          </w:tcPr>
          <w:p>
            <w:pPr>
              <w:pStyle w:val="TableContents"/>
              <w:bidi w:val="0"/>
              <w:spacing w:before="0" w:after="283"/>
              <w:jc w:val="left"/>
              <w:rPr/>
            </w:pPr>
            <w:r>
              <w:rPr/>
              <w:t> </w:t>
            </w:r>
          </w:p>
        </w:tc>
        <w:tc>
          <w:tcPr>
            <w:tcW w:w="9653"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470"/>
        <w:gridCol w:w="9660"/>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12.4.</w:t>
            </w:r>
          </w:p>
        </w:tc>
        <w:tc>
          <w:tcPr>
            <w:tcW w:w="9660" w:type="dxa"/>
            <w:tcBorders/>
            <w:vAlign w:val="center"/>
          </w:tcPr>
          <w:p>
            <w:pPr>
              <w:pStyle w:val="TableContents"/>
              <w:bidi w:val="0"/>
              <w:spacing w:before="0" w:after="283"/>
              <w:jc w:val="both"/>
              <w:rPr/>
            </w:pPr>
            <w:r>
              <w:rPr/>
              <w:t xml:space="preserve">In addition, the Company has adopted an incentive compensation claw-back policy in accordance with rules of the U.S. Securities and Exchange Commission and Nasdaq Stock </w:t>
            </w:r>
            <w:r>
              <w:rPr>
                <w:spacing w:val="0"/>
              </w:rPr>
              <w:t>Market.</w:t>
            </w:r>
          </w:p>
        </w:tc>
      </w:tr>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c>
          <w:tcPr>
            <w:tcW w:w="9660" w:type="dxa"/>
            <w:tcBorders/>
            <w:vAlign w:val="center"/>
          </w:tcPr>
          <w:p>
            <w:pPr>
              <w:pStyle w:val="TableContents"/>
              <w:bidi w:val="0"/>
              <w:spacing w:before="0" w:after="283"/>
              <w:jc w:val="both"/>
              <w:rPr/>
            </w:pPr>
            <w:r>
              <w:rPr/>
              <w:t> </w:t>
            </w:r>
          </w:p>
        </w:tc>
      </w:tr>
    </w:tbl>
    <w:p>
      <w:pPr>
        <w:pStyle w:val="TextBody"/>
        <w:bidi w:val="0"/>
        <w:spacing w:before="0" w:after="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 Equity Based Compensation</w:t>
      </w:r>
    </w:p>
    <w:p>
      <w:pPr>
        <w:pStyle w:val="TextBody"/>
        <w:bidi w:val="0"/>
        <w:spacing w:before="0" w:after="0"/>
        <w:jc w:val="left"/>
        <w:rPr>
          <w:caps w:val="false"/>
          <w:smallCaps w:val="false"/>
        </w:rPr>
      </w:pPr>
      <w:r>
        <w:rPr>
          <w:caps w:val="false"/>
          <w:smallCaps w:val="false"/>
        </w:rPr>
        <w:t> </w:t>
      </w:r>
    </w:p>
    <w:tbl>
      <w:tblPr>
        <w:tblW w:w="1779" w:type="dxa"/>
        <w:jc w:val="left"/>
        <w:tblInd w:w="0" w:type="dxa"/>
        <w:tblLayout w:type="fixed"/>
        <w:tblCellMar>
          <w:top w:w="0" w:type="dxa"/>
          <w:left w:w="0" w:type="dxa"/>
          <w:bottom w:w="0" w:type="dxa"/>
          <w:right w:w="0" w:type="dxa"/>
        </w:tblCellMar>
      </w:tblPr>
      <w:tblGrid>
        <w:gridCol w:w="335"/>
        <w:gridCol w:w="1444"/>
      </w:tblGrid>
      <w:tr>
        <w:trPr/>
        <w:tc>
          <w:tcPr>
            <w:tcW w:w="335" w:type="dxa"/>
            <w:tcBorders/>
            <w:vAlign w:val="center"/>
          </w:tcPr>
          <w:p>
            <w:pPr>
              <w:pStyle w:val="TableContents"/>
              <w:bidi w:val="0"/>
              <w:spacing w:before="0" w:after="283"/>
              <w:jc w:val="left"/>
              <w:rPr>
                <w:b/>
              </w:rPr>
            </w:pPr>
            <w:r>
              <w:rPr>
                <w:b/>
              </w:rPr>
              <w:t>13.</w:t>
            </w:r>
          </w:p>
        </w:tc>
        <w:tc>
          <w:tcPr>
            <w:tcW w:w="1444" w:type="dxa"/>
            <w:tcBorders/>
            <w:vAlign w:val="center"/>
          </w:tcPr>
          <w:p>
            <w:pPr>
              <w:pStyle w:val="TableContents"/>
              <w:bidi w:val="0"/>
              <w:spacing w:before="0" w:after="283"/>
              <w:jc w:val="left"/>
              <w:rPr>
                <w:b/>
              </w:rPr>
            </w:pPr>
            <w:r>
              <w:rPr>
                <w:b/>
              </w:rPr>
              <w:t xml:space="preserve">The </w:t>
            </w:r>
            <w:r>
              <w:rPr>
                <w:b/>
                <w:spacing w:val="-2"/>
              </w:rPr>
              <w:t>Objective</w:t>
            </w:r>
          </w:p>
        </w:tc>
      </w:tr>
      <w:tr>
        <w:trPr/>
        <w:tc>
          <w:tcPr>
            <w:tcW w:w="335" w:type="dxa"/>
            <w:tcBorders/>
            <w:vAlign w:val="center"/>
          </w:tcPr>
          <w:p>
            <w:pPr>
              <w:pStyle w:val="TableContents"/>
              <w:bidi w:val="0"/>
              <w:spacing w:before="0" w:after="283"/>
              <w:jc w:val="left"/>
              <w:rPr/>
            </w:pPr>
            <w:r>
              <w:rPr/>
              <w:t> </w:t>
            </w:r>
          </w:p>
        </w:tc>
        <w:tc>
          <w:tcPr>
            <w:tcW w:w="1444"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448"/>
        <w:gridCol w:w="9682"/>
      </w:tblGrid>
      <w:tr>
        <w:trPr/>
        <w:tc>
          <w:tcPr>
            <w:tcW w:w="7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pPr>
            <w:r>
              <w:rPr/>
              <w:t>13.1.</w:t>
            </w:r>
          </w:p>
        </w:tc>
        <w:tc>
          <w:tcPr>
            <w:tcW w:w="9682" w:type="dxa"/>
            <w:tcBorders/>
            <w:vAlign w:val="center"/>
          </w:tcPr>
          <w:p>
            <w:pPr>
              <w:pStyle w:val="TableContents"/>
              <w:bidi w:val="0"/>
              <w:spacing w:before="0" w:after="283"/>
              <w:jc w:val="both"/>
              <w:rPr/>
            </w:pPr>
            <w:r>
              <w:rPr/>
              <w:t xml:space="preserve">The equity based compensation for Tower's Executive Officers and Directors is designed in a manner consistent with the underlying Policy objectives in determining the base salary and the annual cash bonus, with its main objectives being to enhance the alignment between the Executive Officers' and Directors’ interests with the long term interests of Tower and its shareholders, and to strengthen the retention and the motivation of Executive Officers and Directors in the long term. In addition, since equity based awards are to be structured to vest over several years, their incentive value to recipients is aligned with longer-term strategic </w:t>
            </w:r>
            <w:r>
              <w:rPr>
                <w:spacing w:val="-2"/>
              </w:rPr>
              <w:t>plans.</w:t>
            </w:r>
          </w:p>
        </w:tc>
      </w:tr>
      <w:tr>
        <w:trPr/>
        <w:tc>
          <w:tcPr>
            <w:tcW w:w="7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pPr>
            <w:r>
              <w:rPr/>
              <w:t> </w:t>
            </w:r>
          </w:p>
        </w:tc>
        <w:tc>
          <w:tcPr>
            <w:tcW w:w="9682"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458"/>
        <w:gridCol w:w="9672"/>
      </w:tblGrid>
      <w:tr>
        <w:trPr/>
        <w:tc>
          <w:tcPr>
            <w:tcW w:w="75"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pPr>
            <w:r>
              <w:rPr/>
              <w:t>13.2.</w:t>
            </w:r>
          </w:p>
        </w:tc>
        <w:tc>
          <w:tcPr>
            <w:tcW w:w="9672" w:type="dxa"/>
            <w:tcBorders/>
            <w:vAlign w:val="center"/>
          </w:tcPr>
          <w:p>
            <w:pPr>
              <w:pStyle w:val="TableContents"/>
              <w:bidi w:val="0"/>
              <w:spacing w:before="0" w:after="283"/>
              <w:jc w:val="both"/>
              <w:rPr/>
            </w:pPr>
            <w:r>
              <w:rPr/>
              <w:t>The equity based compensation offered by Tower is intended to be in a form of stock options, restricted stock units (RSUs), performance based stock units (PSUs) and/or other equity forms, in accordance with the Company’s equity based compensation policies and programs in place from time to time.</w:t>
            </w:r>
          </w:p>
        </w:tc>
      </w:tr>
      <w:tr>
        <w:trPr/>
        <w:tc>
          <w:tcPr>
            <w:tcW w:w="75"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pPr>
            <w:r>
              <w:rPr/>
              <w:t> </w:t>
            </w:r>
          </w:p>
        </w:tc>
        <w:tc>
          <w:tcPr>
            <w:tcW w:w="9672"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472"/>
        <w:gridCol w:w="9658"/>
      </w:tblGrid>
      <w:tr>
        <w:trPr/>
        <w:tc>
          <w:tcPr>
            <w:tcW w:w="75" w:type="dxa"/>
            <w:tcBorders/>
            <w:vAlign w:val="center"/>
          </w:tcPr>
          <w:p>
            <w:pPr>
              <w:pStyle w:val="TableContents"/>
              <w:bidi w:val="0"/>
              <w:spacing w:before="0" w:after="283"/>
              <w:jc w:val="left"/>
              <w:rPr/>
            </w:pPr>
            <w:r>
              <w:rPr/>
              <w:t> </w:t>
            </w:r>
          </w:p>
        </w:tc>
        <w:tc>
          <w:tcPr>
            <w:tcW w:w="472" w:type="dxa"/>
            <w:tcBorders/>
            <w:vAlign w:val="center"/>
          </w:tcPr>
          <w:p>
            <w:pPr>
              <w:pStyle w:val="TableContents"/>
              <w:bidi w:val="0"/>
              <w:spacing w:before="0" w:after="283"/>
              <w:jc w:val="left"/>
              <w:rPr/>
            </w:pPr>
            <w:r>
              <w:rPr/>
              <w:t>13.3.</w:t>
            </w:r>
          </w:p>
        </w:tc>
        <w:tc>
          <w:tcPr>
            <w:tcW w:w="9658" w:type="dxa"/>
            <w:tcBorders/>
            <w:vAlign w:val="center"/>
          </w:tcPr>
          <w:p>
            <w:pPr>
              <w:pStyle w:val="TableContents"/>
              <w:bidi w:val="0"/>
              <w:spacing w:before="0" w:after="283"/>
              <w:jc w:val="both"/>
              <w:rPr/>
            </w:pPr>
            <w:r>
              <w:rPr/>
              <w:t xml:space="preserve">Total outstanding equity based compensation awarded by the Company at any </w:t>
            </w:r>
            <w:r>
              <w:rPr>
                <w:spacing w:val="0"/>
              </w:rPr>
              <w:t>time shall not be in excess of 10% of the Company&amp;rsquo;s share capital on a fully diluted basis.</w:t>
            </w:r>
          </w:p>
        </w:tc>
      </w:tr>
      <w:tr>
        <w:trPr/>
        <w:tc>
          <w:tcPr>
            <w:tcW w:w="75" w:type="dxa"/>
            <w:tcBorders/>
            <w:vAlign w:val="center"/>
          </w:tcPr>
          <w:p>
            <w:pPr>
              <w:pStyle w:val="TableContents"/>
              <w:bidi w:val="0"/>
              <w:spacing w:before="0" w:after="283"/>
              <w:jc w:val="left"/>
              <w:rPr/>
            </w:pPr>
            <w:r>
              <w:rPr/>
              <w:t> </w:t>
            </w:r>
          </w:p>
        </w:tc>
        <w:tc>
          <w:tcPr>
            <w:tcW w:w="472" w:type="dxa"/>
            <w:tcBorders/>
            <w:vAlign w:val="center"/>
          </w:tcPr>
          <w:p>
            <w:pPr>
              <w:pStyle w:val="TableContents"/>
              <w:bidi w:val="0"/>
              <w:spacing w:before="0" w:after="283"/>
              <w:jc w:val="left"/>
              <w:rPr/>
            </w:pPr>
            <w:r>
              <w:rPr/>
              <w:t> </w:t>
            </w:r>
          </w:p>
        </w:tc>
        <w:tc>
          <w:tcPr>
            <w:tcW w:w="9658" w:type="dxa"/>
            <w:tcBorders/>
            <w:vAlign w:val="center"/>
          </w:tcPr>
          <w:p>
            <w:pPr>
              <w:pStyle w:val="TableContents"/>
              <w:bidi w:val="0"/>
              <w:spacing w:before="0" w:after="283"/>
              <w:jc w:val="both"/>
              <w:rPr/>
            </w:pPr>
            <w:r>
              <w:rPr/>
              <w:t> </w:t>
            </w:r>
          </w:p>
        </w:tc>
      </w:tr>
    </w:tbl>
    <w:tbl>
      <w:tblPr>
        <w:tblW w:w="5985" w:type="dxa"/>
        <w:jc w:val="left"/>
        <w:tblInd w:w="0" w:type="dxa"/>
        <w:tblLayout w:type="fixed"/>
        <w:tblCellMar>
          <w:top w:w="0" w:type="dxa"/>
          <w:left w:w="0" w:type="dxa"/>
          <w:bottom w:w="0" w:type="dxa"/>
          <w:right w:w="0" w:type="dxa"/>
        </w:tblCellMar>
      </w:tblPr>
      <w:tblGrid>
        <w:gridCol w:w="335"/>
        <w:gridCol w:w="5650"/>
      </w:tblGrid>
      <w:tr>
        <w:trPr/>
        <w:tc>
          <w:tcPr>
            <w:tcW w:w="335" w:type="dxa"/>
            <w:tcBorders/>
            <w:vAlign w:val="center"/>
          </w:tcPr>
          <w:p>
            <w:pPr>
              <w:pStyle w:val="TableContents"/>
              <w:bidi w:val="0"/>
              <w:spacing w:before="0" w:after="283"/>
              <w:jc w:val="left"/>
              <w:rPr>
                <w:b/>
              </w:rPr>
            </w:pPr>
            <w:r>
              <w:rPr>
                <w:b/>
              </w:rPr>
              <w:t>14.</w:t>
            </w:r>
          </w:p>
        </w:tc>
        <w:tc>
          <w:tcPr>
            <w:tcW w:w="5650" w:type="dxa"/>
            <w:tcBorders/>
            <w:vAlign w:val="center"/>
          </w:tcPr>
          <w:p>
            <w:pPr>
              <w:pStyle w:val="TableContents"/>
              <w:bidi w:val="0"/>
              <w:spacing w:before="0" w:after="283"/>
              <w:jc w:val="left"/>
              <w:rPr>
                <w:b/>
              </w:rPr>
            </w:pPr>
            <w:r>
              <w:rPr>
                <w:b/>
              </w:rPr>
              <w:t xml:space="preserve">General guidelines for the grant of equity based </w:t>
            </w:r>
            <w:r>
              <w:rPr>
                <w:b/>
                <w:spacing w:val="-2"/>
              </w:rPr>
              <w:t>awards</w:t>
            </w:r>
          </w:p>
        </w:tc>
      </w:tr>
      <w:tr>
        <w:trPr/>
        <w:tc>
          <w:tcPr>
            <w:tcW w:w="335" w:type="dxa"/>
            <w:tcBorders/>
            <w:vAlign w:val="center"/>
          </w:tcPr>
          <w:p>
            <w:pPr>
              <w:pStyle w:val="TableContents"/>
              <w:bidi w:val="0"/>
              <w:spacing w:before="0" w:after="283"/>
              <w:jc w:val="left"/>
              <w:rPr/>
            </w:pPr>
            <w:r>
              <w:rPr/>
              <w:t> </w:t>
            </w:r>
          </w:p>
        </w:tc>
        <w:tc>
          <w:tcPr>
            <w:tcW w:w="565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452"/>
        <w:gridCol w:w="9678"/>
      </w:tblGrid>
      <w:tr>
        <w:trPr/>
        <w:tc>
          <w:tcPr>
            <w:tcW w:w="75"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left"/>
              <w:rPr/>
            </w:pPr>
            <w:r>
              <w:rPr/>
              <w:t>14.1.</w:t>
            </w:r>
          </w:p>
        </w:tc>
        <w:tc>
          <w:tcPr>
            <w:tcW w:w="9678" w:type="dxa"/>
            <w:tcBorders/>
            <w:vAlign w:val="center"/>
          </w:tcPr>
          <w:p>
            <w:pPr>
              <w:pStyle w:val="TableContents"/>
              <w:bidi w:val="0"/>
              <w:spacing w:before="0" w:after="283"/>
              <w:jc w:val="both"/>
              <w:rPr/>
            </w:pPr>
            <w:r>
              <w:rPr/>
              <w:t>The equity based compensation, comprised of options and/or RSUs and PSUs, shall be granted as either an annual grant and/or from time to time be individually determined and awarded according to the performance, educational background, prior business experience, qualifications, specializations, role, personal responsibilities and achievements of the Executive Officer and the previous salary arrangements therewith.</w:t>
            </w:r>
          </w:p>
        </w:tc>
      </w:tr>
    </w:tbl>
    <w:p>
      <w:pPr>
        <w:pStyle w:val="TextBody"/>
        <w:bidi w:val="0"/>
        <w:spacing w:before="0" w:after="283"/>
        <w:jc w:val="left"/>
        <w:rPr/>
      </w:pPr>
      <w:r>
        <w:rPr/>
        <w:t> </w:t>
      </w:r>
    </w:p>
    <w:p>
      <w:pPr>
        <w:pStyle w:val="TextBody"/>
        <w:bidi w:val="0"/>
        <w:jc w:val="center"/>
        <w:rPr/>
      </w:pPr>
      <w:r>
        <w:rPr/>
        <w:t> </w:t>
      </w:r>
      <w:r>
        <w:rPr/>
        <w:drawing>
          <wp:inline distT="0" distB="0" distL="0" distR="0">
            <wp:extent cx="7620000" cy="1181100"/>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embed="rId78"/>
                    <a:stretch>
                      <a:fillRect/>
                    </a:stretch>
                  </pic:blipFill>
                  <pic:spPr bwMode="auto">
                    <a:xfrm>
                      <a:off x="0" y="0"/>
                      <a:ext cx="7620000" cy="1181100"/>
                    </a:xfrm>
                    <a:prstGeom prst="rect">
                      <a:avLst/>
                    </a:prstGeom>
                  </pic:spPr>
                </pic:pic>
              </a:graphicData>
            </a:graphic>
          </wp:inline>
        </w:drawing>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7620000" cy="10953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embed="rId79"/>
                    <a:stretch>
                      <a:fillRect/>
                    </a:stretch>
                  </pic:blipFill>
                  <pic:spPr bwMode="auto">
                    <a:xfrm>
                      <a:off x="0" y="0"/>
                      <a:ext cx="7620000" cy="1095375"/>
                    </a:xfrm>
                    <a:prstGeom prst="rect">
                      <a:avLst/>
                    </a:prstGeom>
                  </pic:spPr>
                </pic:pic>
              </a:graphicData>
            </a:graphic>
          </wp:inline>
        </w:drawing>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460"/>
        <w:gridCol w:w="9670"/>
      </w:tblGrid>
      <w:tr>
        <w:trPr/>
        <w:tc>
          <w:tcPr>
            <w:tcW w:w="75"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14.2.</w:t>
            </w:r>
          </w:p>
        </w:tc>
        <w:tc>
          <w:tcPr>
            <w:tcW w:w="9670" w:type="dxa"/>
            <w:tcBorders/>
            <w:vAlign w:val="center"/>
          </w:tcPr>
          <w:p>
            <w:pPr>
              <w:pStyle w:val="TableContents"/>
              <w:bidi w:val="0"/>
              <w:spacing w:before="0" w:after="283"/>
              <w:jc w:val="both"/>
              <w:rPr/>
            </w:pPr>
            <w:r>
              <w:rPr/>
              <w:t>As a general policy, options for Tower's Executive Officers shall gradually vest per passage of time over a period of 3 years (or more) and the RSUs shall have time and/or performance based vesting. There shall be no vesting before the end of the first year from date of grant.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444"/>
        <w:gridCol w:w="9686"/>
      </w:tblGrid>
      <w:tr>
        <w:trPr/>
        <w:tc>
          <w:tcPr>
            <w:tcW w:w="75" w:type="dxa"/>
            <w:tcBorders/>
            <w:vAlign w:val="center"/>
          </w:tcPr>
          <w:p>
            <w:pPr>
              <w:pStyle w:val="TableContents"/>
              <w:bidi w:val="0"/>
              <w:spacing w:before="0" w:after="283"/>
              <w:jc w:val="left"/>
              <w:rPr/>
            </w:pPr>
            <w:r>
              <w:rPr/>
              <w:t> </w:t>
            </w:r>
          </w:p>
        </w:tc>
        <w:tc>
          <w:tcPr>
            <w:tcW w:w="444" w:type="dxa"/>
            <w:tcBorders/>
            <w:vAlign w:val="center"/>
          </w:tcPr>
          <w:p>
            <w:pPr>
              <w:pStyle w:val="TableContents"/>
              <w:bidi w:val="0"/>
              <w:spacing w:before="0" w:after="283"/>
              <w:jc w:val="left"/>
              <w:rPr/>
            </w:pPr>
            <w:r>
              <w:rPr/>
              <w:t>14.3.</w:t>
            </w:r>
          </w:p>
        </w:tc>
        <w:tc>
          <w:tcPr>
            <w:tcW w:w="9686" w:type="dxa"/>
            <w:tcBorders/>
            <w:vAlign w:val="center"/>
          </w:tcPr>
          <w:p>
            <w:pPr>
              <w:pStyle w:val="TableContents"/>
              <w:bidi w:val="0"/>
              <w:spacing w:before="0" w:after="283"/>
              <w:jc w:val="both"/>
              <w:rPr/>
            </w:pPr>
            <w:r>
              <w:rPr/>
              <w:t xml:space="preserve">The CEO may be granted equity, more than half of which shall be PSUs, annually at a value calculated based on the Equity Calculation Model which shall not exceed </w:t>
            </w:r>
            <w:r>
              <w:rPr>
                <w:strike/>
              </w:rPr>
              <w:t xml:space="preserve">ten </w:t>
            </w:r>
            <w:r>
              <w:rPr>
                <w:strike/>
                <w:u w:val="single"/>
              </w:rPr>
              <w:t>13</w:t>
            </w:r>
            <w:r>
              <w:rPr>
                <w:u w:val="single"/>
              </w:rPr>
              <w:t xml:space="preserve">thirteen </w:t>
            </w:r>
            <w:r>
              <w:rPr/>
              <w:t xml:space="preserve">annual base salaries. Each Other Executive Officer may be granted equity, more than half of which shall be PSUs, annually at a value calculated based on the Equity Calculation Model which shall not exceed </w:t>
            </w:r>
            <w:r>
              <w:rPr>
                <w:strike/>
              </w:rPr>
              <w:t xml:space="preserve">five </w:t>
            </w:r>
            <w:r>
              <w:rPr>
                <w:u w:val="single"/>
              </w:rPr>
              <w:t>seven</w:t>
            </w:r>
            <w:r>
              <w:rPr/>
              <w:t xml:space="preserve"> annual base salaries of such Other Executive Officer. In addition, the Executive Officers may be granted, on an annual basis, additional PSUs that will vest subject to and only in the event that the Company’s actual performance exceeds the corporate annual plan and/or pre-defined performance target(s) required to be met for the vesting of the initial PSUs awarded to the applicable executive officer for such period, in a value that shall be pre-determined by the Compensation Committee and Board of Directors, provided that the maximum value of any such additional PSUs shall not exceed 100% of the value of the initial PSUs awarded to the applicable Executive Officer for such period. The terms of any such PSUs shall be in compliance with the terms of this Policy and the applicable Company equity-based incentive plan.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442"/>
        <w:gridCol w:w="9688"/>
      </w:tblGrid>
      <w:tr>
        <w:trPr/>
        <w:tc>
          <w:tcPr>
            <w:tcW w:w="75"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14.4.</w:t>
            </w:r>
          </w:p>
        </w:tc>
        <w:tc>
          <w:tcPr>
            <w:tcW w:w="9688" w:type="dxa"/>
            <w:tcBorders/>
            <w:vAlign w:val="center"/>
          </w:tcPr>
          <w:p>
            <w:pPr>
              <w:pStyle w:val="TableContents"/>
              <w:bidi w:val="0"/>
              <w:spacing w:before="0" w:after="283"/>
              <w:jc w:val="both"/>
              <w:rPr/>
            </w:pPr>
            <w:r>
              <w:rPr/>
              <w:t>Since the Company strives and targets growth to enhance shareholders’ value and special leadership is required for successful execution, additional performance based equity awards at a value calculated based on the Equity Calculation Model, which shall not exceed 6 annual base salaries may be provided to the CEO and 4 annual base salaries may be provided to Other Executive Officers subject to the achievement of one or more long term goals, such as special operational, strategic, financial or business goal(s) that are challenging to attain within a five year period and are beyond the Company’s current ongoing activities, to be predetermined by the Compensation Committee and Board of Directors. For such awards, the Compensation Committee will provide the rationale for the use thereof in its recommendation to the Board of Directors for approval. This additional grant shall fully vest upon achievement of the defined long-term goal(s) or partially vest upon the achievement of pre-defined milestones and a minimum vesting period and may be granted only if no other such grant is outstanding. In addition, in the event of a “Change of Control” event resulting in an Executive Officer’s “Termination Upon Change of Control,” both terms as defined in the Executive Officer’s employment agreement or terms of employment, the performance-based equity awards under this section for which the performance target(s) have been met as of the date of the Executive Officer’s employment termination will be fully accelerated. Any performance-based equity awards under this section for which the performance target(s) have not been met as of the date of “Termination Upon Change of Control” would terminate immediately upon such termination of employment.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453"/>
        <w:gridCol w:w="9677"/>
      </w:tblGrid>
      <w:tr>
        <w:trPr/>
        <w:tc>
          <w:tcPr>
            <w:tcW w:w="75" w:type="dxa"/>
            <w:tcBorders/>
            <w:vAlign w:val="center"/>
          </w:tcPr>
          <w:p>
            <w:pPr>
              <w:pStyle w:val="TableContents"/>
              <w:bidi w:val="0"/>
              <w:spacing w:before="0" w:after="283"/>
              <w:jc w:val="left"/>
              <w:rPr/>
            </w:pPr>
            <w:r>
              <w:rPr/>
              <w:t> </w:t>
            </w:r>
          </w:p>
        </w:tc>
        <w:tc>
          <w:tcPr>
            <w:tcW w:w="453" w:type="dxa"/>
            <w:tcBorders/>
            <w:vAlign w:val="center"/>
          </w:tcPr>
          <w:p>
            <w:pPr>
              <w:pStyle w:val="TableContents"/>
              <w:bidi w:val="0"/>
              <w:spacing w:before="0" w:after="283"/>
              <w:jc w:val="left"/>
              <w:rPr/>
            </w:pPr>
            <w:r>
              <w:rPr/>
              <w:t>14.5.</w:t>
            </w:r>
          </w:p>
        </w:tc>
        <w:tc>
          <w:tcPr>
            <w:tcW w:w="9677" w:type="dxa"/>
            <w:tcBorders/>
            <w:vAlign w:val="center"/>
          </w:tcPr>
          <w:p>
            <w:pPr>
              <w:pStyle w:val="TableContents"/>
              <w:bidi w:val="0"/>
              <w:spacing w:before="0" w:after="283"/>
              <w:jc w:val="both"/>
              <w:rPr/>
            </w:pPr>
            <w:r>
              <w:rPr/>
              <w:t xml:space="preserve">The exercise price of options granted to the Executive Officers and Directors shall be equal to the arithmetic average closing price of Tower's shares, as quoted on the NASDAQ market (or if Tower's shares will not be traded on NASDAQ, the Tel-Aviv Stock Exchange or any principal national securities exchange upon which Tower's shares are listed or traded) for the 30 trading days prior to the date of </w:t>
            </w:r>
            <w:r>
              <w:rPr>
                <w:spacing w:val="-2"/>
              </w:rPr>
              <w:t>grant.</w:t>
            </w:r>
          </w:p>
        </w:tc>
      </w:tr>
    </w:tbl>
    <w:p>
      <w:pPr>
        <w:pStyle w:val="TextBody"/>
        <w:bidi w:val="0"/>
        <w:spacing w:before="0" w:after="283"/>
        <w:jc w:val="left"/>
        <w:rPr/>
      </w:pPr>
      <w:r>
        <w:rPr/>
        <w:t> </w:t>
      </w:r>
    </w:p>
    <w:p>
      <w:pPr>
        <w:pStyle w:val="TextBody"/>
        <w:bidi w:val="0"/>
        <w:jc w:val="center"/>
        <w:rPr/>
      </w:pPr>
      <w:r>
        <w:rPr/>
        <w:t> </w:t>
      </w:r>
      <w:r>
        <w:rPr/>
        <w:drawing>
          <wp:inline distT="0" distB="0" distL="0" distR="0">
            <wp:extent cx="7620000" cy="1181100"/>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embed="rId80"/>
                    <a:stretch>
                      <a:fillRect/>
                    </a:stretch>
                  </pic:blipFill>
                  <pic:spPr bwMode="auto">
                    <a:xfrm>
                      <a:off x="0" y="0"/>
                      <a:ext cx="7620000" cy="1181100"/>
                    </a:xfrm>
                    <a:prstGeom prst="rect">
                      <a:avLst/>
                    </a:prstGeom>
                  </pic:spPr>
                </pic:pic>
              </a:graphicData>
            </a:graphic>
          </wp:inline>
        </w:drawing>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7620000" cy="10953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embed="rId81"/>
                    <a:stretch>
                      <a:fillRect/>
                    </a:stretch>
                  </pic:blipFill>
                  <pic:spPr bwMode="auto">
                    <a:xfrm>
                      <a:off x="0" y="0"/>
                      <a:ext cx="7620000" cy="1095375"/>
                    </a:xfrm>
                    <a:prstGeom prst="rect">
                      <a:avLst/>
                    </a:prstGeom>
                  </pic:spPr>
                </pic:pic>
              </a:graphicData>
            </a:graphic>
          </wp:inline>
        </w:drawing>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451"/>
        <w:gridCol w:w="9679"/>
      </w:tblGrid>
      <w:tr>
        <w:trPr/>
        <w:tc>
          <w:tcPr>
            <w:tcW w:w="75"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14.6.</w:t>
            </w:r>
          </w:p>
        </w:tc>
        <w:tc>
          <w:tcPr>
            <w:tcW w:w="9679" w:type="dxa"/>
            <w:tcBorders/>
            <w:vAlign w:val="center"/>
          </w:tcPr>
          <w:p>
            <w:pPr>
              <w:pStyle w:val="TableContents"/>
              <w:bidi w:val="0"/>
              <w:spacing w:before="0" w:after="283"/>
              <w:jc w:val="both"/>
              <w:rPr/>
            </w:pPr>
            <w:r>
              <w:rPr/>
              <w:t xml:space="preserve">The expiration of options granted to the Executive Officers shall be seven (7) years from date of grant. There shall be accelerated vesting of all equity awards granted to Executive Officers and Directors (including outstanding, current and future equity grants, including performance based stock unit grants </w:t>
            </w:r>
            <w:r>
              <w:rPr>
                <w:u w:val="single"/>
              </w:rPr>
              <w:t>at target performance</w:t>
            </w:r>
            <w:r>
              <w:rPr/>
              <w:t>), in the event of their death, allowing the exercise of such vested equity, as applicable, in accordance with the terms of the applicable equity plan governing it.</w:t>
            </w:r>
          </w:p>
        </w:tc>
      </w:tr>
      <w:tr>
        <w:trPr/>
        <w:tc>
          <w:tcPr>
            <w:tcW w:w="75"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9679"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472"/>
        <w:gridCol w:w="9658"/>
      </w:tblGrid>
      <w:tr>
        <w:trPr/>
        <w:tc>
          <w:tcPr>
            <w:tcW w:w="75" w:type="dxa"/>
            <w:tcBorders/>
            <w:vAlign w:val="center"/>
          </w:tcPr>
          <w:p>
            <w:pPr>
              <w:pStyle w:val="TableContents"/>
              <w:bidi w:val="0"/>
              <w:spacing w:before="0" w:after="283"/>
              <w:jc w:val="left"/>
              <w:rPr/>
            </w:pPr>
            <w:r>
              <w:rPr/>
              <w:t> </w:t>
            </w:r>
          </w:p>
        </w:tc>
        <w:tc>
          <w:tcPr>
            <w:tcW w:w="472" w:type="dxa"/>
            <w:tcBorders/>
            <w:vAlign w:val="center"/>
          </w:tcPr>
          <w:p>
            <w:pPr>
              <w:pStyle w:val="TableContents"/>
              <w:bidi w:val="0"/>
              <w:spacing w:before="0" w:after="283"/>
              <w:jc w:val="left"/>
              <w:rPr/>
            </w:pPr>
            <w:r>
              <w:rPr/>
              <w:t>14.7.</w:t>
            </w:r>
          </w:p>
        </w:tc>
        <w:tc>
          <w:tcPr>
            <w:tcW w:w="9658" w:type="dxa"/>
            <w:tcBorders/>
            <w:vAlign w:val="center"/>
          </w:tcPr>
          <w:p>
            <w:pPr>
              <w:pStyle w:val="TableContents"/>
              <w:bidi w:val="0"/>
              <w:spacing w:before="0" w:after="283"/>
              <w:jc w:val="both"/>
              <w:rPr/>
            </w:pPr>
            <w:r>
              <w:rPr/>
              <w:t xml:space="preserve">Equity may be granted under the existing Employee Share Incentive Plans of the Company and/or any new plans governing equity based awards upon such plans becoming </w:t>
            </w:r>
            <w:r>
              <w:rPr>
                <w:spacing w:val="-2"/>
              </w:rPr>
              <w:t>effective.</w:t>
            </w:r>
          </w:p>
        </w:tc>
      </w:tr>
      <w:tr>
        <w:trPr/>
        <w:tc>
          <w:tcPr>
            <w:tcW w:w="75" w:type="dxa"/>
            <w:tcBorders/>
            <w:vAlign w:val="center"/>
          </w:tcPr>
          <w:p>
            <w:pPr>
              <w:pStyle w:val="TableContents"/>
              <w:bidi w:val="0"/>
              <w:spacing w:before="0" w:after="283"/>
              <w:jc w:val="left"/>
              <w:rPr/>
            </w:pPr>
            <w:r>
              <w:rPr/>
              <w:t> </w:t>
            </w:r>
          </w:p>
        </w:tc>
        <w:tc>
          <w:tcPr>
            <w:tcW w:w="472" w:type="dxa"/>
            <w:tcBorders/>
            <w:vAlign w:val="center"/>
          </w:tcPr>
          <w:p>
            <w:pPr>
              <w:pStyle w:val="TableContents"/>
              <w:bidi w:val="0"/>
              <w:spacing w:before="0" w:after="283"/>
              <w:jc w:val="left"/>
              <w:rPr/>
            </w:pPr>
            <w:r>
              <w:rPr/>
              <w:t> </w:t>
            </w:r>
          </w:p>
        </w:tc>
        <w:tc>
          <w:tcPr>
            <w:tcW w:w="9658"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470"/>
        <w:gridCol w:w="9660"/>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14.8.</w:t>
            </w:r>
          </w:p>
        </w:tc>
        <w:tc>
          <w:tcPr>
            <w:tcW w:w="9660" w:type="dxa"/>
            <w:tcBorders/>
            <w:vAlign w:val="center"/>
          </w:tcPr>
          <w:p>
            <w:pPr>
              <w:pStyle w:val="TableContents"/>
              <w:bidi w:val="0"/>
              <w:spacing w:before="0" w:after="283"/>
              <w:jc w:val="both"/>
              <w:rPr/>
            </w:pPr>
            <w:r>
              <w:rPr/>
              <w:t>Shareholding guidelines – In order to further align the interests of our Executive Officers, Directors and our shareholders, the Company has adopted the following stock ownership guidelines:</w:t>
            </w:r>
          </w:p>
        </w:tc>
      </w:tr>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c>
          <w:tcPr>
            <w:tcW w:w="96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619"/>
        <w:gridCol w:w="9511"/>
      </w:tblGrid>
      <w:tr>
        <w:trPr/>
        <w:tc>
          <w:tcPr>
            <w:tcW w:w="75"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left"/>
              <w:rPr>
                <w:spacing w:val="-2"/>
              </w:rPr>
            </w:pPr>
            <w:r>
              <w:rPr>
                <w:spacing w:val="-2"/>
              </w:rPr>
              <w:t>14.8.1.</w:t>
            </w:r>
          </w:p>
        </w:tc>
        <w:tc>
          <w:tcPr>
            <w:tcW w:w="9511" w:type="dxa"/>
            <w:tcBorders/>
            <w:vAlign w:val="center"/>
          </w:tcPr>
          <w:p>
            <w:pPr>
              <w:pStyle w:val="TableContents"/>
              <w:bidi w:val="0"/>
              <w:spacing w:before="0" w:after="283"/>
              <w:jc w:val="both"/>
              <w:rPr/>
            </w:pPr>
            <w:r>
              <w:rPr/>
              <w:t xml:space="preserve">The CEO </w:t>
            </w:r>
            <w:r>
              <w:rPr>
                <w:strike/>
              </w:rPr>
              <w:t>will be</w:t>
            </w:r>
            <w:r>
              <w:rPr>
                <w:u w:val="single"/>
              </w:rPr>
              <w:t>is</w:t>
            </w:r>
            <w:r>
              <w:rPr/>
              <w:t xml:space="preserve"> required to own a minimum value that equals at least 3 times of the CEO’s annual base salary in ordinary shares of the Company</w:t>
            </w:r>
            <w:r>
              <w:rPr>
                <w:strike/>
              </w:rPr>
              <w:t>. The CEO has 5 years from the date the board approved this guideline to accumulate said minimum, and during said period, the CEO must retain at least 20% of the vested time-based RSUs</w:t>
            </w:r>
            <w:r>
              <w:rPr/>
              <w:t xml:space="preserve"> </w:t>
            </w:r>
            <w:r>
              <w:rPr>
                <w:u w:val="single"/>
              </w:rPr>
              <w:t>(excluding, for avoidance of doubt, ordinary shares of the Company underlying unvested RSUs, unearned PSUs and unexercised options)</w:t>
            </w:r>
            <w:r>
              <w:rPr>
                <w:strike/>
              </w:rPr>
              <w:t>that may be granted from the date this guideline was approved, until the guideline is met</w:t>
            </w:r>
            <w:r>
              <w:rPr/>
              <w:t>.</w:t>
            </w:r>
          </w:p>
        </w:tc>
      </w:tr>
      <w:tr>
        <w:trPr/>
        <w:tc>
          <w:tcPr>
            <w:tcW w:w="75"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left"/>
              <w:rPr/>
            </w:pPr>
            <w:r>
              <w:rPr/>
              <w:t> </w:t>
            </w:r>
          </w:p>
        </w:tc>
        <w:tc>
          <w:tcPr>
            <w:tcW w:w="9511"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618"/>
        <w:gridCol w:w="9512"/>
      </w:tblGrid>
      <w:tr>
        <w:trPr/>
        <w:tc>
          <w:tcPr>
            <w:tcW w:w="75" w:type="dxa"/>
            <w:tcBorders/>
            <w:vAlign w:val="center"/>
          </w:tcPr>
          <w:p>
            <w:pPr>
              <w:pStyle w:val="TableContents"/>
              <w:bidi w:val="0"/>
              <w:spacing w:before="0" w:after="283"/>
              <w:jc w:val="left"/>
              <w:rPr/>
            </w:pPr>
            <w:r>
              <w:rPr/>
              <w:t> </w:t>
            </w:r>
          </w:p>
        </w:tc>
        <w:tc>
          <w:tcPr>
            <w:tcW w:w="618" w:type="dxa"/>
            <w:tcBorders/>
            <w:vAlign w:val="center"/>
          </w:tcPr>
          <w:p>
            <w:pPr>
              <w:pStyle w:val="TableContents"/>
              <w:bidi w:val="0"/>
              <w:spacing w:before="0" w:after="283"/>
              <w:jc w:val="left"/>
              <w:rPr>
                <w:spacing w:val="-2"/>
              </w:rPr>
            </w:pPr>
            <w:r>
              <w:rPr>
                <w:spacing w:val="-2"/>
              </w:rPr>
              <w:t>14.8.2.</w:t>
            </w:r>
          </w:p>
        </w:tc>
        <w:tc>
          <w:tcPr>
            <w:tcW w:w="9512" w:type="dxa"/>
            <w:tcBorders/>
            <w:vAlign w:val="center"/>
          </w:tcPr>
          <w:p>
            <w:pPr>
              <w:pStyle w:val="TableContents"/>
              <w:bidi w:val="0"/>
              <w:spacing w:before="0" w:after="283"/>
              <w:jc w:val="both"/>
              <w:rPr/>
            </w:pPr>
            <w:r>
              <w:rPr/>
              <w:t xml:space="preserve">The Other Executive Officers </w:t>
            </w:r>
            <w:r>
              <w:rPr>
                <w:strike/>
              </w:rPr>
              <w:t>will be</w:t>
            </w:r>
            <w:r>
              <w:rPr>
                <w:u w:val="single"/>
              </w:rPr>
              <w:t>are</w:t>
            </w:r>
            <w:r>
              <w:rPr/>
              <w:t xml:space="preserve"> required to own a minimum value that equals at least 50% of his/her respective annual base salary in ordinary shares of the Company</w:t>
            </w:r>
            <w:r>
              <w:rPr>
                <w:strike/>
              </w:rPr>
              <w:t>. Each Other Executive Officer has 5 years from the date the board approved this guideline to accumulate said minimum, and during said period, the Other Executive Officer must retain at least 20% of the vested time-based RSUs</w:t>
            </w:r>
            <w:r>
              <w:rPr/>
              <w:t xml:space="preserve"> </w:t>
            </w:r>
            <w:r>
              <w:rPr>
                <w:u w:val="single"/>
              </w:rPr>
              <w:t>(excluding, for avoidance of doubt, ordinary shares of the Company underlying unvested RSUs, unearned PSUs and unexercised options)</w:t>
            </w:r>
            <w:r>
              <w:rPr/>
              <w:t xml:space="preserve"> </w:t>
            </w:r>
            <w:r>
              <w:rPr>
                <w:strike/>
              </w:rPr>
              <w:t>that may be granted from the date this guideline is approved, until the guideline is met</w:t>
            </w:r>
            <w:r>
              <w:rPr/>
              <w:t>.</w:t>
            </w:r>
          </w:p>
        </w:tc>
      </w:tr>
      <w:tr>
        <w:trPr/>
        <w:tc>
          <w:tcPr>
            <w:tcW w:w="75" w:type="dxa"/>
            <w:tcBorders/>
            <w:vAlign w:val="center"/>
          </w:tcPr>
          <w:p>
            <w:pPr>
              <w:pStyle w:val="TableContents"/>
              <w:bidi w:val="0"/>
              <w:spacing w:before="0" w:after="283"/>
              <w:jc w:val="left"/>
              <w:rPr/>
            </w:pPr>
            <w:r>
              <w:rPr/>
              <w:t> </w:t>
            </w:r>
          </w:p>
        </w:tc>
        <w:tc>
          <w:tcPr>
            <w:tcW w:w="618" w:type="dxa"/>
            <w:tcBorders/>
            <w:vAlign w:val="center"/>
          </w:tcPr>
          <w:p>
            <w:pPr>
              <w:pStyle w:val="TableContents"/>
              <w:bidi w:val="0"/>
              <w:spacing w:before="0" w:after="283"/>
              <w:jc w:val="left"/>
              <w:rPr/>
            </w:pPr>
            <w:r>
              <w:rPr/>
              <w:t> </w:t>
            </w:r>
          </w:p>
        </w:tc>
        <w:tc>
          <w:tcPr>
            <w:tcW w:w="9512"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616"/>
        <w:gridCol w:w="9514"/>
      </w:tblGrid>
      <w:tr>
        <w:trPr/>
        <w:tc>
          <w:tcPr>
            <w:tcW w:w="75"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left"/>
              <w:rPr>
                <w:spacing w:val="-2"/>
                <w:u w:val="single"/>
              </w:rPr>
            </w:pPr>
            <w:r>
              <w:rPr>
                <w:spacing w:val="-2"/>
                <w:u w:val="single"/>
              </w:rPr>
              <w:t>14.8.3.</w:t>
            </w:r>
          </w:p>
        </w:tc>
        <w:tc>
          <w:tcPr>
            <w:tcW w:w="9514" w:type="dxa"/>
            <w:tcBorders/>
            <w:vAlign w:val="center"/>
          </w:tcPr>
          <w:p>
            <w:pPr>
              <w:pStyle w:val="TableContents"/>
              <w:bidi w:val="0"/>
              <w:spacing w:before="0" w:after="283"/>
              <w:jc w:val="both"/>
              <w:rPr>
                <w:sz w:val="20"/>
              </w:rPr>
            </w:pPr>
            <w:r>
              <w:rPr>
                <w:sz w:val="20"/>
              </w:rPr>
              <w:t xml:space="preserve">The Directors </w:t>
            </w:r>
            <w:r>
              <w:rPr>
                <w:sz w:val="20"/>
                <w:u w:val="single"/>
              </w:rPr>
              <w:t>are</w:t>
            </w:r>
            <w:r>
              <w:rPr>
                <w:strike/>
                <w:sz w:val="20"/>
              </w:rPr>
              <w:t>will be</w:t>
            </w:r>
            <w:r>
              <w:rPr>
                <w:sz w:val="20"/>
              </w:rPr>
              <w:t xml:space="preserve"> required to own a minimum value that equals at least 50% of the Annual Fee (as defined below) in ordinary shares of the Company </w:t>
            </w:r>
            <w:r>
              <w:rPr>
                <w:sz w:val="20"/>
                <w:u w:val="single"/>
              </w:rPr>
              <w:t>(excluding, for avoidance of doubt, ordinary shares of the Company underlying unvested RSUs, unearned PSUs and unexercised options)</w:t>
            </w:r>
            <w:r>
              <w:rPr>
                <w:sz w:val="20"/>
              </w:rPr>
              <w:t xml:space="preserve">. The Chair of the Board </w:t>
            </w:r>
            <w:r>
              <w:rPr>
                <w:sz w:val="20"/>
                <w:u w:val="single"/>
              </w:rPr>
              <w:t xml:space="preserve">of Directors </w:t>
            </w:r>
            <w:r>
              <w:rPr>
                <w:strike/>
                <w:sz w:val="20"/>
              </w:rPr>
              <w:t>will be</w:t>
            </w:r>
            <w:r>
              <w:rPr>
                <w:sz w:val="20"/>
                <w:u w:val="single"/>
              </w:rPr>
              <w:t>is</w:t>
            </w:r>
            <w:r>
              <w:rPr>
                <w:sz w:val="20"/>
              </w:rPr>
              <w:t xml:space="preserve"> required to own a minimum value in ordinary shares of the Company </w:t>
            </w:r>
            <w:r>
              <w:rPr>
                <w:sz w:val="20"/>
                <w:u w:val="single"/>
              </w:rPr>
              <w:t xml:space="preserve">(excluding, for avoidance of doubt, ordinary shares of the Company underlying unvested RSUs, unearned PSUs and unexercised options) </w:t>
            </w:r>
            <w:r>
              <w:rPr>
                <w:sz w:val="20"/>
              </w:rPr>
              <w:t xml:space="preserve">that equals at least 50% of the annual cash compensation paid to him/her. </w:t>
            </w:r>
            <w:r>
              <w:rPr>
                <w:strike/>
                <w:sz w:val="20"/>
              </w:rPr>
              <w:t>Each Director has 5 years from the date the board approved this guideline to accumulate said minimum, and during said period, the Director must retain at least 20% of the vested time-based RSUs that may be granted from the date this guideline is approved, until the guideline is met.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622"/>
        <w:gridCol w:w="9508"/>
      </w:tblGrid>
      <w:tr>
        <w:trPr/>
        <w:tc>
          <w:tcPr>
            <w:tcW w:w="75" w:type="dxa"/>
            <w:tcBorders/>
            <w:vAlign w:val="center"/>
          </w:tcPr>
          <w:p>
            <w:pPr>
              <w:pStyle w:val="TableContents"/>
              <w:bidi w:val="0"/>
              <w:spacing w:before="0" w:after="283"/>
              <w:jc w:val="left"/>
              <w:rPr/>
            </w:pPr>
            <w:r>
              <w:rPr/>
              <w:t> </w:t>
            </w:r>
          </w:p>
        </w:tc>
        <w:tc>
          <w:tcPr>
            <w:tcW w:w="622" w:type="dxa"/>
            <w:tcBorders/>
            <w:vAlign w:val="center"/>
          </w:tcPr>
          <w:p>
            <w:pPr>
              <w:pStyle w:val="TableContents"/>
              <w:bidi w:val="0"/>
              <w:spacing w:before="0" w:after="283"/>
              <w:jc w:val="left"/>
              <w:rPr>
                <w:spacing w:val="-2"/>
                <w:u w:val="single"/>
              </w:rPr>
            </w:pPr>
            <w:r>
              <w:rPr>
                <w:spacing w:val="-2"/>
                <w:u w:val="single"/>
              </w:rPr>
              <w:t>14.8.4.</w:t>
            </w:r>
          </w:p>
        </w:tc>
        <w:tc>
          <w:tcPr>
            <w:tcW w:w="9508" w:type="dxa"/>
            <w:tcBorders/>
            <w:vAlign w:val="center"/>
          </w:tcPr>
          <w:p>
            <w:pPr>
              <w:pStyle w:val="TableContents"/>
              <w:bidi w:val="0"/>
              <w:spacing w:before="0" w:after="283"/>
              <w:jc w:val="both"/>
              <w:rPr>
                <w:u w:val="single"/>
              </w:rPr>
            </w:pPr>
            <w:r>
              <w:rPr>
                <w:u w:val="single"/>
              </w:rPr>
              <w:t>Each officer and director in office had five years from the date the Board of Directors approved the shareholding guidelines to attain their respective minimum holding. During such period, each officer and director was required to retain at least 20% of the ordinary shares of the Company issued upon the vesting of time-based RSUs granted to him/her from the date the guidelines were approved, until the guidelines were met.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45"/>
        <w:gridCol w:w="630"/>
        <w:gridCol w:w="8930"/>
      </w:tblGrid>
      <w:tr>
        <w:trPr/>
        <w:tc>
          <w:tcPr>
            <w:tcW w:w="645" w:type="dxa"/>
            <w:tcBorders/>
            <w:vAlign w:val="center"/>
          </w:tcPr>
          <w:p>
            <w:pPr>
              <w:pStyle w:val="TableContents"/>
              <w:bidi w:val="0"/>
              <w:spacing w:before="0" w:after="283"/>
              <w:jc w:val="right"/>
              <w:rPr>
                <w:strike/>
              </w:rPr>
            </w:pPr>
            <w:r>
              <w:rPr>
                <w:strike/>
              </w:rPr>
              <w:t>14.8.3.</w:t>
            </w:r>
          </w:p>
        </w:tc>
        <w:tc>
          <w:tcPr>
            <w:tcW w:w="630" w:type="dxa"/>
            <w:tcBorders/>
            <w:vAlign w:val="center"/>
          </w:tcPr>
          <w:p>
            <w:pPr>
              <w:pStyle w:val="TableContents"/>
              <w:bidi w:val="0"/>
              <w:spacing w:before="0" w:after="283"/>
              <w:jc w:val="left"/>
              <w:rPr>
                <w:u w:val="single"/>
              </w:rPr>
            </w:pPr>
            <w:r>
              <w:rPr>
                <w:u w:val="single"/>
              </w:rPr>
              <w:t>14.8.5.</w:t>
            </w:r>
          </w:p>
        </w:tc>
        <w:tc>
          <w:tcPr>
            <w:tcW w:w="8930" w:type="dxa"/>
            <w:tcBorders/>
            <w:vAlign w:val="center"/>
          </w:tcPr>
          <w:p>
            <w:pPr>
              <w:pStyle w:val="TableContents"/>
              <w:bidi w:val="0"/>
              <w:spacing w:before="0" w:after="283"/>
              <w:jc w:val="both"/>
              <w:rPr>
                <w:u w:val="single"/>
              </w:rPr>
            </w:pPr>
            <w:r>
              <w:rPr>
                <w:u w:val="single"/>
              </w:rPr>
              <w:t>Directors and officers elected or appointed (as the case may be) subsequent to the date the Board of Directors approved the shareholding guidelines have five years from the date of their election or appointment to attain their respective minimum shareholding. During such period, each such officer and director must retain at least 20% of the ordinary shares of the Company issued upon the vesting of time-based RSUs granted to him/her during such period.</w:t>
            </w:r>
          </w:p>
        </w:tc>
      </w:tr>
    </w:tbl>
    <w:p>
      <w:pPr>
        <w:pStyle w:val="TextBody"/>
        <w:bidi w:val="0"/>
        <w:spacing w:before="0" w:after="283"/>
        <w:jc w:val="left"/>
        <w:rPr/>
      </w:pPr>
      <w:r>
        <w:rPr/>
        <w:t> </w:t>
      </w:r>
    </w:p>
    <w:p>
      <w:pPr>
        <w:pStyle w:val="TextBody"/>
        <w:bidi w:val="0"/>
        <w:jc w:val="center"/>
        <w:rPr/>
      </w:pPr>
      <w:r>
        <w:rPr/>
        <w:drawing>
          <wp:inline distT="0" distB="0" distL="0" distR="0">
            <wp:extent cx="7620000" cy="1181100"/>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embed="rId82"/>
                    <a:stretch>
                      <a:fillRect/>
                    </a:stretch>
                  </pic:blipFill>
                  <pic:spPr bwMode="auto">
                    <a:xfrm>
                      <a:off x="0" y="0"/>
                      <a:ext cx="7620000" cy="1181100"/>
                    </a:xfrm>
                    <a:prstGeom prst="rect">
                      <a:avLst/>
                    </a:prstGeom>
                  </pic:spPr>
                </pic:pic>
              </a:graphicData>
            </a:graphic>
          </wp:inline>
        </w:drawing>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7620000" cy="10953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embed="rId83"/>
                    <a:stretch>
                      <a:fillRect/>
                    </a:stretch>
                  </pic:blipFill>
                  <pic:spPr bwMode="auto">
                    <a:xfrm>
                      <a:off x="0" y="0"/>
                      <a:ext cx="7620000" cy="1095375"/>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jc w:val="left"/>
        <w:rPr>
          <w:b/>
          <w:u w:val="single"/>
        </w:rPr>
      </w:pPr>
      <w:r>
        <w:rPr>
          <w:b/>
          <w:u w:val="single"/>
        </w:rPr>
        <w:t>E.  Retirement, Termination and Other Arrangements</w:t>
      </w:r>
    </w:p>
    <w:p>
      <w:pPr>
        <w:pStyle w:val="TextBody"/>
        <w:bidi w:val="0"/>
        <w:spacing w:before="0" w:after="0"/>
        <w:jc w:val="left"/>
        <w:rPr/>
      </w:pPr>
      <w:r>
        <w:rPr/>
        <w:t> </w:t>
      </w:r>
    </w:p>
    <w:tbl>
      <w:tblPr>
        <w:tblW w:w="1930" w:type="dxa"/>
        <w:jc w:val="left"/>
        <w:tblInd w:w="0" w:type="dxa"/>
        <w:tblLayout w:type="fixed"/>
        <w:tblCellMar>
          <w:top w:w="0" w:type="dxa"/>
          <w:left w:w="0" w:type="dxa"/>
          <w:bottom w:w="0" w:type="dxa"/>
          <w:right w:w="0" w:type="dxa"/>
        </w:tblCellMar>
      </w:tblPr>
      <w:tblGrid>
        <w:gridCol w:w="335"/>
        <w:gridCol w:w="1595"/>
      </w:tblGrid>
      <w:tr>
        <w:trPr/>
        <w:tc>
          <w:tcPr>
            <w:tcW w:w="335" w:type="dxa"/>
            <w:tcBorders/>
            <w:vAlign w:val="center"/>
          </w:tcPr>
          <w:p>
            <w:pPr>
              <w:pStyle w:val="TableContents"/>
              <w:bidi w:val="0"/>
              <w:spacing w:before="0" w:after="283"/>
              <w:jc w:val="left"/>
              <w:rPr>
                <w:b/>
              </w:rPr>
            </w:pPr>
            <w:r>
              <w:rPr>
                <w:b/>
              </w:rPr>
              <w:t>15.</w:t>
            </w:r>
          </w:p>
        </w:tc>
        <w:tc>
          <w:tcPr>
            <w:tcW w:w="1595" w:type="dxa"/>
            <w:tcBorders/>
            <w:vAlign w:val="center"/>
          </w:tcPr>
          <w:p>
            <w:pPr>
              <w:pStyle w:val="TableContents"/>
              <w:bidi w:val="0"/>
              <w:spacing w:before="0" w:after="283"/>
              <w:jc w:val="left"/>
              <w:rPr>
                <w:b/>
              </w:rPr>
            </w:pPr>
            <w:r>
              <w:rPr>
                <w:b/>
              </w:rPr>
              <w:t xml:space="preserve">Advance </w:t>
            </w:r>
            <w:r>
              <w:rPr>
                <w:b/>
                <w:spacing w:val="0"/>
              </w:rPr>
              <w:t>notice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Tower shall provide an Executive Officer a prior notice of termination of up to six (6) months but not less than three (3) months (unless termination is for cause), during which the Executive Officer shall be entitled to all of the compensation elements, and to the continuation of vesting of his/her equity based compensation. Executive Officers shall provide Tower a prior notice of resignation of at least three (3) months. During this advance notice period, at Tower's discretion, the Executive Officer may be requested to remain on Tower's payroll and provide services to Tower. During this period, the Executive Officer shall be paid his/her base salary and benefits and may be entitled to a partial or full annual bonus, based on the actual period of service or employment of the Executive Officer within this period, and based on Tower's performance during the period, the contribution of the Executive Officer to achieving Tower's targets and its profits and the circumstances of the termination.</w:t>
      </w:r>
    </w:p>
    <w:p>
      <w:pPr>
        <w:pStyle w:val="TextBody"/>
        <w:bidi w:val="0"/>
        <w:spacing w:before="0" w:after="0"/>
        <w:ind w:left="0" w:right="0" w:hanging="0"/>
        <w:jc w:val="both"/>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335"/>
        <w:gridCol w:w="1520"/>
      </w:tblGrid>
      <w:tr>
        <w:trPr/>
        <w:tc>
          <w:tcPr>
            <w:tcW w:w="335" w:type="dxa"/>
            <w:tcBorders/>
            <w:vAlign w:val="center"/>
          </w:tcPr>
          <w:p>
            <w:pPr>
              <w:pStyle w:val="TableContents"/>
              <w:bidi w:val="0"/>
              <w:spacing w:before="0" w:after="283"/>
              <w:jc w:val="left"/>
              <w:rPr>
                <w:b/>
              </w:rPr>
            </w:pPr>
            <w:r>
              <w:rPr>
                <w:b/>
              </w:rPr>
              <w:t>16.</w:t>
            </w:r>
          </w:p>
        </w:tc>
        <w:tc>
          <w:tcPr>
            <w:tcW w:w="1520" w:type="dxa"/>
            <w:tcBorders/>
            <w:vAlign w:val="center"/>
          </w:tcPr>
          <w:p>
            <w:pPr>
              <w:pStyle w:val="TableContents"/>
              <w:bidi w:val="0"/>
              <w:spacing w:before="0" w:after="283"/>
              <w:jc w:val="left"/>
              <w:rPr>
                <w:b/>
              </w:rPr>
            </w:pPr>
            <w:r>
              <w:rPr>
                <w:b/>
              </w:rPr>
              <w:t xml:space="preserve">Severance </w:t>
            </w:r>
            <w:r>
              <w:rPr>
                <w:b/>
                <w:spacing w:val="0"/>
              </w:rPr>
              <w:t>Pay</w:t>
            </w:r>
          </w:p>
        </w:tc>
      </w:tr>
      <w:tr>
        <w:trPr/>
        <w:tc>
          <w:tcPr>
            <w:tcW w:w="335"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463"/>
        <w:gridCol w:w="9667"/>
      </w:tblGrid>
      <w:tr>
        <w:trPr/>
        <w:tc>
          <w:tcPr>
            <w:tcW w:w="75" w:type="dxa"/>
            <w:tcBorders/>
            <w:vAlign w:val="center"/>
          </w:tcPr>
          <w:p>
            <w:pPr>
              <w:pStyle w:val="TableContents"/>
              <w:bidi w:val="0"/>
              <w:spacing w:before="0" w:after="283"/>
              <w:jc w:val="left"/>
              <w:rPr/>
            </w:pPr>
            <w:r>
              <w:rPr/>
              <w:t> </w:t>
            </w:r>
          </w:p>
        </w:tc>
        <w:tc>
          <w:tcPr>
            <w:tcW w:w="463" w:type="dxa"/>
            <w:tcBorders/>
            <w:vAlign w:val="center"/>
          </w:tcPr>
          <w:p>
            <w:pPr>
              <w:pStyle w:val="TableContents"/>
              <w:bidi w:val="0"/>
              <w:spacing w:before="0" w:after="283"/>
              <w:jc w:val="left"/>
              <w:rPr/>
            </w:pPr>
            <w:r>
              <w:rPr/>
              <w:t>16.1.</w:t>
            </w:r>
          </w:p>
        </w:tc>
        <w:tc>
          <w:tcPr>
            <w:tcW w:w="9667" w:type="dxa"/>
            <w:tcBorders/>
            <w:vAlign w:val="center"/>
          </w:tcPr>
          <w:p>
            <w:pPr>
              <w:pStyle w:val="TableContents"/>
              <w:bidi w:val="0"/>
              <w:spacing w:before="0" w:after="283"/>
              <w:jc w:val="both"/>
              <w:rPr/>
            </w:pPr>
            <w:r>
              <w:rPr/>
              <w:t>Upon resignation, Executive Officers who are Israeli employees shall receive severance pay according to article 14 of the Israeli Severance Pay Law 5723-1963. All other employees shall receive severance pay according to their local labor laws.</w:t>
            </w:r>
          </w:p>
        </w:tc>
      </w:tr>
      <w:tr>
        <w:trPr/>
        <w:tc>
          <w:tcPr>
            <w:tcW w:w="75" w:type="dxa"/>
            <w:tcBorders/>
            <w:vAlign w:val="center"/>
          </w:tcPr>
          <w:p>
            <w:pPr>
              <w:pStyle w:val="TableContents"/>
              <w:bidi w:val="0"/>
              <w:spacing w:before="0" w:after="283"/>
              <w:jc w:val="left"/>
              <w:rPr/>
            </w:pPr>
            <w:r>
              <w:rPr/>
              <w:t> </w:t>
            </w:r>
          </w:p>
        </w:tc>
        <w:tc>
          <w:tcPr>
            <w:tcW w:w="463" w:type="dxa"/>
            <w:tcBorders/>
            <w:vAlign w:val="center"/>
          </w:tcPr>
          <w:p>
            <w:pPr>
              <w:pStyle w:val="TableContents"/>
              <w:bidi w:val="0"/>
              <w:spacing w:before="0" w:after="283"/>
              <w:jc w:val="left"/>
              <w:rPr/>
            </w:pPr>
            <w:r>
              <w:rPr/>
              <w:t> </w:t>
            </w:r>
          </w:p>
        </w:tc>
        <w:tc>
          <w:tcPr>
            <w:tcW w:w="9667"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449"/>
        <w:gridCol w:w="9681"/>
      </w:tblGrid>
      <w:tr>
        <w:trPr/>
        <w:tc>
          <w:tcPr>
            <w:tcW w:w="75" w:type="dxa"/>
            <w:tcBorders/>
            <w:vAlign w:val="center"/>
          </w:tcPr>
          <w:p>
            <w:pPr>
              <w:pStyle w:val="TableContents"/>
              <w:bidi w:val="0"/>
              <w:spacing w:before="0" w:after="283"/>
              <w:jc w:val="left"/>
              <w:rPr/>
            </w:pPr>
            <w:r>
              <w:rPr/>
              <w:t> </w:t>
            </w:r>
          </w:p>
        </w:tc>
        <w:tc>
          <w:tcPr>
            <w:tcW w:w="449" w:type="dxa"/>
            <w:tcBorders/>
            <w:vAlign w:val="center"/>
          </w:tcPr>
          <w:p>
            <w:pPr>
              <w:pStyle w:val="TableContents"/>
              <w:bidi w:val="0"/>
              <w:spacing w:before="0" w:after="283"/>
              <w:jc w:val="left"/>
              <w:rPr/>
            </w:pPr>
            <w:r>
              <w:rPr/>
              <w:t>16.2.</w:t>
            </w:r>
          </w:p>
        </w:tc>
        <w:tc>
          <w:tcPr>
            <w:tcW w:w="9681" w:type="dxa"/>
            <w:tcBorders/>
            <w:vAlign w:val="center"/>
          </w:tcPr>
          <w:p>
            <w:pPr>
              <w:pStyle w:val="TableContents"/>
              <w:bidi w:val="0"/>
              <w:spacing w:before="0" w:after="283"/>
              <w:jc w:val="both"/>
              <w:rPr/>
            </w:pPr>
            <w:r>
              <w:rPr/>
              <w:t xml:space="preserve">Upon dismissal, Executive Officers who are Israeli employees may receive severance pay equal to his/her last monthly base salary multiplied by the number of years employed by Tower </w:t>
            </w:r>
            <w:r>
              <w:rPr>
                <w:u w:val="single"/>
              </w:rPr>
              <w:t>(except in circumstances where severance pay is not payable under applicable Israeli law)</w:t>
            </w:r>
            <w:r>
              <w:rPr/>
              <w:t>. All other employees shall receive severance pay according to their local labor laws. The total amount paid to the Executive Officers shall not exceed an amount of twenty-four (24) monthly base salaries, subject however to any amounts which would have to be paid to Executive Officers in accordance with the local labor law.</w:t>
            </w:r>
          </w:p>
        </w:tc>
      </w:tr>
      <w:tr>
        <w:trPr/>
        <w:tc>
          <w:tcPr>
            <w:tcW w:w="75" w:type="dxa"/>
            <w:tcBorders/>
            <w:vAlign w:val="center"/>
          </w:tcPr>
          <w:p>
            <w:pPr>
              <w:pStyle w:val="TableContents"/>
              <w:bidi w:val="0"/>
              <w:spacing w:before="0" w:after="283"/>
              <w:jc w:val="left"/>
              <w:rPr/>
            </w:pPr>
            <w:r>
              <w:rPr/>
              <w:t> </w:t>
            </w:r>
          </w:p>
        </w:tc>
        <w:tc>
          <w:tcPr>
            <w:tcW w:w="449" w:type="dxa"/>
            <w:tcBorders/>
            <w:vAlign w:val="center"/>
          </w:tcPr>
          <w:p>
            <w:pPr>
              <w:pStyle w:val="TableContents"/>
              <w:bidi w:val="0"/>
              <w:spacing w:before="0" w:after="283"/>
              <w:jc w:val="left"/>
              <w:rPr/>
            </w:pPr>
            <w:r>
              <w:rPr/>
              <w:t> </w:t>
            </w:r>
          </w:p>
        </w:tc>
        <w:tc>
          <w:tcPr>
            <w:tcW w:w="9681" w:type="dxa"/>
            <w:tcBorders/>
            <w:vAlign w:val="center"/>
          </w:tcPr>
          <w:p>
            <w:pPr>
              <w:pStyle w:val="TableContents"/>
              <w:bidi w:val="0"/>
              <w:spacing w:before="0" w:after="283"/>
              <w:jc w:val="both"/>
              <w:rPr/>
            </w:pPr>
            <w:r>
              <w:rPr/>
              <w:t> </w:t>
            </w:r>
          </w:p>
        </w:tc>
      </w:tr>
    </w:tbl>
    <w:tbl>
      <w:tblPr>
        <w:tblW w:w="2263" w:type="dxa"/>
        <w:jc w:val="left"/>
        <w:tblInd w:w="0" w:type="dxa"/>
        <w:tblLayout w:type="fixed"/>
        <w:tblCellMar>
          <w:top w:w="0" w:type="dxa"/>
          <w:left w:w="0" w:type="dxa"/>
          <w:bottom w:w="0" w:type="dxa"/>
          <w:right w:w="0" w:type="dxa"/>
        </w:tblCellMar>
      </w:tblPr>
      <w:tblGrid>
        <w:gridCol w:w="335"/>
        <w:gridCol w:w="1928"/>
      </w:tblGrid>
      <w:tr>
        <w:trPr/>
        <w:tc>
          <w:tcPr>
            <w:tcW w:w="335" w:type="dxa"/>
            <w:tcBorders/>
            <w:vAlign w:val="center"/>
          </w:tcPr>
          <w:p>
            <w:pPr>
              <w:pStyle w:val="TableContents"/>
              <w:bidi w:val="0"/>
              <w:spacing w:before="0" w:after="283"/>
              <w:jc w:val="left"/>
              <w:rPr>
                <w:b/>
              </w:rPr>
            </w:pPr>
            <w:r>
              <w:rPr>
                <w:b/>
              </w:rPr>
              <w:t>17.</w:t>
            </w:r>
          </w:p>
        </w:tc>
        <w:tc>
          <w:tcPr>
            <w:tcW w:w="1928" w:type="dxa"/>
            <w:tcBorders/>
            <w:vAlign w:val="center"/>
          </w:tcPr>
          <w:p>
            <w:pPr>
              <w:pStyle w:val="TableContents"/>
              <w:bidi w:val="0"/>
              <w:spacing w:before="0" w:after="283"/>
              <w:jc w:val="left"/>
              <w:rPr>
                <w:b/>
              </w:rPr>
            </w:pPr>
            <w:r>
              <w:rPr>
                <w:b/>
              </w:rPr>
              <w:t xml:space="preserve">Change of </w:t>
            </w:r>
            <w:r>
              <w:rPr>
                <w:b/>
                <w:spacing w:val="-2"/>
              </w:rPr>
              <w:t>Control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 corporate transaction involving a “Change of Control” and subject to the “Termination Upon Change of Control” (both terms as defined in the employment agreement of the relevant Executive Officer), the CEO may be entitled to an amount equal up to one (1) annual base salary and acceleration of all unvested equity and the Other Executive Officers may be entitled to an amount equal up to nine (9) months' base salary and acceleration of all unvested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Tower may amend the employment agreements of its CEO and Executive Officers to include Change of Control Provisions in line with this Section 17, subject to the receipt of the corporate approvals as required by applicable law.</w:t>
      </w:r>
    </w:p>
    <w:p>
      <w:pPr>
        <w:pStyle w:val="TextBody"/>
        <w:bidi w:val="0"/>
        <w:spacing w:before="0" w:after="0"/>
        <w:ind w:left="0" w:right="0" w:hanging="0"/>
        <w:jc w:val="both"/>
        <w:rPr>
          <w:caps w:val="false"/>
          <w:smallCaps w:val="false"/>
        </w:rPr>
      </w:pPr>
      <w:r>
        <w:rPr>
          <w:caps w:val="false"/>
          <w:smallCaps w:val="false"/>
        </w:rPr>
        <w:t> </w:t>
      </w:r>
    </w:p>
    <w:tbl>
      <w:tblPr>
        <w:tblW w:w="4151" w:type="dxa"/>
        <w:jc w:val="left"/>
        <w:tblInd w:w="0" w:type="dxa"/>
        <w:tblLayout w:type="fixed"/>
        <w:tblCellMar>
          <w:top w:w="0" w:type="dxa"/>
          <w:left w:w="0" w:type="dxa"/>
          <w:bottom w:w="0" w:type="dxa"/>
          <w:right w:w="0" w:type="dxa"/>
        </w:tblCellMar>
      </w:tblPr>
      <w:tblGrid>
        <w:gridCol w:w="335"/>
        <w:gridCol w:w="3816"/>
      </w:tblGrid>
      <w:tr>
        <w:trPr/>
        <w:tc>
          <w:tcPr>
            <w:tcW w:w="335" w:type="dxa"/>
            <w:tcBorders/>
            <w:vAlign w:val="center"/>
          </w:tcPr>
          <w:p>
            <w:pPr>
              <w:pStyle w:val="TableContents"/>
              <w:bidi w:val="0"/>
              <w:spacing w:before="0" w:after="283"/>
              <w:jc w:val="left"/>
              <w:rPr>
                <w:b/>
              </w:rPr>
            </w:pPr>
            <w:r>
              <w:rPr>
                <w:b/>
              </w:rPr>
              <w:t>18.</w:t>
            </w:r>
          </w:p>
        </w:tc>
        <w:tc>
          <w:tcPr>
            <w:tcW w:w="3816" w:type="dxa"/>
            <w:tcBorders/>
            <w:vAlign w:val="center"/>
          </w:tcPr>
          <w:p>
            <w:pPr>
              <w:pStyle w:val="TableContents"/>
              <w:bidi w:val="0"/>
              <w:spacing w:before="0" w:after="283"/>
              <w:jc w:val="left"/>
              <w:rPr>
                <w:b/>
              </w:rPr>
            </w:pPr>
            <w:r>
              <w:rPr>
                <w:b/>
              </w:rPr>
              <w:t xml:space="preserve">Retirement and Termination </w:t>
            </w:r>
            <w:r>
              <w:rPr>
                <w:b/>
                <w:spacing w:val="-2"/>
              </w:rPr>
              <w:t>Benefits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CEO shall be paid a termination grant upon termination of his/her employment with Tower, provided that he/she is employed with Tower full time for at least 3 years. Such termination grant shall be in an amount up to a lump sum of twelve (12) monthly base salaries without benefits. The amount granted shall take into consideration the period of employment with Tower, his/her service and employment conditions in the course of said period, Tower's performance during the period, the contribution of the CEO to the achievement of Tower's targets and its profits and the circumstances surrounding the termination of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 the event of the voluntary separation from service of an Executive Officer who has achieved the “Rule of 70” (i.e., the sum of age and continuous service equals or exceeds 70, with a minimum of five years of continuous service at the Company) (a “Qualifying Separation”), Tower may provide for the continuation of vesting of such Executive Officer’s equity awards starting with equity awards granted in 2026, for a period of up to twenty-four (24) months following a Qualifying Separation, determined based on (i) the time of separation relative to the term of the applicable grant; and (ii) the length of employment, contribution to the Company and actual performance achievement; and subject to (a) the Executive Officer having provided written notice of separation at least six months prior to separation (unless the Compensation Committee and Board of Directors determine to waive this requirement, provided that the notice period shall not be less than the Executive Officer’s contractual notice period); and (b) the Executive Officer’s undertaking to comply with certain post-separation restrictive covenants, including non-competition, non-solicitation, non-disparagement and confidentiality provisions, and such other conditions as may be determined by the Compensation Committee and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7620000" cy="1181100"/>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embed="rId84"/>
                    <a:stretch>
                      <a:fillRect/>
                    </a:stretch>
                  </pic:blipFill>
                  <pic:spPr bwMode="auto">
                    <a:xfrm>
                      <a:off x="0" y="0"/>
                      <a:ext cx="7620000" cy="1181100"/>
                    </a:xfrm>
                    <a:prstGeom prst="rect">
                      <a:avLst/>
                    </a:prstGeom>
                  </pic:spPr>
                </pic:pic>
              </a:graphicData>
            </a:graphic>
          </wp:inline>
        </w:drawing>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ind w:left="0" w:right="0" w:hanging="0"/>
        <w:jc w:val="center"/>
        <w:rPr/>
      </w:pPr>
      <w:r>
        <w:rPr/>
        <w:drawing>
          <wp:inline distT="0" distB="0" distL="0" distR="0">
            <wp:extent cx="7620000" cy="10953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embed="rId85"/>
                    <a:stretch>
                      <a:fillRect/>
                    </a:stretch>
                  </pic:blipFill>
                  <pic:spPr bwMode="auto">
                    <a:xfrm>
                      <a:off x="0" y="0"/>
                      <a:ext cx="7620000" cy="1095375"/>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additional retirement and termination benefits granted in this section hereunder shall be based on the actual period of service or employment of the Executive Officer within this period, and based on Tower's performance during the period, the contribution of the Executive Officer to achieving Tower's targets and its profits and the circumstances of the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avoidance of doubt, any payments excluding those required by law and equity awards under </w:t>
      </w:r>
      <w:r>
        <w:rPr>
          <w:rFonts w:ascii="Times New Roman;Times;Serif" w:hAnsi="Times New Roman;Times;Serif"/>
          <w:b w:val="false"/>
          <w:i w:val="false"/>
          <w:caps w:val="false"/>
          <w:smallCaps w:val="false"/>
          <w:spacing w:val="0"/>
          <w:sz w:val="20"/>
        </w:rPr>
        <w:t xml:space="preserve">this </w:t>
      </w:r>
      <w:r>
        <w:rPr>
          <w:rFonts w:ascii="Times New Roman;Times;Serif" w:hAnsi="Times New Roman;Times;Serif"/>
          <w:b w:val="false"/>
          <w:i w:val="false"/>
          <w:caps w:val="false"/>
          <w:smallCaps w:val="false"/>
          <w:sz w:val="20"/>
        </w:rPr>
        <w:t xml:space="preserve">section E shall not exceed a cap of 24 months’ </w:t>
      </w:r>
      <w:r>
        <w:rPr>
          <w:rFonts w:ascii="Times New Roman;Times;Serif" w:hAnsi="Times New Roman;Times;Serif"/>
          <w:b w:val="false"/>
          <w:i w:val="false"/>
          <w:caps w:val="false"/>
          <w:smallCaps w:val="false"/>
          <w:spacing w:val="0"/>
          <w:sz w:val="20"/>
        </w:rPr>
        <w:t>salary.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b/>
          <w:u w:val="single"/>
        </w:rPr>
      </w:pPr>
      <w:r>
        <w:rPr>
          <w:b/>
          <w:u w:val="single"/>
        </w:rPr>
        <w:t>F. Exculpation, Indemnification and Insurance</w:t>
      </w:r>
    </w:p>
    <w:p>
      <w:pPr>
        <w:pStyle w:val="TextBody"/>
        <w:bidi w:val="0"/>
        <w:spacing w:before="0" w:after="0"/>
        <w:jc w:val="left"/>
        <w:rPr/>
      </w:pPr>
      <w:r>
        <w:rPr/>
        <w:t> </w:t>
      </w:r>
    </w:p>
    <w:tbl>
      <w:tblPr>
        <w:tblW w:w="1580" w:type="dxa"/>
        <w:jc w:val="left"/>
        <w:tblInd w:w="0" w:type="dxa"/>
        <w:tblLayout w:type="fixed"/>
        <w:tblCellMar>
          <w:top w:w="0" w:type="dxa"/>
          <w:left w:w="0" w:type="dxa"/>
          <w:bottom w:w="0" w:type="dxa"/>
          <w:right w:w="0" w:type="dxa"/>
        </w:tblCellMar>
      </w:tblPr>
      <w:tblGrid>
        <w:gridCol w:w="335"/>
        <w:gridCol w:w="1245"/>
      </w:tblGrid>
      <w:tr>
        <w:trPr/>
        <w:tc>
          <w:tcPr>
            <w:tcW w:w="335" w:type="dxa"/>
            <w:tcBorders/>
            <w:vAlign w:val="center"/>
          </w:tcPr>
          <w:p>
            <w:pPr>
              <w:pStyle w:val="TableContents"/>
              <w:bidi w:val="0"/>
              <w:spacing w:before="0" w:after="283"/>
              <w:jc w:val="left"/>
              <w:rPr>
                <w:b/>
              </w:rPr>
            </w:pPr>
            <w:r>
              <w:rPr>
                <w:b/>
              </w:rPr>
              <w:t>19.</w:t>
            </w:r>
          </w:p>
        </w:tc>
        <w:tc>
          <w:tcPr>
            <w:tcW w:w="1245" w:type="dxa"/>
            <w:tcBorders/>
            <w:vAlign w:val="center"/>
          </w:tcPr>
          <w:p>
            <w:pPr>
              <w:pStyle w:val="TableContents"/>
              <w:bidi w:val="0"/>
              <w:spacing w:before="0" w:after="283"/>
              <w:jc w:val="left"/>
              <w:rPr>
                <w:b/>
                <w:spacing w:val="-2"/>
              </w:rPr>
            </w:pPr>
            <w:r>
              <w:rPr>
                <w:b/>
                <w:spacing w:val="-2"/>
              </w:rPr>
              <w:t>Exculpation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Tower shall exempt its Directors and Executive Officers from the duty of care to the maximum extent permitted by law.</w:t>
      </w:r>
    </w:p>
    <w:p>
      <w:pPr>
        <w:pStyle w:val="TextBody"/>
        <w:bidi w:val="0"/>
        <w:spacing w:before="0" w:after="0"/>
        <w:ind w:left="0" w:right="0" w:hanging="0"/>
        <w:jc w:val="both"/>
        <w:rPr>
          <w:caps w:val="false"/>
          <w:smallCaps w:val="false"/>
        </w:rPr>
      </w:pPr>
      <w:r>
        <w:rPr>
          <w:caps w:val="false"/>
          <w:smallCaps w:val="false"/>
        </w:rPr>
        <w:t> </w:t>
      </w:r>
    </w:p>
    <w:tbl>
      <w:tblPr>
        <w:tblW w:w="1947" w:type="dxa"/>
        <w:jc w:val="left"/>
        <w:tblInd w:w="0" w:type="dxa"/>
        <w:tblLayout w:type="fixed"/>
        <w:tblCellMar>
          <w:top w:w="0" w:type="dxa"/>
          <w:left w:w="0" w:type="dxa"/>
          <w:bottom w:w="0" w:type="dxa"/>
          <w:right w:w="0" w:type="dxa"/>
        </w:tblCellMar>
      </w:tblPr>
      <w:tblGrid>
        <w:gridCol w:w="335"/>
        <w:gridCol w:w="1612"/>
      </w:tblGrid>
      <w:tr>
        <w:trPr/>
        <w:tc>
          <w:tcPr>
            <w:tcW w:w="335" w:type="dxa"/>
            <w:tcBorders/>
            <w:vAlign w:val="center"/>
          </w:tcPr>
          <w:p>
            <w:pPr>
              <w:pStyle w:val="TableContents"/>
              <w:bidi w:val="0"/>
              <w:spacing w:before="0" w:after="283"/>
              <w:jc w:val="left"/>
              <w:rPr>
                <w:b/>
              </w:rPr>
            </w:pPr>
            <w:r>
              <w:rPr>
                <w:b/>
              </w:rPr>
              <w:t>20.</w:t>
            </w:r>
          </w:p>
        </w:tc>
        <w:tc>
          <w:tcPr>
            <w:tcW w:w="1612" w:type="dxa"/>
            <w:tcBorders/>
            <w:vAlign w:val="center"/>
          </w:tcPr>
          <w:p>
            <w:pPr>
              <w:pStyle w:val="TableContents"/>
              <w:bidi w:val="0"/>
              <w:spacing w:before="0" w:after="283"/>
              <w:jc w:val="left"/>
              <w:rPr>
                <w:b/>
                <w:spacing w:val="-2"/>
              </w:rPr>
            </w:pPr>
            <w:r>
              <w:rPr>
                <w:b/>
                <w:spacing w:val="-2"/>
              </w:rPr>
              <w:t>Indemnification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Tower shall indemnify its Directors and Executive Officers to the fullest extent permitted by applicable law, for any liability and expense that may be imposed on the Executive Officer, as provided in the Exemption and Indemnification Agreement between such individuals and Tower, all subject to applicable law.</w:t>
      </w:r>
    </w:p>
    <w:p>
      <w:pPr>
        <w:pStyle w:val="TextBody"/>
        <w:bidi w:val="0"/>
        <w:spacing w:before="0" w:after="0"/>
        <w:ind w:left="0" w:right="0" w:hanging="0"/>
        <w:jc w:val="both"/>
        <w:rPr>
          <w:caps w:val="false"/>
          <w:smallCaps w:val="false"/>
        </w:rPr>
      </w:pPr>
      <w:r>
        <w:rPr>
          <w:caps w:val="false"/>
          <w:smallCaps w:val="false"/>
        </w:rPr>
        <w:t> </w:t>
      </w:r>
    </w:p>
    <w:tbl>
      <w:tblPr>
        <w:tblW w:w="1374" w:type="dxa"/>
        <w:jc w:val="left"/>
        <w:tblInd w:w="0" w:type="dxa"/>
        <w:tblLayout w:type="fixed"/>
        <w:tblCellMar>
          <w:top w:w="0" w:type="dxa"/>
          <w:left w:w="0" w:type="dxa"/>
          <w:bottom w:w="0" w:type="dxa"/>
          <w:right w:w="0" w:type="dxa"/>
        </w:tblCellMar>
      </w:tblPr>
      <w:tblGrid>
        <w:gridCol w:w="335"/>
        <w:gridCol w:w="1039"/>
      </w:tblGrid>
      <w:tr>
        <w:trPr/>
        <w:tc>
          <w:tcPr>
            <w:tcW w:w="335" w:type="dxa"/>
            <w:tcBorders/>
            <w:vAlign w:val="center"/>
          </w:tcPr>
          <w:p>
            <w:pPr>
              <w:pStyle w:val="TableContents"/>
              <w:bidi w:val="0"/>
              <w:spacing w:before="0" w:after="283"/>
              <w:jc w:val="left"/>
              <w:rPr>
                <w:b/>
              </w:rPr>
            </w:pPr>
            <w:r>
              <w:rPr>
                <w:b/>
              </w:rPr>
              <w:t>21.</w:t>
            </w:r>
          </w:p>
        </w:tc>
        <w:tc>
          <w:tcPr>
            <w:tcW w:w="1039" w:type="dxa"/>
            <w:tcBorders/>
            <w:vAlign w:val="center"/>
          </w:tcPr>
          <w:p>
            <w:pPr>
              <w:pStyle w:val="TableContents"/>
              <w:bidi w:val="0"/>
              <w:spacing w:before="0" w:after="283"/>
              <w:jc w:val="left"/>
              <w:rPr>
                <w:b/>
                <w:spacing w:val="-2"/>
              </w:rPr>
            </w:pPr>
            <w:r>
              <w:rPr>
                <w:b/>
                <w:spacing w:val="-2"/>
              </w:rPr>
              <w:t>Insurance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Tower shall provide "Directors and Officers Liability Insurance" (the "</w:t>
      </w:r>
      <w:r>
        <w:rPr>
          <w:rFonts w:ascii="Times New Roman;Times;Serif" w:hAnsi="Times New Roman;Times;Serif"/>
          <w:b/>
          <w:i w:val="false"/>
          <w:caps w:val="false"/>
          <w:smallCaps w:val="false"/>
          <w:sz w:val="20"/>
        </w:rPr>
        <w:t>D&amp;O Insurance</w:t>
      </w:r>
      <w:r>
        <w:rPr>
          <w:rFonts w:ascii="Times New Roman;Times;Serif" w:hAnsi="Times New Roman;Times;Serif"/>
          <w:b w:val="false"/>
          <w:i w:val="false"/>
          <w:caps w:val="false"/>
          <w:smallCaps w:val="false"/>
          <w:sz w:val="20"/>
        </w:rPr>
        <w:t>") for its Directors and Executive Officers to the maximum extent permitted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be entitled to procure and enter into D&amp;O Insurance (including for specific events and activities, such as public offerings insurance, and including run-off insurance), which may apply to all Directors and Executive Officers of the Company and directors and officers of its subsidiaries, who shall serve from time to time (including, for the avoidance of doubt, Directors and/or Executive Officers who are controlling shareholders and/or serve as directors or officers of a controlling shareholder and/or a controlling shareholder has a personal interest with respect to such directors or officers), whether by the acquisition of a new D&amp;O Insurance or the extension, renewal or replacement of any D&amp;O Insurance, whether for one insurance period or a number of insurance periods, and the D&amp;O Insurance coverage shall be determined from time to time, among other things, according to the scope and area(s) of the Company’s activities and the risk involved in being a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subject to applicable law, the acquisition, extension, renewal or replacement of D&amp;O Insurance may be approved solely by the Compensation Committee (and the approval of the Board of Directors and shareholders shall not be required), provided that the maximum aggregate limit of liability pursuant to the D&amp;O Insurance shall be not more than US$1</w:t>
      </w:r>
      <w:r>
        <w:rPr>
          <w:rFonts w:ascii="Times New Roman;Times;Serif" w:hAnsi="Times New Roman;Times;Serif"/>
          <w:b w:val="false"/>
          <w:i w:val="false"/>
          <w:caps w:val="false"/>
          <w:smallCaps w:val="false"/>
          <w:strike/>
          <w:sz w:val="20"/>
        </w:rPr>
        <w:t>30</w:t>
      </w:r>
      <w:r>
        <w:rPr>
          <w:rFonts w:ascii="Times New Roman;Times;Serif" w:hAnsi="Times New Roman;Times;Serif"/>
          <w:b w:val="false"/>
          <w:i w:val="false"/>
          <w:caps w:val="false"/>
          <w:smallCaps w:val="false"/>
          <w:sz w:val="20"/>
          <w:u w:val="single"/>
        </w:rPr>
        <w:t>75</w:t>
      </w:r>
      <w:r>
        <w:rPr>
          <w:rFonts w:ascii="Times New Roman;Times;Serif" w:hAnsi="Times New Roman;Times;Serif"/>
          <w:b w:val="false"/>
          <w:i w:val="false"/>
          <w:caps w:val="false"/>
          <w:smallCaps w:val="false"/>
          <w:sz w:val="20"/>
        </w:rPr>
        <w:t xml:space="preserve"> million per claim and in the aggregate for each D&amp;O Insurance period and, in addition, not more than US$35 million only for the benefit of the Company's Directors and Executive Officers in situations where coverage under the D&amp;O Insurance has been exhausted or is otherwise insufficient or unavailable (Side “A” coverage) per claim and in the aggregate for each D&amp;O Insurance period, and provided that all other requirements required by applicable law have been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7620000" cy="1181100"/>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embed="rId86"/>
                    <a:stretch>
                      <a:fillRect/>
                    </a:stretch>
                  </pic:blipFill>
                  <pic:spPr bwMode="auto">
                    <a:xfrm>
                      <a:off x="0" y="0"/>
                      <a:ext cx="7620000" cy="1181100"/>
                    </a:xfrm>
                    <a:prstGeom prst="rect">
                      <a:avLst/>
                    </a:prstGeom>
                  </pic:spPr>
                </pic:pic>
              </a:graphicData>
            </a:graphic>
          </wp:inline>
        </w:drawing>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7620000" cy="10953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embed="rId87"/>
                    <a:stretch>
                      <a:fillRect/>
                    </a:stretch>
                  </pic:blipFill>
                  <pic:spPr bwMode="auto">
                    <a:xfrm>
                      <a:off x="0" y="0"/>
                      <a:ext cx="7620000" cy="1095375"/>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jc w:val="left"/>
        <w:rPr>
          <w:b/>
          <w:u w:val="single"/>
        </w:rPr>
      </w:pPr>
      <w:r>
        <w:rPr>
          <w:b/>
          <w:u w:val="single"/>
        </w:rPr>
        <w:t>G.  Board of Directors Compensation</w:t>
      </w:r>
    </w:p>
    <w:p>
      <w:pPr>
        <w:pStyle w:val="TextBody"/>
        <w:bidi w:val="0"/>
        <w:spacing w:before="0" w:after="0"/>
        <w:jc w:val="left"/>
        <w:rPr/>
      </w:pPr>
      <w:r>
        <w:rPr/>
        <w:t> </w:t>
      </w:r>
    </w:p>
    <w:tbl>
      <w:tblPr>
        <w:tblW w:w="1818" w:type="dxa"/>
        <w:jc w:val="left"/>
        <w:tblInd w:w="0" w:type="dxa"/>
        <w:tblLayout w:type="fixed"/>
        <w:tblCellMar>
          <w:top w:w="0" w:type="dxa"/>
          <w:left w:w="0" w:type="dxa"/>
          <w:bottom w:w="0" w:type="dxa"/>
          <w:right w:w="0" w:type="dxa"/>
        </w:tblCellMar>
      </w:tblPr>
      <w:tblGrid>
        <w:gridCol w:w="335"/>
        <w:gridCol w:w="1483"/>
      </w:tblGrid>
      <w:tr>
        <w:trPr/>
        <w:tc>
          <w:tcPr>
            <w:tcW w:w="335" w:type="dxa"/>
            <w:tcBorders/>
            <w:vAlign w:val="center"/>
          </w:tcPr>
          <w:p>
            <w:pPr>
              <w:pStyle w:val="TableContents"/>
              <w:bidi w:val="0"/>
              <w:spacing w:before="0" w:after="283"/>
              <w:jc w:val="left"/>
              <w:rPr>
                <w:b/>
              </w:rPr>
            </w:pPr>
            <w:r>
              <w:rPr>
                <w:b/>
              </w:rPr>
              <w:t>22.</w:t>
            </w:r>
          </w:p>
        </w:tc>
        <w:tc>
          <w:tcPr>
            <w:tcW w:w="1483" w:type="dxa"/>
            <w:tcBorders/>
            <w:vAlign w:val="center"/>
          </w:tcPr>
          <w:p>
            <w:pPr>
              <w:pStyle w:val="TableContents"/>
              <w:bidi w:val="0"/>
              <w:spacing w:before="0" w:after="283"/>
              <w:jc w:val="left"/>
              <w:rPr>
                <w:b/>
                <w:spacing w:val="-2"/>
              </w:rPr>
            </w:pPr>
            <w:r>
              <w:rPr>
                <w:b/>
                <w:spacing w:val="-2"/>
              </w:rPr>
              <w:t>Remuneration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members of Tower's board may be entitled to remuneration and refund of expenses as </w:t>
      </w:r>
      <w:r>
        <w:rPr>
          <w:rFonts w:ascii="Times New Roman;Times;Serif" w:hAnsi="Times New Roman;Times;Serif"/>
          <w:b w:val="false"/>
          <w:i w:val="false"/>
          <w:caps w:val="false"/>
          <w:smallCaps w:val="false"/>
          <w:spacing w:val="-2"/>
          <w:sz w:val="20"/>
        </w:rPr>
        <w:t>follows:</w:t>
      </w:r>
    </w:p>
    <w:p>
      <w:pPr>
        <w:pStyle w:val="TextBody"/>
        <w:bidi w:val="0"/>
        <w:spacing w:before="0" w:after="0"/>
        <w:ind w:left="0" w:right="0" w:hanging="0"/>
        <w:jc w:val="both"/>
        <w:rPr>
          <w:caps w:val="false"/>
          <w:smallCaps w:val="false"/>
        </w:rPr>
      </w:pPr>
      <w:r>
        <w:rPr>
          <w:caps w:val="false"/>
          <w:smallCaps w:val="false"/>
        </w:rPr>
        <w:t> </w:t>
      </w:r>
    </w:p>
    <w:tbl>
      <w:tblPr>
        <w:tblW w:w="6439" w:type="dxa"/>
        <w:jc w:val="left"/>
        <w:tblInd w:w="0" w:type="dxa"/>
        <w:tblLayout w:type="fixed"/>
        <w:tblCellMar>
          <w:top w:w="0" w:type="dxa"/>
          <w:left w:w="0" w:type="dxa"/>
          <w:bottom w:w="0" w:type="dxa"/>
          <w:right w:w="0" w:type="dxa"/>
        </w:tblCellMar>
      </w:tblPr>
      <w:tblGrid>
        <w:gridCol w:w="75"/>
        <w:gridCol w:w="125"/>
        <w:gridCol w:w="6239"/>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6239" w:type="dxa"/>
            <w:tcBorders/>
            <w:vAlign w:val="center"/>
          </w:tcPr>
          <w:p>
            <w:pPr>
              <w:pStyle w:val="TableContents"/>
              <w:bidi w:val="0"/>
              <w:spacing w:before="0" w:after="283"/>
              <w:jc w:val="left"/>
              <w:rPr/>
            </w:pPr>
            <w:r>
              <w:rPr/>
              <w:t>An annual fee to be capped at up to $75,000 (the “</w:t>
            </w:r>
            <w:r>
              <w:rPr>
                <w:b/>
              </w:rPr>
              <w:t xml:space="preserve">Annual </w:t>
            </w:r>
            <w:r>
              <w:rPr>
                <w:b/>
                <w:spacing w:val="-2"/>
              </w:rPr>
              <w:t>Fee</w:t>
            </w:r>
            <w:r>
              <w:rPr>
                <w:spacing w:val="-2"/>
              </w:rPr>
              <w:t>”).</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239"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 xml:space="preserve">Committee fees in addition to the Annual Fee up to a cap of $10,000 annually to each committee </w:t>
            </w:r>
            <w:r>
              <w:rPr>
                <w:spacing w:val="-2"/>
              </w:rPr>
              <w:t>member.</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bl>
    <w:tbl>
      <w:tblPr>
        <w:tblW w:w="9399" w:type="dxa"/>
        <w:jc w:val="left"/>
        <w:tblInd w:w="0" w:type="dxa"/>
        <w:tblLayout w:type="fixed"/>
        <w:tblCellMar>
          <w:top w:w="0" w:type="dxa"/>
          <w:left w:w="0" w:type="dxa"/>
          <w:bottom w:w="0" w:type="dxa"/>
          <w:right w:w="0" w:type="dxa"/>
        </w:tblCellMar>
      </w:tblPr>
      <w:tblGrid>
        <w:gridCol w:w="75"/>
        <w:gridCol w:w="125"/>
        <w:gridCol w:w="9199"/>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199" w:type="dxa"/>
            <w:tcBorders/>
            <w:vAlign w:val="center"/>
          </w:tcPr>
          <w:p>
            <w:pPr>
              <w:pStyle w:val="TableContents"/>
              <w:bidi w:val="0"/>
              <w:spacing w:before="0" w:after="283"/>
              <w:jc w:val="left"/>
              <w:rPr/>
            </w:pPr>
            <w:r>
              <w:rPr/>
              <w:t xml:space="preserve">Each committee chairperson shall be entitled to an additional fee up to a cap of $10,000 </w:t>
            </w:r>
            <w:r>
              <w:rPr>
                <w:spacing w:val="-2"/>
              </w:rPr>
              <w:t>annually.</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199"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Notwithstanding the above, the Board shall have the right to compensate Directors for special activities that are performed under special circumstances in the amount of up to $2,000 per meeting.</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To the extent that the Board shall appoint an observer to any Board committee, each such observer shall be entitled to an annual fee of up $6,000.</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bl>
    <w:tbl>
      <w:tblPr>
        <w:tblW w:w="10072" w:type="dxa"/>
        <w:jc w:val="left"/>
        <w:tblInd w:w="0" w:type="dxa"/>
        <w:tblLayout w:type="fixed"/>
        <w:tblCellMar>
          <w:top w:w="0" w:type="dxa"/>
          <w:left w:w="0" w:type="dxa"/>
          <w:bottom w:w="0" w:type="dxa"/>
          <w:right w:w="0" w:type="dxa"/>
        </w:tblCellMar>
      </w:tblPr>
      <w:tblGrid>
        <w:gridCol w:w="75"/>
        <w:gridCol w:w="125"/>
        <w:gridCol w:w="9872"/>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872" w:type="dxa"/>
            <w:tcBorders/>
            <w:vAlign w:val="center"/>
          </w:tcPr>
          <w:p>
            <w:pPr>
              <w:pStyle w:val="TableContents"/>
              <w:bidi w:val="0"/>
              <w:spacing w:before="0" w:after="283"/>
              <w:jc w:val="left"/>
              <w:rPr/>
            </w:pPr>
            <w:r>
              <w:rPr/>
              <w:t xml:space="preserve">Reasonable travel expenses in accordance with the Company's travel reimbursement policy for </w:t>
            </w:r>
            <w:r>
              <w:rPr>
                <w:spacing w:val="-2"/>
              </w:rPr>
              <w:t>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members of Tower's Board may be granted equity based compensation annually at a value as calculated based on the Equity Calculation Model which shall vest over a period of up to 3 years, and shall not exceed, with respect to each Director, $200,000, subject to applicable law and regulations. The exercise price of options and expiration of equity awards shall be as set forth in Section 14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 the event that the appointment of a new Director to the Board of Directors is approved by the Board of Directors more than three (3) months prior to the Company’s next annual general meeting of shareholders, a one-time equity grant, in the form of RSUs, may be granted to such Director on the following terms: (i) the number of RSUs to be granted to such Director will be equal to a pro-rata portion of the most recent annual equity grant awarded to the Company’s Directors, calculated by dividing the number of months between such Director’s appointment to the Board and the Company’s upcoming annual general meeting of shareholders by 12, and multiplying the resulting fraction by the most recent annual Directors’ equity grant; and (ii) 50% of such grant shall vest immediately upon shareholder approval of the equity award and the remaining 50% shall vest one (1) year after such annual general meeting. This equity grant shall be in addition to any annual equity grant that he/she may be entitled to receive upon approval of such Director’s election by the shareholders, subject to approval in accordance with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 corporate transaction involving a Change of Control, the Chairman of the board and directors may be entitled to acceleration of all unvested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of the board may be entitled to cash and/or equity based remuneration which in the aggregate that shall not exceed $600,000 on an annual basis together with reimbursement of expenses in accordance with Tower's policy, as approved by the Compensation Committee and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pacing w:val="0"/>
          <w:sz w:val="20"/>
        </w:rPr>
      </w:pPr>
      <w:r>
        <w:rPr>
          <w:rFonts w:ascii="Times New Roman;Times;Serif" w:hAnsi="Times New Roman;Times;Serif"/>
          <w:b/>
          <w:i w:val="false"/>
          <w:caps w:val="false"/>
          <w:smallCaps w:val="false"/>
          <w:spacing w:val="0"/>
          <w:sz w:val="20"/>
          <w:u w:val="single"/>
        </w:rPr>
        <w:t>Definitions</w:t>
      </w:r>
      <w:r>
        <w:rPr>
          <w:rFonts w:ascii="Times New Roman;Times;Serif" w:hAnsi="Times New Roman;Times;Serif"/>
          <w:b/>
          <w:i w:val="false"/>
          <w:caps w:val="false"/>
          <w:smallCaps w:val="false"/>
          <w:spacing w:val="0"/>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terms in this Policy have the meaning as set forth </w:t>
      </w:r>
      <w:r>
        <w:rPr>
          <w:rFonts w:ascii="Times New Roman;Times;Serif" w:hAnsi="Times New Roman;Times;Serif"/>
          <w:b w:val="false"/>
          <w:i w:val="false"/>
          <w:caps w:val="false"/>
          <w:smallCaps w:val="false"/>
          <w:spacing w:val="-2"/>
          <w:sz w:val="20"/>
        </w:rPr>
        <w:t>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Law" means the Israeli Companies Law 5759-</w:t>
      </w:r>
      <w:r>
        <w:rPr>
          <w:rFonts w:ascii="Times New Roman;Times;Serif" w:hAnsi="Times New Roman;Times;Serif"/>
          <w:b w:val="false"/>
          <w:i w:val="false"/>
          <w:caps w:val="false"/>
          <w:smallCaps w:val="false"/>
          <w:spacing w:val="0"/>
          <w:sz w:val="20"/>
        </w:rPr>
        <w:t>1999.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Corporate MBO Score” means the weighted average of all of the measures described in the A component in the annual bonus formula.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Directors” means members of the board of directors of Tower serving in such capacity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Employee Ratio” means the ratio between the cost of the overall compensation of the Executive Officers and the salary cost (as defined in the Companies Law) of the other employees of Tower, and specifically the average and median total salary cost (as defined in the Companies Law) of the other employees of Tower (for purposes of this definition, “other Employees of Tower” includes employee-contractors and agency contractors, as such term is defined in the Companies Law,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7620000" cy="1181100"/>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embed="rId88"/>
                    <a:stretch>
                      <a:fillRect/>
                    </a:stretch>
                  </pic:blipFill>
                  <pic:spPr bwMode="auto">
                    <a:xfrm>
                      <a:off x="0" y="0"/>
                      <a:ext cx="7620000" cy="1181100"/>
                    </a:xfrm>
                    <a:prstGeom prst="rect">
                      <a:avLst/>
                    </a:prstGeom>
                  </pic:spPr>
                </pic:pic>
              </a:graphicData>
            </a:graphic>
          </wp:inline>
        </w:drawing>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ind w:left="0" w:right="0" w:hanging="0"/>
        <w:jc w:val="center"/>
        <w:rPr/>
      </w:pPr>
      <w:r>
        <w:rPr/>
        <w:drawing>
          <wp:inline distT="0" distB="0" distL="0" distR="0">
            <wp:extent cx="7620000" cy="10953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embed="rId89"/>
                    <a:stretch>
                      <a:fillRect/>
                    </a:stretch>
                  </pic:blipFill>
                  <pic:spPr bwMode="auto">
                    <a:xfrm>
                      <a:off x="0" y="0"/>
                      <a:ext cx="7620000" cy="1095375"/>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Equity Calculation Model” means the fair market value of the equity based compensation for the Executive Officers and Directors which will be determined at the time of grant according to the Black and Scholes model, binomial model or any other best practice or commonly accepted equity based compensation valuation model as calculated in the actual award, when such award is approved by the Compensation Committee and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Executive Officers” means "Office Holders" as such term is defined in the Companies Law, excluding, unless otherwise expressly indicated herein, Tower's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Executive Maximum Amount” means 0.12% of the authorized share capital NIS par value as of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Fixed Compensation” means the base salary and any other payment in respect of the holding of an office or employment that does not depend on variables that are unknown at the time the payment is determined, such as social benefits and perquisites, payments in respect of a provident fund, pension, severance pay, annual vacation, continuing education fund, loss-of-work-capacity insurance, National Insurance contributions (the employer’s contribution), relocation expenses, convalescence pay, car expenses, cell phones, Internet services, vacation, holiday gift, as well as grossing up in respect of a car and in respect of cell phones.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M&amp;A Transaction” means a sale or acquisition of all or substantially all of the assets of a company or business unit of a company, or of all or substantially all of such company’s issued and outstanding share capital, or a consolidation, merger or reorganization of the Company or target company which achieves the same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"MBO" – Management By Objective plan as described in Section 9.3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Other Executive Officers” means all "Office Holders" as such term is defined in the Companies Law, excluding (i) Tower's Directors serving on the Board of Directors and (ii) the CEO.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Variable Compensation” means any payment (in whole or a portion thereof) in respect of the holding of an office or employment that is not part of the Fixed Compensation, and that depends on variables that are unknown at the time the decision to award such payment is determined, such as an annual bonus or the equity based grants, a portion of which thereof is contingent upon future financial results or corporate or individual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 w:right="4" w:hanging="0"/>
        <w:jc w:val="center"/>
        <w:rPr>
          <w:rFonts w:ascii="Times New Roman;Times;Serif" w:hAnsi="Times New Roman;Times;Serif"/>
          <w:b w:val="false"/>
          <w:i w:val="false"/>
          <w:caps w:val="false"/>
          <w:smallCaps w:val="false"/>
          <w:spacing w:val="-2"/>
          <w:sz w:val="20"/>
        </w:rPr>
      </w:pPr>
      <w:r>
        <w:rPr>
          <w:rFonts w:ascii="Times New Roman;Times;Serif" w:hAnsi="Times New Roman;Times;Serif"/>
          <w:b w:val="false"/>
          <w:i w:val="false"/>
          <w:caps w:val="false"/>
          <w:smallCaps w:val="false"/>
          <w:spacing w:val="-2"/>
          <w:sz w:val="20"/>
        </w:rPr>
        <w:t>*************************</w:t>
      </w:r>
    </w:p>
    <w:p>
      <w:pPr>
        <w:pStyle w:val="TextBody"/>
        <w:bidi w:val="0"/>
        <w:spacing w:before="0" w:after="0"/>
        <w:ind w:left="2" w:right="4"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Policy is designed solely for the benefit of Tower and none of the provisions thereof are intended to provide any rights or remedies to any of the Executive Officers to whom this Policy applies and/or other employees of the Company, and/or to any third party, and no Executive Officer or employee may make any claim and/or demand against the Company, or any subsidiary, based on the guidelines set forth herein. Furthermore, nothing in this Policy shall prevent the Compensation Committee, the Board of Directors and/or the shareholders of the Company, as applicable, from adopting a resolution regarding compensation of Executive Officers and/or any other employees that is not in accordance with this Policy provided such resolution is approved by the required corporate bodies as set forth in the Companies </w:t>
      </w:r>
      <w:r>
        <w:rPr>
          <w:rFonts w:ascii="Times New Roman;Times;Serif" w:hAnsi="Times New Roman;Times;Serif"/>
          <w:b w:val="false"/>
          <w:i w:val="false"/>
          <w:caps w:val="false"/>
          <w:smallCaps w:val="false"/>
          <w:spacing w:val="-4"/>
          <w:sz w:val="20"/>
        </w:rPr>
        <w:t>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which is stated elsewhere in this Policy, the board of directors shall have the discretion to unilaterally reduce an Executive Officer's variable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Policy was not formulated so as to prejudice any existing compensation arrangements of Executive </w:t>
      </w:r>
      <w:r>
        <w:rPr>
          <w:rFonts w:ascii="Times New Roman;Times;Serif" w:hAnsi="Times New Roman;Times;Serif"/>
          <w:b w:val="false"/>
          <w:i w:val="false"/>
          <w:caps w:val="false"/>
          <w:smallCaps w:val="false"/>
          <w:spacing w:val="-2"/>
          <w:sz w:val="20"/>
        </w:rPr>
        <w:t xml:space="preserve">Officers at the Company, and existing arrangements with Executive Officers are not subject to any further </w:t>
      </w:r>
      <w:r>
        <w:rPr>
          <w:rFonts w:ascii="Times New Roman;Times;Serif" w:hAnsi="Times New Roman;Times;Serif"/>
          <w:b w:val="false"/>
          <w:i w:val="false"/>
          <w:caps w:val="false"/>
          <w:smallCaps w:val="false"/>
          <w:sz w:val="20"/>
        </w:rPr>
        <w:t xml:space="preserve">approvals under this Policy, unless such existing arrangements are subject to further approvals as </w:t>
      </w:r>
      <w:r>
        <w:rPr>
          <w:rFonts w:ascii="Times New Roman;Times;Serif" w:hAnsi="Times New Roman;Times;Serif"/>
          <w:b w:val="false"/>
          <w:i w:val="false"/>
          <w:caps w:val="false"/>
          <w:smallCaps w:val="false"/>
          <w:spacing w:val="0"/>
          <w:sz w:val="20"/>
        </w:rPr>
        <w:t xml:space="preserve">may </w:t>
      </w:r>
      <w:r>
        <w:rPr>
          <w:rFonts w:ascii="Times New Roman;Times;Serif" w:hAnsi="Times New Roman;Times;Serif"/>
          <w:b w:val="false"/>
          <w:i w:val="false"/>
          <w:caps w:val="false"/>
          <w:smallCaps w:val="false"/>
          <w:sz w:val="20"/>
        </w:rPr>
        <w:t>be required under applicable law. All compensation arrangements of Executive Officers are required to be approved in the manner prescribed by applicable law. Executive Officers, including external Directors or independent Directors, may waive their entitlement to their compensation, subject to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7620000" cy="1181100"/>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embed="rId90"/>
                    <a:stretch>
                      <a:fillRect/>
                    </a:stretch>
                  </pic:blipFill>
                  <pic:spPr bwMode="auto">
                    <a:xfrm>
                      <a:off x="0" y="0"/>
                      <a:ext cx="7620000" cy="1181100"/>
                    </a:xfrm>
                    <a:prstGeom prst="rect">
                      <a:avLst/>
                    </a:prstGeom>
                  </pic:spPr>
                </pic:pic>
              </a:graphicData>
            </a:graphic>
          </wp:inline>
        </w:drawing>
      </w:r>
    </w:p>
    <w:p>
      <w:pPr>
        <w:pStyle w:val="TextBody"/>
        <w:bidi w:val="0"/>
        <w:spacing w:before="60" w:after="240"/>
        <w:jc w:val="left"/>
        <w:rPr>
          <w:bdr w:val="single" w:sz="8" w:space="1" w:color="000000"/>
        </w:rPr>
      </w:pPr>
      <w:r>
        <w:rPr>
          <w:bdr w:val="single" w:sz="8" w:space="1" w:color="000000"/>
        </w:rPr>
        <w:t> </w:t>
      </w:r>
    </w:p>
    <w:p>
      <w:pPr>
        <w:pStyle w:val="TextBody"/>
        <w:bidi w:val="0"/>
        <w:ind w:left="0" w:right="0" w:hanging="0"/>
        <w:jc w:val="left"/>
        <w:rPr>
          <w:bdr w:val="single" w:sz="24" w:space="1" w:color="000000"/>
        </w:rPr>
      </w:pPr>
      <w:bookmarkStart w:id="28" w:name="exhibit_99-2.htm"/>
      <w:bookmarkStart w:id="29" w:name="ksexhibit_992"/>
      <w:bookmarkEnd w:id="28"/>
      <w:bookmarkEnd w:id="29"/>
      <w:r>
        <w:rPr>
          <w:bdr w:val="single" w:sz="24" w:space="1" w:color="000000"/>
        </w:rPr>
        <w:t> </w:t>
      </w:r>
      <w:r>
        <w:br w:type="page"/>
      </w:r>
    </w:p>
    <w:p>
      <w:pPr>
        <w:pStyle w:val="TextBody"/>
        <w:bidi w:val="0"/>
        <w:jc w:val="right"/>
        <w:rPr>
          <w:b/>
          <w:u w:val="single"/>
        </w:rPr>
      </w:pPr>
      <w:r>
        <w:rPr>
          <w:b/>
          <w:u w:val="single"/>
        </w:rPr>
        <w:t>Exhibit 99.2</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EXTRAORDINARY GENERAL MEETING OF SHAREHOLDERS OF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TOWER SEMICONDUCTOR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November 25,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sign, date and mail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proxy card in the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envelope provided as soon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possible.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Please detach along perforated line and mail in the envelope provided.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28" w:type="dxa"/>
          <w:left w:w="0" w:type="dxa"/>
          <w:bottom w:w="0" w:type="dxa"/>
          <w:right w:w="0" w:type="dxa"/>
        </w:tblCellMar>
      </w:tblPr>
      <w:tblGrid>
        <w:gridCol w:w="10205"/>
      </w:tblGrid>
      <w:tr>
        <w:trPr/>
        <w:tc>
          <w:tcPr>
            <w:tcW w:w="10205" w:type="dxa"/>
            <w:tcBorders>
              <w:top w:val="single" w:sz="8" w:space="0" w:color="000000"/>
            </w:tcBorders>
            <w:vAlign w:val="center"/>
          </w:tcPr>
          <w:p>
            <w:pPr>
              <w:pStyle w:val="TableContents"/>
              <w:bidi w:val="0"/>
              <w:spacing w:before="0" w:after="283"/>
              <w:jc w:val="center"/>
              <w:rPr/>
            </w:pPr>
            <w:r>
              <w:rPr/>
              <w:t> </w:t>
            </w:r>
          </w:p>
        </w:tc>
      </w:tr>
      <w:tr>
        <w:trPr/>
        <w:tc>
          <w:tcPr>
            <w:tcW w:w="10205" w:type="dxa"/>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br/>
            </w:r>
            <w:r>
              <w:rPr>
                <w:rFonts w:ascii="Times New Roman;Times;Serif" w:hAnsi="Times New Roman;Times;Serif"/>
                <w:b/>
                <w:sz w:val="20"/>
              </w:rPr>
              <w:t>PLEASE SIGN, DATE AND RETURN PROMPTLY IN THE ENCLOSED ENVELOPE. PLEASE MARK YOUR VOTE IN BLUE OR BLACK INK AS SHOWN HERE ☒</w:t>
            </w:r>
          </w:p>
        </w:tc>
      </w:tr>
      <w:tr>
        <w:trPr/>
        <w:tc>
          <w:tcPr>
            <w:tcW w:w="10205" w:type="dxa"/>
            <w:tcBorders>
              <w:bottom w:val="single" w:sz="8" w:space="0" w:color="000000"/>
            </w:tcBorders>
            <w:tcMar>
              <w:top w:w="0" w:type="dxa"/>
              <w:bottom w:w="28" w:type="dxa"/>
            </w:tcMar>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25"/>
        <w:gridCol w:w="60"/>
        <w:gridCol w:w="500"/>
        <w:gridCol w:w="60"/>
        <w:gridCol w:w="1100"/>
        <w:gridCol w:w="60"/>
        <w:gridCol w:w="1100"/>
      </w:tblGrid>
      <w:tr>
        <w:trPr/>
        <w:tc>
          <w:tcPr>
            <w:tcW w:w="7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FOR</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AGAINST</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ABSTAIN</w:t>
            </w:r>
          </w:p>
        </w:tc>
      </w:tr>
      <w:tr>
        <w:trPr/>
        <w:tc>
          <w:tcPr>
            <w:tcW w:w="7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r>
      <w:tr>
        <w:trPr/>
        <w:tc>
          <w:tcPr>
            <w:tcW w:w="7325" w:type="dxa"/>
            <w:tcBorders/>
            <w:vAlign w:val="center"/>
          </w:tcPr>
          <w:p>
            <w:pPr>
              <w:pStyle w:val="TableContents"/>
              <w:bidi w:val="0"/>
              <w:spacing w:before="0" w:after="283"/>
              <w:jc w:val="left"/>
              <w:rPr/>
            </w:pPr>
            <w:r>
              <w:rPr>
                <w:b/>
              </w:rPr>
              <w:t>1. TO APPROVE</w:t>
            </w:r>
            <w:r>
              <w:rPr/>
              <w:t xml:space="preserve"> the amended and restated compensation policy for directors and executive officers of the Company, in the form attached as Exhibit A to the Proxy Statement.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9840"/>
        <w:gridCol w:w="290"/>
        <w:gridCol w:w="75"/>
      </w:tblGrid>
      <w:tr>
        <w:trPr/>
        <w:tc>
          <w:tcPr>
            <w:tcW w:w="9840" w:type="dxa"/>
            <w:tcBorders/>
            <w:vAlign w:val="center"/>
          </w:tcPr>
          <w:p>
            <w:pPr>
              <w:pStyle w:val="TableContents"/>
              <w:bidi w:val="0"/>
              <w:spacing w:before="0" w:after="283"/>
              <w:jc w:val="left"/>
              <w:rPr/>
            </w:pPr>
            <w:r>
              <w:rPr/>
              <w:t>To change the address on your account, please check the box at right and indicate your new address in the address space above. Please note that changes to the registered name(s) on the account may not be submitted via this method.</w:t>
            </w:r>
          </w:p>
        </w:tc>
        <w:tc>
          <w:tcPr>
            <w:tcW w:w="29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2840" w:type="dxa"/>
        <w:jc w:val="left"/>
        <w:tblInd w:w="0" w:type="dxa"/>
        <w:tblLayout w:type="fixed"/>
        <w:tblCellMar>
          <w:top w:w="0" w:type="dxa"/>
          <w:left w:w="0" w:type="dxa"/>
          <w:bottom w:w="0" w:type="dxa"/>
          <w:right w:w="0" w:type="dxa"/>
        </w:tblCellMar>
      </w:tblPr>
      <w:tblGrid>
        <w:gridCol w:w="815"/>
        <w:gridCol w:w="60"/>
        <w:gridCol w:w="455"/>
        <w:gridCol w:w="60"/>
        <w:gridCol w:w="860"/>
        <w:gridCol w:w="60"/>
        <w:gridCol w:w="455"/>
        <w:gridCol w:w="75"/>
      </w:tblGrid>
      <w:tr>
        <w:trPr/>
        <w:tc>
          <w:tcPr>
            <w:tcW w:w="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60"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r>
              <w:rPr>
                <w:rFonts w:ascii="Times New Roman;Times;Serif" w:hAnsi="Times New Roman;Times;Serif"/>
                <w:sz w:val="20"/>
              </w:rPr>
              <w:t>Date</w:t>
            </w:r>
          </w:p>
        </w:tc>
        <w:tc>
          <w:tcPr>
            <w:tcW w:w="60"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r>
              <w:rPr>
                <w:rFonts w:ascii="Times New Roman;Times;Serif" w:hAnsi="Times New Roman;Times;Serif"/>
                <w:sz w:val="20"/>
              </w:rPr>
              <w:t>Signature</w:t>
            </w:r>
          </w:p>
        </w:tc>
        <w:tc>
          <w:tcPr>
            <w:tcW w:w="60"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r>
              <w:rPr>
                <w:rFonts w:ascii="Times New Roman;Times;Serif" w:hAnsi="Times New Roman;Times;Serif"/>
                <w:sz w:val="20"/>
              </w:rPr>
              <w:t>Date</w:t>
            </w:r>
          </w:p>
        </w:tc>
        <w:tc>
          <w:tcPr>
            <w:tcW w:w="7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41"/>
        <w:gridCol w:w="9764"/>
      </w:tblGrid>
      <w:tr>
        <w:trPr/>
        <w:tc>
          <w:tcPr>
            <w:tcW w:w="44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w:t>
            </w:r>
          </w:p>
        </w:tc>
        <w:tc>
          <w:tcPr>
            <w:tcW w:w="97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TOWER SEMICONDUCTOR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Extraordinary General Meeting of Shareholders</w:t>
        <w:br/>
        <w:t>To be Held on Wednesday, November 25,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PROXY IS SOLICITED ON BEHALF OF THE BOARD OF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shareholder of Tower Semiconductor Ltd. (the "Company") hereby appoints each of Dina Back Frimerand Tziona Shriki, each with full power of substitution, as the true and lawful attorney, agent and proxy of the undersigned, to vote as designated on the reverse side, all of the ordinary shares, par value NIS 15.00 per share, of the Company which the undersigned is entitled to vote at an Extraordinary General Meeting of Shareholders of the Company to be held at the offices of the Company located at 20 Shaul Amor Street, Ramat Gavriel Industrial Park, Migdal Haemek, Israel, on Wednesday, November 25, 2026, at 3:00 p.m. (Israel time) and all adjournments and postponements thereof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acknowledges receipt of the Notice of Extraordinary General Meeting and the Proxy Statement accompanying such Notice, revokes any proxy or proxies heretofore given to vote upon or act with respect to the undersigned's shares and hereby ratifies and confirms all that the proxies or their substitutes may lawfully do by virtue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proxy when properly executed will be voted in accordance with the manner directed herein by the undersigned shareholder. If no direction is made, the shares represented by this proxy will be voted FOR proposal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EACH SHAREHOLDER VOTING ON PROPOSAL 1 WILL BE DEEMED TO HAVE CONFIRMED THAT HE/SHE/IT DOES NOT HAVE A “PERSONAL INTEREST” (AS DEFINED IN THE PROXY STATEMENT) IN SUCH PROPOSAL, UNLESS THE SHAREHOLDER HAS DELIVERED A WRITTEN NOTICE TO THE COMPANY NOTIFYING OF THE EXISTENCE OF A PERSONAL INTEREST NO LATER THAN 10:00 A.M. (ISRAEL TIME) ON NOVEMBER 25, 2026. ANY SUCH WRITTEN NOTICE MUST BE SENT TO THE COMPANY, VIA REGISTERED MAIL, AT THE COMPANY’S OFFICES AT 20 SHAUL AMOR STREET, RAMAT GAVRIEL INDUSTRIAL PARK, POST OFFICE BOX 619, MIGDAL HAEMEK 2310502, ISRAEL; ATTENTION: CORPORATE COUNSEL.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(CONTINUED AND TO BE SIGNED ON REVERSE SIDE)</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ourier New">
    <w:altName w:val="Courier"/>
    <w:charset w:val="01"/>
    <w:family w:val="auto"/>
    <w:pitch w:val="default"/>
  </w:font>
  <w:font w:name="Arial">
    <w:altName w:val="Helvetica"/>
    <w:charset w:val="01"/>
    <w:family w:val="auto"/>
    <w:pitch w:val="default"/>
  </w:font>
  <w:font w:name="Symbol">
    <w:charset w:val="02"/>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4.jpeg"/><Relationship Id="rId8" Type="http://schemas.openxmlformats.org/officeDocument/2006/relationships/image" Target="media/image6.jpeg"/><Relationship Id="rId9" Type="http://schemas.openxmlformats.org/officeDocument/2006/relationships/image" Target="media/image4.jpeg"/><Relationship Id="rId10" Type="http://schemas.openxmlformats.org/officeDocument/2006/relationships/image" Target="media/image7.jpeg"/><Relationship Id="rId11" Type="http://schemas.openxmlformats.org/officeDocument/2006/relationships/image" Target="media/image4.jpeg"/><Relationship Id="rId12" Type="http://schemas.openxmlformats.org/officeDocument/2006/relationships/image" Target="media/image8.jpeg"/><Relationship Id="rId13" Type="http://schemas.openxmlformats.org/officeDocument/2006/relationships/image" Target="media/image4.jpeg"/><Relationship Id="rId14" Type="http://schemas.openxmlformats.org/officeDocument/2006/relationships/image" Target="media/image9.jpeg"/><Relationship Id="rId15" Type="http://schemas.openxmlformats.org/officeDocument/2006/relationships/image" Target="media/image4.jpeg"/><Relationship Id="rId16" Type="http://schemas.openxmlformats.org/officeDocument/2006/relationships/image" Target="media/image10.jpeg"/><Relationship Id="rId17" Type="http://schemas.openxmlformats.org/officeDocument/2006/relationships/image" Target="media/image4.jpeg"/><Relationship Id="rId18" Type="http://schemas.openxmlformats.org/officeDocument/2006/relationships/image" Target="media/image11.jpeg"/><Relationship Id="rId19" Type="http://schemas.openxmlformats.org/officeDocument/2006/relationships/image" Target="media/image4.jpeg"/><Relationship Id="rId20" Type="http://schemas.openxmlformats.org/officeDocument/2006/relationships/image" Target="media/image12.jpeg"/><Relationship Id="rId21" Type="http://schemas.openxmlformats.org/officeDocument/2006/relationships/image" Target="media/image4.jpeg"/><Relationship Id="rId22" Type="http://schemas.openxmlformats.org/officeDocument/2006/relationships/image" Target="media/image13.jpeg"/><Relationship Id="rId23" Type="http://schemas.openxmlformats.org/officeDocument/2006/relationships/image" Target="media/image4.jpeg"/><Relationship Id="rId24" Type="http://schemas.openxmlformats.org/officeDocument/2006/relationships/image" Target="media/image14.jpeg"/><Relationship Id="rId25" Type="http://schemas.openxmlformats.org/officeDocument/2006/relationships/image" Target="media/image15.jpeg"/><Relationship Id="rId26" Type="http://schemas.openxmlformats.org/officeDocument/2006/relationships/image" Target="media/image16.jpeg"/><Relationship Id="rId27" Type="http://schemas.openxmlformats.org/officeDocument/2006/relationships/image" Target="media/image4.jpeg"/><Relationship Id="rId28" Type="http://schemas.openxmlformats.org/officeDocument/2006/relationships/image" Target="media/image17.jpeg"/><Relationship Id="rId29" Type="http://schemas.openxmlformats.org/officeDocument/2006/relationships/image" Target="media/image18.jpeg"/><Relationship Id="rId30" Type="http://schemas.openxmlformats.org/officeDocument/2006/relationships/image" Target="media/image4.jpeg"/><Relationship Id="rId31" Type="http://schemas.openxmlformats.org/officeDocument/2006/relationships/image" Target="media/image19.jpeg"/><Relationship Id="rId32" Type="http://schemas.openxmlformats.org/officeDocument/2006/relationships/image" Target="media/image4.jpeg"/><Relationship Id="rId33" Type="http://schemas.openxmlformats.org/officeDocument/2006/relationships/image" Target="media/image20.jpeg"/><Relationship Id="rId34" Type="http://schemas.openxmlformats.org/officeDocument/2006/relationships/image" Target="media/image4.jpeg"/><Relationship Id="rId35" Type="http://schemas.openxmlformats.org/officeDocument/2006/relationships/image" Target="media/image21.jpeg"/><Relationship Id="rId36" Type="http://schemas.openxmlformats.org/officeDocument/2006/relationships/image" Target="media/image4.jpeg"/><Relationship Id="rId37" Type="http://schemas.openxmlformats.org/officeDocument/2006/relationships/image" Target="media/image22.jpeg"/><Relationship Id="rId38" Type="http://schemas.openxmlformats.org/officeDocument/2006/relationships/image" Target="media/image4.jpeg"/><Relationship Id="rId39" Type="http://schemas.openxmlformats.org/officeDocument/2006/relationships/image" Target="media/image23.jpeg"/><Relationship Id="rId40" Type="http://schemas.openxmlformats.org/officeDocument/2006/relationships/image" Target="media/image4.jpeg"/><Relationship Id="rId41" Type="http://schemas.openxmlformats.org/officeDocument/2006/relationships/image" Target="media/image24.jpeg"/><Relationship Id="rId42" Type="http://schemas.openxmlformats.org/officeDocument/2006/relationships/image" Target="media/image4.jpeg"/><Relationship Id="rId43" Type="http://schemas.openxmlformats.org/officeDocument/2006/relationships/image" Target="media/image25.jpeg"/><Relationship Id="rId44" Type="http://schemas.openxmlformats.org/officeDocument/2006/relationships/image" Target="media/image4.jpeg"/><Relationship Id="rId45" Type="http://schemas.openxmlformats.org/officeDocument/2006/relationships/image" Target="media/image26.jpeg"/><Relationship Id="rId46" Type="http://schemas.openxmlformats.org/officeDocument/2006/relationships/image" Target="media/image4.jpeg"/><Relationship Id="rId47" Type="http://schemas.openxmlformats.org/officeDocument/2006/relationships/image" Target="media/image27.jpeg"/><Relationship Id="rId48" Type="http://schemas.openxmlformats.org/officeDocument/2006/relationships/image" Target="media/image4.jpeg"/><Relationship Id="rId49" Type="http://schemas.openxmlformats.org/officeDocument/2006/relationships/image" Target="media/image28.jpeg"/><Relationship Id="rId50" Type="http://schemas.openxmlformats.org/officeDocument/2006/relationships/image" Target="media/image29.jpeg"/><Relationship Id="rId51" Type="http://schemas.openxmlformats.org/officeDocument/2006/relationships/image" Target="media/image4.jpeg"/><Relationship Id="rId52" Type="http://schemas.openxmlformats.org/officeDocument/2006/relationships/image" Target="media/image30.jpeg"/><Relationship Id="rId53" Type="http://schemas.openxmlformats.org/officeDocument/2006/relationships/image" Target="media/image4.jpeg"/><Relationship Id="rId54" Type="http://schemas.openxmlformats.org/officeDocument/2006/relationships/image" Target="media/image31.jpeg"/><Relationship Id="rId55" Type="http://schemas.openxmlformats.org/officeDocument/2006/relationships/image" Target="media/image32.jpeg"/><Relationship Id="rId56" Type="http://schemas.openxmlformats.org/officeDocument/2006/relationships/image" Target="media/image4.jpeg"/><Relationship Id="rId57" Type="http://schemas.openxmlformats.org/officeDocument/2006/relationships/image" Target="media/image33.jpeg"/><Relationship Id="rId58" Type="http://schemas.openxmlformats.org/officeDocument/2006/relationships/image" Target="media/image34.jpeg"/><Relationship Id="rId59" Type="http://schemas.openxmlformats.org/officeDocument/2006/relationships/image" Target="media/image4.jpeg"/><Relationship Id="rId60" Type="http://schemas.openxmlformats.org/officeDocument/2006/relationships/image" Target="media/image35.jpeg"/><Relationship Id="rId61" Type="http://schemas.openxmlformats.org/officeDocument/2006/relationships/image" Target="media/image4.jpeg"/><Relationship Id="rId62" Type="http://schemas.openxmlformats.org/officeDocument/2006/relationships/image" Target="media/image36.jpeg"/><Relationship Id="rId63" Type="http://schemas.openxmlformats.org/officeDocument/2006/relationships/image" Target="media/image4.jpeg"/><Relationship Id="rId64" Type="http://schemas.openxmlformats.org/officeDocument/2006/relationships/image" Target="media/image37.jpeg"/><Relationship Id="rId65" Type="http://schemas.openxmlformats.org/officeDocument/2006/relationships/image" Target="media/image4.jpeg"/><Relationship Id="rId66" Type="http://schemas.openxmlformats.org/officeDocument/2006/relationships/image" Target="media/image38.jpeg"/><Relationship Id="rId67" Type="http://schemas.openxmlformats.org/officeDocument/2006/relationships/image" Target="media/image4.jpeg"/><Relationship Id="rId68" Type="http://schemas.openxmlformats.org/officeDocument/2006/relationships/image" Target="media/image39.jpeg"/><Relationship Id="rId69" Type="http://schemas.openxmlformats.org/officeDocument/2006/relationships/image" Target="media/image4.jpeg"/><Relationship Id="rId70" Type="http://schemas.openxmlformats.org/officeDocument/2006/relationships/image" Target="media/image40.jpeg"/><Relationship Id="rId71" Type="http://schemas.openxmlformats.org/officeDocument/2006/relationships/image" Target="media/image4.jpeg"/><Relationship Id="rId72" Type="http://schemas.openxmlformats.org/officeDocument/2006/relationships/image" Target="media/image41.jpeg"/><Relationship Id="rId73" Type="http://schemas.openxmlformats.org/officeDocument/2006/relationships/image" Target="media/image4.jpeg"/><Relationship Id="rId74" Type="http://schemas.openxmlformats.org/officeDocument/2006/relationships/image" Target="media/image42.jpeg"/><Relationship Id="rId75" Type="http://schemas.openxmlformats.org/officeDocument/2006/relationships/image" Target="media/image4.jpeg"/><Relationship Id="rId76" Type="http://schemas.openxmlformats.org/officeDocument/2006/relationships/image" Target="media/image43.jpeg"/><Relationship Id="rId77" Type="http://schemas.openxmlformats.org/officeDocument/2006/relationships/image" Target="media/image4.jpeg"/><Relationship Id="rId78" Type="http://schemas.openxmlformats.org/officeDocument/2006/relationships/image" Target="media/image44.jpeg"/><Relationship Id="rId79" Type="http://schemas.openxmlformats.org/officeDocument/2006/relationships/image" Target="media/image4.jpeg"/><Relationship Id="rId80" Type="http://schemas.openxmlformats.org/officeDocument/2006/relationships/image" Target="media/image45.jpeg"/><Relationship Id="rId81" Type="http://schemas.openxmlformats.org/officeDocument/2006/relationships/image" Target="media/image4.jpeg"/><Relationship Id="rId82" Type="http://schemas.openxmlformats.org/officeDocument/2006/relationships/image" Target="media/image46.jpeg"/><Relationship Id="rId83" Type="http://schemas.openxmlformats.org/officeDocument/2006/relationships/image" Target="media/image4.jpeg"/><Relationship Id="rId84" Type="http://schemas.openxmlformats.org/officeDocument/2006/relationships/image" Target="media/image47.jpeg"/><Relationship Id="rId85" Type="http://schemas.openxmlformats.org/officeDocument/2006/relationships/image" Target="media/image4.jpeg"/><Relationship Id="rId86" Type="http://schemas.openxmlformats.org/officeDocument/2006/relationships/image" Target="media/image48.jpeg"/><Relationship Id="rId87" Type="http://schemas.openxmlformats.org/officeDocument/2006/relationships/image" Target="media/image4.jpeg"/><Relationship Id="rId88" Type="http://schemas.openxmlformats.org/officeDocument/2006/relationships/image" Target="media/image49.jpeg"/><Relationship Id="rId89" Type="http://schemas.openxmlformats.org/officeDocument/2006/relationships/image" Target="media/image4.jpeg"/><Relationship Id="rId90" Type="http://schemas.openxmlformats.org/officeDocument/2006/relationships/image" Target="media/image50.jpeg"/><Relationship Id="rId91" Type="http://schemas.openxmlformats.org/officeDocument/2006/relationships/fontTable" Target="fontTable.xml"/><Relationship Id="rId9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16156</Words>
  <Characters>88545</Characters>
  <CharactersWithSpaces>104945</CharactersWithSpaces>
  <Paragraphs>1786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