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Registration No. 333-</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 UNDER THE SECURITIES ACT OF 1933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6" w:right="339" w:bottom="1440" w:gutter="0" w:footer="0" w:header="0"/>
        </w:sectPr>
      </w:pPr>
    </w:p>
    <w:p>
      <w:pPr>
        <w:spacing w:after="0" w:line="2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Israel</w:t>
      </w:r>
    </w:p>
    <w:p>
      <w:pPr>
        <w:spacing w:after="0" w:line="2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526" w:right="339" w:bottom="1440" w:gutter="0" w:footer="0" w:header="0"/>
          <w:type w:val="continuous"/>
        </w:sectPr>
      </w:pPr>
    </w:p>
    <w:p>
      <w:pPr>
        <w:spacing w:after="0" w:line="3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Ramat Gavriel Industrial Park</w:t>
      </w:r>
    </w:p>
    <w:p>
      <w:pPr>
        <w:spacing w:after="0" w:line="2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color w:val="auto"/>
        </w:rPr>
        <w:t>20 Shaul Amor Avenue</w:t>
      </w:r>
    </w:p>
    <w:p>
      <w:pPr>
        <w:spacing w:after="0" w:line="23"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color w:val="auto"/>
        </w:rPr>
        <w:t>P.O. Box 619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Migdal Haemek, Israel, 2310502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972-4-650-6611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2013 Share Incentive Plan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3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Tower Semiconductor USA, Inc.</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2570 North First Street, Suite 480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408-770-1324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34"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2220" w:type="dxa"/>
            <w:vAlign w:val="bottom"/>
          </w:tcPr>
          <w:p>
            <w:pPr>
              <w:spacing w:after="0"/>
              <w:rPr>
                <w:sz w:val="19"/>
                <w:szCs w:val="19"/>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Copies of all Correspondence to:</w:t>
            </w:r>
          </w:p>
        </w:tc>
      </w:tr>
      <w:tr>
        <w:trPr>
          <w:trHeight w:val="216"/>
        </w:trPr>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SHARON ROSEN, ADV.</w:t>
            </w: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SHELDON KRAUSE, ESQ.</w:t>
            </w:r>
          </w:p>
        </w:tc>
      </w:tr>
      <w:tr>
        <w:trPr>
          <w:trHeight w:val="230"/>
        </w:trPr>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FISCHER (FBC &amp; Co.)</w:t>
            </w: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Eilenberg &amp; Krause LLP</w:t>
            </w:r>
          </w:p>
        </w:tc>
      </w:tr>
      <w:tr>
        <w:trPr>
          <w:trHeight w:val="230"/>
        </w:trPr>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146 Menachem Begin Rd.</w:t>
            </w:r>
          </w:p>
        </w:tc>
        <w:tc>
          <w:tcPr>
            <w:tcW w:w="548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9"/>
              </w:rPr>
              <w:t>335 Madison Avenue, 9th Floor</w:t>
            </w:r>
          </w:p>
        </w:tc>
      </w:tr>
      <w:tr>
        <w:trPr>
          <w:trHeight w:val="23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Tel Aviv 6492103, Israel</w:t>
            </w:r>
          </w:p>
        </w:tc>
        <w:tc>
          <w:tcPr>
            <w:tcW w:w="548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8"/>
              </w:rPr>
              <w:t>New York, NY 10017</w:t>
            </w:r>
          </w:p>
        </w:tc>
      </w:tr>
      <w:tr>
        <w:trPr>
          <w:trHeight w:val="234"/>
        </w:trPr>
        <w:tc>
          <w:tcPr>
            <w:tcW w:w="2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Tel: 972-3-694-4111</w:t>
            </w:r>
          </w:p>
        </w:tc>
        <w:tc>
          <w:tcPr>
            <w:tcW w:w="548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8"/>
              </w:rPr>
              <w:t>Tel: 212-986-9700</w:t>
            </w:r>
          </w:p>
        </w:tc>
      </w:tr>
    </w:tbl>
    <w:p>
      <w:pPr>
        <w:spacing w:after="0" w:line="211"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p>
      <w:pPr>
        <w:spacing w:after="0" w:line="207" w:lineRule="exact"/>
        <w:tabs>
          <w:tab w:leader="none" w:pos="2800" w:val="left"/>
          <w:tab w:leader="none" w:pos="5600" w:val="left"/>
          <w:tab w:leader="none" w:pos="84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Registration Statement on Form S-8 filed by Tower Semiconductor Ltd., a company organized under the laws of the State of Israel (the “Registrant”), is being filed to register 9 million ordinary shares that may be issued to employees, officers and directors of the Company and the Company’s subsidiaries and affiliates pursuant to (i) unvested restricted share units, including performance based share units and upside performance share units, that have been previously granted and (ii) options, restricted share units, including performance based share units and upside performance share units, or other performance based awards that may be granted this year and/or in future years, pursuant to the Registrant’s 2013 Share Incentive Plan.</w:t>
      </w:r>
    </w:p>
    <w:p>
      <w:pPr>
        <w:spacing w:after="0" w:line="18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on Form S-8 will be sent or given to participants in the Plans as specified by Rule 428(b)(1) under the Securities Act of 1933, as amended (the “Securities Act”). Such documents are not required to be, and are not being, filed by us with the Securities and Exchange Commission (“SEC”), either as part of this Registration Statement or as prospectuses or prospectus supplements pursuant to Rule 424 under the Securities Act. Such documents, together with the documents incorporated by reference herein pursuant to Item 3 of Part II of this Registration Statement on Form S-8, constitute a prospectus that meets the requirements of Section 10(a) of the Securities Act.</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used herein or any in any document incorporated by reference hereto, the “Company”, “Tower Semiconductor Ltd.”, “Registrant”, “we”, “us”, or “our” refers to Tower Semiconductor Ltd. and its consolidated subsidiaries.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permitted by the rules of the Securities and Exchange Commission, this Registration Statement omits the information specified in Part I of Form S-8.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4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following documents filed with the SEC by the Registrant pursuant to the Securities Exchange Act of 1934 (the “Exchange Act”) are incorporated by reference in this registration statement:</w:t>
      </w:r>
    </w:p>
    <w:p>
      <w:pPr>
        <w:spacing w:after="0" w:line="163" w:lineRule="exact"/>
        <w:rPr>
          <w:sz w:val="20"/>
          <w:szCs w:val="20"/>
          <w:color w:val="auto"/>
        </w:rPr>
      </w:pPr>
    </w:p>
    <w:p>
      <w:pPr>
        <w:ind w:left="1160" w:hanging="504"/>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Form 6-K furnished to the SEC on February 29, 2024;</w:t>
      </w:r>
    </w:p>
    <w:p>
      <w:pPr>
        <w:spacing w:after="0" w:line="252"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20-F for the year ended December 31, 2022, filed on May 16, 2023, to the extent the information in that report has not been updated or superseded by this prospectus; and</w:t>
      </w:r>
    </w:p>
    <w:p>
      <w:pPr>
        <w:spacing w:after="0" w:line="188" w:lineRule="exact"/>
        <w:rPr>
          <w:rFonts w:ascii="Times New Roman" w:cs="Times New Roman" w:eastAsia="Times New Roman" w:hAnsi="Times New Roman"/>
          <w:sz w:val="18"/>
          <w:szCs w:val="18"/>
          <w:color w:val="auto"/>
        </w:rPr>
      </w:pPr>
    </w:p>
    <w:p>
      <w:pPr>
        <w:ind w:left="660" w:right="20" w:hanging="4"/>
        <w:spacing w:after="0" w:line="282" w:lineRule="auto"/>
        <w:tabs>
          <w:tab w:leader="none" w:pos="12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Ordinary Shares which is contained in its Registration Statement on Form 8-A declared effective on October 25, 1994.</w:t>
      </w:r>
    </w:p>
    <w:p>
      <w:pPr>
        <w:spacing w:after="0" w:line="18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We may also incorporate any Form 6-K subsequently filed or furnished by us to the SEC prior to the filing of any such post-effective amendment, by identifying in such Form 6-K that it is being incorporated by reference herein, and any Forms 6-K so identified shall be deemed to be incorporated by reference in this registration statement and to be a part hereof from the date of filing or furnishing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43" w:lineRule="exact"/>
        <w:rPr>
          <w:sz w:val="20"/>
          <w:szCs w:val="20"/>
          <w:color w:val="auto"/>
        </w:rPr>
      </w:pPr>
    </w:p>
    <w:p>
      <w:pPr>
        <w:ind w:right="20" w:firstLine="510"/>
        <w:spacing w:after="0" w:line="297" w:lineRule="auto"/>
        <w:rPr>
          <w:sz w:val="20"/>
          <w:szCs w:val="20"/>
          <w:color w:val="auto"/>
        </w:rPr>
      </w:pPr>
      <w:r>
        <w:rPr>
          <w:rFonts w:ascii="Times New Roman" w:cs="Times New Roman" w:eastAsia="Times New Roman" w:hAnsi="Times New Roman"/>
          <w:sz w:val="18"/>
          <w:szCs w:val="18"/>
          <w:color w:val="auto"/>
        </w:rPr>
        <w:t>The Israeli Companies Law-1999, or the Companies Law, provides that an Israeli company may, if and to the extent permitted by its articles of association:</w:t>
      </w:r>
    </w:p>
    <w:p>
      <w:pPr>
        <w:spacing w:after="0" w:line="163" w:lineRule="exact"/>
        <w:rPr>
          <w:sz w:val="20"/>
          <w:szCs w:val="20"/>
          <w:color w:val="auto"/>
        </w:rPr>
      </w:pPr>
    </w:p>
    <w:p>
      <w:pPr>
        <w:jc w:val="both"/>
        <w:ind w:left="960" w:hanging="493"/>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 an office holder in advance from liability to the company, in whole or in part, for damages caused to the company as a result of the breach of duty of care to the company, except for damages caused to the company due to any breach of such office holder's duty of care towards the company in a “distribution” (as defined in the Companies Law).</w:t>
      </w:r>
    </w:p>
    <w:p>
      <w:pPr>
        <w:spacing w:after="0" w:line="189" w:lineRule="exact"/>
        <w:rPr>
          <w:rFonts w:ascii="Times New Roman" w:cs="Times New Roman" w:eastAsia="Times New Roman" w:hAnsi="Times New Roman"/>
          <w:sz w:val="18"/>
          <w:szCs w:val="18"/>
          <w:color w:val="auto"/>
        </w:rPr>
      </w:pPr>
    </w:p>
    <w:p>
      <w:pPr>
        <w:ind w:left="960" w:right="20" w:hanging="49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contract to insure the liability of an office holder of the company by reason of acts or omissions committed in his or her capacity as an office holder of the company with respect to the following:</w:t>
      </w:r>
    </w:p>
    <w:p>
      <w:pPr>
        <w:spacing w:after="0" w:line="175" w:lineRule="exact"/>
        <w:rPr>
          <w:rFonts w:ascii="Times New Roman" w:cs="Times New Roman" w:eastAsia="Times New Roman" w:hAnsi="Times New Roman"/>
          <w:sz w:val="18"/>
          <w:szCs w:val="18"/>
          <w:color w:val="auto"/>
        </w:rPr>
      </w:pPr>
    </w:p>
    <w:p>
      <w:pPr>
        <w:ind w:left="1460" w:hanging="507"/>
        <w:spacing w:after="0" w:line="282"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the duty of care to the company or any other person to the extent the breach arises out of the negligent conduct of the office holder;</w:t>
      </w:r>
    </w:p>
    <w:p>
      <w:pPr>
        <w:spacing w:after="0" w:line="161" w:lineRule="exact"/>
        <w:rPr>
          <w:rFonts w:ascii="Times New Roman" w:cs="Times New Roman" w:eastAsia="Times New Roman" w:hAnsi="Times New Roman"/>
          <w:sz w:val="18"/>
          <w:szCs w:val="18"/>
          <w:color w:val="auto"/>
        </w:rPr>
      </w:pPr>
    </w:p>
    <w:p>
      <w:pPr>
        <w:ind w:left="1460" w:hanging="507"/>
        <w:spacing w:after="0" w:line="282"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the duty of loyalty to the company, to the extent that the office holder acted in good faith and had a reasonable basis to believe that the act or omission would not prejudice the interests of the company; and</w:t>
      </w:r>
    </w:p>
    <w:p>
      <w:pPr>
        <w:spacing w:after="0" w:line="175" w:lineRule="exact"/>
        <w:rPr>
          <w:rFonts w:ascii="Times New Roman" w:cs="Times New Roman" w:eastAsia="Times New Roman" w:hAnsi="Times New Roman"/>
          <w:sz w:val="18"/>
          <w:szCs w:val="18"/>
          <w:color w:val="auto"/>
        </w:rPr>
      </w:pPr>
    </w:p>
    <w:p>
      <w:pPr>
        <w:ind w:left="1460" w:hanging="507"/>
        <w:spacing w:after="0"/>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which may be imposed upon the office holder in favor of other persons.</w:t>
      </w:r>
    </w:p>
    <w:p>
      <w:pPr>
        <w:spacing w:after="0" w:line="225" w:lineRule="exact"/>
        <w:rPr>
          <w:rFonts w:ascii="Times New Roman" w:cs="Times New Roman" w:eastAsia="Times New Roman" w:hAnsi="Times New Roman"/>
          <w:sz w:val="18"/>
          <w:szCs w:val="18"/>
          <w:color w:val="auto"/>
        </w:rPr>
      </w:pPr>
    </w:p>
    <w:p>
      <w:pPr>
        <w:ind w:left="960" w:right="20" w:hanging="493"/>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office holder of the company for the following liabilities and expenses incurred by reason of acts or omissions committed in his or her capacity as an office holder of the company:</w:t>
      </w:r>
    </w:p>
    <w:p>
      <w:pPr>
        <w:spacing w:after="0" w:line="175" w:lineRule="exact"/>
        <w:rPr>
          <w:rFonts w:ascii="Times New Roman" w:cs="Times New Roman" w:eastAsia="Times New Roman" w:hAnsi="Times New Roman"/>
          <w:sz w:val="18"/>
          <w:szCs w:val="18"/>
          <w:color w:val="auto"/>
        </w:rPr>
      </w:pPr>
    </w:p>
    <w:p>
      <w:pPr>
        <w:ind w:left="1460" w:right="20" w:hanging="507"/>
        <w:spacing w:after="0" w:line="282"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imposed upon, or actually incurred by, such officer holder in favor of other persons pursuant to a court judgment, including a settlement or arbitrator’s award approved by a court;</w:t>
      </w:r>
    </w:p>
    <w:p>
      <w:pPr>
        <w:spacing w:after="0" w:line="175" w:lineRule="exact"/>
        <w:rPr>
          <w:rFonts w:ascii="Times New Roman" w:cs="Times New Roman" w:eastAsia="Times New Roman" w:hAnsi="Times New Roman"/>
          <w:sz w:val="18"/>
          <w:szCs w:val="18"/>
          <w:color w:val="auto"/>
        </w:rPr>
      </w:pPr>
    </w:p>
    <w:p>
      <w:pPr>
        <w:jc w:val="both"/>
        <w:ind w:left="1460" w:hanging="507"/>
        <w:spacing w:after="0" w:line="261"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criminal proceedings from which he or she was acquitted, or in connection with criminal proceedings in which he or she was convicted for an offense that does not require proof of criminal intent; and</w:t>
      </w:r>
    </w:p>
    <w:p>
      <w:pPr>
        <w:spacing w:after="0" w:line="179" w:lineRule="exact"/>
        <w:rPr>
          <w:rFonts w:ascii="Times New Roman" w:cs="Times New Roman" w:eastAsia="Times New Roman" w:hAnsi="Times New Roman"/>
          <w:sz w:val="18"/>
          <w:szCs w:val="18"/>
          <w:color w:val="auto"/>
        </w:rPr>
      </w:pPr>
    </w:p>
    <w:p>
      <w:pPr>
        <w:jc w:val="both"/>
        <w:ind w:left="1460" w:hanging="507"/>
        <w:spacing w:after="0" w:line="261" w:lineRule="auto"/>
        <w:tabs>
          <w:tab w:leader="none" w:pos="1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the office holder due to (1) an investigation or a proceeding instituted against such office holder by an authority competent to administrate such an investigation or proceeding, and that</w:t>
      </w:r>
    </w:p>
    <w:p>
      <w:pPr>
        <w:jc w:val="both"/>
        <w:ind w:left="1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was finalized without the filing of an indictment against such office holder and (ii) without any financial obligation imposed on such office holder in lieu of criminal proceedings, or a financial obligation was imposed on such office holder in lieu of criminal proceedings for an offense that does not require proof of criminal intent, or (2) in connection with a monetary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ind w:firstLine="510"/>
        <w:spacing w:after="0" w:line="297" w:lineRule="auto"/>
        <w:rPr>
          <w:sz w:val="20"/>
          <w:szCs w:val="20"/>
          <w:color w:val="auto"/>
        </w:rPr>
      </w:pPr>
      <w:r>
        <w:rPr>
          <w:rFonts w:ascii="Times New Roman" w:cs="Times New Roman" w:eastAsia="Times New Roman" w:hAnsi="Times New Roman"/>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63" w:lineRule="exact"/>
        <w:rPr>
          <w:sz w:val="20"/>
          <w:szCs w:val="20"/>
          <w:color w:val="auto"/>
        </w:rPr>
      </w:pPr>
    </w:p>
    <w:p>
      <w:pPr>
        <w:jc w:val="both"/>
        <w:ind w:left="1140" w:hanging="484"/>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3(a) above, provided such undertaking is limited to and details the events, which, in the opinion of the company’s board of directors based on the current activity of the company, are, at the time such undertaking to indemnify is provided, foreseeable, and to an amount or according to criteria that the board of directors has determined are reasonable for such indemnification under the circumstances; and</w:t>
      </w:r>
    </w:p>
    <w:p>
      <w:pPr>
        <w:spacing w:after="0" w:line="19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3(b) and 3(c) above.</w:t>
      </w:r>
    </w:p>
    <w:p>
      <w:pPr>
        <w:spacing w:after="0" w:line="225" w:lineRule="exact"/>
        <w:rPr>
          <w:sz w:val="20"/>
          <w:szCs w:val="20"/>
          <w:color w:val="auto"/>
        </w:rPr>
      </w:pPr>
    </w:p>
    <w:p>
      <w:pPr>
        <w:ind w:right="20" w:firstLine="510"/>
        <w:spacing w:after="0" w:line="297" w:lineRule="auto"/>
        <w:rPr>
          <w:sz w:val="20"/>
          <w:szCs w:val="20"/>
          <w:color w:val="auto"/>
        </w:rPr>
      </w:pPr>
      <w:r>
        <w:rPr>
          <w:rFonts w:ascii="Times New Roman" w:cs="Times New Roman" w:eastAsia="Times New Roman" w:hAnsi="Times New Roman"/>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63" w:lineRule="exact"/>
        <w:rPr>
          <w:sz w:val="20"/>
          <w:szCs w:val="20"/>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to the extent described above;</w:t>
      </w:r>
    </w:p>
    <w:p>
      <w:pPr>
        <w:spacing w:after="0" w:line="23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care, if such breach was committed intentionally or recklessly, but excluding a breach due to negligence only;</w:t>
      </w:r>
    </w:p>
    <w:p>
      <w:pPr>
        <w:spacing w:after="0" w:line="23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the intent to unlawfully realize personal gain; or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or monetary sanction imposed upon the office holder.</w:t>
      </w:r>
    </w:p>
    <w:p>
      <w:pPr>
        <w:spacing w:after="0" w:line="239" w:lineRule="exact"/>
        <w:rPr>
          <w:sz w:val="20"/>
          <w:szCs w:val="20"/>
          <w:color w:val="auto"/>
        </w:rPr>
      </w:pPr>
    </w:p>
    <w:p>
      <w:pPr>
        <w:jc w:val="both"/>
        <w:ind w:firstLine="510"/>
        <w:spacing w:after="0" w:line="274" w:lineRule="auto"/>
        <w:rPr>
          <w:sz w:val="20"/>
          <w:szCs w:val="20"/>
          <w:color w:val="auto"/>
        </w:rPr>
      </w:pPr>
      <w:r>
        <w:rPr>
          <w:rFonts w:ascii="Times New Roman" w:cs="Times New Roman" w:eastAsia="Times New Roman" w:hAnsi="Times New Roman"/>
          <w:sz w:val="18"/>
          <w:szCs w:val="18"/>
          <w:color w:val="auto"/>
        </w:rPr>
        <w:t>Under the Companies Law, the term "office holder" includes a general manager, chief business manager, deputy general manager, vice general manager, any person fulfilling any such position without regard to such person’s title, any manager directly subordinate to the general manager, and a director.</w:t>
      </w:r>
    </w:p>
    <w:p>
      <w:pPr>
        <w:spacing w:after="0" w:line="196" w:lineRule="exact"/>
        <w:rPr>
          <w:sz w:val="20"/>
          <w:szCs w:val="20"/>
          <w:color w:val="auto"/>
        </w:rPr>
      </w:pPr>
    </w:p>
    <w:p>
      <w:pPr>
        <w:jc w:val="both"/>
        <w:ind w:firstLine="510"/>
        <w:spacing w:after="0" w:line="263" w:lineRule="auto"/>
        <w:rPr>
          <w:sz w:val="20"/>
          <w:szCs w:val="20"/>
          <w:color w:val="auto"/>
        </w:rPr>
      </w:pPr>
      <w:r>
        <w:rPr>
          <w:rFonts w:ascii="Times New Roman" w:cs="Times New Roman" w:eastAsia="Times New Roman" w:hAnsi="Times New Roman"/>
          <w:sz w:val="18"/>
          <w:szCs w:val="18"/>
          <w:color w:val="auto"/>
        </w:rPr>
        <w:t>The grant of an exemption, an undertaking to indemnify or indemnification of, and procurement of insurance coverage for, an office holder of a company requires, pursuant to the Companies Law, the approval of the compensation committee, board of directors, and, in certain circumstances, including if the office holder is a director or the chief executive officer, the approval of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that compensation policy was approved by the shareholders by the same special majority required under the Companies Law to approve a compensation policy, and provided that the insurance policy is on market terms and the insurance policy is not likely to materially impact the company’s profitability, assets or obligations.</w:t>
      </w:r>
    </w:p>
    <w:p>
      <w:pPr>
        <w:spacing w:after="0" w:line="208" w:lineRule="exact"/>
        <w:rPr>
          <w:sz w:val="20"/>
          <w:szCs w:val="20"/>
          <w:color w:val="auto"/>
        </w:rPr>
      </w:pPr>
    </w:p>
    <w:p>
      <w:pPr>
        <w:jc w:val="both"/>
        <w:ind w:firstLine="510"/>
        <w:spacing w:after="0" w:line="271" w:lineRule="auto"/>
        <w:rPr>
          <w:sz w:val="20"/>
          <w:szCs w:val="20"/>
          <w:color w:val="auto"/>
        </w:rPr>
      </w:pPr>
      <w:r>
        <w:rPr>
          <w:rFonts w:ascii="Times New Roman" w:cs="Times New Roman" w:eastAsia="Times New Roman" w:hAnsi="Times New Roman"/>
          <w:sz w:val="18"/>
          <w:szCs w:val="18"/>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40" w:type="dxa"/>
            <w:vAlign w:val="bottom"/>
            <w:tcBorders>
              <w:top w:val="single" w:sz="8" w:color="auto"/>
              <w:left w:val="single" w:sz="8" w:color="auto"/>
            </w:tcBorders>
          </w:tcPr>
          <w:p>
            <w:pPr>
              <w:spacing w:after="0"/>
              <w:rPr>
                <w:sz w:val="21"/>
                <w:szCs w:val="21"/>
                <w:color w:val="auto"/>
              </w:rPr>
            </w:pPr>
          </w:p>
        </w:tc>
        <w:tc>
          <w:tcPr>
            <w:tcW w:w="920" w:type="dxa"/>
            <w:vAlign w:val="bottom"/>
            <w:tcBorders>
              <w:top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4620" w:type="dxa"/>
            <w:vAlign w:val="bottom"/>
            <w:tcBorders>
              <w:top w:val="single" w:sz="8" w:color="auto"/>
            </w:tcBorders>
          </w:tcPr>
          <w:p>
            <w:pPr>
              <w:spacing w:after="0"/>
              <w:rPr>
                <w:sz w:val="21"/>
                <w:szCs w:val="21"/>
                <w:color w:val="auto"/>
              </w:rPr>
            </w:pPr>
          </w:p>
        </w:tc>
        <w:tc>
          <w:tcPr>
            <w:tcW w:w="3500" w:type="dxa"/>
            <w:vAlign w:val="bottom"/>
            <w:tcBorders>
              <w:top w:val="single" w:sz="8" w:color="auto"/>
              <w:right w:val="single" w:sz="8" w:color="auto"/>
            </w:tcBorders>
          </w:tcPr>
          <w:p>
            <w:pPr>
              <w:spacing w:after="0"/>
              <w:rPr>
                <w:sz w:val="21"/>
                <w:szCs w:val="21"/>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920" w:type="dxa"/>
            <w:vAlign w:val="bottom"/>
            <w:tcBorders>
              <w:right w:val="single" w:sz="8" w:color="auto"/>
            </w:tcBorders>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Numbers</w:t>
            </w:r>
          </w:p>
        </w:tc>
        <w:tc>
          <w:tcPr>
            <w:tcW w:w="40" w:type="dxa"/>
            <w:vAlign w:val="bottom"/>
          </w:tcPr>
          <w:p>
            <w:pPr>
              <w:spacing w:after="0"/>
              <w:rPr>
                <w:sz w:val="17"/>
                <w:szCs w:val="17"/>
                <w:color w:val="auto"/>
              </w:rPr>
            </w:pPr>
          </w:p>
        </w:tc>
        <w:tc>
          <w:tcPr>
            <w:tcW w:w="6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35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920" w:type="dxa"/>
            <w:vAlign w:val="bottom"/>
            <w:tcBorders>
              <w:top w:val="single" w:sz="8" w:color="auto"/>
              <w:bottom w:val="single" w:sz="8" w:color="auto"/>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3500" w:type="dxa"/>
            <w:vAlign w:val="bottom"/>
            <w:tcBorders>
              <w:bottom w:val="single" w:sz="8" w:color="auto"/>
              <w:right w:val="single" w:sz="8" w:color="auto"/>
            </w:tcBorders>
          </w:tcPr>
          <w:p>
            <w:pPr>
              <w:spacing w:after="0"/>
              <w:rPr>
                <w:sz w:val="5"/>
                <w:szCs w:val="5"/>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 of the Registrant’s Registration Statement on Form F-1, File No. 333-126909)</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Amendment to the Articles of Association of the Registrant (approved by shareholders on December 7, 2003) (incorporated by reference</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 Exhibit 4.2 of the Registrant’s Registration Statement on Form S-8, File No. 333-117565)</w:t>
            </w:r>
          </w:p>
        </w:tc>
      </w:tr>
      <w:tr>
        <w:trPr>
          <w:trHeight w:val="47"/>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Amendment to Articles of Association of the Registrant (approved by shareholders on September 28, 2006) (incorporated by reference to</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4.2 of the Registrant’s Registration Statement on Form S-8, File No. 333-138837)</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Amendment to Articles of Association of Registrant (approved by shareholders on September 24, 2008) (incorporated by reference to</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3.4 of the Registrant’s Registration Statement on Form S-8, File No. 333-153710)</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Articles of Association of Registrant (approved by shareholders on August</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 2011) (incorporated by reference to exhibit</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 of the Form 6-K furnished to the SEC on January 17, 2012)</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4.6</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to Articles of Association of Registrant (approved by shareholders on August</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 2012) (incorporated by reference to</w:t>
            </w:r>
          </w:p>
        </w:tc>
      </w:tr>
      <w:tr>
        <w:trPr>
          <w:trHeight w:val="229"/>
        </w:trPr>
        <w:tc>
          <w:tcPr>
            <w:tcW w:w="240" w:type="dxa"/>
            <w:vAlign w:val="bottom"/>
            <w:tcBorders>
              <w:lef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proposals 1 and 2 of the proxy statement filed on Form 6-K furnished to the SEC on June 12, 2012, and the Form 6-K furnished to the</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on August 2, 2012)</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Amendment to Articles of Association of Registrant (approved by shareholders on May 23, 2013) (incorporated by reference to Proposal</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of the proxy statement filed on Form 6-K furnished to the SEC on April 16, 2013)</w:t>
            </w:r>
          </w:p>
        </w:tc>
        <w:tc>
          <w:tcPr>
            <w:tcW w:w="3500" w:type="dxa"/>
            <w:vAlign w:val="bottom"/>
            <w:tcBorders>
              <w:right w:val="single" w:sz="8" w:color="auto"/>
            </w:tcBorders>
          </w:tcPr>
          <w:p>
            <w:pPr>
              <w:spacing w:after="0"/>
              <w:rPr>
                <w:sz w:val="20"/>
                <w:szCs w:val="20"/>
                <w:color w:val="auto"/>
              </w:rPr>
            </w:pPr>
          </w:p>
        </w:tc>
      </w:tr>
      <w:tr>
        <w:trPr>
          <w:trHeight w:val="47"/>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25"/>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2013 Share Incentive Plan (incorporated by reference to Exhibit 4.54 of the Registrant’s Annual Report on Form 20-F for the year ended</w:t>
            </w:r>
          </w:p>
        </w:tc>
      </w:tr>
      <w:tr>
        <w:trPr>
          <w:trHeight w:val="234"/>
        </w:trPr>
        <w:tc>
          <w:tcPr>
            <w:tcW w:w="240" w:type="dxa"/>
            <w:vAlign w:val="bottom"/>
            <w:tcBorders>
              <w:lef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3500" w:type="dxa"/>
            <w:vAlign w:val="bottom"/>
            <w:tcBorders>
              <w:right w:val="single" w:sz="8" w:color="auto"/>
            </w:tcBorders>
          </w:tcPr>
          <w:p>
            <w:pPr>
              <w:spacing w:after="0"/>
              <w:rPr>
                <w:sz w:val="20"/>
                <w:szCs w:val="20"/>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43"/>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5.1</w:t>
            </w: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FISCHER (FBC &amp; Co.)</w:t>
            </w:r>
          </w:p>
        </w:tc>
        <w:tc>
          <w:tcPr>
            <w:tcW w:w="3500" w:type="dxa"/>
            <w:vAlign w:val="bottom"/>
            <w:tcBorders>
              <w:right w:val="single" w:sz="8" w:color="auto"/>
            </w:tcBorders>
          </w:tcPr>
          <w:p>
            <w:pPr>
              <w:spacing w:after="0"/>
              <w:rPr>
                <w:sz w:val="21"/>
                <w:szCs w:val="2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43"/>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23.1</w:t>
            </w: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FISCHER (FBC &amp; Co.) (contained in their opinion constituting Exhibit 5.1)</w:t>
            </w:r>
          </w:p>
        </w:tc>
        <w:tc>
          <w:tcPr>
            <w:tcW w:w="3500" w:type="dxa"/>
            <w:vAlign w:val="bottom"/>
            <w:tcBorders>
              <w:right w:val="single" w:sz="8" w:color="auto"/>
            </w:tcBorders>
          </w:tcPr>
          <w:p>
            <w:pPr>
              <w:spacing w:after="0"/>
              <w:rPr>
                <w:sz w:val="21"/>
                <w:szCs w:val="2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8120" w:type="dxa"/>
            <w:vAlign w:val="bottom"/>
            <w:tcBorders>
              <w:bottom w:val="single" w:sz="8" w:color="auto"/>
              <w:right w:val="single" w:sz="8" w:color="auto"/>
            </w:tcBorders>
            <w:gridSpan w:val="2"/>
          </w:tcPr>
          <w:p>
            <w:pPr>
              <w:spacing w:after="0"/>
              <w:rPr>
                <w:sz w:val="4"/>
                <w:szCs w:val="4"/>
                <w:color w:val="auto"/>
              </w:rPr>
            </w:pPr>
          </w:p>
        </w:tc>
      </w:tr>
      <w:tr>
        <w:trPr>
          <w:trHeight w:val="243"/>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23.2</w:t>
            </w: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00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Consent of Brightman Almagor Zohar &amp; Co., Certified Public Accountants, a firm in the Deloitte Global Network</w:t>
            </w: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43"/>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5"/>
              </w:rPr>
              <w:t>24.1</w:t>
            </w: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3500" w:type="dxa"/>
            <w:vAlign w:val="bottom"/>
            <w:tcBorders>
              <w:right w:val="single" w:sz="8" w:color="auto"/>
            </w:tcBorders>
          </w:tcPr>
          <w:p>
            <w:pPr>
              <w:spacing w:after="0"/>
              <w:rPr>
                <w:sz w:val="21"/>
                <w:szCs w:val="21"/>
                <w:color w:val="auto"/>
              </w:rPr>
            </w:pPr>
          </w:p>
        </w:tc>
      </w:tr>
      <w:tr>
        <w:trPr>
          <w:trHeight w:val="48"/>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43"/>
        </w:trPr>
        <w:tc>
          <w:tcPr>
            <w:tcW w:w="94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107.1</w:t>
            </w:r>
          </w:p>
        </w:tc>
        <w:tc>
          <w:tcPr>
            <w:tcW w:w="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 Fee Table</w:t>
            </w:r>
          </w:p>
        </w:tc>
        <w:tc>
          <w:tcPr>
            <w:tcW w:w="3500" w:type="dxa"/>
            <w:vAlign w:val="bottom"/>
            <w:tcBorders>
              <w:right w:val="single" w:sz="8" w:color="auto"/>
            </w:tcBorders>
          </w:tcPr>
          <w:p>
            <w:pPr>
              <w:spacing w:after="0"/>
              <w:rPr>
                <w:sz w:val="21"/>
                <w:szCs w:val="21"/>
                <w:color w:val="auto"/>
              </w:rPr>
            </w:pPr>
          </w:p>
        </w:tc>
      </w:tr>
      <w:tr>
        <w:trPr>
          <w:trHeight w:val="47"/>
        </w:trPr>
        <w:tc>
          <w:tcPr>
            <w:tcW w:w="240" w:type="dxa"/>
            <w:vAlign w:val="bottom"/>
            <w:tcBorders>
              <w:left w:val="single" w:sz="8" w:color="auto"/>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412"/>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4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38" w:lineRule="exact"/>
        <w:rPr>
          <w:rFonts w:ascii="Times New Roman" w:cs="Times New Roman" w:eastAsia="Times New Roman" w:hAnsi="Times New Roman"/>
          <w:sz w:val="18"/>
          <w:szCs w:val="18"/>
          <w:color w:val="auto"/>
        </w:rPr>
      </w:pPr>
    </w:p>
    <w:p>
      <w:pPr>
        <w:ind w:left="2600" w:hanging="567"/>
        <w:spacing w:after="0"/>
        <w:tabs>
          <w:tab w:leader="none" w:pos="26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38" w:lineRule="exact"/>
        <w:rPr>
          <w:rFonts w:ascii="Times New Roman" w:cs="Times New Roman" w:eastAsia="Times New Roman" w:hAnsi="Times New Roman"/>
          <w:sz w:val="18"/>
          <w:szCs w:val="18"/>
          <w:color w:val="auto"/>
        </w:rPr>
      </w:pPr>
    </w:p>
    <w:p>
      <w:pPr>
        <w:jc w:val="both"/>
        <w:ind w:left="2600" w:hanging="567"/>
        <w:spacing w:after="0" w:line="254" w:lineRule="auto"/>
        <w:tabs>
          <w:tab w:leader="none" w:pos="26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rFonts w:ascii="Times New Roman" w:cs="Times New Roman" w:eastAsia="Times New Roman" w:hAnsi="Times New Roman"/>
          <w:sz w:val="18"/>
          <w:szCs w:val="18"/>
          <w:color w:val="auto"/>
        </w:rPr>
      </w:pPr>
    </w:p>
    <w:p>
      <w:pPr>
        <w:ind w:left="2600" w:hanging="567"/>
        <w:spacing w:after="0" w:line="282" w:lineRule="auto"/>
        <w:tabs>
          <w:tab w:leader="none" w:pos="26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6" w:lineRule="exact"/>
        <w:rPr>
          <w:sz w:val="20"/>
          <w:szCs w:val="20"/>
          <w:color w:val="auto"/>
        </w:rPr>
      </w:pPr>
    </w:p>
    <w:p>
      <w:pPr>
        <w:jc w:val="both"/>
        <w:ind w:firstLine="1304"/>
        <w:spacing w:after="0" w:line="274" w:lineRule="auto"/>
        <w:tabs>
          <w:tab w:leader="none" w:pos="1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firstLine="1304"/>
        <w:spacing w:after="0" w:line="297" w:lineRule="auto"/>
        <w:tabs>
          <w:tab w:leader="none" w:pos="196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jc w:val="both"/>
        <w:ind w:firstLine="1304"/>
        <w:spacing w:after="0" w:line="270" w:lineRule="auto"/>
        <w:tabs>
          <w:tab w:leader="none" w:pos="206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5" w:lineRule="exact"/>
        <w:rPr>
          <w:rFonts w:ascii="Times New Roman" w:cs="Times New Roman" w:eastAsia="Times New Roman" w:hAnsi="Times New Roman"/>
          <w:sz w:val="18"/>
          <w:szCs w:val="18"/>
          <w:color w:val="auto"/>
        </w:rPr>
      </w:pPr>
    </w:p>
    <w:p>
      <w:pPr>
        <w:ind w:left="2600" w:right="20" w:hanging="567"/>
        <w:spacing w:after="0" w:line="282" w:lineRule="auto"/>
        <w:tabs>
          <w:tab w:leader="none" w:pos="26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8"/>
          <w:szCs w:val="18"/>
          <w:color w:val="auto"/>
        </w:rPr>
      </w:pPr>
    </w:p>
    <w:p>
      <w:pPr>
        <w:ind w:left="2600" w:hanging="567"/>
        <w:spacing w:after="0" w:line="282" w:lineRule="auto"/>
        <w:tabs>
          <w:tab w:leader="none" w:pos="26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2600" w:hanging="567"/>
        <w:spacing w:after="0" w:line="282" w:lineRule="auto"/>
        <w:tabs>
          <w:tab w:leader="none" w:pos="26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5" w:lineRule="exact"/>
        <w:rPr>
          <w:rFonts w:ascii="Times New Roman" w:cs="Times New Roman" w:eastAsia="Times New Roman" w:hAnsi="Times New Roman"/>
          <w:sz w:val="18"/>
          <w:szCs w:val="18"/>
          <w:color w:val="auto"/>
        </w:rPr>
      </w:pPr>
    </w:p>
    <w:p>
      <w:pPr>
        <w:ind w:left="2600" w:hanging="567"/>
        <w:spacing w:after="0"/>
        <w:tabs>
          <w:tab w:leader="none" w:pos="26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38"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jc w:val="both"/>
        <w:ind w:firstLine="656"/>
        <w:spacing w:after="0" w:line="263" w:lineRule="auto"/>
        <w:tabs>
          <w:tab w:leader="none" w:pos="13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Migdal Haemek, Israel, on February 29,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Russell C. Ellwanger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18"/>
          <w:szCs w:val="18"/>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S-8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9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000" w:type="dxa"/>
            <w:vAlign w:val="bottom"/>
            <w:gridSpan w:val="11"/>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5"/>
        </w:trPr>
        <w:tc>
          <w:tcPr>
            <w:tcW w:w="12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color w:val="auto"/>
                <w:w w:val="98"/>
              </w:rPr>
              <w:t>/s/ Amir Elstein</w:t>
            </w:r>
          </w:p>
        </w:tc>
        <w:tc>
          <w:tcPr>
            <w:tcW w:w="2560" w:type="dxa"/>
            <w:vAlign w:val="bottom"/>
            <w:gridSpan w:val="5"/>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Amir Elstein</w:t>
            </w: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180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8"/>
                <w:szCs w:val="18"/>
                <w:color w:val="auto"/>
                <w:w w:val="98"/>
              </w:rPr>
              <w:t>/s/ Russell C. Ellwanger</w:t>
            </w:r>
          </w:p>
        </w:tc>
        <w:tc>
          <w:tcPr>
            <w:tcW w:w="19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/s/ Oren Shirazi</w:t>
            </w:r>
          </w:p>
        </w:tc>
        <w:tc>
          <w:tcPr>
            <w:tcW w:w="2620" w:type="dxa"/>
            <w:vAlign w:val="bottom"/>
            <w:gridSpan w:val="6"/>
          </w:tcPr>
          <w:p>
            <w:pPr>
              <w:spacing w:after="0"/>
              <w:rPr>
                <w:sz w:val="24"/>
                <w:szCs w:val="24"/>
                <w:color w:val="auto"/>
              </w:rPr>
            </w:pP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32"/>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Oren Shirazi</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5"/>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Iris Avner</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Iris Avner</w:t>
            </w:r>
          </w:p>
        </w:tc>
        <w:tc>
          <w:tcPr>
            <w:tcW w:w="2820" w:type="dxa"/>
            <w:vAlign w:val="bottom"/>
            <w:gridSpan w:val="9"/>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Yoav Z. Chelouche</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16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Yoav Z. Chelouche</w:t>
            </w:r>
          </w:p>
        </w:tc>
        <w:tc>
          <w:tcPr>
            <w:tcW w:w="216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2"/>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/s/Ilan Flato</w:t>
            </w:r>
          </w:p>
        </w:tc>
        <w:tc>
          <w:tcPr>
            <w:tcW w:w="2880" w:type="dxa"/>
            <w:vAlign w:val="bottom"/>
            <w:gridSpan w:val="10"/>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Ilan Flato</w:t>
            </w: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Dana Gross</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10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Dana Gross</w:t>
            </w:r>
          </w:p>
        </w:tc>
        <w:tc>
          <w:tcPr>
            <w:tcW w:w="2700" w:type="dxa"/>
            <w:vAlign w:val="bottom"/>
            <w:gridSpan w:val="7"/>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/s/Avi Hasson</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1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Avi Hasson</w:t>
            </w:r>
          </w:p>
        </w:tc>
        <w:tc>
          <w:tcPr>
            <w:tcW w:w="276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3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 Kalman Kaufman</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50"/>
        </w:trPr>
        <w:tc>
          <w:tcPr>
            <w:tcW w:w="15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226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91"/>
        </w:trPr>
        <w:tc>
          <w:tcPr>
            <w:tcW w:w="1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7"/>
              </w:rPr>
              <w:t>/s/Michal Vakrat Wolkin</w:t>
            </w:r>
          </w:p>
        </w:tc>
        <w:tc>
          <w:tcPr>
            <w:tcW w:w="1980" w:type="dxa"/>
            <w:vAlign w:val="bottom"/>
            <w:gridSpan w:val="2"/>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February 29, 2024</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Michal Vakrat Wolkin</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TOWER SEMICONDUCTOR USA, INC.</w:t>
            </w:r>
          </w:p>
        </w:tc>
        <w:tc>
          <w:tcPr>
            <w:tcW w:w="476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color w:val="auto"/>
              </w:rPr>
              <w:t>February 29, 2024</w:t>
            </w: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4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Russell C. Ellwanger</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4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00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21"/>
        </w:trPr>
        <w:tc>
          <w:tcPr>
            <w:tcW w:w="240" w:type="dxa"/>
            <w:vAlign w:val="bottom"/>
            <w:tcBorders>
              <w:left w:val="single" w:sz="8" w:color="auto"/>
            </w:tcBorders>
          </w:tcPr>
          <w:p>
            <w:pPr>
              <w:spacing w:after="0"/>
              <w:rPr>
                <w:sz w:val="19"/>
                <w:szCs w:val="19"/>
                <w:color w:val="auto"/>
              </w:rPr>
            </w:pPr>
          </w:p>
        </w:tc>
        <w:tc>
          <w:tcPr>
            <w:tcW w:w="920" w:type="dxa"/>
            <w:vAlign w:val="bottom"/>
            <w:tcBorders>
              <w:right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r>
      <w:tr>
        <w:trPr>
          <w:trHeight w:val="198"/>
        </w:trPr>
        <w:tc>
          <w:tcPr>
            <w:tcW w:w="240" w:type="dxa"/>
            <w:vAlign w:val="bottom"/>
            <w:tcBorders>
              <w:left w:val="single" w:sz="8" w:color="auto"/>
            </w:tcBorders>
          </w:tcPr>
          <w:p>
            <w:pPr>
              <w:spacing w:after="0"/>
              <w:rPr>
                <w:sz w:val="17"/>
                <w:szCs w:val="17"/>
                <w:color w:val="auto"/>
              </w:rPr>
            </w:pPr>
          </w:p>
        </w:tc>
        <w:tc>
          <w:tcPr>
            <w:tcW w:w="920" w:type="dxa"/>
            <w:vAlign w:val="bottom"/>
            <w:tcBorders>
              <w:right w:val="single" w:sz="8" w:color="auto"/>
            </w:tcBorders>
            <w:gridSpan w:val="8"/>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Numbers</w:t>
            </w:r>
          </w:p>
        </w:tc>
        <w:tc>
          <w:tcPr>
            <w:tcW w:w="40" w:type="dxa"/>
            <w:vAlign w:val="bottom"/>
          </w:tcPr>
          <w:p>
            <w:pPr>
              <w:spacing w:after="0"/>
              <w:rPr>
                <w:sz w:val="17"/>
                <w:szCs w:val="17"/>
                <w:color w:val="auto"/>
              </w:rPr>
            </w:pPr>
          </w:p>
        </w:tc>
        <w:tc>
          <w:tcPr>
            <w:tcW w:w="654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2"/>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4.1</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Articles of Association of the Registrant, approved by shareholders on November 14, 2000, as amended (incorporated by reference to</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Exhibit 3.1 of the Registrant’s Registration Statement on Form F-1, File No. 333-126909)</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4.2</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Amendment to the Articles of Association of the Registrant (approved by shareholders on December 7, 2003) (incorporated by reference</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to Exhibit 4.2 of the Registrant’s Registration Statement on Form S-8, File No. 333-117565)</w:t>
              </w:r>
            </w:hyperlink>
          </w:p>
        </w:tc>
        <w:tc>
          <w:tcPr>
            <w:tcW w:w="200" w:type="dxa"/>
            <w:vAlign w:val="bottom"/>
            <w:tcBorders>
              <w:right w:val="single" w:sz="8" w:color="auto"/>
            </w:tcBorders>
            <w:gridSpan w:val="4"/>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4.3</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Amendment to Articles of Association of the Registrant (approved by shareholders on September 28, 2006) (incorporated by reference to</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Exhibit 4.2 of the Registrant’s Registration Statement on Form S-8, File No. 333-138837)</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2"/>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4.4</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Amendment to Articles of Association of Registrant (approved by shareholders on September 24, 2008) (incorporated by reference to</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3.4 of the Registrant’s Registration Statement on Form S-8, File No. 333-153710)</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4.5</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Amendment to Articles of Association of Registrant (approved by shareholders on August</w:t>
              </w:r>
            </w:hyperlink>
          </w:p>
        </w:tc>
        <w:tc>
          <w:tcPr>
            <w:tcW w:w="3500" w:type="dxa"/>
            <w:vAlign w:val="bottom"/>
            <w:tcBorders>
              <w:right w:val="single" w:sz="8" w:color="auto"/>
            </w:tcBorders>
            <w:gridSpan w:val="11"/>
          </w:tcPr>
          <w:p>
            <w:pPr>
              <w:ind w:left="40"/>
              <w:spacing w:after="0" w:line="202"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11, 2011) (incorporated by reference to exhibit</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99.1 of the Form 6-K furnished to the SEC on January 17, 2012)</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2"/>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4.6</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Amendment to Articles of Association of Registrant (approved by shareholders on August</w:t>
              </w:r>
            </w:hyperlink>
          </w:p>
        </w:tc>
        <w:tc>
          <w:tcPr>
            <w:tcW w:w="3500" w:type="dxa"/>
            <w:vAlign w:val="bottom"/>
            <w:tcBorders>
              <w:right w:val="single" w:sz="8" w:color="auto"/>
            </w:tcBorders>
            <w:gridSpan w:val="11"/>
          </w:tcPr>
          <w:p>
            <w:pPr>
              <w:ind w:left="40"/>
              <w:spacing w:after="0" w:line="202"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2, 2012) (incorporated by reference to</w:t>
              </w:r>
            </w:hyperlink>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proposals 1 and 2 of the proxy statement filed on Form 6-K furnished to the SEC on June 12, 2012, and the Form 6-K furnished to the</w:t>
              </w:r>
            </w:hyperlink>
          </w:p>
        </w:tc>
      </w:tr>
      <w:tr>
        <w:trPr>
          <w:trHeight w:val="209"/>
        </w:trPr>
        <w:tc>
          <w:tcPr>
            <w:tcW w:w="2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5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 on August 2, 2012)</w:t>
              </w:r>
            </w:hyperlink>
          </w:p>
        </w:tc>
        <w:tc>
          <w:tcPr>
            <w:tcW w:w="10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4.7</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Amendment to Articles of Association of Registrant (approved by shareholders on May 23, 2013) (incorporated by reference to Proposal</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5 of the proxy statement filed on Form 6-K furnished to the SEC on April 16, 2013)</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2"/>
        </w:trPr>
        <w:tc>
          <w:tcPr>
            <w:tcW w:w="740" w:type="dxa"/>
            <w:vAlign w:val="bottom"/>
            <w:tcBorders>
              <w:left w:val="single" w:sz="8" w:color="auto"/>
            </w:tcBorders>
            <w:gridSpan w:val="6"/>
          </w:tcPr>
          <w:p>
            <w:pPr>
              <w:jc w:val="center"/>
              <w:ind w:left="350"/>
              <w:spacing w:after="0" w:line="202"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4.8</w:t>
              </w:r>
            </w:hyperlink>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2013 Share Incentive Plan (incorporated by reference to Exhibit 4.54 of the Registrant’s Annual Report on Form 20-F for the year ended</w:t>
              </w:r>
            </w:hyperlink>
          </w:p>
        </w:tc>
      </w:tr>
      <w:tr>
        <w:trPr>
          <w:trHeight w:val="196"/>
        </w:trPr>
        <w:tc>
          <w:tcPr>
            <w:tcW w:w="2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December 31, 2014)</w:t>
              </w:r>
            </w:hyperlink>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740" w:type="dxa"/>
            <w:vAlign w:val="bottom"/>
            <w:tcBorders>
              <w:left w:val="single" w:sz="8" w:color="auto"/>
            </w:tcBorders>
            <w:gridSpan w:val="6"/>
          </w:tcPr>
          <w:p>
            <w:pPr>
              <w:jc w:val="center"/>
              <w:ind w:left="350"/>
              <w:spacing w:after="0" w:line="202" w:lineRule="exact"/>
              <w:rPr>
                <w:sz w:val="20"/>
                <w:szCs w:val="20"/>
                <w:color w:val="auto"/>
              </w:rPr>
            </w:pPr>
            <w:r>
              <w:rPr>
                <w:rFonts w:ascii="Times New Roman" w:cs="Times New Roman" w:eastAsia="Times New Roman" w:hAnsi="Times New Roman"/>
                <w:sz w:val="18"/>
                <w:szCs w:val="18"/>
                <w:color w:val="0000EE"/>
                <w:w w:val="97"/>
              </w:rPr>
              <w:t>5.1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Opinion of FISCHER (FBC &amp; Co.)</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800" w:type="dxa"/>
            <w:vAlign w:val="bottom"/>
            <w:tcBorders>
              <w:left w:val="single" w:sz="8" w:color="auto"/>
            </w:tcBorders>
            <w:gridSpan w:val="7"/>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EE"/>
                <w:w w:val="95"/>
              </w:rPr>
              <w:t>23.1</w:t>
            </w: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Consent of FISCHER (FBC &amp; Co.) (contained in their opinion constituting Exhibit 5.1)</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800" w:type="dxa"/>
            <w:vAlign w:val="bottom"/>
            <w:tcBorders>
              <w:left w:val="single" w:sz="8" w:color="auto"/>
            </w:tcBorders>
            <w:gridSpan w:val="7"/>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EE"/>
                <w:w w:val="95"/>
              </w:rPr>
              <w:t>23.2</w:t>
            </w: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right w:val="single" w:sz="8" w:color="auto"/>
            </w:tcBorders>
            <w:gridSpan w:val="22"/>
          </w:tcPr>
          <w:p>
            <w:pPr>
              <w:spacing w:after="0" w:line="202" w:lineRule="exact"/>
              <w:rPr>
                <w:sz w:val="20"/>
                <w:szCs w:val="20"/>
                <w:color w:val="auto"/>
              </w:rPr>
            </w:pPr>
            <w:r>
              <w:rPr>
                <w:rFonts w:ascii="Times New Roman" w:cs="Times New Roman" w:eastAsia="Times New Roman" w:hAnsi="Times New Roman"/>
                <w:sz w:val="18"/>
                <w:szCs w:val="18"/>
                <w:color w:val="0000EE"/>
              </w:rPr>
              <w:t>Consent of Brightman Almagor Zohar &amp; Co., Certified Public Accountants, a firm in the Deloitte Global Network</w:t>
            </w: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top w:val="single" w:sz="8" w:color="0000EE"/>
              <w:bottom w:val="single" w:sz="8" w:color="auto"/>
            </w:tcBorders>
          </w:tcPr>
          <w:p>
            <w:pPr>
              <w:spacing w:after="0"/>
              <w:rPr>
                <w:sz w:val="5"/>
                <w:szCs w:val="5"/>
                <w:color w:val="auto"/>
              </w:rPr>
            </w:pPr>
          </w:p>
        </w:tc>
        <w:tc>
          <w:tcPr>
            <w:tcW w:w="140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1580" w:type="dxa"/>
            <w:vAlign w:val="bottom"/>
            <w:tcBorders>
              <w:top w:val="single" w:sz="8" w:color="0000EE"/>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800" w:type="dxa"/>
            <w:vAlign w:val="bottom"/>
            <w:tcBorders>
              <w:left w:val="single" w:sz="8" w:color="auto"/>
            </w:tcBorders>
            <w:gridSpan w:val="7"/>
          </w:tcPr>
          <w:p>
            <w:pPr>
              <w:jc w:val="center"/>
              <w:ind w:left="290"/>
              <w:spacing w:after="0" w:line="202"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40" w:type="dxa"/>
            <w:vAlign w:val="bottom"/>
            <w:tcBorders>
              <w:top w:val="single" w:sz="8" w:color="0000EE"/>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203"/>
        </w:trPr>
        <w:tc>
          <w:tcPr>
            <w:tcW w:w="940" w:type="dxa"/>
            <w:vAlign w:val="bottom"/>
            <w:tcBorders>
              <w:left w:val="single" w:sz="8" w:color="auto"/>
            </w:tcBorders>
            <w:gridSpan w:val="8"/>
          </w:tcPr>
          <w:p>
            <w:pPr>
              <w:jc w:val="center"/>
              <w:ind w:left="150"/>
              <w:spacing w:after="0" w:line="202" w:lineRule="exact"/>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Filing Fee Table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68"/>
        </w:trPr>
        <w:tc>
          <w:tcPr>
            <w:tcW w:w="2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top w:val="single" w:sz="8" w:color="0000EE"/>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r>
        <w:trPr>
          <w:trHeight w:val="311"/>
        </w:trPr>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56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937260</wp:posOffset>
            </wp:positionV>
            <wp:extent cx="1423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19685</wp:posOffset>
            </wp:positionV>
            <wp:extent cx="6866255" cy="771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86625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Tel. 972-3-69441111</w:t>
      </w:r>
    </w:p>
    <w:p>
      <w:pPr>
        <w:spacing w:after="0" w:line="5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Fax. 972-3-6091116</w:t>
      </w:r>
    </w:p>
    <w:p>
      <w:pPr>
        <w:spacing w:after="0" w:line="50"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fbc@fbclawyers.com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34290</wp:posOffset>
            </wp:positionV>
            <wp:extent cx="14230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Ramat Gavriel Industrial Park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 2310502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acted as Israeli counsel to Tower Semiconductor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by the Company with the U.S.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of 9,000,000 ordinary shares, par value NIS 15.0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issuable under the Company’s 2013 Share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rendering the opinion expressed herein, we have examined the originals or copies certified or otherwise identified to our satisfaction of (i) the Registration Statement to which this opinion letter is attached as an exhibit; (ii) the articles of association of the Company, as currently in effect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(iii) the Plan; (iv) resolutions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(v) such other corporate records or other documents and such certificates or comparable documents of public officials and of officers and representatives of the Company as we have deemed relevant and necessary as a basis for this opinion. We have also made inquiries of such officers and representatives as we have deemed relevant and necessary as a basis for this opinion.</w:t>
      </w:r>
    </w:p>
    <w:p>
      <w:pPr>
        <w:spacing w:after="0" w:line="2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such examination, we have assumed the genuineness of all signatures, the legal capacity of all natural persons, the authenticity of all documents submitted to us as originals, the conformity to original documents of all documents submitted to us as reproduced or certified copies, and the authenticity of the originals of such latter documents. We have assumed the same to have been properly given and to be accurate. We have also assumed the truth of all facts communicated to us by the Company and that all consents and minutes of meetings of the Board that have been provided to us are true and accurate and have been properly prepared in accordance with the Articles and all applicable laws, that such resolutions are in full force and effect and have not been rescinded or amended, and that meetings of the Board were duly constituted and convened and consents were duly adopted in accordance with the articles of association then in effect and all applicable laws. We have further assumed that all grants under the Plan are or will be duly authorized by all necessary corporate action and duly granted and (if applicable) exercised in accordance with the requirements of applicable law, the Articles and the Plan (and the agreements and awards duly adopted thereunder and in accordance therewith). In addition, we have assumed that the consideration for the issuance and sale of the Shares shall be in an amount that is not less than the nominal (par) value of the Ordinary Shares.</w:t>
      </w:r>
    </w:p>
    <w:p>
      <w:pPr>
        <w:spacing w:after="0" w:line="19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Based upon and subject to the forgoing and to the assumptions and qualifications set forth herein, we are of the opinion that the Shares, when paid for and issued in accordance with the terms of the Plan and the grants thereunder, will be validly issued, fully paid and non-assessable.</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thereby admit that we are in the category of persons whose consent is required under Section 7 of the Securities Act or the rules and regulations promulgated thereunder.</w:t>
      </w:r>
    </w:p>
    <w:p>
      <w:pPr>
        <w:spacing w:after="0" w:line="16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FISCHER (FBC &amp; Co.)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FISCHER (FBC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23.2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February 29, 2024 relating to the consolidated financial statements of Tower Semiconductor Ltd appearing in the Form 6-K of Tower Semiconductor Ltd filed on February 29,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107.1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260" w:type="dxa"/>
            <w:vAlign w:val="bottom"/>
            <w:tcBorders>
              <w:top w:val="single" w:sz="8" w:color="auto"/>
              <w:left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2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34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2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29"/>
        </w:trPr>
        <w:tc>
          <w:tcPr>
            <w:tcW w:w="126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Security Class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 Per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2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26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3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Registered </w:t>
            </w:r>
            <w:r>
              <w:rPr>
                <w:rFonts w:ascii="Times New Roman" w:cs="Times New Roman" w:eastAsia="Times New Roman" w:hAnsi="Times New Roman"/>
                <w:sz w:val="18"/>
                <w:szCs w:val="18"/>
                <w:color w:val="auto"/>
                <w:w w:val="98"/>
              </w:rPr>
              <w:t>(1)</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Share </w:t>
            </w:r>
            <w:r>
              <w:rPr>
                <w:rFonts w:ascii="Times New Roman" w:cs="Times New Roman" w:eastAsia="Times New Roman" w:hAnsi="Times New Roman"/>
                <w:sz w:val="18"/>
                <w:szCs w:val="18"/>
                <w:color w:val="auto"/>
                <w:w w:val="99"/>
              </w:rPr>
              <w:t>(2)</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47"/>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25"/>
        </w:trPr>
        <w:tc>
          <w:tcPr>
            <w:tcW w:w="12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2013 Share</w:t>
            </w:r>
          </w:p>
        </w:tc>
        <w:tc>
          <w:tcPr>
            <w:tcW w:w="12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1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9,000,000</w:t>
            </w:r>
          </w:p>
        </w:tc>
        <w:tc>
          <w:tcPr>
            <w:tcW w:w="15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$32.97</w:t>
            </w:r>
          </w:p>
        </w:tc>
        <w:tc>
          <w:tcPr>
            <w:tcW w:w="12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$296,730,000</w:t>
            </w:r>
          </w:p>
        </w:tc>
        <w:tc>
          <w:tcPr>
            <w:tcW w:w="10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$43,797.35</w:t>
            </w:r>
          </w:p>
        </w:tc>
      </w:tr>
      <w:tr>
        <w:trPr>
          <w:trHeight w:val="229"/>
        </w:trPr>
        <w:tc>
          <w:tcPr>
            <w:tcW w:w="12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Incentive Plan</w:t>
            </w:r>
          </w:p>
        </w:tc>
        <w:tc>
          <w:tcPr>
            <w:tcW w:w="1240" w:type="dxa"/>
            <w:vAlign w:val="bottom"/>
            <w:tcBorders>
              <w:right w:val="single" w:sz="8" w:color="auto"/>
            </w:tcBorders>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 value NIS</w:t>
            </w:r>
          </w:p>
        </w:tc>
        <w:tc>
          <w:tcPr>
            <w:tcW w:w="1240" w:type="dxa"/>
            <w:vAlign w:val="bottom"/>
            <w:tcBorders>
              <w:right w:val="single" w:sz="8" w:color="auto"/>
            </w:tcBorders>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80" w:type="dxa"/>
            <w:vAlign w:val="bottom"/>
            <w:tcBorders>
              <w:right w:val="single" w:sz="8" w:color="auto"/>
            </w:tcBorders>
            <w:shd w:val="clear" w:color="auto" w:fill="CCEEFF"/>
          </w:tcPr>
          <w:p>
            <w:pPr>
              <w:spacing w:after="0"/>
              <w:rPr>
                <w:sz w:val="19"/>
                <w:szCs w:val="19"/>
                <w:color w:val="auto"/>
              </w:rPr>
            </w:pPr>
          </w:p>
        </w:tc>
      </w:tr>
      <w:tr>
        <w:trPr>
          <w:trHeight w:val="230"/>
        </w:trPr>
        <w:tc>
          <w:tcPr>
            <w:tcW w:w="12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“Plan”)</w:t>
            </w:r>
          </w:p>
        </w:tc>
        <w:tc>
          <w:tcPr>
            <w:tcW w:w="1240" w:type="dxa"/>
            <w:vAlign w:val="bottom"/>
            <w:tcBorders>
              <w:right w:val="single" w:sz="8" w:color="auto"/>
            </w:tcBorders>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 per share</w:t>
            </w:r>
          </w:p>
        </w:tc>
        <w:tc>
          <w:tcPr>
            <w:tcW w:w="1240" w:type="dxa"/>
            <w:vAlign w:val="bottom"/>
            <w:tcBorders>
              <w:right w:val="single" w:sz="8" w:color="auto"/>
            </w:tcBorders>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spacing w:after="0"/>
              <w:rPr>
                <w:sz w:val="19"/>
                <w:szCs w:val="19"/>
                <w:color w:val="auto"/>
              </w:rPr>
            </w:pPr>
          </w:p>
        </w:tc>
      </w:tr>
      <w:tr>
        <w:trPr>
          <w:trHeight w:val="216"/>
        </w:trPr>
        <w:tc>
          <w:tcPr>
            <w:tcW w:w="1260" w:type="dxa"/>
            <w:vAlign w:val="bottom"/>
            <w:tcBorders>
              <w:left w:val="single" w:sz="8" w:color="auto"/>
              <w:right w:val="single" w:sz="8" w:color="auto"/>
            </w:tcBorders>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w:t>
            </w:r>
          </w:p>
        </w:tc>
        <w:tc>
          <w:tcPr>
            <w:tcW w:w="1240" w:type="dxa"/>
            <w:vAlign w:val="bottom"/>
            <w:tcBorders>
              <w:right w:val="single" w:sz="8" w:color="auto"/>
            </w:tcBorders>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52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spacing w:after="0"/>
              <w:rPr>
                <w:sz w:val="18"/>
                <w:szCs w:val="18"/>
                <w:color w:val="auto"/>
              </w:rPr>
            </w:pPr>
          </w:p>
        </w:tc>
        <w:tc>
          <w:tcPr>
            <w:tcW w:w="1080" w:type="dxa"/>
            <w:vAlign w:val="bottom"/>
            <w:tcBorders>
              <w:right w:val="single" w:sz="8" w:color="auto"/>
            </w:tcBorders>
            <w:shd w:val="clear" w:color="auto" w:fill="CCEEFF"/>
          </w:tcPr>
          <w:p>
            <w:pPr>
              <w:spacing w:after="0"/>
              <w:rPr>
                <w:sz w:val="18"/>
                <w:szCs w:val="18"/>
                <w:color w:val="auto"/>
              </w:rPr>
            </w:pPr>
          </w:p>
        </w:tc>
      </w:tr>
      <w:tr>
        <w:trPr>
          <w:trHeight w:val="287"/>
        </w:trPr>
        <w:tc>
          <w:tcPr>
            <w:tcW w:w="12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40" w:type="dxa"/>
            <w:vAlign w:val="bottom"/>
            <w:tcBorders>
              <w:bottom w:val="single" w:sz="8" w:color="CCEEFF"/>
              <w:right w:val="single" w:sz="8" w:color="auto"/>
            </w:tcBorders>
            <w:shd w:val="clear" w:color="auto" w:fill="CCEEFF"/>
          </w:tcPr>
          <w:p>
            <w:pPr>
              <w:spacing w:after="0"/>
              <w:rPr>
                <w:sz w:val="24"/>
                <w:szCs w:val="24"/>
                <w:color w:val="auto"/>
              </w:rPr>
            </w:pPr>
          </w:p>
        </w:tc>
        <w:tc>
          <w:tcPr>
            <w:tcW w:w="13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(3)</w:t>
            </w:r>
          </w:p>
        </w:tc>
        <w:tc>
          <w:tcPr>
            <w:tcW w:w="1240" w:type="dxa"/>
            <w:vAlign w:val="bottom"/>
            <w:tcBorders>
              <w:bottom w:val="single" w:sz="8" w:color="CCEEFF"/>
              <w:right w:val="single" w:sz="8" w:color="auto"/>
            </w:tcBorders>
            <w:shd w:val="clear" w:color="auto" w:fill="CCEEFF"/>
          </w:tcPr>
          <w:p>
            <w:pPr>
              <w:spacing w:after="0"/>
              <w:rPr>
                <w:sz w:val="24"/>
                <w:szCs w:val="24"/>
                <w:color w:val="auto"/>
              </w:rPr>
            </w:pPr>
          </w:p>
        </w:tc>
        <w:tc>
          <w:tcPr>
            <w:tcW w:w="1340" w:type="dxa"/>
            <w:vAlign w:val="bottom"/>
            <w:tcBorders>
              <w:bottom w:val="single" w:sz="8" w:color="CCEEFF"/>
              <w:right w:val="single" w:sz="8" w:color="auto"/>
            </w:tcBorders>
            <w:shd w:val="clear" w:color="auto" w:fill="CCEEFF"/>
          </w:tcPr>
          <w:p>
            <w:pPr>
              <w:spacing w:after="0"/>
              <w:rPr>
                <w:sz w:val="24"/>
                <w:szCs w:val="24"/>
                <w:color w:val="auto"/>
              </w:rPr>
            </w:pPr>
          </w:p>
        </w:tc>
        <w:tc>
          <w:tcPr>
            <w:tcW w:w="1520" w:type="dxa"/>
            <w:vAlign w:val="bottom"/>
            <w:tcBorders>
              <w:bottom w:val="single" w:sz="8" w:color="CCEEFF"/>
              <w:right w:val="single" w:sz="8" w:color="auto"/>
            </w:tcBorders>
            <w:shd w:val="clear" w:color="auto" w:fill="CCEEFF"/>
          </w:tcPr>
          <w:p>
            <w:pPr>
              <w:spacing w:after="0"/>
              <w:rPr>
                <w:sz w:val="24"/>
                <w:szCs w:val="24"/>
                <w:color w:val="auto"/>
              </w:rPr>
            </w:pPr>
          </w:p>
        </w:tc>
        <w:tc>
          <w:tcPr>
            <w:tcW w:w="12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21"/>
        </w:trPr>
        <w:tc>
          <w:tcPr>
            <w:tcW w:w="1260" w:type="dxa"/>
            <w:vAlign w:val="bottom"/>
            <w:tcBorders>
              <w:top w:val="single" w:sz="8" w:color="auto"/>
              <w:left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Offering</w:t>
            </w:r>
          </w:p>
        </w:tc>
        <w:tc>
          <w:tcPr>
            <w:tcW w:w="132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52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$296,730,000</w:t>
            </w:r>
          </w:p>
        </w:tc>
        <w:tc>
          <w:tcPr>
            <w:tcW w:w="102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$43,797.35</w:t>
            </w:r>
          </w:p>
        </w:tc>
      </w:tr>
      <w:tr>
        <w:trPr>
          <w:trHeight w:val="238"/>
        </w:trPr>
        <w:tc>
          <w:tcPr>
            <w:tcW w:w="126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32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r>
      <w:tr>
        <w:trPr>
          <w:trHeight w:val="48"/>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21"/>
        </w:trPr>
        <w:tc>
          <w:tcPr>
            <w:tcW w:w="1260" w:type="dxa"/>
            <w:vAlign w:val="bottom"/>
            <w:tcBorders>
              <w:left w:val="single" w:sz="8" w:color="auto"/>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w:t>
            </w:r>
          </w:p>
        </w:tc>
        <w:tc>
          <w:tcPr>
            <w:tcW w:w="132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1340" w:type="dxa"/>
            <w:vAlign w:val="bottom"/>
            <w:tcBorders>
              <w:right w:val="single" w:sz="8" w:color="auto"/>
            </w:tcBorders>
            <w:shd w:val="clear" w:color="auto" w:fill="CCEEFF"/>
          </w:tcPr>
          <w:p>
            <w:pPr>
              <w:spacing w:after="0"/>
              <w:rPr>
                <w:sz w:val="19"/>
                <w:szCs w:val="19"/>
                <w:color w:val="auto"/>
              </w:rPr>
            </w:pPr>
          </w:p>
        </w:tc>
        <w:tc>
          <w:tcPr>
            <w:tcW w:w="1520" w:type="dxa"/>
            <w:vAlign w:val="bottom"/>
            <w:tcBorders>
              <w:right w:val="single" w:sz="8" w:color="auto"/>
            </w:tcBorders>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91"/>
        </w:trPr>
        <w:tc>
          <w:tcPr>
            <w:tcW w:w="12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2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Offsets </w:t>
            </w:r>
            <w:r>
              <w:rPr>
                <w:rFonts w:ascii="Times New Roman" w:cs="Times New Roman" w:eastAsia="Times New Roman" w:hAnsi="Times New Roman"/>
                <w:sz w:val="18"/>
                <w:szCs w:val="18"/>
                <w:color w:val="auto"/>
              </w:rPr>
              <w:t>(4)</w:t>
            </w:r>
          </w:p>
        </w:tc>
        <w:tc>
          <w:tcPr>
            <w:tcW w:w="1320" w:type="dxa"/>
            <w:vAlign w:val="bottom"/>
            <w:tcBorders>
              <w:bottom w:val="single" w:sz="8" w:color="CCEEFF"/>
              <w:right w:val="single" w:sz="8" w:color="auto"/>
            </w:tcBorders>
            <w:shd w:val="clear" w:color="auto" w:fill="CCEEFF"/>
          </w:tcPr>
          <w:p>
            <w:pPr>
              <w:spacing w:after="0"/>
              <w:rPr>
                <w:sz w:val="24"/>
                <w:szCs w:val="24"/>
                <w:color w:val="auto"/>
              </w:rPr>
            </w:pPr>
          </w:p>
        </w:tc>
        <w:tc>
          <w:tcPr>
            <w:tcW w:w="1240" w:type="dxa"/>
            <w:vAlign w:val="bottom"/>
            <w:tcBorders>
              <w:bottom w:val="single" w:sz="8" w:color="CCEEFF"/>
              <w:right w:val="single" w:sz="8" w:color="auto"/>
            </w:tcBorders>
            <w:shd w:val="clear" w:color="auto" w:fill="CCEEFF"/>
          </w:tcPr>
          <w:p>
            <w:pPr>
              <w:spacing w:after="0"/>
              <w:rPr>
                <w:sz w:val="24"/>
                <w:szCs w:val="24"/>
                <w:color w:val="auto"/>
              </w:rPr>
            </w:pPr>
          </w:p>
        </w:tc>
        <w:tc>
          <w:tcPr>
            <w:tcW w:w="1340" w:type="dxa"/>
            <w:vAlign w:val="bottom"/>
            <w:tcBorders>
              <w:bottom w:val="single" w:sz="8" w:color="CCEEFF"/>
              <w:right w:val="single" w:sz="8" w:color="auto"/>
            </w:tcBorders>
            <w:shd w:val="clear" w:color="auto" w:fill="CCEEFF"/>
          </w:tcPr>
          <w:p>
            <w:pPr>
              <w:spacing w:after="0"/>
              <w:rPr>
                <w:sz w:val="24"/>
                <w:szCs w:val="24"/>
                <w:color w:val="auto"/>
              </w:rPr>
            </w:pPr>
          </w:p>
        </w:tc>
        <w:tc>
          <w:tcPr>
            <w:tcW w:w="1520" w:type="dxa"/>
            <w:vAlign w:val="bottom"/>
            <w:tcBorders>
              <w:bottom w:val="single" w:sz="8" w:color="CCEEFF"/>
              <w:right w:val="single" w:sz="8" w:color="auto"/>
            </w:tcBorders>
            <w:shd w:val="clear" w:color="auto" w:fill="CCEEFF"/>
          </w:tcPr>
          <w:p>
            <w:pPr>
              <w:spacing w:after="0"/>
              <w:rPr>
                <w:sz w:val="24"/>
                <w:szCs w:val="24"/>
                <w:color w:val="auto"/>
              </w:rPr>
            </w:pPr>
          </w:p>
        </w:tc>
        <w:tc>
          <w:tcPr>
            <w:tcW w:w="1220" w:type="dxa"/>
            <w:vAlign w:val="bottom"/>
            <w:tcBorders>
              <w:bottom w:val="single" w:sz="8" w:color="CCEEFF"/>
              <w:right w:val="single" w:sz="8" w:color="auto"/>
            </w:tcBorders>
            <w:shd w:val="clear" w:color="auto" w:fill="CCEEFF"/>
          </w:tcPr>
          <w:p>
            <w:pPr>
              <w:spacing w:after="0"/>
              <w:rPr>
                <w:sz w:val="24"/>
                <w:szCs w:val="24"/>
                <w:color w:val="auto"/>
              </w:rPr>
            </w:pPr>
          </w:p>
        </w:tc>
        <w:tc>
          <w:tcPr>
            <w:tcW w:w="1020" w:type="dxa"/>
            <w:vAlign w:val="bottom"/>
            <w:tcBorders>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1260" w:type="dxa"/>
            <w:vAlign w:val="bottom"/>
            <w:tcBorders>
              <w:top w:val="single" w:sz="8" w:color="auto"/>
              <w:left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20" w:type="dxa"/>
            <w:vAlign w:val="bottom"/>
            <w:tcBorders>
              <w:top w:val="single" w:sz="8" w:color="auto"/>
              <w:right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152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$43,797.35</w:t>
            </w:r>
          </w:p>
        </w:tc>
      </w:tr>
      <w:tr>
        <w:trPr>
          <w:trHeight w:val="48"/>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ind w:firstLine="8"/>
        <w:spacing w:after="0" w:line="297"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this Registration Statement also registers an indeterminate number of Ordinary Shares which may become issuable pursuant to the adjustment provisions of the Plan to which this Registration Statement relates.</w:t>
      </w:r>
    </w:p>
    <w:p>
      <w:pPr>
        <w:spacing w:after="0" w:line="162" w:lineRule="exact"/>
        <w:rPr>
          <w:rFonts w:ascii="Times New Roman" w:cs="Times New Roman" w:eastAsia="Times New Roman" w:hAnsi="Times New Roman"/>
          <w:sz w:val="18"/>
          <w:szCs w:val="18"/>
          <w:color w:val="auto"/>
        </w:rPr>
      </w:pPr>
    </w:p>
    <w:p>
      <w:pPr>
        <w:jc w:val="both"/>
        <w:ind w:firstLine="8"/>
        <w:spacing w:after="0" w:line="274"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registration fee only. Pursuant to Rule 457(c) and 457(h) of the Securities Act, the Proposed Maximum Offering Price Per Share with respect to the Plan is based upon the average of the high and low prices of the Registrant’s Ordinary Shares, as reported on The Nasdaq Global Select Market on February 23, 2024, which date is within five business days prior to the filing of this Registration Statement.</w:t>
      </w:r>
    </w:p>
    <w:p>
      <w:pPr>
        <w:spacing w:after="0" w:line="195" w:lineRule="exact"/>
        <w:rPr>
          <w:rFonts w:ascii="Times New Roman" w:cs="Times New Roman" w:eastAsia="Times New Roman" w:hAnsi="Times New Roman"/>
          <w:sz w:val="18"/>
          <w:szCs w:val="18"/>
          <w:color w:val="auto"/>
        </w:rPr>
      </w:pPr>
    </w:p>
    <w:p>
      <w:pPr>
        <w:ind w:right="20" w:firstLine="8"/>
        <w:spacing w:after="0" w:line="282"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(i) issuable upon vesting of restricted stock units previously granted under the Plan and (ii) which may hereafter be issued pursuant to awards which may be granted under the Plan.</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
    <w:nsid w:val="515F00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e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16" Type="http://schemas.openxmlformats.org/officeDocument/2006/relationships/hyperlink" Target="https://www.sec.gov/Archives/edgar/data/928876/000117891305001620/exhibit_3-1.txt" TargetMode="External"/><Relationship Id="rId17" Type="http://schemas.openxmlformats.org/officeDocument/2006/relationships/hyperlink" Target="https://www.sec.gov/Archives/edgar/data/928876/000114420404010413/v04684_ex4-2.txt" TargetMode="External"/><Relationship Id="rId18" Type="http://schemas.openxmlformats.org/officeDocument/2006/relationships/hyperlink" Target="https://www.sec.gov/Archives/edgar/data/928876/000117891306002150/exhibit_4-3.txt" TargetMode="External"/><Relationship Id="rId19" Type="http://schemas.openxmlformats.org/officeDocument/2006/relationships/hyperlink" Target="https://www.sec.gov/Archives/edgar/data/928876/000117891308002543/exhibit_3-4.htm" TargetMode="External"/><Relationship Id="rId20" Type="http://schemas.openxmlformats.org/officeDocument/2006/relationships/hyperlink" Target="https://www.sec.gov/Archives/edgar/data/928876/000117891312000147/exhibit_99-1.htm" TargetMode="External"/><Relationship Id="rId21" Type="http://schemas.openxmlformats.org/officeDocument/2006/relationships/hyperlink" Target="https://www.sec.gov/Archives/edgar/data/928876/000117891312001728/zk1211595.htm" TargetMode="External"/><Relationship Id="rId22" Type="http://schemas.openxmlformats.org/officeDocument/2006/relationships/hyperlink" Target="https://www.sec.gov/Archives/edgar/data/928876/000117891313001104/zk1312959.htm" TargetMode="External"/><Relationship Id="rId23" Type="http://schemas.openxmlformats.org/officeDocument/2006/relationships/hyperlink" Target="https://www.sec.gov/Archives/edgar/data/928876/000117891315001676/exhibit_4-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2024-02-29T16:04:35Z</dcterms:created>
  <dcterms:modified xsi:type="dcterms:W3CDTF">2024-02-29T16:04:35Z</dcterms:modified>
</cp:coreProperties>
</file>