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INFORMATION TO BE INCLUDED IN STATEMENTS FILED PURSUANT TO RULES 13d-1(b), (c) AND</w:t>
      </w:r>
    </w:p>
    <w:p>
      <w:pPr>
        <w:spacing w:after="0" w:line="23" w:lineRule="exact"/>
        <w:rPr>
          <w:sz w:val="24"/>
          <w:szCs w:val="24"/>
          <w:color w:val="auto"/>
        </w:rPr>
      </w:pPr>
    </w:p>
    <w:p>
      <w:pPr>
        <w:ind w:left="3040" w:hanging="248"/>
        <w:spacing w:after="0"/>
        <w:tabs>
          <w:tab w:leader="none" w:pos="3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AMENDMENTS THERETO FILED PURSUANT TO RULE 13d-2(b)</w:t>
      </w:r>
    </w:p>
    <w:p>
      <w:pPr>
        <w:spacing w:after="0" w:line="237" w:lineRule="exact"/>
        <w:rPr>
          <w:rFonts w:ascii="Arial" w:cs="Arial" w:eastAsia="Arial" w:hAnsi="Arial"/>
          <w:sz w:val="18"/>
          <w:szCs w:val="18"/>
          <w:color w:val="auto"/>
        </w:rPr>
      </w:pPr>
    </w:p>
    <w:p>
      <w:pPr>
        <w:ind w:left="3620"/>
        <w:spacing w:after="0"/>
        <w:rPr>
          <w:rFonts w:ascii="Arial" w:cs="Arial" w:eastAsia="Arial" w:hAnsi="Arial"/>
          <w:sz w:val="18"/>
          <w:szCs w:val="18"/>
          <w:color w:val="auto"/>
        </w:rPr>
      </w:pPr>
      <w:r>
        <w:rPr>
          <w:rFonts w:ascii="Arial" w:cs="Arial" w:eastAsia="Arial" w:hAnsi="Arial"/>
          <w:sz w:val="18"/>
          <w:szCs w:val="18"/>
          <w:color w:val="auto"/>
        </w:rPr>
        <w:t>UNDER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17145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May 10,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to designate the rule pursuant to which the Schedule is filed:</w:t>
      </w:r>
    </w:p>
    <w:p>
      <w:pPr>
        <w:spacing w:after="0" w:line="252" w:lineRule="exact"/>
        <w:rPr>
          <w:sz w:val="24"/>
          <w:szCs w:val="24"/>
          <w:color w:val="auto"/>
        </w:rPr>
      </w:pPr>
    </w:p>
    <w:p>
      <w:pPr>
        <w:ind w:left="660" w:right="9540" w:hanging="4"/>
        <w:spacing w:after="0" w:line="598" w:lineRule="auto"/>
        <w:tabs>
          <w:tab w:leader="none" w:pos="867"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Rule 13d-1(b) x Rule 13d-1(c) o Rule 13d-1(d)</w:t>
      </w:r>
    </w:p>
    <w:p>
      <w:pPr>
        <w:spacing w:after="0" w:line="2" w:lineRule="exact"/>
        <w:rPr>
          <w:rFonts w:ascii="MS PGothic" w:cs="MS PGothic" w:eastAsia="MS PGothic" w:hAnsi="MS PGothic"/>
          <w:sz w:val="16"/>
          <w:szCs w:val="16"/>
          <w:color w:val="auto"/>
        </w:rPr>
      </w:pPr>
    </w:p>
    <w:p>
      <w:pPr>
        <w:ind w:left="340" w:hanging="324"/>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rFonts w:ascii="MS PGothic" w:cs="MS PGothic" w:eastAsia="MS PGothic" w:hAnsi="MS PGothic"/>
          <w:sz w:val="16"/>
          <w:szCs w:val="16"/>
          <w:color w:val="auto"/>
        </w:rPr>
      </w:pPr>
    </w:p>
    <w:p>
      <w:pPr>
        <w:jc w:val="both"/>
        <w:ind w:left="340"/>
        <w:spacing w:after="0" w:line="264" w:lineRule="auto"/>
        <w:rPr>
          <w:rFonts w:ascii="MS PGothic" w:cs="MS PGothic" w:eastAsia="MS PGothic" w:hAnsi="MS PGothic"/>
          <w:sz w:val="16"/>
          <w:szCs w:val="16"/>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87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6106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106160"/>
                    </a:xfrm>
                    <a:prstGeom prst="rect">
                      <a:avLst/>
                    </a:prstGeom>
                    <a:noFill/>
                  </pic:spPr>
                </pic:pic>
              </a:graphicData>
            </a:graphic>
          </wp:anchor>
        </w:drawing>
      </w:r>
    </w:p>
    <w:p>
      <w:pPr>
        <w:spacing w:after="0" w:line="228" w:lineRule="exact"/>
        <w:rPr>
          <w:sz w:val="20"/>
          <w:szCs w:val="20"/>
          <w:color w:val="auto"/>
        </w:rPr>
      </w:pPr>
    </w:p>
    <w:p>
      <w:pPr>
        <w:ind w:left="1080" w:hanging="620"/>
        <w:spacing w:after="0"/>
        <w:tabs>
          <w:tab w:leader="none" w:pos="10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Name of Reporting Persons</w:t>
      </w:r>
    </w:p>
    <w:p>
      <w:pPr>
        <w:spacing w:after="0" w:line="201" w:lineRule="exact"/>
        <w:rPr>
          <w:rFonts w:ascii="Arial" w:cs="Arial" w:eastAsia="Arial" w:hAnsi="Arial"/>
          <w:sz w:val="29"/>
          <w:szCs w:val="29"/>
          <w:color w:val="auto"/>
          <w:vertAlign w:val="superscript"/>
        </w:rPr>
      </w:pPr>
    </w:p>
    <w:p>
      <w:pPr>
        <w:ind w:left="1080"/>
        <w:spacing w:after="0"/>
        <w:rPr>
          <w:rFonts w:ascii="Arial" w:cs="Arial" w:eastAsia="Arial" w:hAnsi="Arial"/>
          <w:sz w:val="29"/>
          <w:szCs w:val="29"/>
          <w:color w:val="auto"/>
          <w:vertAlign w:val="superscript"/>
        </w:rPr>
      </w:pPr>
      <w:r>
        <w:rPr>
          <w:rFonts w:ascii="Arial" w:cs="Arial" w:eastAsia="Arial" w:hAnsi="Arial"/>
          <w:sz w:val="18"/>
          <w:szCs w:val="18"/>
          <w:color w:val="auto"/>
        </w:rPr>
        <w:t>Harel Insurance Investments &amp; Financial Services Ltd.</w:t>
      </w:r>
    </w:p>
    <w:p>
      <w:pPr>
        <w:spacing w:after="0" w:line="68" w:lineRule="exact"/>
        <w:rPr>
          <w:rFonts w:ascii="Arial" w:cs="Arial" w:eastAsia="Arial" w:hAnsi="Arial"/>
          <w:sz w:val="29"/>
          <w:szCs w:val="29"/>
          <w:color w:val="auto"/>
          <w:vertAlign w:val="superscript"/>
        </w:rPr>
      </w:pPr>
    </w:p>
    <w:p>
      <w:pPr>
        <w:ind w:left="1080" w:hanging="620"/>
        <w:spacing w:after="0"/>
        <w:tabs>
          <w:tab w:leader="none" w:pos="108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Check the Appropriate Box if a Member of a Group</w:t>
      </w:r>
    </w:p>
    <w:p>
      <w:pPr>
        <w:spacing w:after="0" w:line="1" w:lineRule="exact"/>
        <w:rPr>
          <w:rFonts w:ascii="Arial" w:cs="Arial" w:eastAsia="Arial" w:hAnsi="Arial"/>
          <w:sz w:val="29"/>
          <w:szCs w:val="29"/>
          <w:color w:val="auto"/>
          <w:vertAlign w:val="superscript"/>
        </w:rPr>
      </w:pPr>
    </w:p>
    <w:p>
      <w:pPr>
        <w:ind w:left="1380" w:hanging="292"/>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7" w:lineRule="exact"/>
        <w:rPr>
          <w:rFonts w:ascii="Arial" w:cs="Arial" w:eastAsia="Arial" w:hAnsi="Arial"/>
          <w:sz w:val="18"/>
          <w:szCs w:val="18"/>
          <w:color w:val="auto"/>
        </w:rPr>
      </w:pPr>
    </w:p>
    <w:p>
      <w:pPr>
        <w:ind w:left="1380" w:hanging="292"/>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right w:val="single" w:sz="8" w:color="CCEEFF"/>
            </w:tcBorders>
          </w:tcPr>
          <w:p>
            <w:pPr>
              <w:jc w:val="center"/>
              <w:spacing w:after="0"/>
              <w:rPr>
                <w:sz w:val="20"/>
                <w:szCs w:val="20"/>
                <w:color w:val="auto"/>
              </w:rPr>
            </w:pPr>
            <w:r>
              <w:rPr>
                <w:rFonts w:ascii="Arial" w:cs="Arial" w:eastAsia="Arial" w:hAnsi="Arial"/>
                <w:sz w:val="14"/>
                <w:szCs w:val="14"/>
                <w:color w:val="auto"/>
                <w:w w:val="85"/>
              </w:rPr>
              <w:t>3.</w:t>
            </w:r>
          </w:p>
        </w:tc>
        <w:tc>
          <w:tcPr>
            <w:tcW w:w="136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SEC Use only</w:t>
            </w:r>
          </w:p>
        </w:tc>
        <w:tc>
          <w:tcPr>
            <w:tcW w:w="9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60" w:type="dxa"/>
            <w:vAlign w:val="bottom"/>
            <w:tcBorders>
              <w:bottom w:val="single" w:sz="8" w:color="auto"/>
              <w:right w:val="single" w:sz="8" w:color="CCEEFF"/>
            </w:tcBorders>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spacing w:after="0"/>
              <w:rPr>
                <w:sz w:val="24"/>
                <w:szCs w:val="24"/>
                <w:color w:val="auto"/>
              </w:rPr>
            </w:pPr>
          </w:p>
        </w:tc>
        <w:tc>
          <w:tcPr>
            <w:tcW w:w="780" w:type="dxa"/>
            <w:vAlign w:val="bottom"/>
            <w:tcBorders>
              <w:bottom w:val="single" w:sz="8" w:color="auto"/>
              <w:right w:val="single" w:sz="8" w:color="CCEEFF"/>
            </w:tcBorders>
            <w:shd w:val="clear" w:color="auto" w:fill="CCEEFF"/>
          </w:tcPr>
          <w:p>
            <w:pPr>
              <w:spacing w:after="0"/>
              <w:rPr>
                <w:sz w:val="24"/>
                <w:szCs w:val="24"/>
                <w:color w:val="auto"/>
              </w:rPr>
            </w:pPr>
          </w:p>
        </w:tc>
        <w:tc>
          <w:tcPr>
            <w:tcW w:w="90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0" w:type="dxa"/>
            <w:vAlign w:val="bottom"/>
          </w:tcPr>
          <w:p>
            <w:pPr>
              <w:jc w:val="center"/>
              <w:spacing w:after="0"/>
              <w:rPr>
                <w:sz w:val="20"/>
                <w:szCs w:val="20"/>
                <w:color w:val="auto"/>
              </w:rPr>
            </w:pPr>
            <w:r>
              <w:rPr>
                <w:rFonts w:ascii="Arial" w:cs="Arial" w:eastAsia="Arial" w:hAnsi="Arial"/>
                <w:sz w:val="14"/>
                <w:szCs w:val="14"/>
                <w:color w:val="auto"/>
                <w:w w:val="85"/>
              </w:rPr>
              <w:t>4.</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Place of Organization</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Israel</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5.</w:t>
            </w:r>
          </w:p>
        </w:tc>
        <w:tc>
          <w:tcPr>
            <w:tcW w:w="90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5"/>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Number of</w:t>
            </w:r>
          </w:p>
        </w:tc>
        <w:tc>
          <w:tcPr>
            <w:tcW w:w="580" w:type="dxa"/>
            <w:vAlign w:val="bottom"/>
            <w:tcBorders>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060" w:type="dxa"/>
            <w:vAlign w:val="bottom"/>
            <w:vMerge w:val="continue"/>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6.</w:t>
            </w:r>
          </w:p>
        </w:tc>
        <w:tc>
          <w:tcPr>
            <w:tcW w:w="900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Shares</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Beneficially</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4,947,348 Ordinary Shares*</w:t>
            </w:r>
          </w:p>
        </w:tc>
        <w:tc>
          <w:tcPr>
            <w:tcW w:w="0" w:type="dxa"/>
            <w:vAlign w:val="bottom"/>
          </w:tcPr>
          <w:p>
            <w:pPr>
              <w:spacing w:after="0"/>
              <w:rPr>
                <w:sz w:val="1"/>
                <w:szCs w:val="1"/>
                <w:color w:val="auto"/>
              </w:rPr>
            </w:pPr>
          </w:p>
        </w:tc>
      </w:tr>
      <w:tr>
        <w:trPr>
          <w:trHeight w:val="116"/>
        </w:trPr>
        <w:tc>
          <w:tcPr>
            <w:tcW w:w="1060" w:type="dxa"/>
            <w:vAlign w:val="bottom"/>
            <w:vMerge w:val="restart"/>
          </w:tcPr>
          <w:p>
            <w:pPr>
              <w:ind w:left="100"/>
              <w:spacing w:after="0"/>
              <w:rPr>
                <w:sz w:val="20"/>
                <w:szCs w:val="20"/>
                <w:color w:val="auto"/>
              </w:rPr>
            </w:pPr>
            <w:r>
              <w:rPr>
                <w:rFonts w:ascii="Arial" w:cs="Arial" w:eastAsia="Arial" w:hAnsi="Arial"/>
                <w:sz w:val="18"/>
                <w:szCs w:val="18"/>
                <w:color w:val="auto"/>
              </w:rPr>
              <w:t>Owned by</w:t>
            </w:r>
          </w:p>
        </w:tc>
        <w:tc>
          <w:tcPr>
            <w:tcW w:w="580" w:type="dxa"/>
            <w:vAlign w:val="bottom"/>
            <w:tcBorders>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60" w:type="dxa"/>
            <w:vAlign w:val="bottom"/>
            <w:vMerge w:val="continue"/>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vMerge w:val="restart"/>
          </w:tcPr>
          <w:p>
            <w:pPr>
              <w:jc w:val="right"/>
              <w:ind w:right="288"/>
              <w:spacing w:after="0"/>
              <w:rPr>
                <w:sz w:val="20"/>
                <w:szCs w:val="20"/>
                <w:color w:val="auto"/>
              </w:rPr>
            </w:pPr>
            <w:r>
              <w:rPr>
                <w:rFonts w:ascii="Arial" w:cs="Arial" w:eastAsia="Arial" w:hAnsi="Arial"/>
                <w:sz w:val="14"/>
                <w:szCs w:val="14"/>
                <w:color w:val="auto"/>
              </w:rPr>
              <w:t>7.</w:t>
            </w:r>
          </w:p>
        </w:tc>
        <w:tc>
          <w:tcPr>
            <w:tcW w:w="90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Each</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Arial" w:cs="Arial" w:eastAsia="Arial" w:hAnsi="Arial"/>
                <w:sz w:val="18"/>
                <w:szCs w:val="18"/>
                <w:color w:val="auto"/>
              </w:rPr>
              <w:t>Reporting</w:t>
            </w:r>
          </w:p>
        </w:tc>
        <w:tc>
          <w:tcPr>
            <w:tcW w:w="5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0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060" w:type="dxa"/>
            <w:vAlign w:val="bottom"/>
          </w:tcPr>
          <w:p>
            <w:pPr>
              <w:ind w:left="100"/>
              <w:spacing w:after="0"/>
              <w:rPr>
                <w:sz w:val="20"/>
                <w:szCs w:val="20"/>
                <w:color w:val="auto"/>
              </w:rPr>
            </w:pPr>
            <w:r>
              <w:rPr>
                <w:rFonts w:ascii="Arial" w:cs="Arial" w:eastAsia="Arial" w:hAnsi="Arial"/>
                <w:sz w:val="18"/>
                <w:szCs w:val="18"/>
                <w:color w:val="auto"/>
                <w:w w:val="89"/>
              </w:rPr>
              <w:t>Person With:</w:t>
            </w:r>
          </w:p>
        </w:tc>
        <w:tc>
          <w:tcPr>
            <w:tcW w:w="5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9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jc w:val="right"/>
              <w:ind w:right="288"/>
              <w:spacing w:after="0"/>
              <w:rPr>
                <w:sz w:val="20"/>
                <w:szCs w:val="20"/>
                <w:color w:val="auto"/>
              </w:rPr>
            </w:pPr>
            <w:r>
              <w:rPr>
                <w:rFonts w:ascii="Arial" w:cs="Arial" w:eastAsia="Arial" w:hAnsi="Arial"/>
                <w:sz w:val="14"/>
                <w:szCs w:val="14"/>
                <w:color w:val="auto"/>
              </w:rPr>
              <w:t>8.</w:t>
            </w:r>
          </w:p>
        </w:tc>
        <w:tc>
          <w:tcPr>
            <w:tcW w:w="900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9000" w:type="dxa"/>
            <w:vAlign w:val="bottom"/>
          </w:tcPr>
          <w:p>
            <w:pPr>
              <w:ind w:left="60"/>
              <w:spacing w:after="0"/>
              <w:rPr>
                <w:sz w:val="20"/>
                <w:szCs w:val="20"/>
                <w:color w:val="auto"/>
              </w:rPr>
            </w:pPr>
            <w:r>
              <w:rPr>
                <w:rFonts w:ascii="Arial" w:cs="Arial" w:eastAsia="Arial" w:hAnsi="Arial"/>
                <w:sz w:val="18"/>
                <w:szCs w:val="18"/>
                <w:color w:val="auto"/>
              </w:rPr>
              <w:t>5,085,491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5"/>
              </w:rPr>
              <w:t>9.</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5,085,491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10.</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5.2%**</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36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12.</w:t>
            </w:r>
          </w:p>
        </w:tc>
        <w:tc>
          <w:tcPr>
            <w:tcW w:w="1036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CO</w:t>
            </w:r>
          </w:p>
        </w:tc>
        <w:tc>
          <w:tcPr>
            <w:tcW w:w="9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9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4.</w:t>
      </w:r>
    </w:p>
    <w:p>
      <w:pPr>
        <w:spacing w:after="0" w:line="23"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information received from the Issuer, there were 98,658,718 Ordinary Shares of the Issuer outstanding as of March 31, 2018.</w:t>
      </w:r>
    </w:p>
    <w:p>
      <w:pPr>
        <w:spacing w:after="0" w:line="382" w:lineRule="exact"/>
        <w:rPr>
          <w:rFonts w:ascii="Arial" w:cs="Arial" w:eastAsia="Arial" w:hAnsi="Arial"/>
          <w:sz w:val="18"/>
          <w:szCs w:val="18"/>
          <w:color w:val="auto"/>
        </w:rPr>
      </w:pPr>
    </w:p>
    <w:p>
      <w:pPr>
        <w:ind w:left="5680" w:hanging="86"/>
        <w:spacing w:after="0"/>
        <w:tabs>
          <w:tab w:leader="none" w:pos="5680" w:val="left"/>
        </w:tabs>
        <w:numPr>
          <w:ilvl w:val="1"/>
          <w:numId w:val="4"/>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Tower Semiconductor Ltd. (the “Issuer”).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Ramat Gavriel Industrial Park, P.O. Box 619, Migdal Haemek, 23105 Israel.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6"/>
          <w:szCs w:val="16"/>
          <w:color w:val="auto"/>
        </w:rPr>
        <w:t>Name of Person Filing, address and citizenship: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entity is referred to as the “Reporting Person” in this Statement:</w:t>
      </w:r>
    </w:p>
    <w:p>
      <w:pPr>
        <w:spacing w:after="0" w:line="252"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Harel Insurance Investments &amp; Financial Services Ltd., an Israeli public company (“HIIFS”), with a principal business address at Harel House; 3 Aba Hillel Street; Ramat Gan 52118, Israel.</w:t>
      </w:r>
    </w:p>
    <w:p>
      <w:pPr>
        <w:spacing w:after="0" w:line="19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Ordinary Shares, par value NIS 15.00 per share (the “Ordinary Shares”).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M87915274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6"/>
          <w:szCs w:val="16"/>
          <w:color w:val="auto"/>
        </w:rPr>
        <w:t>Of the 5,085,491 Ordinary Shares reported in this Statement as beneficially owned by the Reporting Person (i) 4,686,413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138,143 Ordinary Shares are held by third-party client accounts managed by subsidiaries of the Reporting Person as portfolio managers, each of which subsidiaries operates under independent management and makes independent investment decisions and has no voting power in the securities held in such client accounts, and (iii) 260,935 Ordinary Shares are beneficially held for its own account. Consequently, this Statement shall not be construed as an admission by the Reporting Person that it is the beneficial owner of more than 260,935 Ordinary Shares.</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above, see items 5-11 of the cover pages hereto for beneficial ownership, percentage of class and dispositive power of the Reporting Person, which are incorporated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left="66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May 17, 2018</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INSURANCE INVESTMENTS AND FINANCIAL SERVICES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LTD.</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Nataly Mishan-Zakai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Title: Nataly Mishan-Zakai, General Counsel, authorized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signatory of HAREL INSURANCE INVESTMENTS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FINANCIAL SERVICES LTD.</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4"/>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2019-12-17T08:03:10Z</dcterms:created>
  <dcterms:modified xsi:type="dcterms:W3CDTF">2019-12-17T08:03:10Z</dcterms:modified>
</cp:coreProperties>
</file>