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47" w:lineRule="exact"/>
        <w:rPr>
          <w:sz w:val="24"/>
          <w:szCs w:val="24"/>
          <w:color w:val="auto"/>
        </w:rPr>
      </w:pPr>
    </w:p>
    <w:p>
      <w:pPr>
        <w:jc w:val="center"/>
        <w:ind w:right="-639"/>
        <w:spacing w:after="0"/>
        <w:rPr>
          <w:sz w:val="20"/>
          <w:szCs w:val="20"/>
          <w:color w:val="auto"/>
        </w:rPr>
      </w:pPr>
      <w:r>
        <w:rPr>
          <w:rFonts w:ascii="Arial" w:cs="Arial" w:eastAsia="Arial" w:hAnsi="Arial"/>
          <w:sz w:val="25"/>
          <w:szCs w:val="25"/>
          <w:b w:val="1"/>
          <w:bCs w:val="1"/>
          <w:color w:val="auto"/>
        </w:rPr>
        <w:t>SECURITIES AND EXCHANGE COMMISSION</w:t>
      </w:r>
    </w:p>
    <w:p>
      <w:pPr>
        <w:spacing w:after="0" w:line="41" w:lineRule="exact"/>
        <w:rPr>
          <w:sz w:val="24"/>
          <w:szCs w:val="24"/>
          <w:color w:val="auto"/>
        </w:rPr>
      </w:pPr>
    </w:p>
    <w:p>
      <w:pPr>
        <w:jc w:val="center"/>
        <w:ind w:right="-639"/>
        <w:spacing w:after="0"/>
        <w:rPr>
          <w:sz w:val="20"/>
          <w:szCs w:val="20"/>
          <w:color w:val="auto"/>
        </w:rPr>
      </w:pPr>
      <w:r>
        <w:rPr>
          <w:rFonts w:ascii="Arial" w:cs="Arial" w:eastAsia="Arial" w:hAnsi="Arial"/>
          <w:sz w:val="22"/>
          <w:szCs w:val="22"/>
          <w:color w:val="auto"/>
        </w:rPr>
        <w:t>Washington, D.C. 20549</w:t>
      </w:r>
    </w:p>
    <w:p>
      <w:pPr>
        <w:spacing w:after="0" w:line="271" w:lineRule="exact"/>
        <w:rPr>
          <w:sz w:val="24"/>
          <w:szCs w:val="24"/>
          <w:color w:val="auto"/>
        </w:rPr>
      </w:pPr>
    </w:p>
    <w:p>
      <w:pPr>
        <w:jc w:val="center"/>
        <w:ind w:right="-639"/>
        <w:spacing w:after="0"/>
        <w:rPr>
          <w:sz w:val="20"/>
          <w:szCs w:val="20"/>
          <w:color w:val="auto"/>
        </w:rPr>
      </w:pPr>
      <w:r>
        <w:rPr>
          <w:rFonts w:ascii="Arial" w:cs="Arial" w:eastAsia="Arial" w:hAnsi="Arial"/>
          <w:sz w:val="22"/>
          <w:szCs w:val="22"/>
          <w:color w:val="auto"/>
        </w:rPr>
        <w:t>For the month March 2023 No. 1</w:t>
      </w:r>
    </w:p>
    <w:p>
      <w:pPr>
        <w:spacing w:after="0" w:line="276" w:lineRule="exact"/>
        <w:rPr>
          <w:sz w:val="24"/>
          <w:szCs w:val="24"/>
          <w:color w:val="auto"/>
        </w:rPr>
      </w:pPr>
    </w:p>
    <w:p>
      <w:pPr>
        <w:jc w:val="center"/>
        <w:ind w:right="-639"/>
        <w:spacing w:after="0"/>
        <w:rPr>
          <w:sz w:val="20"/>
          <w:szCs w:val="20"/>
          <w:color w:val="auto"/>
        </w:rPr>
      </w:pPr>
      <w:r>
        <w:rPr>
          <w:rFonts w:ascii="Arial" w:cs="Arial" w:eastAsia="Arial" w:hAnsi="Arial"/>
          <w:sz w:val="29"/>
          <w:szCs w:val="29"/>
          <w:b w:val="1"/>
          <w:bCs w:val="1"/>
          <w:color w:val="auto"/>
        </w:rPr>
        <w:t>TOWER SEMICONDUCTOR LTD.</w:t>
      </w:r>
    </w:p>
    <w:p>
      <w:pPr>
        <w:spacing w:after="0" w:line="42" w:lineRule="exact"/>
        <w:rPr>
          <w:sz w:val="24"/>
          <w:szCs w:val="24"/>
          <w:color w:val="auto"/>
        </w:rPr>
      </w:pPr>
    </w:p>
    <w:p>
      <w:pPr>
        <w:jc w:val="center"/>
        <w:ind w:right="-639"/>
        <w:spacing w:after="0"/>
        <w:rPr>
          <w:sz w:val="20"/>
          <w:szCs w:val="20"/>
          <w:color w:val="auto"/>
        </w:rPr>
      </w:pPr>
      <w:r>
        <w:rPr>
          <w:rFonts w:ascii="Arial" w:cs="Arial" w:eastAsia="Arial" w:hAnsi="Arial"/>
          <w:sz w:val="22"/>
          <w:szCs w:val="22"/>
          <w:color w:val="auto"/>
        </w:rPr>
        <w:t>(Translation of registrant's name into English)</w:t>
      </w:r>
    </w:p>
    <w:p>
      <w:pPr>
        <w:spacing w:after="0" w:line="281"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659"/>
        <w:spacing w:after="0"/>
        <w:rPr>
          <w:sz w:val="20"/>
          <w:szCs w:val="20"/>
          <w:color w:val="auto"/>
        </w:rPr>
      </w:pPr>
      <w:r>
        <w:rPr>
          <w:rFonts w:ascii="Arial" w:cs="Arial" w:eastAsia="Arial" w:hAnsi="Arial"/>
          <w:sz w:val="19"/>
          <w:szCs w:val="19"/>
          <w:color w:val="auto"/>
        </w:rPr>
        <w:t>Indicate by check mark whether the registrant files or will file annual reports under cover Form 20-F or Form 40-F.</w:t>
      </w:r>
    </w:p>
    <w:p>
      <w:pPr>
        <w:spacing w:after="0" w:line="282" w:lineRule="exact"/>
        <w:rPr>
          <w:sz w:val="24"/>
          <w:szCs w:val="24"/>
          <w:color w:val="auto"/>
        </w:rPr>
      </w:pPr>
    </w:p>
    <w:p>
      <w:pPr>
        <w:jc w:val="center"/>
        <w:ind w:right="-65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right="80" w:firstLine="648"/>
        <w:spacing w:after="0" w:line="35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18" w:lineRule="exact"/>
        <w:rPr>
          <w:sz w:val="24"/>
          <w:szCs w:val="24"/>
          <w:color w:val="auto"/>
        </w:rPr>
      </w:pPr>
    </w:p>
    <w:p>
      <w:pPr>
        <w:ind w:left="4800"/>
        <w:spacing w:after="0" w:line="253" w:lineRule="exact"/>
        <w:tabs>
          <w:tab w:leader="none" w:pos="592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549" w:right="979" w:bottom="1440" w:gutter="0" w:footer="0" w:header="0"/>
        </w:sectPr>
      </w:pPr>
    </w:p>
    <w:bookmarkStart w:id="1" w:name="page2"/>
    <w:bookmarkEnd w:id="1"/>
    <w:p>
      <w:pPr>
        <w:jc w:val="center"/>
        <w:ind w:left="560" w:right="579"/>
        <w:spacing w:after="0" w:line="364" w:lineRule="auto"/>
        <w:rPr>
          <w:sz w:val="20"/>
          <w:szCs w:val="20"/>
          <w:color w:val="auto"/>
        </w:rPr>
      </w:pPr>
      <w:r>
        <w:rPr>
          <w:rFonts w:ascii="Arial" w:cs="Arial" w:eastAsia="Arial" w:hAnsi="Arial"/>
          <w:sz w:val="19"/>
          <w:szCs w:val="19"/>
          <w:b w:val="1"/>
          <w:bCs w:val="1"/>
          <w:color w:val="auto"/>
        </w:rPr>
        <w:t xml:space="preserve">On March 2, 2023, the Registrant Announced </w:t>
      </w:r>
      <w:r>
        <w:rPr>
          <w:rFonts w:ascii="Arial" w:cs="Arial" w:eastAsia="Arial" w:hAnsi="Arial"/>
          <w:sz w:val="19"/>
          <w:szCs w:val="19"/>
          <w:b w:val="1"/>
          <w:bCs w:val="1"/>
          <w:i w:val="1"/>
          <w:iCs w:val="1"/>
          <w:color w:val="auto"/>
        </w:rPr>
        <w:t>World’s First Heterogeneous Integration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of Quantum Dot Lasers on its Popular SiPho Foundry Platform PH18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213995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March 2,2023</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jc w:val="center"/>
        <w:spacing w:after="0" w:line="274" w:lineRule="auto"/>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2650"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82650" cy="506095"/>
                    </a:xfrm>
                    <a:prstGeom prst="rect">
                      <a:avLst/>
                    </a:prstGeom>
                    <a:noFill/>
                  </pic:spPr>
                </pic:pic>
              </a:graphicData>
            </a:graphic>
          </wp:anchor>
        </w:drawing>
        <w:t>Tower Semiconductor Announces World’s First Heterogeneous Integration of Quantum Dot Lasers on its Popular SiPho Foundry Platform PH18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Integrates a GaAs QD laser on Tower’s versatile high-volume SiPho Foundry platform</w:t>
      </w:r>
    </w:p>
    <w:p>
      <w:pPr>
        <w:spacing w:after="0" w:line="272" w:lineRule="exact"/>
        <w:rPr>
          <w:sz w:val="20"/>
          <w:szCs w:val="20"/>
          <w:color w:val="auto"/>
        </w:rPr>
      </w:pPr>
    </w:p>
    <w:p>
      <w:pPr>
        <w:jc w:val="both"/>
        <w:spacing w:after="0" w:line="310" w:lineRule="auto"/>
        <w:rPr>
          <w:sz w:val="20"/>
          <w:szCs w:val="20"/>
          <w:color w:val="auto"/>
        </w:rPr>
      </w:pPr>
      <w:r>
        <w:rPr>
          <w:rFonts w:ascii="Arial" w:cs="Arial" w:eastAsia="Arial" w:hAnsi="Arial"/>
          <w:sz w:val="19"/>
          <w:szCs w:val="19"/>
          <w:b w:val="1"/>
          <w:bCs w:val="1"/>
          <w:color w:val="auto"/>
        </w:rPr>
        <w:t xml:space="preserve">MIGDAL HAEMEK, Israel – March 2, 2023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Tower Semiconductor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(NASDAQ/TASE: TSEM), the leading foundry of high-value analog semiconductor solutions, in collaboration with </w:t>
      </w:r>
      <w:r>
        <w:rPr>
          <w:rFonts w:ascii="Arial" w:cs="Arial" w:eastAsia="Arial" w:hAnsi="Arial"/>
          <w:sz w:val="19"/>
          <w:szCs w:val="19"/>
          <w:u w:val="single" w:color="auto"/>
          <w:color w:val="auto"/>
        </w:rPr>
        <w:t>Quintessent, Inc</w:t>
      </w:r>
      <w:r>
        <w:rPr>
          <w:rFonts w:ascii="Arial" w:cs="Arial" w:eastAsia="Arial" w:hAnsi="Arial"/>
          <w:sz w:val="19"/>
          <w:szCs w:val="19"/>
          <w:i w:val="1"/>
          <w:iCs w:val="1"/>
          <w:color w:val="auto"/>
        </w:rPr>
        <w:t>,</w:t>
      </w:r>
      <w:r>
        <w:rPr>
          <w:rFonts w:ascii="Arial" w:cs="Arial" w:eastAsia="Arial" w:hAnsi="Arial"/>
          <w:sz w:val="19"/>
          <w:szCs w:val="19"/>
          <w:color w:val="auto"/>
        </w:rPr>
        <w:t xml:space="preserve"> today announced the world’s first heterogeneous integration of GaAs quantum dot (QD) lasers and a foundry silicon photonics platform (PH18DB). This PH18DB platform is targeted for optical transceiver modules in datacenters and telecom networks, as well as new emerging applications in artificial intelligence (AI), machine learning, LiDAR and other sensors. According to the market research firm LightCounting, the silicon photonics transceiver market is expected to grow at a CAGR of 24% reaching a TAM of $9B in 2025.</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The new PH18DB platform offers GaAs based quantum dot lasers and semiconductor optical amplifier (SOA) built on Tower’s high-volume base PH18M silicon photonics foundry technology, that includes low loss waveguides, photodetectors, and modulators heterogeneously integrated on a single silicon chip. This platform will enable dense photonic integrated circuits (PICs) that can support higher-channel count in small form factor. Open foundry availability of this 220nm SOI platform will provide access to a broad array of product development teams, to simplify their PIC design through use of laser and SOA pcells, in addition to the feature rich baseline PH18 process.</w:t>
      </w:r>
    </w:p>
    <w:p>
      <w:pPr>
        <w:spacing w:after="0" w:line="24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Initial process design kits (PDK) for PH18DB have been made available in partnership with DARPA under the Lasers for Universal Microscale Optical Systems (LUMOS) program, which aims to bring high-performance lasers to advanced photonics platforms for commercial and defense applications, and MPWs are planned for 2023 and 2024.</w:t>
      </w:r>
    </w:p>
    <w:p>
      <w:pPr>
        <w:spacing w:after="0" w:line="2"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This PH18DB platform complements Tower’s previously announced, and now prototyping, PH18DA platform that offers heterogeneously integrated InP lasers, modulators and detectors.</w:t>
      </w:r>
    </w:p>
    <w:p>
      <w:pPr>
        <w:spacing w:after="0" w:line="23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These two heterogeneously integrated SiPho foundry platforms offer a rich set of devices and options to designers across the broad spectrum of leading edge applications. Tower continues to offer its silicon-only PH18MA platform, now in high volume production, for applications that do not require heterogeneous integration of III-V active elements.</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 xml:space="preserve">Tower will be presenting its broad Optical technology offerings at the upcoming Optical Fiber Conference (OFC), March 7-9, 2023, in the San Diego Convention Center, CA. To learn more about the new technology announced and other manufacturing solutions, visit Tower’s engineering team at the Company’s booth #5317. For more details about the conference and presentation schedule, visit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22"/>
          <w:szCs w:val="22"/>
          <w:i w:val="1"/>
          <w:iCs w:val="1"/>
          <w:color w:val="auto"/>
        </w:rPr>
        <w:t xml:space="preserve">For additional information on the PDK and MPW shuttle schedules for PH18DB, PH18DA and PH18M platforms, please visit </w:t>
      </w:r>
      <w:r>
        <w:rPr>
          <w:rFonts w:ascii="Arial" w:cs="Arial" w:eastAsia="Arial" w:hAnsi="Arial"/>
          <w:sz w:val="22"/>
          <w:szCs w:val="22"/>
          <w:u w:val="single" w:color="auto"/>
          <w:color w:val="auto"/>
        </w:rPr>
        <w:t>here</w:t>
      </w:r>
      <w:r>
        <w:rPr>
          <w:rFonts w:ascii="Arial" w:cs="Arial" w:eastAsia="Arial" w:hAnsi="Arial"/>
          <w:sz w:val="22"/>
          <w:szCs w:val="22"/>
          <w:i w:val="1"/>
          <w:iCs w:val="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For additional information about Tower’s silicon photonics platform, please visit </w:t>
      </w:r>
      <w:r>
        <w:rPr>
          <w:rFonts w:ascii="Arial" w:cs="Arial" w:eastAsia="Arial" w:hAnsi="Arial"/>
          <w:sz w:val="22"/>
          <w:szCs w:val="22"/>
          <w:u w:val="single" w:color="auto"/>
          <w:color w:val="auto"/>
        </w:rPr>
        <w:t>here.</w:t>
      </w:r>
    </w:p>
    <w:p>
      <w:pPr>
        <w:spacing w:after="0" w:line="28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i w:val="1"/>
          <w:iCs w:val="1"/>
          <w:color w:val="auto"/>
        </w:rPr>
        <w:t>This work was funded, in part, by the U.S. Government under the DARPA LUMOS program. The views and conclusions contained in this document are those of the authors and should not be interpreted as representing the official policies, either expressed or implied, of the U.S. Government.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being established in Italy with ST. For more information, please visit: </w:t>
      </w:r>
      <w:r>
        <w:rPr>
          <w:rFonts w:ascii="Arial" w:cs="Arial" w:eastAsia="Arial" w:hAnsi="Arial"/>
          <w:sz w:val="21"/>
          <w:szCs w:val="21"/>
          <w:u w:val="single" w:color="auto"/>
          <w:color w:val="auto"/>
        </w:rPr>
        <w:t>www.towersemi.com</w:t>
      </w:r>
      <w:r>
        <w:rPr>
          <w:rFonts w:ascii="Arial" w:cs="Arial" w:eastAsia="Arial" w:hAnsi="Arial"/>
          <w:sz w:val="21"/>
          <w:szCs w:val="21"/>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ectPr>
          <w:pgSz w:w="11900" w:h="16838" w:orient="portrait"/>
          <w:cols w:equalWidth="0" w:num="1">
            <w:col w:w="11240"/>
          </w:cols>
          <w:pgMar w:left="320" w:top="1203" w:right="339" w:bottom="73" w:gutter="0" w:footer="0" w:header="0"/>
        </w:sectPr>
      </w:pPr>
    </w:p>
    <w:bookmarkStart w:id="4" w:name="page5"/>
    <w:bookmarkEnd w:id="4"/>
    <w:p>
      <w:pPr>
        <w:jc w:val="both"/>
        <w:spacing w:after="0" w:line="308"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2023-03-02T05:44:30Z</dcterms:created>
  <dcterms:modified xsi:type="dcterms:W3CDTF">2023-03-02T05:44:30Z</dcterms:modified>
</cp:coreProperties>
</file>