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November 2018 No. 2</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jc w:val="center"/>
        <w:ind w:right="-19"/>
        <w:spacing w:after="0" w:line="207" w:lineRule="exact"/>
        <w:tabs>
          <w:tab w:leader="none" w:pos="4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490220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92" w:right="259" w:bottom="1440" w:gutter="0" w:footer="0" w:header="0"/>
        </w:sectPr>
      </w:pPr>
    </w:p>
    <w:bookmarkStart w:id="1" w:name="page2"/>
    <w:bookmarkEnd w:id="1"/>
    <w:p>
      <w:pPr>
        <w:jc w:val="center"/>
        <w:ind w:left="1200" w:right="1179"/>
        <w:spacing w:after="0" w:line="330" w:lineRule="auto"/>
        <w:rPr>
          <w:sz w:val="20"/>
          <w:szCs w:val="20"/>
          <w:color w:val="auto"/>
        </w:rPr>
      </w:pPr>
      <w:r>
        <w:rPr>
          <w:rFonts w:ascii="Arial" w:cs="Arial" w:eastAsia="Arial" w:hAnsi="Arial"/>
          <w:sz w:val="19"/>
          <w:szCs w:val="19"/>
          <w:color w:val="auto"/>
        </w:rPr>
        <w:t xml:space="preserve">On November 26, 2018, the Registrant Announces </w:t>
      </w:r>
      <w:r>
        <w:rPr>
          <w:rFonts w:ascii="Arial" w:cs="Arial" w:eastAsia="Arial" w:hAnsi="Arial"/>
          <w:sz w:val="19"/>
          <w:szCs w:val="19"/>
          <w:b w:val="1"/>
          <w:bCs w:val="1"/>
          <w:color w:val="auto"/>
        </w:rPr>
        <w:t>Participation at ICCAD</w:t>
      </w:r>
      <w:r>
        <w:rPr>
          <w:rFonts w:ascii="Arial" w:cs="Arial" w:eastAsia="Arial" w:hAnsi="Arial"/>
          <w:sz w:val="19"/>
          <w:szCs w:val="19"/>
          <w:color w:val="auto"/>
        </w:rPr>
        <w:t xml:space="preserve"> </w:t>
      </w:r>
      <w:r>
        <w:rPr>
          <w:rFonts w:ascii="Arial" w:cs="Arial" w:eastAsia="Arial" w:hAnsi="Arial"/>
          <w:sz w:val="19"/>
          <w:szCs w:val="19"/>
          <w:b w:val="1"/>
          <w:bCs w:val="1"/>
          <w:color w:val="auto"/>
        </w:rPr>
        <w:t>2018, China Showcasing its Advanced Analog Technology Solutions and Vast Offering for the Rapidly Growing Chinese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234315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96"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ind w:left="780"/>
        <w:spacing w:after="0"/>
        <w:tabs>
          <w:tab w:leader="none" w:pos="5700" w:val="left"/>
        </w:tabs>
        <w:rPr>
          <w:sz w:val="20"/>
          <w:szCs w:val="20"/>
          <w:color w:val="auto"/>
        </w:rPr>
      </w:pPr>
      <w:r>
        <w:rPr>
          <w:rFonts w:ascii="Arial" w:cs="Arial" w:eastAsia="Arial" w:hAnsi="Arial"/>
          <w:sz w:val="18"/>
          <w:szCs w:val="18"/>
          <w:color w:val="auto"/>
        </w:rPr>
        <w:t>Date: November 26,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spacing w:after="0"/>
        <w:tabs>
          <w:tab w:leader="none" w:pos="8840" w:val="left"/>
        </w:tabs>
        <w:rPr>
          <w:sz w:val="20"/>
          <w:szCs w:val="20"/>
          <w:color w:val="auto"/>
        </w:rPr>
      </w:pPr>
      <w:r>
        <w:rPr>
          <w:rFonts w:ascii="Arial" w:cs="Arial" w:eastAsia="Arial" w:hAnsi="Arial"/>
          <w:sz w:val="22"/>
          <w:szCs w:val="22"/>
          <w:b w:val="1"/>
          <w:bCs w:val="1"/>
          <w:i w:val="1"/>
          <w:i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892175" cy="403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892175" cy="403225"/>
                    </a:xfrm>
                    <a:prstGeom prst="rect">
                      <a:avLst/>
                    </a:prstGeom>
                    <a:noFill/>
                  </pic:spPr>
                </pic:pic>
              </a:graphicData>
            </a:graphic>
          </wp:anchor>
        </w:drawing>
        <w:drawing>
          <wp:anchor simplePos="0" relativeHeight="251657728" behindDoc="1" locked="0" layoutInCell="0" allowOverlap="1">
            <wp:simplePos x="0" y="0"/>
            <wp:positionH relativeFrom="page">
              <wp:posOffset>6855460</wp:posOffset>
            </wp:positionH>
            <wp:positionV relativeFrom="page">
              <wp:posOffset>88900</wp:posOffset>
            </wp:positionV>
            <wp:extent cx="54864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48640" cy="548640"/>
                    </a:xfrm>
                    <a:prstGeom prst="rect">
                      <a:avLst/>
                    </a:prstGeom>
                    <a:noFill/>
                  </pic:spPr>
                </pic:pic>
              </a:graphicData>
            </a:graphic>
          </wp:anchor>
        </w:drawing>
        <w:t>NEWS ANNOUNCEMENT</w:t>
      </w:r>
      <w:r>
        <w:rPr>
          <w:sz w:val="20"/>
          <w:szCs w:val="20"/>
          <w:color w:val="auto"/>
        </w:rPr>
        <w:tab/>
      </w:r>
      <w:r>
        <w:rPr>
          <w:rFonts w:ascii="Arial" w:cs="Arial" w:eastAsia="Arial" w:hAnsi="Arial"/>
          <w:sz w:val="19"/>
          <w:szCs w:val="19"/>
          <w:b w:val="1"/>
          <w:bCs w:val="1"/>
          <w:i w:val="1"/>
          <w:iCs w:val="1"/>
          <w:color w:val="auto"/>
        </w:rPr>
        <w:t>FOR IMMEDIATE RELEASE</w:t>
      </w:r>
    </w:p>
    <w:p>
      <w:pPr>
        <w:spacing w:after="0" w:line="272" w:lineRule="exact"/>
        <w:rPr>
          <w:sz w:val="20"/>
          <w:szCs w:val="20"/>
          <w:color w:val="auto"/>
        </w:rPr>
      </w:pPr>
    </w:p>
    <w:p>
      <w:pPr>
        <w:jc w:val="center"/>
        <w:spacing w:after="0" w:line="281" w:lineRule="auto"/>
        <w:rPr>
          <w:sz w:val="20"/>
          <w:szCs w:val="20"/>
          <w:color w:val="auto"/>
        </w:rPr>
      </w:pPr>
      <w:r>
        <w:rPr>
          <w:rFonts w:ascii="Arial" w:cs="Arial" w:eastAsia="Arial" w:hAnsi="Arial"/>
          <w:sz w:val="20"/>
          <w:szCs w:val="20"/>
          <w:b w:val="1"/>
          <w:bCs w:val="1"/>
          <w:color w:val="auto"/>
        </w:rPr>
        <w:t>TowerJazz to Showcase its Advanced Analog Technology Solutions and Vast Offering for the Rapidly Growing Chinese Market at ICCAD 2018, China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Company to present its high-end 65nm technology and discussion on new circuit development for 5G, IoT and automotive applications</w:t>
      </w:r>
    </w:p>
    <w:p>
      <w:pPr>
        <w:spacing w:after="0" w:line="287"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MIGDAL HAEMEK, Israel, November 26, 2018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TowerJazz</w:t>
      </w:r>
      <w:r>
        <w:rPr>
          <w:rFonts w:ascii="Arial" w:cs="Arial" w:eastAsia="Arial" w:hAnsi="Arial"/>
          <w:sz w:val="16"/>
          <w:szCs w:val="16"/>
          <w:color w:val="auto"/>
        </w:rPr>
        <w:t>, the global specialty foundry leader, today announced its participation at ICCAD 2018,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premier conference devoted to technical innovations in electronic design automation, being held in Zhuhai, China, on November 29-30, 2018. The Company will showcase its advanced, specialized analog technology offerings and design solutions and Mr. Lei Qin, TowerJazz China Country Manager will present, “Advanced Analog IC Solutions in 65nm Technology,” including a discussion on new circuit development for 5G, IoT and automotive applications.</w:t>
      </w:r>
    </w:p>
    <w:p>
      <w:pPr>
        <w:spacing w:after="0" w:line="2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Addressing the growing demand for innovative IC manufacturing solutions, TowerJazz offers best-in-class 65nm platforms, manufactured at its 300mm facility in Japan. TowerJazz’s 65nm BCD power management offering enables higher power density and digital content at highly competitive die prices for any power IC applications operating up to 16V. The Company’s breakthrough RF SOI platform provides the combination of low insertion loss and high power handling RF switches with options for high-performance, low-noise amplifiers as well as digital integration. In addition, TowerJazz offers state of the art 65nm (copper backend) CIS cutting edge solutions such as ultra-thin backend, the smallest best-in-class global shutter (GS) pixel, BSI and stacked BSI and special stitching modes, among others.</w:t>
      </w:r>
    </w:p>
    <w:p>
      <w:pPr>
        <w:spacing w:after="0" w:line="2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TowerJazz’s industry leading design models and tools provide its customers a significant competitive market advantage with first time design success, optimal performance, and the shortest time to market. The Company provides design kits, IP solutions and dedicated design services for its broad range of advanced process technologies including SiGe BiCMOS and RF CMOS (SOI and bulk) for radio frequency (RF) and high performance analog (HPA) applications; CMOS image sensor (CIS); power management, including BCD; mixed-signal CMOS; and MEMS capabilities.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ICCAD, TowerJazz will exhibit in booth 112-113 and Mr. Qin’s presentation will take place on November 30 from 11:00-11:20am (Subject Forum III, Foundry and Process Technology) in Zhuhai Hall 7, L4, Zhuhai Convention Center.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TowerJazz’s process technology offerings, please </w:t>
      </w:r>
      <w:r>
        <w:rPr>
          <w:rFonts w:ascii="Arial" w:cs="Arial" w:eastAsia="Arial" w:hAnsi="Arial"/>
          <w:sz w:val="18"/>
          <w:szCs w:val="18"/>
          <w:u w:val="single" w:color="auto"/>
          <w:color w:val="auto"/>
        </w:rPr>
        <w:t>click here</w:t>
      </w:r>
      <w:r>
        <w:rPr>
          <w:rFonts w:ascii="Arial" w:cs="Arial" w:eastAsia="Arial" w:hAnsi="Arial"/>
          <w:sz w:val="18"/>
          <w:szCs w:val="18"/>
          <w:color w:val="auto"/>
        </w:rPr>
        <w:t xml:space="preserve"> or inquire at: </w:t>
      </w:r>
      <w:r>
        <w:rPr>
          <w:rFonts w:ascii="Arial" w:cs="Arial" w:eastAsia="Arial" w:hAnsi="Arial"/>
          <w:sz w:val="18"/>
          <w:szCs w:val="18"/>
          <w:u w:val="single" w:color="auto"/>
          <w:color w:val="auto"/>
        </w:rPr>
        <w:t>info@towerjazz.com</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Asia-Pacific Company Contact: </w:t>
      </w:r>
      <w:r>
        <w:rPr>
          <w:rFonts w:ascii="Arial" w:cs="Arial" w:eastAsia="Arial" w:hAnsi="Arial"/>
          <w:sz w:val="18"/>
          <w:szCs w:val="18"/>
          <w:color w:val="auto"/>
        </w:rPr>
        <w:t>Shoko Saimiya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Shoko.saimiya@towerjazz.com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Orit Shahar | +972-74-7377440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oritsha@towersemi.com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2019-12-06T04:04:33Z</dcterms:created>
  <dcterms:modified xsi:type="dcterms:W3CDTF">2019-12-06T04:04:33Z</dcterms:modified>
</cp:coreProperties>
</file>