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June 13, 2007, the Registrant announced that it Accepts Orders for $40 Million of Long Term Bonds from Israeli Institutions,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13,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ACCEPTS ORDERS FOR $40 MILLION OF LONG</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TERM BONDS FROM ISRAELI INSTITUTIONS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PROCEEDS WILL ALLOW TOWER TO FURTHER EXPAND FAB2 CAPACITY</w:t>
      </w:r>
    </w:p>
    <w:p>
      <w:pPr>
        <w:ind w:left="2220"/>
        <w:spacing w:after="0" w:line="238" w:lineRule="auto"/>
        <w:rPr>
          <w:sz w:val="20"/>
          <w:szCs w:val="20"/>
          <w:color w:val="auto"/>
        </w:rPr>
      </w:pPr>
      <w:r>
        <w:rPr>
          <w:rFonts w:ascii="Courier New" w:cs="Courier New" w:eastAsia="Courier New" w:hAnsi="Courier New"/>
          <w:sz w:val="18"/>
          <w:szCs w:val="18"/>
          <w:color w:val="auto"/>
        </w:rPr>
        <w:t>FOR ADVANCED TECHNOLOGIES AT LOW COST</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MIGDAL HAEMEK, Israel - June 13, 2007 - Tower Semiconductor Ltd. (NASDAQ: TSEM; TASE: TSEM), an independent specialty foundry, announced today that it accepted orders for approximately $40 million (approximately 167 million NIS) of long term bonds with an average duration of 5.6 years, from Israeli institutions.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currently in the final stages of its Fab2 manufacturing capacity ramp-up to 24,000 wafers per month. This fundraising will enable Tower to further expand its Fab2 capacity beyond such 24,000 level, primarily in advanced technologies (0.13u and below), in a cost effective manner that capitalizes on current unique tools acquisition opportunities.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funding, 342 units were sold, each comprised of: (i) long-term non-converted-bonds, repayable in six equal annual installments between the dates of December 2011 and December 2016, with face amount of NIS 250,000 (approximately $59,700) and carries an annual interest rate of 8 percent; (ii) long-term convertible-bonds repayable in January 2013 at a 17.2 NIS conversion price (approximately $4.11) with a face amount of NIS 262,500 (approximately $62,700), carrying an annual interest of 8 percent, and (iii) 5,800 warrants, each exercisable for four years, for one Tower ordinary share at a price of $2.04 (approximately 8.54 NIS). The bonds are linked to the Israeli Consumer Price Index (CPI) and were issued at 95.5% discount from par. The conversion and exercise prices are subject to reduction in certain limited circumstances. Total shares underlying this fundraising represent less than 2% of the share capital of Tower, on a fully-diluted basis.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Leader Capital Markets Ltd, Poalim I.B.I Underwriting &amp; Issuing Ltd and Clal Finance Underwriting Ltd act as co-lead placement agents for the funding. Goren Capital Group Ltd. acted as special advisor.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offering described in this press release was made in Israel to residents of Israel only. The securities offered have not been and will not be registered under the U.S. Securities Act of 1933, as amended, and may not be offered or sold in the United States or to U.S. persons, absent registration or an applicable exemption from registration requirements.</w:t>
      </w:r>
    </w:p>
    <w:p>
      <w:pPr>
        <w:sectPr>
          <w:pgSz w:w="11900" w:h="16838" w:orient="portrait"/>
          <w:cols w:equalWidth="0" w:num="1">
            <w:col w:w="10219"/>
          </w:cols>
          <w:pgMar w:left="240" w:top="919" w:right="1440" w:bottom="1440" w:gutter="0" w:footer="0" w:header="0"/>
        </w:sectPr>
      </w:pPr>
    </w:p>
    <w:bookmarkStart w:id="3" w:name="page4"/>
    <w:bookmarkEnd w:id="3"/>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securities described herein.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Israeli securities laws, the securities are subject to a statutory lock-up. The Company has undertaken to file a prospectus with the Israel Securities Authority to allow for the unrestricted trade of the securities. The funds raised are to be held in escrow and will be released to the Company if the prospectus is declared effective by the Israel Securities Authority within 90 days.</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All figures in dollars are presented herein for convenience only, based on current exchange rates.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540"/>
        <w:spacing w:after="0"/>
        <w:rPr>
          <w:sz w:val="20"/>
          <w:szCs w:val="20"/>
          <w:color w:val="auto"/>
        </w:rPr>
      </w:pPr>
      <w:r>
        <w:rPr>
          <w:rFonts w:ascii="Courier New" w:cs="Courier New" w:eastAsia="Courier New" w:hAnsi="Courier New"/>
          <w:sz w:val="18"/>
          <w:szCs w:val="18"/>
          <w:color w:val="auto"/>
        </w:rPr>
        <w:t>noitle@towersemi.com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2019-12-14T03:26:53Z</dcterms:created>
  <dcterms:modified xsi:type="dcterms:W3CDTF">2019-12-14T03:26:53Z</dcterms:modified>
</cp:coreProperties>
</file>