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 xml:space="preserve">As filed with the Securities and Exchange Commission on May 3, 2007 </w:t>
      </w:r>
      <w:r>
        <w:rPr>
          <w:rFonts w:ascii="Times New Roman" w:cs="Times New Roman" w:eastAsia="Times New Roman" w:hAnsi="Times New Roman"/>
          <w:sz w:val="16"/>
          <w:szCs w:val="16"/>
          <w:color w:val="auto"/>
        </w:rPr>
        <w:t>Registration No. 333-140174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F-3</w:t>
      </w:r>
    </w:p>
    <w:p>
      <w:pPr>
        <w:spacing w:after="0" w:line="2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18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TOWER SEMICONDUCTOR LTD.</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60"/>
          </w:cols>
          <w:pgMar w:left="240" w:top="231" w:right="299" w:bottom="58" w:gutter="0" w:footer="0" w:header="0"/>
        </w:sectPr>
      </w:pPr>
    </w:p>
    <w:p>
      <w:pPr>
        <w:spacing w:after="0" w:line="20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3"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060"/>
          </w:cols>
          <w:pgMar w:left="240" w:top="231" w:right="299" w:bottom="58" w:gutter="0" w:footer="0" w:header="0"/>
          <w:type w:val="continuous"/>
        </w:sectPr>
      </w:pP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P.O. Box 619</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Migdal Haemek, Israel, 23105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972-4-650-6611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and telephone number of Registrant's principal executive offices)</w:t>
      </w:r>
    </w:p>
    <w:p>
      <w:pPr>
        <w:spacing w:after="0" w:line="2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Tower Semiconductor USA</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4300 Stevens Creek Blvd., Suite 175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Jose, California 95129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 408-551-6500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Facsimile: 408-551-6509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(Name, address and telephone number of agent for service)</w:t>
      </w:r>
    </w:p>
    <w:p>
      <w:pPr>
        <w:spacing w:after="0" w:line="213" w:lineRule="exact"/>
        <w:rPr>
          <w:sz w:val="24"/>
          <w:szCs w:val="24"/>
          <w:color w:val="auto"/>
        </w:rPr>
      </w:pPr>
    </w:p>
    <w:tbl>
      <w:tblPr>
        <w:tblLayout w:type="fixed"/>
        <w:tblInd w:w="1780" w:type="dxa"/>
        <w:tblCellMar>
          <w:top w:w="0" w:type="dxa"/>
          <w:left w:w="0" w:type="dxa"/>
          <w:bottom w:w="0" w:type="dxa"/>
          <w:right w:w="0" w:type="dxa"/>
        </w:tblCellMar>
      </w:tblPr>
      <w:tr>
        <w:trPr>
          <w:trHeight w:val="214"/>
        </w:trPr>
        <w:tc>
          <w:tcPr>
            <w:tcW w:w="248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Copies of all Correspondence to:</w:t>
            </w:r>
          </w:p>
        </w:tc>
      </w:tr>
      <w:tr>
        <w:trPr>
          <w:trHeight w:val="216"/>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6"/>
              </w:rPr>
              <w:t>DAVID H. SCHAPIRO, ESQ</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b w:val="1"/>
                <w:bCs w:val="1"/>
                <w:color w:val="auto"/>
                <w:w w:val="96"/>
              </w:rPr>
              <w:t>SHELDON KRAUSE, ESQ.</w:t>
            </w:r>
          </w:p>
        </w:tc>
      </w:tr>
      <w:tr>
        <w:trPr>
          <w:trHeight w:val="221"/>
        </w:trPr>
        <w:tc>
          <w:tcPr>
            <w:tcW w:w="2480" w:type="dxa"/>
            <w:vAlign w:val="bottom"/>
          </w:tcPr>
          <w:p>
            <w:pPr>
              <w:jc w:val="center"/>
              <w:ind w:right="232"/>
              <w:spacing w:after="0"/>
              <w:rPr>
                <w:sz w:val="20"/>
                <w:szCs w:val="20"/>
                <w:color w:val="auto"/>
              </w:rPr>
            </w:pPr>
            <w:r>
              <w:rPr>
                <w:rFonts w:ascii="Times New Roman" w:cs="Times New Roman" w:eastAsia="Times New Roman" w:hAnsi="Times New Roman"/>
                <w:sz w:val="18"/>
                <w:szCs w:val="18"/>
                <w:b w:val="1"/>
                <w:bCs w:val="1"/>
                <w:color w:val="auto"/>
                <w:w w:val="98"/>
              </w:rPr>
              <w:t>ARI FRIED, ESQ</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6"/>
              </w:rPr>
              <w:t>Eilenberg, Krause &amp; Paul LLP</w:t>
            </w:r>
          </w:p>
        </w:tc>
      </w:tr>
      <w:tr>
        <w:trPr>
          <w:trHeight w:val="253"/>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Yigal Arnon &amp; Co.</w:t>
            </w:r>
          </w:p>
        </w:tc>
        <w:tc>
          <w:tcPr>
            <w:tcW w:w="5380" w:type="dxa"/>
            <w:vAlign w:val="bottom"/>
          </w:tcPr>
          <w:p>
            <w:pPr>
              <w:jc w:val="center"/>
              <w:ind w:left="3152"/>
              <w:spacing w:after="0" w:line="253" w:lineRule="exact"/>
              <w:rPr>
                <w:sz w:val="20"/>
                <w:szCs w:val="20"/>
                <w:color w:val="auto"/>
              </w:rPr>
            </w:pPr>
            <w:r>
              <w:rPr>
                <w:rFonts w:ascii="Times New Roman" w:cs="Times New Roman" w:eastAsia="Times New Roman" w:hAnsi="Times New Roman"/>
                <w:sz w:val="18"/>
                <w:szCs w:val="18"/>
                <w:color w:val="auto"/>
                <w:w w:val="94"/>
              </w:rPr>
              <w:t>11 East 44</w:t>
            </w:r>
            <w:r>
              <w:rPr>
                <w:rFonts w:ascii="Times New Roman" w:cs="Times New Roman" w:eastAsia="Times New Roman" w:hAnsi="Times New Roman"/>
                <w:sz w:val="29"/>
                <w:szCs w:val="29"/>
                <w:color w:val="auto"/>
                <w:w w:val="94"/>
                <w:vertAlign w:val="superscript"/>
              </w:rPr>
              <w:t>th</w:t>
            </w:r>
            <w:r>
              <w:rPr>
                <w:rFonts w:ascii="Times New Roman" w:cs="Times New Roman" w:eastAsia="Times New Roman" w:hAnsi="Times New Roman"/>
                <w:sz w:val="18"/>
                <w:szCs w:val="18"/>
                <w:color w:val="auto"/>
                <w:w w:val="94"/>
              </w:rPr>
              <w:t xml:space="preserve"> Street</w:t>
            </w:r>
          </w:p>
        </w:tc>
      </w:tr>
      <w:tr>
        <w:trPr>
          <w:trHeight w:val="216"/>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8"/>
              </w:rPr>
              <w:t>1 Azrieli Center</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6"/>
              </w:rPr>
              <w:t>New York, NY 10017</w:t>
            </w:r>
          </w:p>
        </w:tc>
      </w:tr>
      <w:tr>
        <w:trPr>
          <w:trHeight w:val="216"/>
        </w:trPr>
        <w:tc>
          <w:tcPr>
            <w:tcW w:w="2480" w:type="dxa"/>
            <w:vAlign w:val="bottom"/>
          </w:tcPr>
          <w:p>
            <w:pPr>
              <w:jc w:val="center"/>
              <w:ind w:right="232"/>
              <w:spacing w:after="0"/>
              <w:rPr>
                <w:sz w:val="20"/>
                <w:szCs w:val="20"/>
                <w:color w:val="auto"/>
              </w:rPr>
            </w:pPr>
            <w:r>
              <w:rPr>
                <w:rFonts w:ascii="Times New Roman" w:cs="Times New Roman" w:eastAsia="Times New Roman" w:hAnsi="Times New Roman"/>
                <w:sz w:val="18"/>
                <w:szCs w:val="18"/>
                <w:color w:val="auto"/>
                <w:w w:val="95"/>
              </w:rPr>
              <w:t>Tel Aviv, 67021 Israel</w:t>
            </w:r>
          </w:p>
        </w:tc>
        <w:tc>
          <w:tcPr>
            <w:tcW w:w="5380" w:type="dxa"/>
            <w:vAlign w:val="bottom"/>
          </w:tcPr>
          <w:p>
            <w:pPr>
              <w:jc w:val="center"/>
              <w:ind w:left="3152"/>
              <w:spacing w:after="0"/>
              <w:rPr>
                <w:sz w:val="20"/>
                <w:szCs w:val="20"/>
                <w:color w:val="auto"/>
              </w:rPr>
            </w:pPr>
            <w:r>
              <w:rPr>
                <w:rFonts w:ascii="Times New Roman" w:cs="Times New Roman" w:eastAsia="Times New Roman" w:hAnsi="Times New Roman"/>
                <w:sz w:val="18"/>
                <w:szCs w:val="18"/>
                <w:color w:val="auto"/>
                <w:w w:val="95"/>
              </w:rPr>
              <w:t>Tel: 212-986-9700</w:t>
            </w:r>
          </w:p>
        </w:tc>
      </w:tr>
      <w:tr>
        <w:trPr>
          <w:trHeight w:val="228"/>
        </w:trPr>
        <w:tc>
          <w:tcPr>
            <w:tcW w:w="248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Tel: 972-3-608-7856</w:t>
            </w:r>
          </w:p>
        </w:tc>
        <w:tc>
          <w:tcPr>
            <w:tcW w:w="5380" w:type="dxa"/>
            <w:vAlign w:val="bottom"/>
          </w:tcPr>
          <w:p>
            <w:pPr>
              <w:spacing w:after="0"/>
              <w:rPr>
                <w:sz w:val="19"/>
                <w:szCs w:val="19"/>
                <w:color w:val="auto"/>
              </w:rPr>
            </w:pPr>
          </w:p>
        </w:tc>
      </w:tr>
    </w:tbl>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time to time after the effective date of this registration statement.</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Times New Roman" w:cs="Times New Roman" w:eastAsia="Times New Roman" w:hAnsi="Times New Roman"/>
          <w:sz w:val="21"/>
          <w:szCs w:val="21"/>
          <w:color w:val="auto"/>
        </w:rPr>
        <w:t>o</w:t>
      </w:r>
    </w:p>
    <w:p>
      <w:pPr>
        <w:spacing w:after="0" w:line="231" w:lineRule="exact"/>
        <w:rPr>
          <w:sz w:val="24"/>
          <w:szCs w:val="24"/>
          <w:color w:val="auto"/>
        </w:rPr>
      </w:pPr>
    </w:p>
    <w:p>
      <w:pPr>
        <w:ind w:right="300"/>
        <w:spacing w:after="0" w:line="276" w:lineRule="auto"/>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Times New Roman" w:cs="Times New Roman" w:eastAsia="Times New Roman" w:hAnsi="Times New Roman"/>
          <w:sz w:val="21"/>
          <w:szCs w:val="21"/>
          <w:color w:val="auto"/>
        </w:rPr>
        <w:t>x</w:t>
      </w:r>
    </w:p>
    <w:p>
      <w:pPr>
        <w:spacing w:after="0" w:line="160" w:lineRule="exact"/>
        <w:rPr>
          <w:sz w:val="24"/>
          <w:szCs w:val="24"/>
          <w:color w:val="auto"/>
        </w:r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Times New Roman" w:cs="Times New Roman" w:eastAsia="Times New Roman" w:hAnsi="Times New Roman"/>
          <w:sz w:val="21"/>
          <w:szCs w:val="21"/>
          <w:color w:val="auto"/>
        </w:rPr>
        <w:t>o</w:t>
      </w:r>
    </w:p>
    <w:p>
      <w:pPr>
        <w:spacing w:after="0" w:line="160" w:lineRule="exact"/>
        <w:rPr>
          <w:sz w:val="24"/>
          <w:szCs w:val="24"/>
          <w:color w:val="auto"/>
        </w:rPr>
      </w:pPr>
    </w:p>
    <w:p>
      <w:pPr>
        <w:ind w:right="120"/>
        <w:spacing w:after="0" w:line="276" w:lineRule="auto"/>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Times New Roman" w:cs="Times New Roman" w:eastAsia="Times New Roman" w:hAnsi="Times New Roman"/>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67"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7" w:lineRule="exact"/>
        <w:rPr>
          <w:sz w:val="24"/>
          <w:szCs w:val="24"/>
          <w:color w:val="auto"/>
        </w:rPr>
      </w:pPr>
    </w:p>
    <w:p>
      <w:pPr>
        <w:jc w:val="both"/>
        <w:ind w:right="160"/>
        <w:spacing w:after="0" w:line="264" w:lineRule="auto"/>
        <w:rPr>
          <w:sz w:val="20"/>
          <w:szCs w:val="20"/>
          <w:color w:val="auto"/>
        </w:rPr>
      </w:pPr>
      <w:r>
        <w:rPr>
          <w:rFonts w:ascii="Times New Roman" w:cs="Times New Roman" w:eastAsia="Times New Roman" w:hAnsi="Times New Roman"/>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ectPr>
          <w:pgSz w:w="11900" w:h="16838" w:orient="portrait"/>
          <w:cols w:equalWidth="0" w:num="1">
            <w:col w:w="11360"/>
          </w:cols>
          <w:pgMar w:left="240" w:top="231" w:right="299" w:bottom="58" w:gutter="0" w:footer="0" w:header="0"/>
          <w:type w:val="continuous"/>
        </w:sectPr>
      </w:pPr>
    </w:p>
    <w:bookmarkStart w:id="1" w:name="page2"/>
    <w:bookmarkEnd w:id="1"/>
    <w:p>
      <w:pPr>
        <w:spacing w:after="0" w:line="14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SUBJECT TO COMPLETION</w:t>
      </w:r>
    </w:p>
    <w:p>
      <w:pPr>
        <w:spacing w:after="0" w:line="23"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DATED May __, 2007</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205105</wp:posOffset>
            </wp:positionV>
            <wp:extent cx="20580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117,763,158 Ordinary Shares</w:t>
      </w:r>
    </w:p>
    <w:p>
      <w:pPr>
        <w:spacing w:after="0" w:line="219"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This prospectus relates to the resale, from time to time, by the selling securityholders named in this prospectus of up to 117,763,158 ordinary shares issuable upon conversion of equity equivalent convertible capital notes and the offering by the company of these ordinary shares to persons to whom the capital notes and ordinary shares may be sold or otherwise transferred by the selling securityholders.</w:t>
      </w:r>
    </w:p>
    <w:p>
      <w:pPr>
        <w:spacing w:after="0" w:line="186" w:lineRule="exact"/>
        <w:rPr>
          <w:sz w:val="20"/>
          <w:szCs w:val="20"/>
          <w:color w:val="auto"/>
        </w:rPr>
      </w:pPr>
    </w:p>
    <w:p>
      <w:pPr>
        <w:jc w:val="both"/>
        <w:ind w:right="40" w:firstLine="348"/>
        <w:spacing w:after="0" w:line="289" w:lineRule="auto"/>
        <w:rPr>
          <w:sz w:val="20"/>
          <w:szCs w:val="20"/>
          <w:color w:val="auto"/>
        </w:rPr>
      </w:pPr>
      <w:r>
        <w:rPr>
          <w:rFonts w:ascii="Times New Roman" w:cs="Times New Roman" w:eastAsia="Times New Roman" w:hAnsi="Times New Roman"/>
          <w:sz w:val="16"/>
          <w:szCs w:val="16"/>
          <w:color w:val="auto"/>
        </w:rPr>
        <w:t>The selling securityholders may sell all or any portion of these ordinary shares in one or more transactions through (i) Nasdaq, the Tel Aviv Stock Exchange, in the over-the-counter market, in privately negotiated transactions or otherwise; (ii) directly to purchasers or through agents, brokers, dealers or underwriters;</w:t>
      </w:r>
    </w:p>
    <w:p>
      <w:pPr>
        <w:spacing w:after="0" w:line="1" w:lineRule="exact"/>
        <w:rPr>
          <w:sz w:val="20"/>
          <w:szCs w:val="20"/>
          <w:color w:val="auto"/>
        </w:rPr>
      </w:pPr>
    </w:p>
    <w:p>
      <w:pPr>
        <w:ind w:right="140" w:firstLine="8"/>
        <w:spacing w:after="0" w:line="261" w:lineRule="auto"/>
        <w:tabs>
          <w:tab w:leader="none" w:pos="30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 at prices related to such prevailing market prices, or at negotiated prices; or (iv) or any other means described in the section entitled “Plan of Distribution.”</w:t>
      </w:r>
    </w:p>
    <w:p>
      <w:pPr>
        <w:spacing w:after="0" w:line="186" w:lineRule="exact"/>
        <w:rPr>
          <w:sz w:val="20"/>
          <w:szCs w:val="20"/>
          <w:color w:val="auto"/>
        </w:rPr>
      </w:pPr>
    </w:p>
    <w:p>
      <w:pPr>
        <w:ind w:right="180" w:firstLine="395"/>
        <w:spacing w:after="0" w:line="26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“TSEM” and on the Tel Aviv Stock Exchange in Israel under the symbol “TSEM.” On May 2, 2007, the last reported sale price of our ordinary shares on the NASDAQ Global Market was $1.78 per share and on the Tel Aviv Stock Exchange was NIS 7.288 per share.</w:t>
      </w:r>
    </w:p>
    <w:p>
      <w:pPr>
        <w:spacing w:after="0" w:line="1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The securities offered hereby involve a high degree of risk. See “Risk Factors” beginning on page 2.</w:t>
      </w:r>
    </w:p>
    <w:p>
      <w:pPr>
        <w:spacing w:after="0" w:line="225" w:lineRule="exact"/>
        <w:rPr>
          <w:sz w:val="20"/>
          <w:szCs w:val="20"/>
          <w:color w:val="auto"/>
        </w:rPr>
      </w:pPr>
    </w:p>
    <w:p>
      <w:pPr>
        <w:jc w:val="both"/>
        <w:ind w:right="560"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May __,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46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60" w:type="dxa"/>
            <w:vAlign w:val="bottom"/>
          </w:tcPr>
          <w:p>
            <w:pPr>
              <w:spacing w:after="0"/>
              <w:rPr>
                <w:sz w:val="20"/>
                <w:szCs w:val="20"/>
                <w:color w:val="auto"/>
              </w:rPr>
            </w:pPr>
          </w:p>
        </w:tc>
      </w:tr>
      <w:tr>
        <w:trPr>
          <w:trHeight w:val="434"/>
        </w:trPr>
        <w:tc>
          <w:tcPr>
            <w:tcW w:w="32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6"/>
              </w:rPr>
            </w:pPr>
            <w:hyperlink w:anchor="page2">
              <w:r>
                <w:rPr>
                  <w:rFonts w:ascii="Times New Roman" w:cs="Times New Roman" w:eastAsia="Times New Roman" w:hAnsi="Times New Roman"/>
                  <w:sz w:val="18"/>
                  <w:szCs w:val="18"/>
                  <w:color w:val="0000EE"/>
                  <w:w w:val="96"/>
                </w:rPr>
                <w:t>ABOUT TOWER SEMICONDUCTOR LTD.</w:t>
              </w:r>
            </w:hyperlink>
          </w:p>
        </w:tc>
        <w:tc>
          <w:tcPr>
            <w:tcW w:w="6640" w:type="dxa"/>
            <w:vAlign w:val="bottom"/>
            <w:gridSpan w:val="5"/>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12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RISK FACTORS</w:t>
              </w:r>
            </w:hyperlink>
          </w:p>
        </w:tc>
        <w:tc>
          <w:tcPr>
            <w:tcW w:w="8660" w:type="dxa"/>
            <w:vAlign w:val="bottom"/>
            <w:gridSpan w:val="13"/>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SPECIAL NOTE ON FORWARD-LOOKING STATEMENTS</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14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5"/>
              </w:rPr>
            </w:pPr>
            <w:hyperlink w:anchor="page11">
              <w:r>
                <w:rPr>
                  <w:rFonts w:ascii="Times New Roman" w:cs="Times New Roman" w:eastAsia="Times New Roman" w:hAnsi="Times New Roman"/>
                  <w:sz w:val="18"/>
                  <w:szCs w:val="18"/>
                  <w:color w:val="0000EE"/>
                  <w:w w:val="95"/>
                </w:rPr>
                <w:t>CAPITALIZATION</w:t>
              </w:r>
            </w:hyperlink>
          </w:p>
        </w:tc>
        <w:tc>
          <w:tcPr>
            <w:tcW w:w="2980" w:type="dxa"/>
            <w:vAlign w:val="bottom"/>
            <w:tcBorders>
              <w:top w:val="single" w:sz="8" w:color="0000EE"/>
            </w:tcBorders>
            <w:gridSpan w:val="7"/>
          </w:tcPr>
          <w:p>
            <w:pPr>
              <w:spacing w:after="0"/>
              <w:rPr>
                <w:sz w:val="19"/>
                <w:szCs w:val="19"/>
                <w:color w:val="auto"/>
              </w:rPr>
            </w:pPr>
          </w:p>
        </w:tc>
        <w:tc>
          <w:tcPr>
            <w:tcW w:w="5460" w:type="dxa"/>
            <w:vAlign w:val="bottom"/>
            <w:gridSpan w:val="4"/>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1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USE OF PROCEEDS</w:t>
              </w:r>
            </w:hyperlink>
          </w:p>
        </w:tc>
        <w:tc>
          <w:tcPr>
            <w:tcW w:w="8320" w:type="dxa"/>
            <w:vAlign w:val="bottom"/>
            <w:gridSpan w:val="9"/>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PLAN OF DISTRIBUTION</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SELLING SECURITYHOLDERS</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DESCRIPTION OF SHARE CAPITAL</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49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6"/>
              </w:rPr>
            </w:pPr>
            <w:hyperlink w:anchor="page17">
              <w:r>
                <w:rPr>
                  <w:rFonts w:ascii="Times New Roman" w:cs="Times New Roman" w:eastAsia="Times New Roman" w:hAnsi="Times New Roman"/>
                  <w:sz w:val="18"/>
                  <w:szCs w:val="18"/>
                  <w:color w:val="0000EE"/>
                  <w:w w:val="96"/>
                </w:rPr>
                <w:t>FOREIGN EXCHANGE CONTROLS AND OTHER LIMITATIONS</w:t>
              </w:r>
            </w:hyperlink>
          </w:p>
        </w:tc>
        <w:tc>
          <w:tcPr>
            <w:tcW w:w="4940" w:type="dxa"/>
            <w:vAlign w:val="bottom"/>
            <w:gridSpan w:val="3"/>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88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2"/>
              </w:rPr>
            </w:pPr>
            <w:hyperlink w:anchor="page17">
              <w:r>
                <w:rPr>
                  <w:rFonts w:ascii="Times New Roman" w:cs="Times New Roman" w:eastAsia="Times New Roman" w:hAnsi="Times New Roman"/>
                  <w:sz w:val="18"/>
                  <w:szCs w:val="18"/>
                  <w:color w:val="0000EE"/>
                  <w:w w:val="92"/>
                </w:rPr>
                <w:t>TAXATION</w:t>
              </w:r>
            </w:hyperlink>
          </w:p>
        </w:tc>
        <w:tc>
          <w:tcPr>
            <w:tcW w:w="9000" w:type="dxa"/>
            <w:vAlign w:val="bottom"/>
            <w:gridSpan w:val="14"/>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15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DIVIDEND POLICY</w:t>
              </w:r>
            </w:hyperlink>
          </w:p>
        </w:tc>
        <w:tc>
          <w:tcPr>
            <w:tcW w:w="8340" w:type="dxa"/>
            <w:vAlign w:val="bottom"/>
            <w:gridSpan w:val="10"/>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LEGAL MATTERS</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7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4"/>
              </w:rPr>
            </w:pPr>
            <w:hyperlink w:anchor="page19">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3"/>
          </w:tcPr>
          <w:p>
            <w:pPr>
              <w:spacing w:after="0"/>
              <w:rPr>
                <w:sz w:val="19"/>
                <w:szCs w:val="19"/>
                <w:color w:val="auto"/>
              </w:rPr>
            </w:pPr>
          </w:p>
        </w:tc>
        <w:tc>
          <w:tcPr>
            <w:tcW w:w="8460" w:type="dxa"/>
            <w:vAlign w:val="bottom"/>
            <w:gridSpan w:val="12"/>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9880" w:type="dxa"/>
            <w:vAlign w:val="bottom"/>
            <w:gridSpan w:val="16"/>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ENFORCEABILITY OF CIVIL LIABILITIES AND AGENT FOR SERVICE OF PROCESS IN THE UNITED STATES</w:t>
              </w:r>
            </w:hyperlink>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58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WHERE YOU CAN FIND MORE INFORMATION; INCORPORATION OF INFORMATION BY REFERENCE</w:t>
              </w:r>
            </w:hyperlink>
          </w:p>
        </w:tc>
        <w:tc>
          <w:tcPr>
            <w:tcW w:w="1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TOWER SEMICONDUCTOR LTD.</w:t>
      </w:r>
    </w:p>
    <w:p>
      <w:pPr>
        <w:spacing w:after="0" w:line="308" w:lineRule="exact"/>
        <w:rPr>
          <w:sz w:val="20"/>
          <w:szCs w:val="20"/>
          <w:color w:val="auto"/>
        </w:rPr>
      </w:pPr>
    </w:p>
    <w:p>
      <w:pPr>
        <w:ind w:right="60" w:firstLine="348"/>
        <w:spacing w:after="0" w:line="254" w:lineRule="auto"/>
        <w:rPr>
          <w:sz w:val="20"/>
          <w:szCs w:val="20"/>
          <w:color w:val="auto"/>
        </w:rPr>
      </w:pPr>
      <w:r>
        <w:rPr>
          <w:rFonts w:ascii="Times New Roman" w:cs="Times New Roman" w:eastAsia="Times New Roman" w:hAnsi="Times New Roman"/>
          <w:sz w:val="18"/>
          <w:szCs w:val="18"/>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95"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March 31, 2007, Fab 1 is able to achieve capacity levels of approximately 16,000 wafers per month.</w:t>
      </w:r>
    </w:p>
    <w:p>
      <w:pPr>
        <w:spacing w:after="0" w:line="193" w:lineRule="exact"/>
        <w:rPr>
          <w:sz w:val="20"/>
          <w:szCs w:val="20"/>
          <w:color w:val="auto"/>
        </w:rPr>
      </w:pPr>
    </w:p>
    <w:p>
      <w:pPr>
        <w:ind w:right="40" w:firstLine="395"/>
        <w:spacing w:after="0" w:line="339" w:lineRule="auto"/>
        <w:rPr>
          <w:sz w:val="20"/>
          <w:szCs w:val="20"/>
          <w:color w:val="auto"/>
        </w:rPr>
      </w:pPr>
      <w:r>
        <w:rPr>
          <w:rFonts w:ascii="Times New Roman" w:cs="Times New Roman" w:eastAsia="Times New Roman" w:hAnsi="Times New Roman"/>
          <w:sz w:val="16"/>
          <w:szCs w:val="16"/>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w:t>
      </w:r>
    </w:p>
    <w:p>
      <w:pPr>
        <w:sectPr>
          <w:pgSz w:w="11900" w:h="16984" w:orient="portrait"/>
          <w:cols w:equalWidth="0" w:num="1">
            <w:col w:w="11400"/>
          </w:cols>
          <w:pgMar w:left="240" w:top="123" w:right="259" w:bottom="0" w:gutter="0" w:footer="0" w:header="0"/>
        </w:sectPr>
      </w:pPr>
    </w:p>
    <w:bookmarkStart w:id="2" w:name="page3"/>
    <w:bookmarkEnd w:id="2"/>
    <w:p>
      <w:pPr>
        <w:ind w:right="160"/>
        <w:spacing w:after="0" w:line="258" w:lineRule="auto"/>
        <w:rPr>
          <w:sz w:val="20"/>
          <w:szCs w:val="20"/>
          <w:color w:val="auto"/>
        </w:rPr>
      </w:pPr>
      <w:r>
        <w:rPr>
          <w:rFonts w:ascii="Times New Roman" w:cs="Times New Roman" w:eastAsia="Times New Roman" w:hAnsi="Times New Roman"/>
          <w:sz w:val="18"/>
          <w:szCs w:val="18"/>
          <w:color w:val="auto"/>
        </w:rPr>
        <w:t>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March 31, 2007 was approximately 19,000 wafers per month. Depending on the process technology and product mix, when fully ramped-up we estimate that Fab 2 will be able to achieve capacity levels of up to approximately 40,000 wafers per month.</w:t>
      </w:r>
    </w:p>
    <w:p>
      <w:pPr>
        <w:spacing w:after="0" w:line="190"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93"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Our manufacturing facilities and executive offices are located in the Ramat Gavriel Industrial Park, Post Office Box 619, Migdal Haemek, 23105 Israel, and our telephone number is 972-4-650-6611.</w:t>
      </w:r>
    </w:p>
    <w:p>
      <w:pPr>
        <w:spacing w:after="0" w:line="174" w:lineRule="exact"/>
        <w:rPr>
          <w:sz w:val="20"/>
          <w:szCs w:val="20"/>
          <w:color w:val="auto"/>
        </w:rPr>
      </w:pPr>
    </w:p>
    <w:p>
      <w:pPr>
        <w:ind w:right="220" w:firstLine="341"/>
        <w:spacing w:after="0" w:line="275" w:lineRule="auto"/>
        <w:rPr>
          <w:sz w:val="20"/>
          <w:szCs w:val="20"/>
          <w:color w:val="auto"/>
        </w:rPr>
      </w:pPr>
      <w:r>
        <w:rPr>
          <w:rFonts w:ascii="Times New Roman" w:cs="Times New Roman" w:eastAsia="Times New Roman" w:hAnsi="Times New Roman"/>
          <w:sz w:val="18"/>
          <w:szCs w:val="18"/>
          <w:color w:val="auto"/>
        </w:rPr>
        <w:t xml:space="preserve">Additional information about us and our operations may be found at our web 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06"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Affecting Our Business</w:t>
      </w:r>
    </w:p>
    <w:p>
      <w:pPr>
        <w:spacing w:after="0" w:line="225"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b w:val="1"/>
          <w:bCs w:val="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72" w:lineRule="exact"/>
        <w:rPr>
          <w:sz w:val="20"/>
          <w:szCs w:val="20"/>
          <w:color w:val="auto"/>
        </w:rPr>
      </w:pPr>
    </w:p>
    <w:p>
      <w:pPr>
        <w:ind w:right="100" w:firstLine="395"/>
        <w:spacing w:after="0" w:line="286" w:lineRule="auto"/>
        <w:rPr>
          <w:sz w:val="20"/>
          <w:szCs w:val="20"/>
          <w:color w:val="auto"/>
        </w:rPr>
      </w:pPr>
      <w:r>
        <w:rPr>
          <w:rFonts w:ascii="Times New Roman" w:cs="Times New Roman" w:eastAsia="Times New Roman" w:hAnsi="Times New Roman"/>
          <w:sz w:val="16"/>
          <w:szCs w:val="16"/>
          <w:color w:val="auto"/>
        </w:rPr>
        <w:t>Fab 2 production capacity as of March 31, 2007 was approximately 19,000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including the plan approved by our board of directors in March 2006,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fully ramp-up Fab 2 from approximately 24,000 wafers per month, we currently estimate we would need to raise approximately up to $120 million. We will also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89" w:lineRule="exact"/>
        <w:rPr>
          <w:sz w:val="20"/>
          <w:szCs w:val="20"/>
          <w:color w:val="auto"/>
        </w:rPr>
      </w:pPr>
    </w:p>
    <w:p>
      <w:pPr>
        <w:ind w:right="20" w:firstLine="395"/>
        <w:spacing w:after="0" w:line="285" w:lineRule="auto"/>
        <w:rPr>
          <w:sz w:val="20"/>
          <w:szCs w:val="20"/>
          <w:color w:val="auto"/>
        </w:rPr>
      </w:pPr>
      <w:r>
        <w:rPr>
          <w:rFonts w:ascii="Times New Roman" w:cs="Times New Roman" w:eastAsia="Times New Roman" w:hAnsi="Times New Roman"/>
          <w:sz w:val="16"/>
          <w:szCs w:val="16"/>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March 31, 2007, we received a cumulative amount of approximately $163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March 31, 2007, we have invested approximately $160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further ramp-up Fab 2 capacity from approximately 24,000 wafers per month,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w:t>
      </w:r>
    </w:p>
    <w:p>
      <w:pPr>
        <w:sectPr>
          <w:pgSz w:w="11900" w:h="16838" w:orient="portrait"/>
          <w:cols w:equalWidth="0" w:num="1">
            <w:col w:w="11420"/>
          </w:cols>
          <w:pgMar w:left="240" w:top="125" w:right="239" w:bottom="158" w:gutter="0" w:footer="0" w:header="0"/>
        </w:sectPr>
      </w:pPr>
    </w:p>
    <w:bookmarkStart w:id="3" w:name="page4"/>
    <w:bookmarkEnd w:id="3"/>
    <w:p>
      <w:pPr>
        <w:ind w:right="60"/>
        <w:spacing w:after="0" w:line="275" w:lineRule="auto"/>
        <w:rPr>
          <w:sz w:val="20"/>
          <w:szCs w:val="20"/>
          <w:color w:val="auto"/>
        </w:rPr>
      </w:pPr>
      <w:r>
        <w:rPr>
          <w:rFonts w:ascii="Times New Roman" w:cs="Times New Roman" w:eastAsia="Times New Roman" w:hAnsi="Times New Roman"/>
          <w:sz w:val="18"/>
          <w:szCs w:val="18"/>
          <w:color w:val="auto"/>
        </w:rPr>
        <w:t>grants already received, we would need to seek alternative financing sources to refund the grants we received and if we do not succeed in finding such alternative financing sources, we may have to cease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future operations do not increase or if we fail to raise additional funding, we may be unable to repay our debt on a timely basis.</w:t>
      </w:r>
    </w:p>
    <w:p>
      <w:pPr>
        <w:spacing w:after="0" w:line="227" w:lineRule="exact"/>
        <w:rPr>
          <w:sz w:val="20"/>
          <w:szCs w:val="20"/>
          <w:color w:val="auto"/>
        </w:rPr>
      </w:pPr>
    </w:p>
    <w:p>
      <w:pPr>
        <w:ind w:right="20" w:firstLine="395"/>
        <w:spacing w:after="0" w:line="288" w:lineRule="auto"/>
        <w:rPr>
          <w:sz w:val="20"/>
          <w:szCs w:val="20"/>
          <w:color w:val="auto"/>
        </w:rPr>
      </w:pPr>
      <w:r>
        <w:rPr>
          <w:rFonts w:ascii="Times New Roman" w:cs="Times New Roman" w:eastAsia="Times New Roman" w:hAnsi="Times New Roman"/>
          <w:sz w:val="16"/>
          <w:szCs w:val="16"/>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Bank Hapoalim B.M. and Bank Leumi Le-Israel B.M.,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38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72"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b w:val="1"/>
          <w:bCs w:val="1"/>
          <w:color w:val="auto"/>
        </w:rPr>
        <w:t>We have a history of operating losses and expect to operate at a loss for the foreseeable future; our facilities must operate at high utilization rates for us to reduce our losses.</w:t>
      </w:r>
    </w:p>
    <w:p>
      <w:pPr>
        <w:spacing w:after="0" w:line="172"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operating results fluctuate from quarter to quarter which makes it difficult to predict our future performance.</w:t>
      </w:r>
    </w:p>
    <w:p>
      <w:pPr>
        <w:spacing w:after="0" w:line="227"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Inventory and supply chain management of our customers;</w:t>
      </w:r>
    </w:p>
    <w:p>
      <w:pPr>
        <w:spacing w:after="0" w:line="252" w:lineRule="exact"/>
        <w:rPr>
          <w:sz w:val="20"/>
          <w:szCs w:val="20"/>
          <w:color w:val="auto"/>
        </w:rPr>
      </w:pPr>
    </w:p>
    <w:p>
      <w:pPr>
        <w:ind w:left="1160" w:right="400" w:hanging="567"/>
        <w:spacing w:after="0" w:line="275" w:lineRule="auto"/>
        <w:rPr>
          <w:sz w:val="20"/>
          <w:szCs w:val="20"/>
          <w:color w:val="auto"/>
        </w:rPr>
      </w:pPr>
      <w:r>
        <w:rPr>
          <w:rFonts w:ascii="Times New Roman" w:cs="Times New Roman" w:eastAsia="Times New Roman" w:hAnsi="Times New Roman"/>
          <w:sz w:val="18"/>
          <w:szCs w:val="18"/>
          <w:color w:val="auto"/>
        </w:rPr>
        <w:t>—The loss of a key customer, postponement of an order from a key customer, failure of a key customer to pay accounts receivables in a timely manner or the financial condition of our customers;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Technological changes and short product life cycles;</w:t>
      </w:r>
    </w:p>
    <w:p>
      <w:pPr>
        <w:sectPr>
          <w:pgSz w:w="11900" w:h="16838" w:orient="portrait"/>
          <w:cols w:equalWidth="0" w:num="1">
            <w:col w:w="11420"/>
          </w:cols>
          <w:pgMar w:left="240" w:top="125" w:right="239" w:bottom="0" w:gutter="0" w:footer="0" w:header="0"/>
        </w:sectPr>
      </w:pPr>
    </w:p>
    <w:bookmarkStart w:id="4" w:name="page5"/>
    <w:bookmarkEnd w:id="4"/>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New accounting rules affecting our results.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262" w:lineRule="auto"/>
        <w:rPr>
          <w:sz w:val="20"/>
          <w:szCs w:val="20"/>
          <w:color w:val="auto"/>
        </w:rPr>
      </w:pPr>
      <w:r>
        <w:rPr>
          <w:rFonts w:ascii="Times New Roman" w:cs="Times New Roman" w:eastAsia="Times New Roman" w:hAnsi="Times New Roman"/>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 including our operating results, financial condition and ability to maintain our operations.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7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sales cycles may be long and, as a result, orders received may not meet our expectations which may adversely affect our operating results.</w:t>
      </w:r>
    </w:p>
    <w:p>
      <w:pPr>
        <w:spacing w:after="0" w:line="227" w:lineRule="exact"/>
        <w:rPr>
          <w:sz w:val="20"/>
          <w:szCs w:val="20"/>
          <w:color w:val="auto"/>
        </w:rPr>
      </w:pPr>
    </w:p>
    <w:p>
      <w:pPr>
        <w:ind w:firstLine="351"/>
        <w:spacing w:after="0" w:line="296" w:lineRule="auto"/>
        <w:rPr>
          <w:sz w:val="20"/>
          <w:szCs w:val="20"/>
          <w:color w:val="auto"/>
        </w:rPr>
      </w:pPr>
      <w:r>
        <w:rPr>
          <w:rFonts w:ascii="Times New Roman" w:cs="Times New Roman" w:eastAsia="Times New Roman" w:hAnsi="Times New Roman"/>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Demand for our foundry services is dependent on the demand in our customers’ end markets.</w:t>
      </w:r>
    </w:p>
    <w:p>
      <w:pPr>
        <w:spacing w:after="0" w:line="227"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attract additional customers, our business may be adversely affected.</w:t>
      </w:r>
    </w:p>
    <w:p>
      <w:pPr>
        <w:spacing w:after="0" w:line="227" w:lineRule="exact"/>
        <w:rPr>
          <w:sz w:val="20"/>
          <w:szCs w:val="20"/>
          <w:color w:val="auto"/>
        </w:rPr>
      </w:pPr>
    </w:p>
    <w:p>
      <w:pPr>
        <w:ind w:right="20" w:firstLine="395"/>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2007, approximately 61% of our business was generated by five significant customers that contributed 33%, 11%, 7%, 5% and 5% of our revenues,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a relatively small number of products for a significant portion of our revenues.</w:t>
      </w:r>
    </w:p>
    <w:p>
      <w:pPr>
        <w:spacing w:after="0" w:line="227"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receive orders from our wafer partners we may have excess capacity.</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maintain and develop our technology processes and services, we will lose customers and may not be able to attract new ones.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semiconductor market is characterized by rapid change, including the following:</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rapid technological developments;</w:t>
      </w:r>
    </w:p>
    <w:p>
      <w:pPr>
        <w:sectPr>
          <w:pgSz w:w="11900" w:h="16847" w:orient="portrait"/>
          <w:cols w:equalWidth="0" w:num="1">
            <w:col w:w="11420"/>
          </w:cols>
          <w:pgMar w:left="240" w:top="368" w:right="239" w:bottom="0" w:gutter="0" w:footer="0" w:header="0"/>
        </w:sectPr>
      </w:pPr>
    </w:p>
    <w:bookmarkStart w:id="5" w:name="page6"/>
    <w:bookmarkEnd w:id="5"/>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evolving industry standards;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changes in customer and product end user requirements;</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frequent new product introductions and enhancements; and</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262" w:lineRule="auto"/>
        <w:rPr>
          <w:sz w:val="20"/>
          <w:szCs w:val="20"/>
          <w:color w:val="auto"/>
        </w:rPr>
      </w:pPr>
      <w:r>
        <w:rPr>
          <w:rFonts w:ascii="Times New Roman" w:cs="Times New Roman" w:eastAsia="Times New Roman" w:hAnsi="Times New Roman"/>
          <w:sz w:val="18"/>
          <w:szCs w:val="18"/>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do not compete effectively, we will lose business to our competitors.</w:t>
      </w:r>
    </w:p>
    <w:p>
      <w:pPr>
        <w:spacing w:after="0" w:line="227" w:lineRule="exact"/>
        <w:rPr>
          <w:sz w:val="20"/>
          <w:szCs w:val="20"/>
          <w:color w:val="auto"/>
        </w:rPr>
      </w:pPr>
    </w:p>
    <w:p>
      <w:pPr>
        <w:ind w:right="120" w:firstLine="348"/>
        <w:spacing w:after="0" w:line="296" w:lineRule="auto"/>
        <w:rPr>
          <w:sz w:val="20"/>
          <w:szCs w:val="20"/>
          <w:color w:val="auto"/>
        </w:rPr>
      </w:pPr>
      <w:r>
        <w:rPr>
          <w:rFonts w:ascii="Times New Roman" w:cs="Times New Roman" w:eastAsia="Times New Roman" w:hAnsi="Times New Roman"/>
          <w:sz w:val="16"/>
          <w:szCs w:val="16"/>
          <w:color w:val="auto"/>
        </w:rPr>
        <w:t>The semiconductor foundry industry is highly competitive. We compete with more than ten independent dedicated foundries, the majority of which are located in Asia-Pacific, including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better operational performance in cycle time and yields.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a large amount of debt which could have significant negative consequences.</w:t>
      </w:r>
    </w:p>
    <w:p>
      <w:pPr>
        <w:spacing w:after="0" w:line="227" w:lineRule="exact"/>
        <w:rPr>
          <w:sz w:val="20"/>
          <w:szCs w:val="20"/>
          <w:color w:val="auto"/>
        </w:rPr>
      </w:pPr>
    </w:p>
    <w:p>
      <w:pPr>
        <w:ind w:firstLine="395"/>
        <w:spacing w:after="0" w:line="339" w:lineRule="auto"/>
        <w:rPr>
          <w:sz w:val="20"/>
          <w:szCs w:val="20"/>
          <w:color w:val="auto"/>
        </w:rPr>
      </w:pPr>
      <w:r>
        <w:rPr>
          <w:rFonts w:ascii="Times New Roman" w:cs="Times New Roman" w:eastAsia="Times New Roman" w:hAnsi="Times New Roman"/>
          <w:sz w:val="16"/>
          <w:szCs w:val="16"/>
          <w:color w:val="auto"/>
        </w:rPr>
        <w:t>We have a large amount of long-term debt, which could have significant negative consequences. As of March 31, 2007, we had approximately $369 million of bank debt and approximately $90 million of convertible debt. Our current and future indebtedness could have significant negative consequences, including:</w:t>
      </w:r>
    </w:p>
    <w:p>
      <w:pPr>
        <w:spacing w:after="0" w:line="12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affecting our ability to make interest payments and other required debt service on our indebtedness.</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fail to satisfy the covenants set forth in our amended credit facility, our banks will be able to call our loans.</w:t>
      </w:r>
    </w:p>
    <w:p>
      <w:pPr>
        <w:spacing w:after="0" w:line="227" w:lineRule="exact"/>
        <w:rPr>
          <w:sz w:val="20"/>
          <w:szCs w:val="20"/>
          <w:color w:val="auto"/>
        </w:rPr>
      </w:pPr>
    </w:p>
    <w:p>
      <w:pPr>
        <w:ind w:right="100" w:firstLine="351"/>
        <w:spacing w:after="0" w:line="256" w:lineRule="auto"/>
        <w:rPr>
          <w:sz w:val="20"/>
          <w:szCs w:val="20"/>
          <w:color w:val="auto"/>
        </w:rPr>
      </w:pPr>
      <w:r>
        <w:rPr>
          <w:rFonts w:ascii="Times New Roman" w:cs="Times New Roman" w:eastAsia="Times New Roman" w:hAnsi="Times New Roman"/>
          <w:sz w:val="18"/>
          <w:szCs w:val="18"/>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banking laws may impose restrictions on the total debt that we may borrow from our banks.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 which may have a material adverse effect on our business, financial condition and results of operations.</w:t>
      </w:r>
    </w:p>
    <w:p>
      <w:pPr>
        <w:sectPr>
          <w:pgSz w:w="11900" w:h="16839" w:orient="portrait"/>
          <w:cols w:equalWidth="0" w:num="1">
            <w:col w:w="11340"/>
          </w:cols>
          <w:pgMar w:left="240" w:top="368" w:right="319" w:bottom="0" w:gutter="0" w:footer="0" w:header="0"/>
        </w:sectPr>
      </w:pPr>
    </w:p>
    <w:bookmarkStart w:id="6" w:name="page7"/>
    <w:bookmarkEnd w:id="6"/>
    <w:p>
      <w:pPr>
        <w:ind w:right="340"/>
        <w:spacing w:after="0" w:line="277" w:lineRule="auto"/>
        <w:rPr>
          <w:sz w:val="20"/>
          <w:szCs w:val="20"/>
          <w:color w:val="auto"/>
        </w:rPr>
      </w:pPr>
      <w:r>
        <w:rPr>
          <w:rFonts w:ascii="Times New Roman" w:cs="Times New Roman" w:eastAsia="Times New Roman" w:hAnsi="Times New Roman"/>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72" w:lineRule="exact"/>
        <w:rPr>
          <w:sz w:val="20"/>
          <w:szCs w:val="20"/>
          <w:color w:val="auto"/>
        </w:rPr>
      </w:pPr>
    </w:p>
    <w:p>
      <w:pPr>
        <w:ind w:right="20" w:firstLine="348"/>
        <w:spacing w:after="0" w:line="254" w:lineRule="auto"/>
        <w:rPr>
          <w:sz w:val="20"/>
          <w:szCs w:val="20"/>
          <w:color w:val="auto"/>
        </w:rPr>
      </w:pPr>
      <w:r>
        <w:rPr>
          <w:rFonts w:ascii="Times New Roman" w:cs="Times New Roman" w:eastAsia="Times New Roman" w:hAnsi="Times New Roman"/>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9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72" w:lineRule="exact"/>
        <w:rPr>
          <w:sz w:val="20"/>
          <w:szCs w:val="20"/>
          <w:color w:val="auto"/>
        </w:rPr>
      </w:pPr>
    </w:p>
    <w:p>
      <w:pPr>
        <w:ind w:right="40" w:firstLine="348"/>
        <w:spacing w:after="0" w:line="255" w:lineRule="auto"/>
        <w:rPr>
          <w:sz w:val="20"/>
          <w:szCs w:val="20"/>
          <w:color w:val="auto"/>
        </w:rPr>
      </w:pPr>
      <w:r>
        <w:rPr>
          <w:rFonts w:ascii="Times New Roman" w:cs="Times New Roman" w:eastAsia="Times New Roman" w:hAnsi="Times New Roman"/>
          <w:sz w:val="18"/>
          <w:szCs w:val="18"/>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exposure to currency exchange and interest rate fluctuations and inflation may increase our cost of operations.</w:t>
      </w:r>
    </w:p>
    <w:p>
      <w:pPr>
        <w:spacing w:after="0" w:line="227" w:lineRule="exact"/>
        <w:rPr>
          <w:sz w:val="20"/>
          <w:szCs w:val="20"/>
          <w:color w:val="auto"/>
        </w:rPr>
      </w:pPr>
    </w:p>
    <w:p>
      <w:pPr>
        <w:ind w:right="160" w:firstLine="341"/>
        <w:spacing w:after="0" w:line="262" w:lineRule="auto"/>
        <w:rPr>
          <w:sz w:val="20"/>
          <w:szCs w:val="20"/>
          <w:color w:val="auto"/>
        </w:rPr>
      </w:pPr>
      <w:r>
        <w:rPr>
          <w:rFonts w:ascii="Times New Roman" w:cs="Times New Roman" w:eastAsia="Times New Roman" w:hAnsi="Times New Roman"/>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86"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convertible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320" w:firstLine="351"/>
        <w:spacing w:after="0" w:line="262" w:lineRule="auto"/>
        <w:rPr>
          <w:sz w:val="20"/>
          <w:szCs w:val="20"/>
          <w:color w:val="auto"/>
        </w:rPr>
      </w:pPr>
      <w:r>
        <w:rPr>
          <w:rFonts w:ascii="Times New Roman" w:cs="Times New Roman" w:eastAsia="Times New Roman" w:hAnsi="Times New Roman"/>
          <w:sz w:val="18"/>
          <w:szCs w:val="18"/>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86"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depend on intellectual property rights of third parties and failure to maintain or acquire licenses could harm our business.</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depend on third party intellectual property in order for us to provide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the intellectual property rights of third parties or to defend our intellectual property rights could harm our business.</w:t>
      </w:r>
    </w:p>
    <w:p>
      <w:pPr>
        <w:spacing w:after="0" w:line="227"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93" w:lineRule="exact"/>
        <w:rPr>
          <w:sz w:val="20"/>
          <w:szCs w:val="20"/>
          <w:color w:val="auto"/>
        </w:rPr>
      </w:pPr>
    </w:p>
    <w:p>
      <w:pPr>
        <w:ind w:right="740" w:firstLine="351"/>
        <w:spacing w:after="0" w:line="275" w:lineRule="auto"/>
        <w:rPr>
          <w:sz w:val="20"/>
          <w:szCs w:val="20"/>
          <w:color w:val="auto"/>
        </w:rPr>
      </w:pPr>
      <w:r>
        <w:rPr>
          <w:rFonts w:ascii="Times New Roman" w:cs="Times New Roman" w:eastAsia="Times New Roman" w:hAnsi="Times New Roman"/>
          <w:sz w:val="18"/>
          <w:szCs w:val="18"/>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75" w:lineRule="auto"/>
        <w:rPr>
          <w:sz w:val="20"/>
          <w:szCs w:val="20"/>
          <w:color w:val="auto"/>
        </w:rPr>
      </w:pPr>
      <w:r>
        <w:rPr>
          <w:rFonts w:ascii="Times New Roman" w:cs="Times New Roman" w:eastAsia="Times New Roman" w:hAnsi="Times New Roman"/>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seeking to develop non-infringing technologies, which may not be feasible.</w:t>
      </w:r>
    </w:p>
    <w:p>
      <w:pPr>
        <w:sectPr>
          <w:pgSz w:w="11900" w:h="16838" w:orient="portrait"/>
          <w:cols w:equalWidth="0" w:num="1">
            <w:col w:w="11420"/>
          </w:cols>
          <w:pgMar w:left="240" w:top="123" w:right="239" w:bottom="46" w:gutter="0" w:footer="0" w:header="0"/>
        </w:sectPr>
      </w:pPr>
    </w:p>
    <w:bookmarkStart w:id="7" w:name="page8"/>
    <w:bookmarkEnd w:id="7"/>
    <w:p>
      <w:pPr>
        <w:ind w:firstLine="341"/>
        <w:spacing w:after="0" w:line="256" w:lineRule="auto"/>
        <w:rPr>
          <w:sz w:val="20"/>
          <w:szCs w:val="20"/>
          <w:color w:val="auto"/>
        </w:rPr>
      </w:pPr>
      <w:r>
        <w:rPr>
          <w:rFonts w:ascii="Times New Roman" w:cs="Times New Roman" w:eastAsia="Times New Roman" w:hAnsi="Times New Roman"/>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341"/>
        <w:spacing w:after="0" w:line="254" w:lineRule="auto"/>
        <w:rPr>
          <w:sz w:val="20"/>
          <w:szCs w:val="20"/>
          <w:color w:val="auto"/>
        </w:rPr>
      </w:pPr>
      <w:r>
        <w:rPr>
          <w:rFonts w:ascii="Times New Roman" w:cs="Times New Roman" w:eastAsia="Times New Roman" w:hAnsi="Times New Roman"/>
          <w:sz w:val="18"/>
          <w:szCs w:val="18"/>
          <w:color w:val="auto"/>
        </w:rPr>
        <w:t>As of December 31, 2006, we held 60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could be seriously harmed by failure to comply with environmental regulations.</w:t>
      </w:r>
    </w:p>
    <w:p>
      <w:pPr>
        <w:spacing w:after="0" w:line="227" w:lineRule="exact"/>
        <w:rPr>
          <w:sz w:val="20"/>
          <w:szCs w:val="20"/>
          <w:color w:val="auto"/>
        </w:rPr>
      </w:pPr>
    </w:p>
    <w:p>
      <w:pPr>
        <w:ind w:right="60" w:firstLine="351"/>
        <w:spacing w:after="0" w:line="310" w:lineRule="auto"/>
        <w:rPr>
          <w:sz w:val="20"/>
          <w:szCs w:val="20"/>
          <w:color w:val="auto"/>
        </w:rPr>
      </w:pPr>
      <w:r>
        <w:rPr>
          <w:rFonts w:ascii="Times New Roman" w:cs="Times New Roman" w:eastAsia="Times New Roman" w:hAnsi="Times New Roman"/>
          <w:sz w:val="16"/>
          <w:szCs w:val="16"/>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the risk of loss due to fire because the materials we use in our manufacturing processes are highly flammable.</w:t>
      </w:r>
    </w:p>
    <w:p>
      <w:pPr>
        <w:spacing w:after="0" w:line="227" w:lineRule="exact"/>
        <w:rPr>
          <w:sz w:val="20"/>
          <w:szCs w:val="20"/>
          <w:color w:val="auto"/>
        </w:rPr>
      </w:pPr>
    </w:p>
    <w:p>
      <w:pPr>
        <w:ind w:right="180" w:firstLine="348"/>
        <w:spacing w:after="0" w:line="258" w:lineRule="auto"/>
        <w:rPr>
          <w:sz w:val="20"/>
          <w:szCs w:val="20"/>
          <w:color w:val="auto"/>
        </w:rPr>
      </w:pPr>
      <w:r>
        <w:rPr>
          <w:rFonts w:ascii="Times New Roman" w:cs="Times New Roman" w:eastAsia="Times New Roman" w:hAnsi="Times New Roman"/>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Possible product returns could harm our business.</w:t>
      </w:r>
    </w:p>
    <w:p>
      <w:pPr>
        <w:spacing w:after="0" w:line="308"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required to repay grants to the Investment Center that we received in connection with Fab 1.</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related to our international operations.</w:t>
      </w:r>
    </w:p>
    <w:p>
      <w:pPr>
        <w:spacing w:after="0" w:line="308"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We have made substantial sales to customers located in Asia-Pacific and in Europe. Because of our international operations, we are vulnerable to the following risks:</w:t>
      </w:r>
    </w:p>
    <w:p>
      <w:pPr>
        <w:spacing w:after="0" w:line="174" w:lineRule="exact"/>
        <w:rPr>
          <w:sz w:val="20"/>
          <w:szCs w:val="20"/>
          <w:color w:val="auto"/>
        </w:rPr>
      </w:pPr>
    </w:p>
    <w:p>
      <w:pPr>
        <w:ind w:left="1160" w:right="480" w:hanging="567"/>
        <w:spacing w:after="0" w:line="275" w:lineRule="auto"/>
        <w:rPr>
          <w:sz w:val="20"/>
          <w:szCs w:val="20"/>
          <w:color w:val="auto"/>
        </w:rPr>
      </w:pPr>
      <w:r>
        <w:rPr>
          <w:rFonts w:ascii="Times New Roman" w:cs="Times New Roman" w:eastAsia="Times New Roman" w:hAnsi="Times New Roman"/>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natural disasters affecting the countries in which we conduct our business;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reduced sales to our customers or interruption in our manufacturing processes in Asia Pacific that may arise from regional issues in Asia;</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delays in product shipments due to local customs restrictions.</w:t>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could suffer if we are unable to retain and recruit qualified personnel.</w:t>
      </w:r>
    </w:p>
    <w:p>
      <w:pPr>
        <w:sectPr>
          <w:pgSz w:w="11900" w:h="16838" w:orient="portrait"/>
          <w:cols w:equalWidth="0" w:num="1">
            <w:col w:w="11400"/>
          </w:cols>
          <w:pgMar w:left="240" w:top="125" w:right="259" w:bottom="0" w:gutter="0" w:footer="0" w:header="0"/>
          <w:type w:val="continuous"/>
        </w:sectPr>
      </w:pPr>
    </w:p>
    <w:bookmarkStart w:id="8" w:name="page9"/>
    <w:bookmarkEnd w:id="8"/>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1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stock price may be volatile in the future.</w:t>
      </w:r>
    </w:p>
    <w:p>
      <w:pPr>
        <w:spacing w:after="0" w:line="308" w:lineRule="exact"/>
        <w:rPr>
          <w:sz w:val="20"/>
          <w:szCs w:val="20"/>
          <w:color w:val="auto"/>
        </w:rPr>
      </w:pPr>
    </w:p>
    <w:p>
      <w:pPr>
        <w:ind w:right="100" w:firstLine="348"/>
        <w:spacing w:after="0" w:line="258" w:lineRule="auto"/>
        <w:rPr>
          <w:sz w:val="20"/>
          <w:szCs w:val="20"/>
          <w:color w:val="auto"/>
        </w:rPr>
      </w:pPr>
      <w:r>
        <w:rPr>
          <w:rFonts w:ascii="Times New Roman" w:cs="Times New Roman" w:eastAsia="Times New Roman" w:hAnsi="Times New Roman"/>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0" w:lineRule="exact"/>
        <w:rPr>
          <w:sz w:val="20"/>
          <w:szCs w:val="20"/>
          <w:color w:val="auto"/>
        </w:rPr>
      </w:pPr>
    </w:p>
    <w:p>
      <w:pPr>
        <w:ind w:right="360" w:firstLine="351"/>
        <w:spacing w:after="0" w:line="275" w:lineRule="auto"/>
        <w:rPr>
          <w:sz w:val="20"/>
          <w:szCs w:val="20"/>
          <w:color w:val="auto"/>
        </w:rPr>
      </w:pPr>
      <w:r>
        <w:rPr>
          <w:rFonts w:ascii="Times New Roman" w:cs="Times New Roman" w:eastAsia="Times New Roman" w:hAnsi="Times New Roman"/>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72" w:lineRule="exact"/>
        <w:rPr>
          <w:sz w:val="20"/>
          <w:szCs w:val="20"/>
          <w:color w:val="auto"/>
        </w:rPr>
      </w:pPr>
    </w:p>
    <w:p>
      <w:pPr>
        <w:ind w:firstLine="351"/>
        <w:spacing w:after="0" w:line="264" w:lineRule="auto"/>
        <w:rPr>
          <w:sz w:val="20"/>
          <w:szCs w:val="20"/>
          <w:color w:val="auto"/>
        </w:rPr>
      </w:pPr>
      <w:r>
        <w:rPr>
          <w:rFonts w:ascii="Times New Roman" w:cs="Times New Roman" w:eastAsia="Times New Roman" w:hAnsi="Times New Roman"/>
          <w:sz w:val="18"/>
          <w:szCs w:val="18"/>
          <w:b w:val="1"/>
          <w:bCs w:val="1"/>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83"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color w:val="auto"/>
        </w:rPr>
        <w:t>As of March 31, 2007 we have approximately 120.9 million ordinary shares outstanding and have outstanding securities convertible or exercisable into approximately 247.7 million ordinary shares. In December 2003, we issued to our banks and to one of our shareholders warrants exercisable into 896,596 and 58,906 ordinary shares, respectively, with an exercise price of $6.17. In addition, we issued warrants to our banks exercisable into an aggregate of approximately 8.2 million ordinary shares with an exercise price of $1.21. As of March 31, 2007, up to approximately 63 million additional ordinary shares may be issued upon the conversion of our 2002 outstanding convertible debentures, 2005 outstanding convertible debentures, 2006 outstanding convertible debentures and upon exercise of warrants held by some of our major shareholders and others. Additionally, in September 2006, we issued equity equivalent capital notes to our banks and to Israel Corp., which are convertible into 51,973,684 and 65,789,474 of our ordinary shares, respectively (which shares are covered by this prospectus) and in March 2007, we issued warrants to purchase 9,402,559 ordinary shares at an exercise price of $2.04 per share and warrants to purchase 18,805,197 ordinary shares at an exercise price of $1.70 per share, in a private placement.</w:t>
      </w:r>
    </w:p>
    <w:p>
      <w:pPr>
        <w:spacing w:after="0" w:line="197" w:lineRule="exact"/>
        <w:rPr>
          <w:sz w:val="20"/>
          <w:szCs w:val="20"/>
          <w:color w:val="auto"/>
        </w:rPr>
      </w:pPr>
    </w:p>
    <w:p>
      <w:pPr>
        <w:ind w:right="40" w:firstLine="395"/>
        <w:spacing w:after="0" w:line="253" w:lineRule="auto"/>
        <w:rPr>
          <w:sz w:val="20"/>
          <w:szCs w:val="20"/>
          <w:color w:val="auto"/>
        </w:rPr>
      </w:pPr>
      <w:r>
        <w:rPr>
          <w:rFonts w:ascii="Times New Roman" w:cs="Times New Roman" w:eastAsia="Times New Roman" w:hAnsi="Times New Roman"/>
          <w:sz w:val="18"/>
          <w:szCs w:val="18"/>
          <w:color w:val="auto"/>
        </w:rPr>
        <w:t>In addition, as of March 31, 2007, we had outstanding employee and directors options to purchase up to approximately 29.6 million shares at a weighted average exercise price of $1.86.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March 31, 2007, we had issued approximately 4.8 million of our ordinary shares to SanDisk Corporation and approximately 2.6 million ordinary shares to Alliance Semiconductor upon conversion of approximately $12 million of wafer credits. We expect that approximately up to $4.7 million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Further, our audit committee and board of directors and shareholders approved the grant of options to our CEO, such that during the 24 month period ending in May 2008, the CEO will hold options to purchase shares that represent 4% of our shares on a fully diluted basis. The options will vest in equal amounts over 4 years commencing from May 2006. Our board of directors further approved the allocation of additional options to be made to our employees if the total number of employee options, including the options to our CEO, during a 24 month period ending in May 2008 will represent less than 8% of the our shares on a fully diluted basis.</w:t>
      </w:r>
    </w:p>
    <w:p>
      <w:pPr>
        <w:spacing w:after="0" w:line="193" w:lineRule="exact"/>
        <w:rPr>
          <w:sz w:val="20"/>
          <w:szCs w:val="20"/>
          <w:color w:val="auto"/>
        </w:rPr>
      </w:pPr>
    </w:p>
    <w:p>
      <w:pPr>
        <w:ind w:right="120" w:firstLine="351"/>
        <w:spacing w:after="0" w:line="291" w:lineRule="auto"/>
        <w:rPr>
          <w:sz w:val="20"/>
          <w:szCs w:val="20"/>
          <w:color w:val="auto"/>
        </w:rPr>
      </w:pPr>
      <w:r>
        <w:rPr>
          <w:rFonts w:ascii="Times New Roman" w:cs="Times New Roman" w:eastAsia="Times New Roman" w:hAnsi="Times New Roman"/>
          <w:sz w:val="16"/>
          <w:szCs w:val="16"/>
          <w:color w:val="auto"/>
        </w:rPr>
        <w:t>If we obtain Investment Center approval for an expansion plan (see Risk Factors – “If the Investment Center will not approve our request for a new expansion program, we would be required to seek alternative financing sources to complete the ramp-up of Fab 2, which may not be available…”), we will still need to raise considerable additional funds from other sources to finance the ramp-up of Fab 2 to exceed capacity of 24,000 wafers per month, should we decide to further increase Fab 2‘s capacity, for which we currently estimate we would need to raise approximately up to $120 million to fully ramp-up Fab 2. We regularly engage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sales of large amounts of our shares eligible for future sale may lower the price of our ordinary shares.</w:t>
      </w:r>
    </w:p>
    <w:p>
      <w:pPr>
        <w:spacing w:after="0" w:line="227" w:lineRule="exact"/>
        <w:rPr>
          <w:sz w:val="20"/>
          <w:szCs w:val="20"/>
          <w:color w:val="auto"/>
        </w:rPr>
      </w:pPr>
    </w:p>
    <w:p>
      <w:pPr>
        <w:ind w:right="20" w:firstLine="395"/>
        <w:spacing w:after="0" w:line="287" w:lineRule="auto"/>
        <w:rPr>
          <w:sz w:val="20"/>
          <w:szCs w:val="20"/>
          <w:color w:val="auto"/>
        </w:rPr>
      </w:pPr>
      <w:r>
        <w:rPr>
          <w:rFonts w:ascii="Times New Roman" w:cs="Times New Roman" w:eastAsia="Times New Roman" w:hAnsi="Times New Roman"/>
          <w:sz w:val="16"/>
          <w:szCs w:val="16"/>
          <w:color w:val="auto"/>
        </w:rPr>
        <w:t>Of our approximately 120.9 million outstanding ordinary shares as of March 31, 2007, approximately 59.0 million are freely tradable and held by non-affiliates under U.S. securities laws. In addition, certain of our affiliates (Israel Corp., SanDisk Corporation, Alliance Semiconductor, and Macronix International) hold approximately 43.0 million of our shares, of which (i) approximately 3.3 million are registered for resale and are therefore freely tradable under U.S. securities laws, (ii) approximately 36.4 million are currently eligible for sale subject to the time, volume and manner of sale limitations of Rule 144 promulgated under the U.S. Securities Act of 1933, as amended and (iii) an additional approximately 64,000 shares held by Alliance Semiconductor and approximately 3.3 million shares held by SanDisk Corporation, will become eligible for sale subject to the volume and manner of sale limitations of Rule 144 during 2007. Shares held by these affiliates are subject to the share transfer restrictions set forth in the shareholders agreement to which they are a party and which remain in effect through January 2008. As of March 31, 2007, up to approximately 26.7 million additional shares issuable upon the conversion of our 2005 convertible debentures are held by non-affiliates or are registered for resale and are therefore freely tradable under U.S. securities laws. In addition, approximately 9.2 million shares issuable upon the exercise of warrants we granted to our banks are registered for resale and are therefore freely tradable under U.S. securities laws. The additional up to: (i) approximately 29.7 million shares issuable upon the conversion and/or exercise of the securities sold in our June 2006 public offering in Israel, and (ii) approximately 5.2 million shares issuable upon exercise of warrants sold in private placements completed in November 2006 would be freely tradeable in normal</w:t>
      </w:r>
    </w:p>
    <w:p>
      <w:pPr>
        <w:sectPr>
          <w:pgSz w:w="11900" w:h="16838" w:orient="portrait"/>
          <w:cols w:equalWidth="0" w:num="1">
            <w:col w:w="11400"/>
          </w:cols>
          <w:pgMar w:left="240" w:top="125" w:right="259" w:bottom="0" w:gutter="0" w:footer="0" w:header="0"/>
        </w:sectPr>
      </w:pPr>
    </w:p>
    <w:bookmarkStart w:id="9" w:name="page10"/>
    <w:bookmarkEnd w:id="9"/>
    <w:p>
      <w:pPr>
        <w:ind w:right="40"/>
        <w:spacing w:after="0" w:line="291" w:lineRule="auto"/>
        <w:rPr>
          <w:sz w:val="20"/>
          <w:szCs w:val="20"/>
          <w:color w:val="auto"/>
        </w:rPr>
      </w:pPr>
      <w:r>
        <w:rPr>
          <w:rFonts w:ascii="Times New Roman" w:cs="Times New Roman" w:eastAsia="Times New Roman" w:hAnsi="Times New Roman"/>
          <w:sz w:val="16"/>
          <w:szCs w:val="16"/>
          <w:color w:val="auto"/>
        </w:rPr>
        <w:t>trading transactions in the United States. Furthermore, the additional up to approximately 117.8 million shares issuable upon the conversion of equity equivalent convertible capital notes issued to our banks and Israel Corp. (which shares are covered by this prospectus), would be freely tradeable under U.S. securities laws. We have also filed a registration statement covering the resale of up to approximately 18.8 million shares issued pursuant to an exemption from the registration requirements of the Securities Act of 1933 in our March 2007 private placement, as well as the resale of approximately 28.2 million shares issuable upon exercise of warrants issued in such transaction. When the registration statement covering the resale of these shares is declared effective, the shares will be freely tradeable under U.S. securities laws.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Our principal shareholders collectively own a controlling interest in us and will be able to exercise their voting rights in ways which may be adverse to the interests of our other shareholders.</w:t>
      </w:r>
    </w:p>
    <w:p>
      <w:pPr>
        <w:spacing w:after="0" w:line="172" w:lineRule="exact"/>
        <w:rPr>
          <w:sz w:val="20"/>
          <w:szCs w:val="20"/>
          <w:color w:val="auto"/>
        </w:rPr>
      </w:pPr>
    </w:p>
    <w:p>
      <w:pPr>
        <w:ind w:right="80" w:firstLine="395"/>
        <w:spacing w:after="0" w:line="254" w:lineRule="auto"/>
        <w:rPr>
          <w:sz w:val="20"/>
          <w:szCs w:val="20"/>
          <w:color w:val="auto"/>
        </w:rPr>
      </w:pPr>
      <w:r>
        <w:rPr>
          <w:rFonts w:ascii="Times New Roman" w:cs="Times New Roman" w:eastAsia="Times New Roman" w:hAnsi="Times New Roman"/>
          <w:sz w:val="18"/>
          <w:szCs w:val="18"/>
          <w:color w:val="auto"/>
        </w:rPr>
        <w:t>As of March 31, 2007, our major wafer partners and Israel Corp. collectively owned approximately 36%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90"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8"/>
          <w:szCs w:val="18"/>
          <w:b w:val="1"/>
          <w:bCs w:val="1"/>
          <w:color w:val="auto"/>
        </w:rPr>
        <w:t>The payment of the redemption amount on account of our outstanding debentures is subordinated to our indebtedness to our banks and obligations to secured creditors.</w:t>
      </w:r>
    </w:p>
    <w:p>
      <w:pPr>
        <w:spacing w:after="0" w:line="172" w:lineRule="exact"/>
        <w:rPr>
          <w:sz w:val="20"/>
          <w:szCs w:val="20"/>
          <w:color w:val="auto"/>
        </w:rPr>
      </w:pPr>
    </w:p>
    <w:p>
      <w:pPr>
        <w:ind w:right="60" w:firstLine="395"/>
        <w:spacing w:after="0" w:line="253" w:lineRule="auto"/>
        <w:rPr>
          <w:sz w:val="20"/>
          <w:szCs w:val="20"/>
          <w:color w:val="auto"/>
        </w:rPr>
      </w:pPr>
      <w:r>
        <w:rPr>
          <w:rFonts w:ascii="Times New Roman" w:cs="Times New Roman" w:eastAsia="Times New Roman" w:hAnsi="Times New Roman"/>
          <w:sz w:val="18"/>
          <w:szCs w:val="18"/>
          <w:color w:val="auto"/>
        </w:rPr>
        <w:t>The payment of the redemption amount on account of our outstanding debentures is subordinated to the prior payment of all amounts payable by us to our banks under our credit facility agreement with them, to any obligations to the Investment Center of the Israeli Ministry of Industry, Trade and Labor related to approximately $163 million in grants received as of March 31,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facility agreement.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incur additional indebtedness.</w:t>
      </w:r>
    </w:p>
    <w:p>
      <w:pPr>
        <w:spacing w:after="0" w:line="308" w:lineRule="exact"/>
        <w:rPr>
          <w:sz w:val="20"/>
          <w:szCs w:val="20"/>
          <w:color w:val="auto"/>
        </w:rPr>
      </w:pPr>
    </w:p>
    <w:p>
      <w:pPr>
        <w:ind w:right="840" w:firstLine="341"/>
        <w:spacing w:after="0" w:line="275" w:lineRule="auto"/>
        <w:rPr>
          <w:sz w:val="20"/>
          <w:szCs w:val="20"/>
          <w:color w:val="auto"/>
        </w:rPr>
      </w:pPr>
      <w:r>
        <w:rPr>
          <w:rFonts w:ascii="Times New Roman" w:cs="Times New Roman" w:eastAsia="Times New Roman" w:hAnsi="Times New Roman"/>
          <w:sz w:val="18"/>
          <w:szCs w:val="18"/>
          <w:color w:val="auto"/>
        </w:rPr>
        <w:t>Although we are limited by the covenants in the facility agreement, we could enter into certain transactions that would increase the amount of our outstanding indebtedness. If new indebtedness is added to our current indebtedness levels, the related risks that we now face could intensify.</w:t>
      </w:r>
    </w:p>
    <w:p>
      <w:pPr>
        <w:spacing w:after="0" w:line="17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Risks Related to Our Operations in Israel</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Instability in Israel may harm our business.</w:t>
      </w:r>
    </w:p>
    <w:p>
      <w:pPr>
        <w:spacing w:after="0" w:line="308" w:lineRule="exact"/>
        <w:rPr>
          <w:sz w:val="20"/>
          <w:szCs w:val="20"/>
          <w:color w:val="auto"/>
        </w:rPr>
      </w:pPr>
    </w:p>
    <w:p>
      <w:pPr>
        <w:ind w:right="580" w:firstLine="341"/>
        <w:spacing w:after="0" w:line="275" w:lineRule="auto"/>
        <w:rPr>
          <w:sz w:val="20"/>
          <w:szCs w:val="20"/>
          <w:color w:val="auto"/>
        </w:rPr>
      </w:pPr>
      <w:r>
        <w:rPr>
          <w:rFonts w:ascii="Times New Roman" w:cs="Times New Roman" w:eastAsia="Times New Roman" w:hAnsi="Times New Roman"/>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74" w:lineRule="exact"/>
        <w:rPr>
          <w:sz w:val="20"/>
          <w:szCs w:val="20"/>
          <w:color w:val="auto"/>
        </w:rPr>
      </w:pPr>
    </w:p>
    <w:p>
      <w:pPr>
        <w:ind w:firstLine="351"/>
        <w:spacing w:after="0" w:line="252" w:lineRule="auto"/>
        <w:rPr>
          <w:sz w:val="20"/>
          <w:szCs w:val="20"/>
          <w:color w:val="auto"/>
        </w:rPr>
      </w:pPr>
      <w:r>
        <w:rPr>
          <w:rFonts w:ascii="Times New Roman" w:cs="Times New Roman" w:eastAsia="Times New Roman" w:hAnsi="Times New Roman"/>
          <w:sz w:val="18"/>
          <w:szCs w:val="18"/>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negatively affected by the obligations of our personnel to perform military service.</w:t>
      </w:r>
    </w:p>
    <w:p>
      <w:pPr>
        <w:spacing w:after="0" w:line="227" w:lineRule="exact"/>
        <w:rPr>
          <w:sz w:val="20"/>
          <w:szCs w:val="20"/>
          <w:color w:val="auto"/>
        </w:rPr>
      </w:pPr>
    </w:p>
    <w:p>
      <w:pPr>
        <w:jc w:val="both"/>
        <w:ind w:right="120" w:firstLine="351"/>
        <w:spacing w:after="0" w:line="256" w:lineRule="auto"/>
        <w:rPr>
          <w:sz w:val="20"/>
          <w:szCs w:val="20"/>
          <w:color w:val="auto"/>
        </w:rPr>
      </w:pPr>
      <w:r>
        <w:rPr>
          <w:rFonts w:ascii="Times New Roman" w:cs="Times New Roman" w:eastAsia="Times New Roman" w:hAnsi="Times New Roman"/>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 may be affected by negative economic conditions in Israel.</w:t>
      </w:r>
    </w:p>
    <w:p>
      <w:pPr>
        <w:sectPr>
          <w:pgSz w:w="11900" w:h="16838" w:orient="portrait"/>
          <w:cols w:equalWidth="0" w:num="1">
            <w:col w:w="11420"/>
          </w:cols>
          <w:pgMar w:left="240" w:top="125" w:right="239" w:bottom="0" w:gutter="0" w:footer="0" w:header="0"/>
        </w:sectPr>
      </w:pPr>
    </w:p>
    <w:bookmarkStart w:id="10" w:name="page11"/>
    <w:bookmarkEnd w:id="10"/>
    <w:p>
      <w:pPr>
        <w:spacing w:after="0" w:line="36"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exemption allowing us to operate our manufacturing facilities seven days a week is not renewed, our business will be adversely affected.</w:t>
      </w:r>
    </w:p>
    <w:p>
      <w:pPr>
        <w:spacing w:after="0" w:line="227"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88"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b w:val="1"/>
          <w:bCs w:val="1"/>
          <w:color w:val="auto"/>
        </w:rPr>
        <w:t>If we are considered to be a passive foreign investment company, either presently or in the future, U.S. Holders will be subject to adverse U.S. tax consequences.</w:t>
      </w:r>
    </w:p>
    <w:p>
      <w:pPr>
        <w:spacing w:after="0" w:line="172" w:lineRule="exact"/>
        <w:rPr>
          <w:sz w:val="20"/>
          <w:szCs w:val="20"/>
          <w:color w:val="auto"/>
        </w:rPr>
      </w:pPr>
    </w:p>
    <w:p>
      <w:pPr>
        <w:ind w:right="60" w:firstLine="348"/>
        <w:spacing w:after="0" w:line="252" w:lineRule="auto"/>
        <w:rPr>
          <w:sz w:val="20"/>
          <w:szCs w:val="20"/>
          <w:color w:val="auto"/>
        </w:rPr>
      </w:pPr>
      <w:r>
        <w:rPr>
          <w:rFonts w:ascii="Times New Roman" w:cs="Times New Roman" w:eastAsia="Times New Roman" w:hAnsi="Times New Roman"/>
          <w:sz w:val="18"/>
          <w:szCs w:val="18"/>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 may be difficult to enforce a U.S. judgment against us, our officers and directors and some of the experts named in this prospectus or to assert U.S.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law claims in Israel.</w:t>
      </w:r>
    </w:p>
    <w:p>
      <w:pPr>
        <w:spacing w:after="0" w:line="213"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ON FORWARD-LOOKING STATEMENTS</w:t>
      </w:r>
    </w:p>
    <w:p>
      <w:pPr>
        <w:spacing w:after="0" w:line="308" w:lineRule="exact"/>
        <w:rPr>
          <w:sz w:val="20"/>
          <w:szCs w:val="20"/>
          <w:color w:val="auto"/>
        </w:rPr>
      </w:pPr>
    </w:p>
    <w:p>
      <w:pPr>
        <w:ind w:right="180" w:firstLine="348"/>
        <w:spacing w:after="0" w:line="254" w:lineRule="auto"/>
        <w:rPr>
          <w:sz w:val="20"/>
          <w:szCs w:val="20"/>
          <w:color w:val="auto"/>
        </w:rPr>
      </w:pPr>
      <w:r>
        <w:rPr>
          <w:rFonts w:ascii="Times New Roman" w:cs="Times New Roman" w:eastAsia="Times New Roman" w:hAnsi="Times New Roman"/>
          <w:sz w:val="18"/>
          <w:szCs w:val="18"/>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95" w:lineRule="exact"/>
        <w:rPr>
          <w:sz w:val="20"/>
          <w:szCs w:val="20"/>
          <w:color w:val="auto"/>
        </w:rPr>
      </w:pPr>
    </w:p>
    <w:p>
      <w:pPr>
        <w:ind w:right="320" w:firstLine="345"/>
        <w:spacing w:after="0" w:line="310" w:lineRule="auto"/>
        <w:rPr>
          <w:sz w:val="20"/>
          <w:szCs w:val="20"/>
          <w:color w:val="auto"/>
        </w:rPr>
      </w:pPr>
      <w:r>
        <w:rPr>
          <w:rFonts w:ascii="Times New Roman" w:cs="Times New Roman" w:eastAsia="Times New Roman" w:hAnsi="Times New Roman"/>
          <w:sz w:val="16"/>
          <w:szCs w:val="16"/>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51" w:lineRule="exact"/>
        <w:rPr>
          <w:sz w:val="20"/>
          <w:szCs w:val="20"/>
          <w:color w:val="auto"/>
        </w:rPr>
      </w:pPr>
    </w:p>
    <w:p>
      <w:pPr>
        <w:ind w:right="400" w:firstLine="341"/>
        <w:spacing w:after="0" w:line="275"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308" w:lineRule="exact"/>
        <w:rPr>
          <w:sz w:val="20"/>
          <w:szCs w:val="20"/>
          <w:color w:val="auto"/>
        </w:rPr>
      </w:pPr>
    </w:p>
    <w:p>
      <w:pPr>
        <w:ind w:firstLine="395"/>
        <w:spacing w:after="0" w:line="262" w:lineRule="auto"/>
        <w:rPr>
          <w:sz w:val="20"/>
          <w:szCs w:val="20"/>
          <w:color w:val="auto"/>
        </w:rPr>
      </w:pPr>
      <w:r>
        <w:rPr>
          <w:rFonts w:ascii="Times New Roman" w:cs="Times New Roman" w:eastAsia="Times New Roman" w:hAnsi="Times New Roman"/>
          <w:sz w:val="18"/>
          <w:szCs w:val="18"/>
          <w:color w:val="auto"/>
        </w:rPr>
        <w:t>The following table sets forth our long-term debt, convertible debentures and capitalization as of March 31, 2007 on an actual basis. This table does not give pro forma effect to the conversion of the equity equivalent convertible capital notes. This financial data is derived from our unaudited consolidated financial statements as of March 31, 2007.</w:t>
      </w:r>
    </w:p>
    <w:p>
      <w:pPr>
        <w:spacing w:after="0" w:line="184"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4"/>
          <w:szCs w:val="14"/>
          <w:b w:val="1"/>
          <w:bCs w:val="1"/>
          <w:color w:val="auto"/>
        </w:rPr>
        <w:t>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71120</wp:posOffset>
            </wp:positionV>
            <wp:extent cx="11664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66495" cy="8890"/>
                    </a:xfrm>
                    <a:prstGeom prst="rect">
                      <a:avLst/>
                    </a:prstGeom>
                    <a:noFill/>
                  </pic:spPr>
                </pic:pic>
              </a:graphicData>
            </a:graphic>
          </wp:anchor>
        </w:drawing>
      </w:r>
    </w:p>
    <w:p>
      <w:pPr>
        <w:spacing w:after="0" w:line="197"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14"/>
          <w:szCs w:val="14"/>
          <w:b w:val="1"/>
          <w:bCs w:val="1"/>
          <w:color w:val="auto"/>
        </w:rPr>
        <w:t>(US dollars in thousands)</w:t>
      </w:r>
    </w:p>
    <w:p>
      <w:pPr>
        <w:sectPr>
          <w:pgSz w:w="11900" w:h="16874" w:orient="portrait"/>
          <w:cols w:equalWidth="0" w:num="1">
            <w:col w:w="11400"/>
          </w:cols>
          <w:pgMar w:left="240" w:top="125" w:right="259" w:bottom="0" w:gutter="0" w:footer="0" w:header="0"/>
        </w:sectPr>
      </w:pPr>
    </w:p>
    <w:p>
      <w:pPr>
        <w:spacing w:after="0" w:line="139" w:lineRule="exact"/>
        <w:rPr>
          <w:sz w:val="20"/>
          <w:szCs w:val="20"/>
          <w:color w:val="auto"/>
        </w:rPr>
      </w:pPr>
    </w:p>
    <w:p>
      <w:pPr>
        <w:spacing w:after="0"/>
        <w:tabs>
          <w:tab w:leader="none" w:pos="9500" w:val="left"/>
          <w:tab w:leader="none" w:pos="10780" w:val="left"/>
        </w:tabs>
        <w:rPr>
          <w:sz w:val="20"/>
          <w:szCs w:val="20"/>
          <w:color w:val="auto"/>
        </w:rPr>
      </w:pPr>
      <w:r>
        <w:rPr>
          <w:rFonts w:ascii="Times New Roman" w:cs="Times New Roman" w:eastAsia="Times New Roman" w:hAnsi="Times New Roman"/>
          <w:sz w:val="18"/>
          <w:szCs w:val="18"/>
          <w:color w:val="auto"/>
        </w:rPr>
        <w:t>Current maturities of convertibles debentures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6,597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74" w:orient="portrait"/>
          <w:cols w:equalWidth="0" w:num="1">
            <w:col w:w="11400"/>
          </w:cols>
          <w:pgMar w:left="240" w:top="125" w:right="25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28"/>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Pr>
          <w:p>
            <w:pPr>
              <w:spacing w:after="0"/>
              <w:rPr>
                <w:sz w:val="19"/>
                <w:szCs w:val="19"/>
                <w:color w:val="auto"/>
              </w:rPr>
            </w:pP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358,798</w:t>
            </w:r>
          </w:p>
        </w:tc>
      </w:tr>
      <w:tr>
        <w:trPr>
          <w:trHeight w:val="218"/>
        </w:trPr>
        <w:tc>
          <w:tcPr>
            <w:tcW w:w="9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debentures excluding current maturities</w:t>
            </w: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57,853</w:t>
            </w:r>
          </w:p>
        </w:tc>
      </w:tr>
      <w:tr>
        <w:trPr>
          <w:trHeight w:val="216"/>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customers' advances</w:t>
            </w:r>
          </w:p>
        </w:tc>
        <w:tc>
          <w:tcPr>
            <w:tcW w:w="380" w:type="dxa"/>
            <w:vAlign w:val="bottom"/>
          </w:tcPr>
          <w:p>
            <w:pPr>
              <w:spacing w:after="0"/>
              <w:rPr>
                <w:sz w:val="18"/>
                <w:szCs w:val="18"/>
                <w:color w:val="auto"/>
              </w:rPr>
            </w:pP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44,050</w:t>
            </w:r>
          </w:p>
        </w:tc>
      </w:tr>
      <w:tr>
        <w:trPr>
          <w:trHeight w:val="216"/>
        </w:trPr>
        <w:tc>
          <w:tcPr>
            <w:tcW w:w="9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21,353</w:t>
            </w:r>
          </w:p>
        </w:tc>
      </w:tr>
      <w:tr>
        <w:trPr>
          <w:trHeight w:val="216"/>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equity (deficit):</w:t>
            </w:r>
          </w:p>
        </w:tc>
        <w:tc>
          <w:tcPr>
            <w:tcW w:w="38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9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NIS 1.00 par value per share; 800,000,000</w:t>
            </w: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92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authorized shares, 122,182,946 issued shares* and 120,882,946</w:t>
            </w: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924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outstanding shares</w:t>
            </w: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28,965</w:t>
            </w:r>
          </w:p>
        </w:tc>
      </w:tr>
      <w:tr>
        <w:trPr>
          <w:trHeight w:val="216"/>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80" w:type="dxa"/>
            <w:vAlign w:val="bottom"/>
          </w:tcPr>
          <w:p>
            <w:pPr>
              <w:spacing w:after="0"/>
              <w:rPr>
                <w:sz w:val="18"/>
                <w:szCs w:val="18"/>
                <w:color w:val="auto"/>
              </w:rPr>
            </w:pP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584,400</w:t>
            </w:r>
          </w:p>
        </w:tc>
      </w:tr>
      <w:tr>
        <w:trPr>
          <w:trHeight w:val="216"/>
        </w:trPr>
        <w:tc>
          <w:tcPr>
            <w:tcW w:w="9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notes</w:t>
            </w: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176,401</w:t>
            </w:r>
          </w:p>
        </w:tc>
      </w:tr>
      <w:tr>
        <w:trPr>
          <w:trHeight w:val="202"/>
        </w:trPr>
        <w:tc>
          <w:tcPr>
            <w:tcW w:w="924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Equity component of convertible debentures and cumulative stock</w:t>
            </w:r>
          </w:p>
        </w:tc>
        <w:tc>
          <w:tcPr>
            <w:tcW w:w="380" w:type="dxa"/>
            <w:vAlign w:val="bottom"/>
          </w:tcPr>
          <w:p>
            <w:pPr>
              <w:spacing w:after="0"/>
              <w:rPr>
                <w:sz w:val="17"/>
                <w:szCs w:val="17"/>
                <w:color w:val="auto"/>
              </w:rPr>
            </w:pPr>
          </w:p>
        </w:tc>
        <w:tc>
          <w:tcPr>
            <w:tcW w:w="1800" w:type="dxa"/>
            <w:vAlign w:val="bottom"/>
          </w:tcPr>
          <w:p>
            <w:pPr>
              <w:jc w:val="right"/>
              <w:ind w:right="132"/>
              <w:spacing w:after="0" w:line="201" w:lineRule="exact"/>
              <w:rPr>
                <w:sz w:val="20"/>
                <w:szCs w:val="20"/>
                <w:color w:val="auto"/>
              </w:rPr>
            </w:pPr>
            <w:r>
              <w:rPr>
                <w:rFonts w:ascii="Times New Roman" w:cs="Times New Roman" w:eastAsia="Times New Roman" w:hAnsi="Times New Roman"/>
                <w:sz w:val="18"/>
                <w:szCs w:val="18"/>
                <w:color w:val="auto"/>
              </w:rPr>
              <w:t>25,218</w:t>
            </w:r>
          </w:p>
        </w:tc>
      </w:tr>
      <w:tr>
        <w:trPr>
          <w:trHeight w:val="228"/>
        </w:trPr>
        <w:tc>
          <w:tcPr>
            <w:tcW w:w="92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based compensation</w:t>
            </w:r>
          </w:p>
        </w:tc>
        <w:tc>
          <w:tcPr>
            <w:tcW w:w="3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18"/>
        </w:trPr>
        <w:tc>
          <w:tcPr>
            <w:tcW w:w="9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(684,073)</w:t>
            </w:r>
          </w:p>
        </w:tc>
      </w:tr>
      <w:tr>
        <w:trPr>
          <w:trHeight w:val="216"/>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Treasury stock, 1,300,000 shares</w:t>
            </w:r>
          </w:p>
        </w:tc>
        <w:tc>
          <w:tcPr>
            <w:tcW w:w="380" w:type="dxa"/>
            <w:vAlign w:val="bottom"/>
          </w:tcPr>
          <w:p>
            <w:pPr>
              <w:spacing w:after="0"/>
              <w:rPr>
                <w:sz w:val="18"/>
                <w:szCs w:val="18"/>
                <w:color w:val="auto"/>
              </w:rPr>
            </w:pPr>
          </w:p>
        </w:tc>
        <w:tc>
          <w:tcPr>
            <w:tcW w:w="180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(9,072)</w:t>
            </w:r>
          </w:p>
        </w:tc>
      </w:tr>
      <w:tr>
        <w:trPr>
          <w:trHeight w:val="216"/>
        </w:trPr>
        <w:tc>
          <w:tcPr>
            <w:tcW w:w="92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8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121,839</w:t>
            </w:r>
          </w:p>
        </w:tc>
      </w:tr>
      <w:tr>
        <w:trPr>
          <w:trHeight w:val="228"/>
        </w:trPr>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688,600</w:t>
            </w:r>
          </w:p>
        </w:tc>
      </w:tr>
      <w:tr>
        <w:trPr>
          <w:trHeight w:val="339"/>
        </w:trPr>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7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57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Includes 1,300,000 treasury shares.</w:t>
            </w: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675"/>
        </w:trPr>
        <w:tc>
          <w:tcPr>
            <w:tcW w:w="240" w:type="dxa"/>
            <w:vAlign w:val="bottom"/>
          </w:tcPr>
          <w:p>
            <w:pPr>
              <w:spacing w:after="0"/>
              <w:rPr>
                <w:sz w:val="24"/>
                <w:szCs w:val="24"/>
                <w:color w:val="auto"/>
              </w:rPr>
            </w:pPr>
          </w:p>
        </w:tc>
        <w:tc>
          <w:tcPr>
            <w:tcW w:w="9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The information set forth on an actual basis in the foregoing table excludes the following securities as of March 31, 2007:</w:t>
            </w: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4" w:lineRule="exact"/>
        <w:rPr>
          <w:sz w:val="20"/>
          <w:szCs w:val="20"/>
          <w:color w:val="auto"/>
        </w:rPr>
      </w:pPr>
    </w:p>
    <w:p>
      <w:pPr>
        <w:ind w:left="1160" w:right="160" w:hanging="571"/>
        <w:spacing w:after="0" w:line="27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14.8 million ordinary shares issuable upon exercise of options granted to employees and directors at a weighted average exercise price of $2.14;</w:t>
      </w:r>
    </w:p>
    <w:p>
      <w:pPr>
        <w:spacing w:after="0" w:line="200" w:lineRule="exact"/>
        <w:rPr>
          <w:rFonts w:ascii="Times New Roman" w:cs="Times New Roman" w:eastAsia="Times New Roman" w:hAnsi="Times New Roman"/>
          <w:sz w:val="18"/>
          <w:szCs w:val="18"/>
          <w:color w:val="auto"/>
        </w:rPr>
      </w:pPr>
    </w:p>
    <w:p>
      <w:pPr>
        <w:ind w:left="1160" w:right="440" w:hanging="571"/>
        <w:spacing w:after="0" w:line="27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14,782,416 ordinary shares issuable upon exercise of options granted to our Chief Executive Officer at a weighted average exercise price of $1.58;</w:t>
      </w:r>
    </w:p>
    <w:p>
      <w:pPr>
        <w:spacing w:after="0" w:line="200" w:lineRule="exact"/>
        <w:rPr>
          <w:rFonts w:ascii="Times New Roman" w:cs="Times New Roman" w:eastAsia="Times New Roman" w:hAnsi="Times New Roman"/>
          <w:sz w:val="18"/>
          <w:szCs w:val="18"/>
          <w:color w:val="auto"/>
        </w:rPr>
      </w:pPr>
    </w:p>
    <w:p>
      <w:pPr>
        <w:ind w:left="1160" w:right="440" w:hanging="571"/>
        <w:spacing w:after="0" w:line="27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1,348,527 ordinary shares issuable upon conversion of unsecured, subordinated convertible debentures, net, that we issued in January 2002, which are convertible through December 31, 2008;</w:t>
      </w:r>
    </w:p>
    <w:p>
      <w:pPr>
        <w:spacing w:after="0" w:line="200" w:lineRule="exact"/>
        <w:rPr>
          <w:rFonts w:ascii="Times New Roman" w:cs="Times New Roman" w:eastAsia="Times New Roman" w:hAnsi="Times New Roman"/>
          <w:sz w:val="18"/>
          <w:szCs w:val="18"/>
          <w:color w:val="auto"/>
        </w:rPr>
      </w:pPr>
    </w:p>
    <w:p>
      <w:pPr>
        <w:ind w:left="1160" w:right="340" w:hanging="571"/>
        <w:spacing w:after="0" w:line="27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896,596 ordinary shares issuable upon exercise of warrants issued to our banks in connection with our credit facility with an exercise price of $6.17 per share exercisable until September 2011;</w:t>
      </w:r>
    </w:p>
    <w:p>
      <w:pPr>
        <w:spacing w:after="0" w:line="200" w:lineRule="exact"/>
        <w:rPr>
          <w:rFonts w:ascii="Times New Roman" w:cs="Times New Roman" w:eastAsia="Times New Roman" w:hAnsi="Times New Roman"/>
          <w:sz w:val="18"/>
          <w:szCs w:val="18"/>
          <w:color w:val="auto"/>
        </w:rPr>
      </w:pPr>
    </w:p>
    <w:p>
      <w:pPr>
        <w:ind w:left="1160" w:hanging="571"/>
        <w:spacing w:after="0" w:line="275"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180" w:hanging="571"/>
        <w:spacing w:after="0" w:line="27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8,264,464 ordinary shares issuable upon exercise of warrants we issued to our banks with an exercise price of $1.21 in connection with the July 2005 amendment to our facility agreement exercisable until September 2011;</w:t>
      </w:r>
    </w:p>
    <w:p>
      <w:pPr>
        <w:spacing w:after="0" w:line="200" w:lineRule="exact"/>
        <w:rPr>
          <w:rFonts w:ascii="Times New Roman" w:cs="Times New Roman" w:eastAsia="Times New Roman" w:hAnsi="Times New Roman"/>
          <w:sz w:val="18"/>
          <w:szCs w:val="18"/>
          <w:color w:val="auto"/>
        </w:rPr>
      </w:pPr>
    </w:p>
    <w:p>
      <w:pPr>
        <w:ind w:left="1160" w:right="560" w:hanging="571"/>
        <w:spacing w:after="0" w:line="27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26,661,682 ordinary shares issuable upon conversion of our debentures convertible until December 2011, pursuant to the prospectus dated December 15, 2005;</w:t>
      </w:r>
    </w:p>
    <w:p>
      <w:pPr>
        <w:spacing w:after="0" w:line="200" w:lineRule="exact"/>
        <w:rPr>
          <w:rFonts w:ascii="Times New Roman" w:cs="Times New Roman" w:eastAsia="Times New Roman" w:hAnsi="Times New Roman"/>
          <w:sz w:val="18"/>
          <w:szCs w:val="18"/>
          <w:color w:val="auto"/>
        </w:rPr>
      </w:pPr>
    </w:p>
    <w:p>
      <w:pPr>
        <w:ind w:left="1160" w:right="160" w:hanging="571"/>
        <w:spacing w:after="0" w:line="27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117,763,158 ordinary shares (which shares are covered by this prospectus) issuable upon conversion of the equity equivalent convertible capital notes we issued to our banks and to Israel Corp., in September 2006;</w:t>
      </w:r>
    </w:p>
    <w:p>
      <w:pPr>
        <w:spacing w:after="0" w:line="200" w:lineRule="exact"/>
        <w:rPr>
          <w:rFonts w:ascii="Times New Roman" w:cs="Times New Roman" w:eastAsia="Times New Roman" w:hAnsi="Times New Roman"/>
          <w:sz w:val="18"/>
          <w:szCs w:val="18"/>
          <w:color w:val="auto"/>
        </w:rPr>
      </w:pPr>
    </w:p>
    <w:p>
      <w:pPr>
        <w:ind w:left="1160" w:right="120" w:hanging="571"/>
        <w:spacing w:after="0" w:line="27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5,481,000 ordinary shares issuable upon exercise of warrants issued in our June 2006 public offering in Israel with an exercise price of NIS 7.40 and which expire in June 2009;</w:t>
      </w:r>
    </w:p>
    <w:p>
      <w:pPr>
        <w:spacing w:after="0" w:line="200" w:lineRule="exact"/>
        <w:rPr>
          <w:rFonts w:ascii="Times New Roman" w:cs="Times New Roman" w:eastAsia="Times New Roman" w:hAnsi="Times New Roman"/>
          <w:sz w:val="18"/>
          <w:szCs w:val="18"/>
          <w:color w:val="auto"/>
        </w:rPr>
      </w:pPr>
    </w:p>
    <w:p>
      <w:pPr>
        <w:ind w:left="1160" w:right="60" w:hanging="571"/>
        <w:spacing w:after="0" w:line="27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5,227,500 ordinary shares issuable upon exercise of warrants sold in our private placements completed in November 2006, with an exercise price of approximately $2.28 per share and exercisable until December 2010;</w:t>
      </w:r>
    </w:p>
    <w:p>
      <w:pPr>
        <w:spacing w:after="0" w:line="200" w:lineRule="exact"/>
        <w:rPr>
          <w:rFonts w:ascii="Times New Roman" w:cs="Times New Roman" w:eastAsia="Times New Roman" w:hAnsi="Times New Roman"/>
          <w:sz w:val="18"/>
          <w:szCs w:val="18"/>
          <w:color w:val="auto"/>
        </w:rPr>
      </w:pPr>
    </w:p>
    <w:p>
      <w:pPr>
        <w:ind w:left="1160" w:right="40" w:hanging="571"/>
        <w:spacing w:after="0" w:line="275" w:lineRule="auto"/>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24,232,464 ordinary shares issuable upon conversion of our debentures convertible until December 2011, issued pursuant to our June 2006 public offering in Israel; and</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28,207,796 ordinary shares issuable upon exercise of warrants issued in our March 2007 private placement.</w:t>
      </w:r>
    </w:p>
    <w:p>
      <w:pPr>
        <w:spacing w:after="0" w:line="200" w:lineRule="exact"/>
        <w:rPr>
          <w:sz w:val="20"/>
          <w:szCs w:val="20"/>
          <w:color w:val="auto"/>
        </w:rPr>
      </w:pPr>
    </w:p>
    <w:p>
      <w:pPr>
        <w:spacing w:after="0" w:line="268" w:lineRule="exact"/>
        <w:rPr>
          <w:sz w:val="20"/>
          <w:szCs w:val="20"/>
          <w:color w:val="auto"/>
        </w:rPr>
      </w:pPr>
    </w:p>
    <w:p>
      <w:pPr>
        <w:ind w:right="20" w:firstLine="395"/>
        <w:spacing w:after="0" w:line="254" w:lineRule="auto"/>
        <w:rPr>
          <w:sz w:val="20"/>
          <w:szCs w:val="20"/>
          <w:color w:val="auto"/>
        </w:rPr>
      </w:pPr>
      <w:r>
        <w:rPr>
          <w:rFonts w:ascii="Times New Roman" w:cs="Times New Roman" w:eastAsia="Times New Roman" w:hAnsi="Times New Roman"/>
          <w:sz w:val="18"/>
          <w:szCs w:val="18"/>
          <w:color w:val="auto"/>
        </w:rPr>
        <w:t>This information does not take into account the following potential dilutive issuances of securities pursuant to our credit facility agreement, agreements with our major wafer partners and with Israel Corp.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$4.7 million in wafer prepayment credits (as of March 31, 2007) which we have issued to our major wafer partners; (ii) ordinary shares issuable upon conversion of securities we may be required to issue in connection with a rights offering and outside investor provisions agreed to in the November 2003 amendment to our facility agreement; (iii) ordinary shares issuable to our banks in January 2011 as a result of the reduction of the interest rate applicable to the quarterly actual interest payments on our outstanding loans and (iv) anti-dilution options that may be granted to our Chief Executive Officer.</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ectPr>
          <w:pgSz w:w="11900" w:h="16838" w:orient="portrait"/>
          <w:cols w:equalWidth="0" w:num="1">
            <w:col w:w="11420"/>
          </w:cols>
          <w:pgMar w:left="240" w:top="125" w:right="239" w:bottom="0" w:gutter="0" w:footer="0" w:header="0"/>
        </w:sectPr>
      </w:pPr>
    </w:p>
    <w:bookmarkStart w:id="12" w:name="page13"/>
    <w:bookmarkEnd w:id="12"/>
    <w:p>
      <w:pPr>
        <w:spacing w:after="0" w:line="59"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will not receive any of the proceeds from the sale, by the selling security holders, of the ordinary shares issuable upon conversion of the capital notes. We will not receive any proceeds from the conversion of the capital notes by the selling securityholders.</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agreed to bear all expenses relating to the registration of the securities registered pursuant to this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308"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This prospectus relates to the offer and sale of ordinary shares by the selling securityholders named herein. As used herein, “selling securityholder” includes donees, pledgees, transferees or other successors-in-interest selling securities received after the date of this prospectus from the named selling securityholders as a gift, pledge, partnership distribution or other non-sale related transfer. We will bear all costs, expenses and fees in connection with the registration of the securities offered by this prospectus, other than brokerage commissions and similar selling expenses, if any, attributable to the sale of securities offered hereby which will be borne by the selling securityholders. Sales of the securities offered hereby may be effected by the selling securityholders from time to time in one or more types of transactions (which may include block transactions) on Nasdaq and/or on the Tel Aviv Stock Exchange at prevailing market prices, in the over-the-counter market, in negotiated transactions, through put or call options transactions relating to the shares offered hereby, through short sales of the shares offered hereby, or a combination of such methods of sale, at market prices prevailing at the time of sale, or at negotiated prices. Such transactions may or may not involve brokers or dealers. The selling securityholders have advised us that they have not entered into any agreements, understandings or arrangements with any underwriters or broker-dealers regarding the sale of their securities, nor is there an underwriter or coordinating broker acting in connection with the proposed sale of the securities offered hereby by the selling securityholders.</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selling securityholders may enter into hedging transactions with broker-dealers or other financial institutions. In connection with such transactions, broker-dealers or other financial institutions may engage in short sales of the securities offered hereby or of securities convertible into or exchangeable for such securities in the course of hedging positions they assume with the selling securityholders. The selling securityholders may also enter into options or other transactions with broker-dealers or other financial institutions which require the delivery to such broker-dealers or other financial institutions of the securities offered by this prospectus, which securities such broker-dealer or other financial institution may resell pursuant to this prospectus (as amended or supplemented to reflect such transaction).</w:t>
      </w:r>
    </w:p>
    <w:p>
      <w:pPr>
        <w:spacing w:after="0" w:line="193" w:lineRule="exact"/>
        <w:rPr>
          <w:sz w:val="20"/>
          <w:szCs w:val="20"/>
          <w:color w:val="auto"/>
        </w:rPr>
      </w:pPr>
    </w:p>
    <w:p>
      <w:pPr>
        <w:ind w:right="40" w:firstLine="348"/>
        <w:spacing w:after="0" w:line="258" w:lineRule="auto"/>
        <w:rPr>
          <w:sz w:val="20"/>
          <w:szCs w:val="20"/>
          <w:color w:val="auto"/>
        </w:rPr>
      </w:pPr>
      <w:r>
        <w:rPr>
          <w:rFonts w:ascii="Times New Roman" w:cs="Times New Roman" w:eastAsia="Times New Roman" w:hAnsi="Times New Roman"/>
          <w:sz w:val="18"/>
          <w:szCs w:val="18"/>
          <w:color w:val="auto"/>
        </w:rPr>
        <w:t>The selling securityholders may effect these transactions by selling the securities offered hereby directly to purchasers or to or through broker-dealers, which may act as agents or principals. Such broker-dealers may receive compensation in the form of discounts, concessions or commissions from the selling securityholders and/or the purchasers of the securities offered hereby for whom such broker-dealers may act as agents or to whom they sell as principal, or both (which compensation as to a particular broker-dealer might be in excess of customary commissions).</w:t>
      </w:r>
    </w:p>
    <w:p>
      <w:pPr>
        <w:spacing w:after="0" w:line="190" w:lineRule="exact"/>
        <w:rPr>
          <w:sz w:val="20"/>
          <w:szCs w:val="20"/>
          <w:color w:val="auto"/>
        </w:rPr>
      </w:pPr>
    </w:p>
    <w:p>
      <w:pPr>
        <w:ind w:right="80" w:firstLine="348"/>
        <w:spacing w:after="0" w:line="256" w:lineRule="auto"/>
        <w:rPr>
          <w:sz w:val="20"/>
          <w:szCs w:val="20"/>
          <w:color w:val="auto"/>
        </w:rPr>
      </w:pPr>
      <w:r>
        <w:rPr>
          <w:rFonts w:ascii="Times New Roman" w:cs="Times New Roman" w:eastAsia="Times New Roman" w:hAnsi="Times New Roman"/>
          <w:sz w:val="18"/>
          <w:szCs w:val="18"/>
          <w:color w:val="auto"/>
        </w:rPr>
        <w:t>The selling securityholders and any broker-dealers that act in connection with the sale of the securities offered hereby might be deemed to be “underwriters” within the meaning of Section 2(11) of the Securities Act, and any commissions received by such broker-dealers and any profit on the resale of the securities offered hereby sold by them while acting as principals might be deemed to be underwriting discounts or commissions under the Securities Act. The selling securityholders may agree to indemnify any agent, dealer or broker-dealer that participates in transactions involving sales of the securities offered hereby against certain liabilities, including liabilities arising under the Securities Act and/or the Israeli Securities Law.</w:t>
      </w:r>
    </w:p>
    <w:p>
      <w:pPr>
        <w:spacing w:after="0" w:line="193" w:lineRule="exact"/>
        <w:rPr>
          <w:sz w:val="20"/>
          <w:szCs w:val="20"/>
          <w:color w:val="auto"/>
        </w:rPr>
      </w:pPr>
    </w:p>
    <w:p>
      <w:pPr>
        <w:ind w:right="780" w:firstLine="351"/>
        <w:spacing w:after="0" w:line="262" w:lineRule="auto"/>
        <w:rPr>
          <w:sz w:val="20"/>
          <w:szCs w:val="20"/>
          <w:color w:val="auto"/>
        </w:rPr>
      </w:pPr>
      <w:r>
        <w:rPr>
          <w:rFonts w:ascii="Times New Roman" w:cs="Times New Roman" w:eastAsia="Times New Roman" w:hAnsi="Times New Roman"/>
          <w:sz w:val="18"/>
          <w:szCs w:val="18"/>
          <w:color w:val="auto"/>
        </w:rPr>
        <w:t>Because the selling securityholders may be deemed to be “underwriters” within the meaning of Section 2(11) of the Securities Act, the selling securityholders will be subject to the prospectus delivery requirements of the Securities Act. We have informed the selling securityholders that the anti-manipulative provisions of Regulation M promulgated under the Exchange Act may apply to their sales in the market.</w:t>
      </w:r>
    </w:p>
    <w:p>
      <w:pPr>
        <w:spacing w:after="0" w:line="186"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Subject to the limitations on the transfer of their shares (see “Selling Securityholders” below), the selling securityholders also may resell all or a portion of the securities offered hereby in open market transactions in reliance upon Rule 144 under the Securities Act, provided they meet the criteria and conform to the requirements of Rule 144.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62" w:lineRule="auto"/>
        <w:rPr>
          <w:sz w:val="20"/>
          <w:szCs w:val="20"/>
          <w:color w:val="auto"/>
        </w:rPr>
      </w:pPr>
      <w:r>
        <w:rPr>
          <w:rFonts w:ascii="Times New Roman" w:cs="Times New Roman" w:eastAsia="Times New Roman" w:hAnsi="Times New Roman"/>
          <w:sz w:val="18"/>
          <w:szCs w:val="18"/>
          <w:color w:val="auto"/>
        </w:rPr>
        <w:t>Upon our being notified by any of the selling securityholders that any material arrangement has been entered into with a broker-dealer for the sale of shares offered hereby through a block trade, special offering, exchange distribution or secondary distribution or a purchase by a broker or dealer, a supplement to this prospectus will be filed, if required, pursuant to Rule 424(b) under the Securities Act, disclosing:</w:t>
      </w:r>
    </w:p>
    <w:p>
      <w:pPr>
        <w:spacing w:after="0" w:line="1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name of the selling securityholder and of the participating broker-dealer(s);</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number and type of securities involved;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initial price at which such securities were sold;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the commissions paid or discounts or concessions allowed to such broker-dealer(s), where applicable;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that such broker-dealer(s) did not conduct any investigation to verify the information set out or incorporated by reference in this prospectus;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other facts material to the transaction.</w:t>
      </w:r>
    </w:p>
    <w:p>
      <w:pPr>
        <w:spacing w:after="0" w:line="200" w:lineRule="exact"/>
        <w:rPr>
          <w:sz w:val="20"/>
          <w:szCs w:val="20"/>
          <w:color w:val="auto"/>
        </w:rPr>
      </w:pPr>
    </w:p>
    <w:p>
      <w:pPr>
        <w:spacing w:after="0" w:line="256"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To the extent required, we will use our best efforts to file one or more supplements to this prospectus to describe any material information with respect to the plan of distribution not previously disclosed in this prospectus or any material change to such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have incurred, or expect to incur, the following estimated expenses in connection with the sale of the securities covered by this prospectus: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and Exchange Commission Registration Fee</w:t>
            </w:r>
          </w:p>
        </w:tc>
        <w:tc>
          <w:tcPr>
            <w:tcW w:w="34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22,681</w:t>
            </w:r>
          </w:p>
        </w:tc>
        <w:tc>
          <w:tcPr>
            <w:tcW w:w="0" w:type="dxa"/>
            <w:vAlign w:val="bottom"/>
          </w:tcPr>
          <w:p>
            <w:pPr>
              <w:spacing w:after="0"/>
              <w:rPr>
                <w:sz w:val="1"/>
                <w:szCs w:val="1"/>
                <w:color w:val="auto"/>
              </w:rPr>
            </w:pPr>
          </w:p>
        </w:tc>
      </w:tr>
      <w:tr>
        <w:trPr>
          <w:trHeight w:val="430"/>
        </w:trPr>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4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9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4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ectPr>
          <w:pgSz w:w="11900" w:h="16897" w:orient="portrait"/>
          <w:cols w:equalWidth="0" w:num="1">
            <w:col w:w="11420"/>
          </w:cols>
          <w:pgMar w:left="240" w:top="125" w:right="239" w:bottom="0" w:gutter="0" w:footer="0" w:header="0"/>
        </w:sectPr>
      </w:pPr>
    </w:p>
    <w:bookmarkStart w:id="13" w:name="page14"/>
    <w:bookmarkEnd w:id="13"/>
    <w:p>
      <w:pPr>
        <w:spacing w:after="0"/>
        <w:tabs>
          <w:tab w:leader="none" w:pos="9960" w:val="left"/>
          <w:tab w:leader="none" w:pos="107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6477635</wp:posOffset>
            </wp:positionH>
            <wp:positionV relativeFrom="page">
              <wp:posOffset>88900</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t>Total</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38,681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6323330</wp:posOffset>
            </wp:positionH>
            <wp:positionV relativeFrom="paragraph">
              <wp:posOffset>81280</wp:posOffset>
            </wp:positionV>
            <wp:extent cx="79311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9311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ownership and other information.</w:t>
      </w:r>
    </w:p>
    <w:p>
      <w:pPr>
        <w:spacing w:after="0" w:line="2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securities covered by this prospectus were issued to the selling securityholders pursuant to the following transactions.</w:t>
      </w:r>
    </w:p>
    <w:p>
      <w:pPr>
        <w:spacing w:after="0" w:line="225" w:lineRule="exact"/>
        <w:rPr>
          <w:sz w:val="20"/>
          <w:szCs w:val="20"/>
          <w:color w:val="auto"/>
        </w:rPr>
      </w:pPr>
    </w:p>
    <w:p>
      <w:pPr>
        <w:ind w:right="20" w:firstLine="395"/>
        <w:spacing w:after="0" w:line="254" w:lineRule="auto"/>
        <w:rPr>
          <w:sz w:val="20"/>
          <w:szCs w:val="20"/>
          <w:color w:val="auto"/>
        </w:rPr>
      </w:pPr>
      <w:r>
        <w:rPr>
          <w:rFonts w:ascii="Times New Roman" w:cs="Times New Roman" w:eastAsia="Times New Roman" w:hAnsi="Times New Roman"/>
          <w:sz w:val="18"/>
          <w:szCs w:val="18"/>
          <w:color w:val="auto"/>
        </w:rPr>
        <w:t>As part of the financing efforts for the ramp-up plan of Fab 2, in May 2006, we signed a Memorandum of Understanding, or MOU, with Bank Hapoalim and Bank Leumi Le-Israel, two of the three selling securityholders, for the refinancing of the then approximately $527 million of long-term debt under our facility agreement. Among the principal terms contemplated by the MOU was the conversion of an aggregate of $158 million of the debt to the banks ($79 million to each of the banks) into equity at a price per share based on the average closing price of our ordinary shares during the 10 consecutive trading days prior to signing the MOU. The terms of the MOU contemplated that the definitive agreement with respect thereto would include a closing condition that Israel Corp., the third selling securityholder, would invest $100 million in our equity at a price per share equal to the average closing price of our ordinary shares during the 10 consecutive trading days prior to the signing of the MOU.</w:t>
      </w:r>
    </w:p>
    <w:p>
      <w:pPr>
        <w:spacing w:after="0" w:line="195"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In August 2006, following the approval of our Audit Committee and Board of Directors, we entered into a definitive amendment with the banks, which provided for the conversion of the $158 million of debt into equity equivalent capital notes, which are convertible into an aggregate of 51,973,684 ordinary shares as contemplated by the MOU. In addition, in August 2006, following the approval of the our Audit Committee and Board of Directors, we entered into a Securities Purchase Agreement with Israel Corp. which provided for the investment by Israel Corp. of $100 million and the issuance to Israel Corp. of equity equivalent capital notes, which are convertible at a conversion price of $1.52 per share, into an aggregate of 65,789,474 shares.</w:t>
      </w:r>
    </w:p>
    <w:p>
      <w:pPr>
        <w:spacing w:after="0" w:line="193"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Following the satisfaction of the closing conditions thereto, including the receipt of shareholder approval, on September 28, 2006, we and Israel Corp. closed the Securities Purchase Agreement and we and the Banks closed the definitive amendment to the Facility Agreement and (i) $158 million of long-term debt was converted by our banks into equity equivalent convertible capital notes, convertible into 51,973,684 ordinary shares; and (ii) $100 million was invested by Israel Corp. in consideration for an equity equivalent convertible capital note, convertible into 65,789,474 ordinary shares. Israel Corp. and our lender banks may use this prospectus to resell, in the aggregate, up to 117,763,158 ordinary shares issuable upon conversion of capital notes.</w:t>
      </w:r>
    </w:p>
    <w:p>
      <w:pPr>
        <w:spacing w:after="0" w:line="193" w:lineRule="exact"/>
        <w:rPr>
          <w:sz w:val="20"/>
          <w:szCs w:val="20"/>
          <w:color w:val="auto"/>
        </w:rPr>
      </w:pPr>
    </w:p>
    <w:p>
      <w:pPr>
        <w:ind w:firstLine="395"/>
        <w:spacing w:after="0" w:line="255" w:lineRule="auto"/>
        <w:rPr>
          <w:sz w:val="20"/>
          <w:szCs w:val="20"/>
          <w:color w:val="auto"/>
        </w:rPr>
      </w:pPr>
      <w:r>
        <w:rPr>
          <w:rFonts w:ascii="Times New Roman" w:cs="Times New Roman" w:eastAsia="Times New Roman" w:hAnsi="Times New Roman"/>
          <w:sz w:val="18"/>
          <w:szCs w:val="18"/>
          <w:color w:val="auto"/>
        </w:rPr>
        <w:t>As described above, the consideration received from the sale of the equity equivalent convertible capital notes was the conversion by the banks of debt of $158 million. The gross proceeds from the issuance and sale of the equity equivalent convertible capital notes to Israel Corp. were $100 million, of which $47 million was received in cash and $53 million was offset against amounts payable to Israel Corp. under an equipment purchase agreement under which Israel Corp. made certain equipment purchases on our behalf which is described in note 11A(4) to the 2006 financial statements attached as Exhibit 99.2 to our report on Form 6-K filed on February 8, 2007. We incurred costs and expenses associated with the above transactions of approximately $1.4 million, consisting primarily of fees to the banks, legal fees and consulting fees.</w:t>
      </w:r>
    </w:p>
    <w:p>
      <w:pPr>
        <w:spacing w:after="0" w:line="193" w:lineRule="exact"/>
        <w:rPr>
          <w:sz w:val="20"/>
          <w:szCs w:val="20"/>
          <w:color w:val="auto"/>
        </w:rPr>
      </w:pPr>
    </w:p>
    <w:p>
      <w:pPr>
        <w:ind w:firstLine="395"/>
        <w:spacing w:after="0" w:line="254" w:lineRule="auto"/>
        <w:rPr>
          <w:sz w:val="20"/>
          <w:szCs w:val="20"/>
          <w:color w:val="auto"/>
        </w:rPr>
      </w:pPr>
      <w:r>
        <w:rPr>
          <w:rFonts w:ascii="Times New Roman" w:cs="Times New Roman" w:eastAsia="Times New Roman" w:hAnsi="Times New Roman"/>
          <w:sz w:val="18"/>
          <w:szCs w:val="18"/>
          <w:u w:val="single" w:color="auto"/>
          <w:color w:val="auto"/>
        </w:rPr>
        <w:t>Under the terms of the definitive amendment to the Facility Agreement</w:t>
      </w:r>
      <w:r>
        <w:rPr>
          <w:rFonts w:ascii="Times New Roman" w:cs="Times New Roman" w:eastAsia="Times New Roman" w:hAnsi="Times New Roman"/>
          <w:sz w:val="18"/>
          <w:szCs w:val="18"/>
          <w:color w:val="auto"/>
        </w:rPr>
        <w:t xml:space="preserve"> with our banks, in connection with the sale of the equity equivalent convertible notes to the banks, the interest rate applicable to the quarterly actual interest payment on the outstanding balance of the loans was decreased by 1.4%, from LIBOR plus 2.5% per annum to LIBOR plus 1.1% per annum, effective from May 17, 2006. Further to this reduction, we agreed to issue shares or convertible securities to our banks in January 2011 in an amount that equals the dollar amount of the interest reduction divided by the average closing price of our ordinary shares during the fourth quarter of 2010. As described in the notes to the 2006 financial statements, attached as Exhibit 99.2 to our report on Form 6-K filed on February 8, 2007, which are incorporated by reference herein, under certain circumstances, the dollar amount of the interest reduction, for the purposes of the above, may be reduced and we may pay all or part of the amount of the interest reduction in cash.</w:t>
      </w:r>
    </w:p>
    <w:p>
      <w:pPr>
        <w:spacing w:after="0" w:line="195" w:lineRule="exact"/>
        <w:rPr>
          <w:sz w:val="20"/>
          <w:szCs w:val="20"/>
          <w:color w:val="auto"/>
        </w:rPr>
      </w:pPr>
    </w:p>
    <w:p>
      <w:pPr>
        <w:ind w:right="200" w:firstLine="348"/>
        <w:spacing w:after="0" w:line="255" w:lineRule="auto"/>
        <w:rPr>
          <w:sz w:val="20"/>
          <w:szCs w:val="20"/>
          <w:color w:val="auto"/>
        </w:rPr>
      </w:pPr>
      <w:r>
        <w:rPr>
          <w:rFonts w:ascii="Times New Roman" w:cs="Times New Roman" w:eastAsia="Times New Roman" w:hAnsi="Times New Roman"/>
          <w:sz w:val="18"/>
          <w:szCs w:val="18"/>
          <w:color w:val="auto"/>
        </w:rPr>
        <w:t xml:space="preserve">The equity equivalent capital notes are instruments of equity and not debt. Under the terms thereof: (i) the face amounts do not bear interest nor are they linked to any index; (ii) the face amounts are only payable by us out of distributions made upon the winding-up, liquidation or dissolution of our Company on a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and pro rata basis with the holders of our ordinary shares; and (iii) we have no right to prepay or redeem the equity equivalent capital notes.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the holder may at any time, convert the face amount of the equity equivalent capital notes, in whole or in part, without payment of any additional consideration, into ordinary shares at the conversion price of $1.52 per share. The equity equivalent capital notes have no maturity date and the right to convert into shares does not expire.</w:t>
      </w:r>
    </w:p>
    <w:p>
      <w:pPr>
        <w:spacing w:after="0" w:line="193" w:lineRule="exact"/>
        <w:rPr>
          <w:sz w:val="20"/>
          <w:szCs w:val="20"/>
          <w:color w:val="auto"/>
        </w:rPr>
      </w:pPr>
    </w:p>
    <w:p>
      <w:pPr>
        <w:ind w:right="220" w:firstLine="351"/>
        <w:spacing w:after="0" w:line="296" w:lineRule="auto"/>
        <w:rPr>
          <w:sz w:val="20"/>
          <w:szCs w:val="20"/>
          <w:color w:val="auto"/>
        </w:rPr>
      </w:pPr>
      <w:r>
        <w:rPr>
          <w:rFonts w:ascii="Times New Roman" w:cs="Times New Roman" w:eastAsia="Times New Roman" w:hAnsi="Times New Roman"/>
          <w:sz w:val="16"/>
          <w:szCs w:val="16"/>
          <w:color w:val="auto"/>
        </w:rPr>
        <w:t>Information concerning the material relationships between us and the selling securityholders can be found in our reports incorporated herein by reference into this prospectus, particularly Item 4. “Information on the Company – A. History and Development of the Company – Recent Developments”, Item 5. “Operating and Financial Review and Prospects – B. Liquidity and Capital Resources – Fab 2 Agreements” and Item 7. “Major Shareholders and Related Party Transactions – Major Shareholders” of our annual report on Form 20-F for the year ended December 31, 2005, filed on July 13, 2006, and in notes 11A(4), 11A(6), 12B(5)(a), 12C, 12G and 12I to the 2006 financial statements attached as Exhibit 99.2 to our report on Form 6-K filed on February 8, 2007.</w:t>
      </w:r>
    </w:p>
    <w:p>
      <w:pPr>
        <w:spacing w:after="0" w:line="162" w:lineRule="exact"/>
        <w:rPr>
          <w:sz w:val="20"/>
          <w:szCs w:val="20"/>
          <w:color w:val="auto"/>
        </w:rPr>
      </w:pPr>
    </w:p>
    <w:p>
      <w:pPr>
        <w:ind w:right="300" w:firstLine="395"/>
        <w:spacing w:after="0" w:line="262" w:lineRule="auto"/>
        <w:rPr>
          <w:sz w:val="20"/>
          <w:szCs w:val="20"/>
          <w:color w:val="auto"/>
        </w:rPr>
      </w:pPr>
      <w:r>
        <w:rPr>
          <w:rFonts w:ascii="Times New Roman" w:cs="Times New Roman" w:eastAsia="Times New Roman" w:hAnsi="Times New Roman"/>
          <w:sz w:val="18"/>
          <w:szCs w:val="18"/>
          <w:color w:val="auto"/>
        </w:rPr>
        <w:t>We make regularly scheduled payments of interest to our banks and will be obligated to make payments of principal, commencing in September 2009 as provided under the Facility Agreement, as amended. For additional information regarding the terms of the Facility Agreement, see Note 11A to the 2006 Financials.</w:t>
      </w:r>
    </w:p>
    <w:p>
      <w:pPr>
        <w:spacing w:after="0" w:line="186" w:lineRule="exact"/>
        <w:rPr>
          <w:sz w:val="20"/>
          <w:szCs w:val="20"/>
          <w:color w:val="auto"/>
        </w:rPr>
      </w:pPr>
    </w:p>
    <w:p>
      <w:pPr>
        <w:ind w:right="100" w:firstLine="395"/>
        <w:spacing w:after="0" w:line="258" w:lineRule="auto"/>
        <w:rPr>
          <w:sz w:val="20"/>
          <w:szCs w:val="20"/>
          <w:color w:val="auto"/>
        </w:rPr>
      </w:pPr>
      <w:r>
        <w:rPr>
          <w:rFonts w:ascii="Times New Roman" w:cs="Times New Roman" w:eastAsia="Times New Roman" w:hAnsi="Times New Roman"/>
          <w:sz w:val="18"/>
          <w:szCs w:val="18"/>
          <w:color w:val="auto"/>
        </w:rPr>
        <w:t>Israel Corp. is the holder of $18,181,823 principal amount of convertible debentures which were purchased by Israel Corp. in connection with our 2005 rights offering. The principal of and accrued interest on the convertible debentures is payable in January 2012. To our knowledge, based on information provided to us by Israel Corp., none of the 20,012,170 shares registered for resale by Israel Corp. in prior registration statements, including the 18,181,823 shares issuable upon conversion of the foregoing convertible debentures, have been sold by Israel Corp.</w:t>
      </w:r>
    </w:p>
    <w:p>
      <w:pPr>
        <w:spacing w:after="0" w:line="190" w:lineRule="exact"/>
        <w:rPr>
          <w:sz w:val="20"/>
          <w:szCs w:val="20"/>
          <w:color w:val="auto"/>
        </w:rPr>
      </w:pPr>
    </w:p>
    <w:p>
      <w:pPr>
        <w:ind w:firstLine="395"/>
        <w:spacing w:after="0" w:line="262" w:lineRule="auto"/>
        <w:rPr>
          <w:sz w:val="20"/>
          <w:szCs w:val="20"/>
          <w:color w:val="auto"/>
        </w:rPr>
      </w:pPr>
      <w:r>
        <w:rPr>
          <w:rFonts w:ascii="Times New Roman" w:cs="Times New Roman" w:eastAsia="Times New Roman" w:hAnsi="Times New Roman"/>
          <w:sz w:val="18"/>
          <w:szCs w:val="18"/>
          <w:color w:val="auto"/>
        </w:rPr>
        <w:t>Under a prior registration statement, we registered for resale 4,580,530 shares issuable upon exercise of warrants issued to each of Bank Hapoalim and Bank Leumi Le-Israel. To our knowledge, based on information provided to us by the banks, none of the 9,161,060 shares registered for resale by the banks have been sold by the banks.</w:t>
      </w:r>
    </w:p>
    <w:p>
      <w:pPr>
        <w:spacing w:after="0" w:line="186" w:lineRule="exact"/>
        <w:rPr>
          <w:sz w:val="20"/>
          <w:szCs w:val="20"/>
          <w:color w:val="auto"/>
        </w:rPr>
      </w:pPr>
    </w:p>
    <w:p>
      <w:pPr>
        <w:ind w:right="260" w:firstLine="351"/>
        <w:spacing w:after="0" w:line="339" w:lineRule="auto"/>
        <w:rPr>
          <w:sz w:val="20"/>
          <w:szCs w:val="20"/>
          <w:color w:val="auto"/>
        </w:rPr>
      </w:pPr>
      <w:r>
        <w:rPr>
          <w:rFonts w:ascii="Times New Roman" w:cs="Times New Roman" w:eastAsia="Times New Roman" w:hAnsi="Times New Roman"/>
          <w:sz w:val="16"/>
          <w:szCs w:val="16"/>
          <w:color w:val="auto"/>
        </w:rPr>
        <w:t>Nothing in this Registration Statement shall be construed as an admission that any selling securityholder is the beneficial owner of any of our securities, other than the securities held directly by such party, nor that any selling securityholder or other persons or entities constitute a “group”, for purposes of Section</w:t>
      </w:r>
    </w:p>
    <w:p>
      <w:pPr>
        <w:sectPr>
          <w:pgSz w:w="11900" w:h="16838" w:orient="portrait"/>
          <w:cols w:equalWidth="0" w:num="1">
            <w:col w:w="11420"/>
          </w:cols>
          <w:pgMar w:left="240" w:top="463" w:right="239" w:bottom="0" w:gutter="0" w:footer="0" w:header="0"/>
        </w:sectPr>
      </w:pPr>
    </w:p>
    <w:bookmarkStart w:id="14" w:name="page15"/>
    <w:bookmarkEnd w:id="14"/>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13(d) of the Exchange Act and the rules promulgated thereunder.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The following table assumes that each selling securityholder will sell all of the securities owned by it and covered by this prospectus. Information included in the table is based upon information provided by the selling securityholders. Our registration of these securities does not necessarily mean that the selling securityholders will sell any or all of the securities.</w:t>
      </w:r>
    </w:p>
    <w:p>
      <w:pPr>
        <w:spacing w:after="0" w:line="18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Except as otherwise noted below none of the selling securityholders are broker-dealers or affiliates of broker-dealers.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2340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234061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40" w:type="dxa"/>
            <w:vAlign w:val="bottom"/>
            <w:gridSpan w:val="5"/>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6"/>
              </w:rPr>
              <w:t>Securities Beneficially</w:t>
            </w:r>
          </w:p>
        </w:tc>
        <w:tc>
          <w:tcPr>
            <w:tcW w:w="3620" w:type="dxa"/>
            <w:vAlign w:val="bottom"/>
            <w:gridSpan w:val="4"/>
          </w:tcPr>
          <w:p>
            <w:pPr>
              <w:jc w:val="center"/>
              <w:ind w:left="92"/>
              <w:spacing w:after="0"/>
              <w:rPr>
                <w:sz w:val="20"/>
                <w:szCs w:val="20"/>
                <w:color w:val="auto"/>
              </w:rPr>
            </w:pPr>
            <w:r>
              <w:rPr>
                <w:rFonts w:ascii="Times New Roman" w:cs="Times New Roman" w:eastAsia="Times New Roman" w:hAnsi="Times New Roman"/>
                <w:sz w:val="18"/>
                <w:szCs w:val="18"/>
                <w:b w:val="1"/>
                <w:bCs w:val="1"/>
                <w:color w:val="auto"/>
                <w:w w:val="97"/>
              </w:rPr>
              <w:t>Securities Beneficially Owned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gridSpan w:val="5"/>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w w:val="97"/>
              </w:rPr>
              <w:t>Owned Prior to Offering /</w:t>
            </w:r>
          </w:p>
        </w:tc>
        <w:tc>
          <w:tcPr>
            <w:tcW w:w="3620" w:type="dxa"/>
            <w:vAlign w:val="bottom"/>
            <w:gridSpan w:val="4"/>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Upon Completion of Offering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gridSpan w:val="4"/>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Names and Addresses</w:t>
            </w:r>
          </w:p>
        </w:tc>
        <w:tc>
          <w:tcPr>
            <w:tcW w:w="500" w:type="dxa"/>
            <w:vAlign w:val="bottom"/>
          </w:tcPr>
          <w:p>
            <w:pPr>
              <w:spacing w:after="0"/>
              <w:rPr>
                <w:sz w:val="14"/>
                <w:szCs w:val="14"/>
                <w:color w:val="auto"/>
              </w:rPr>
            </w:pPr>
          </w:p>
        </w:tc>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Securities Being Offered</w:t>
            </w:r>
          </w:p>
        </w:tc>
        <w:tc>
          <w:tcPr>
            <w:tcW w:w="740" w:type="dxa"/>
            <w:vAlign w:val="bottom"/>
          </w:tcPr>
          <w:p>
            <w:pPr>
              <w:spacing w:after="0"/>
              <w:rPr>
                <w:sz w:val="14"/>
                <w:szCs w:val="14"/>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Percentage of Class</w:t>
            </w: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1</w:t>
            </w:r>
          </w:p>
        </w:tc>
        <w:tc>
          <w:tcPr>
            <w:tcW w:w="440" w:type="dxa"/>
            <w:vAlign w:val="bottom"/>
            <w:vMerge w:val="restart"/>
          </w:tcPr>
          <w:p>
            <w:pPr>
              <w:spacing w:after="0"/>
              <w:rPr>
                <w:sz w:val="14"/>
                <w:szCs w:val="14"/>
                <w:color w:val="auto"/>
              </w:rPr>
            </w:pPr>
          </w:p>
        </w:tc>
        <w:tc>
          <w:tcPr>
            <w:tcW w:w="3620" w:type="dxa"/>
            <w:vAlign w:val="bottom"/>
            <w:gridSpan w:val="4"/>
            <w:vMerge w:val="restart"/>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Percentage of Class</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196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36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top w:val="single" w:sz="8" w:color="auto"/>
              <w:bottom w:val="single" w:sz="8" w:color="2C2C2C"/>
            </w:tcBorders>
          </w:tcPr>
          <w:p>
            <w:pPr>
              <w:spacing w:after="0"/>
              <w:rPr>
                <w:sz w:val="5"/>
                <w:szCs w:val="5"/>
                <w:color w:val="auto"/>
              </w:rPr>
            </w:pPr>
          </w:p>
        </w:tc>
        <w:tc>
          <w:tcPr>
            <w:tcW w:w="500" w:type="dxa"/>
            <w:vAlign w:val="bottom"/>
            <w:tcBorders>
              <w:top w:val="single" w:sz="8" w:color="auto"/>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820" w:type="dxa"/>
            <w:vAlign w:val="bottom"/>
            <w:tcBorders>
              <w:top w:val="single" w:sz="8" w:color="auto"/>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20" w:type="dxa"/>
            <w:vAlign w:val="bottom"/>
            <w:tcBorders>
              <w:top w:val="single" w:sz="8" w:color="auto"/>
              <w:bottom w:val="single" w:sz="8" w:color="2C2C2C"/>
            </w:tcBorders>
          </w:tcPr>
          <w:p>
            <w:pPr>
              <w:spacing w:after="0"/>
              <w:rPr>
                <w:sz w:val="5"/>
                <w:szCs w:val="5"/>
                <w:color w:val="auto"/>
              </w:rPr>
            </w:pPr>
          </w:p>
        </w:tc>
        <w:tc>
          <w:tcPr>
            <w:tcW w:w="1280" w:type="dxa"/>
            <w:vAlign w:val="bottom"/>
            <w:tcBorders>
              <w:top w:val="single" w:sz="8" w:color="auto"/>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1460" w:type="dxa"/>
            <w:vAlign w:val="bottom"/>
            <w:tcBorders>
              <w:top w:val="single" w:sz="8" w:color="auto"/>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80" w:type="dxa"/>
            <w:vAlign w:val="bottom"/>
            <w:gridSpan w:val="4"/>
          </w:tcPr>
          <w:p>
            <w:pPr>
              <w:ind w:left="60"/>
              <w:spacing w:after="0" w:line="283" w:lineRule="exact"/>
              <w:rPr>
                <w:sz w:val="20"/>
                <w:szCs w:val="20"/>
                <w:color w:val="auto"/>
              </w:rPr>
            </w:pPr>
            <w:r>
              <w:rPr>
                <w:rFonts w:ascii="Times New Roman" w:cs="Times New Roman" w:eastAsia="Times New Roman" w:hAnsi="Times New Roman"/>
                <w:sz w:val="18"/>
                <w:szCs w:val="18"/>
                <w:color w:val="auto"/>
              </w:rPr>
              <w:t xml:space="preserve">Israel Corporation Ltd. </w:t>
            </w:r>
            <w:r>
              <w:rPr>
                <w:rFonts w:ascii="Times New Roman" w:cs="Times New Roman" w:eastAsia="Times New Roman" w:hAnsi="Times New Roman"/>
                <w:sz w:val="29"/>
                <w:szCs w:val="29"/>
                <w:color w:val="auto"/>
                <w:vertAlign w:val="superscript"/>
              </w:rPr>
              <w:t>6,8</w:t>
            </w:r>
          </w:p>
        </w:tc>
        <w:tc>
          <w:tcPr>
            <w:tcW w:w="2460" w:type="dxa"/>
            <w:vAlign w:val="bottom"/>
            <w:gridSpan w:val="3"/>
          </w:tcPr>
          <w:p>
            <w:pPr>
              <w:ind w:left="320"/>
              <w:spacing w:after="0" w:line="283" w:lineRule="exact"/>
              <w:rPr>
                <w:sz w:val="20"/>
                <w:szCs w:val="20"/>
                <w:color w:val="auto"/>
              </w:rPr>
            </w:pPr>
            <w:r>
              <w:rPr>
                <w:rFonts w:ascii="Times New Roman" w:cs="Times New Roman" w:eastAsia="Times New Roman" w:hAnsi="Times New Roman"/>
                <w:sz w:val="18"/>
                <w:szCs w:val="18"/>
                <w:color w:val="auto"/>
              </w:rPr>
              <w:t xml:space="preserve">65,789,474 Shares </w:t>
            </w:r>
            <w:r>
              <w:rPr>
                <w:rFonts w:ascii="Times New Roman" w:cs="Times New Roman" w:eastAsia="Times New Roman" w:hAnsi="Times New Roman"/>
                <w:sz w:val="29"/>
                <w:szCs w:val="29"/>
                <w:color w:val="auto"/>
                <w:vertAlign w:val="superscript"/>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98,290,707</w:t>
            </w:r>
          </w:p>
        </w:tc>
        <w:tc>
          <w:tcPr>
            <w:tcW w:w="17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 47.97%</w:t>
            </w:r>
          </w:p>
        </w:tc>
        <w:tc>
          <w:tcPr>
            <w:tcW w:w="3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32,501,233 Shares / 11.99%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23 Arania Street</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Millenium Tower</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Tel-Aviv, Israel 61204</w:t>
            </w:r>
          </w:p>
        </w:tc>
        <w:tc>
          <w:tcPr>
            <w:tcW w:w="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80" w:type="dxa"/>
            <w:vAlign w:val="bottom"/>
            <w:gridSpan w:val="4"/>
          </w:tcPr>
          <w:p>
            <w:pPr>
              <w:ind w:left="60"/>
              <w:spacing w:after="0" w:line="283" w:lineRule="exact"/>
              <w:rPr>
                <w:sz w:val="20"/>
                <w:szCs w:val="20"/>
                <w:color w:val="auto"/>
              </w:rPr>
            </w:pPr>
            <w:r>
              <w:rPr>
                <w:rFonts w:ascii="Times New Roman" w:cs="Times New Roman" w:eastAsia="Times New Roman" w:hAnsi="Times New Roman"/>
                <w:sz w:val="18"/>
                <w:szCs w:val="18"/>
                <w:color w:val="auto"/>
              </w:rPr>
              <w:t xml:space="preserve">Bank Hapoalim </w:t>
            </w:r>
            <w:r>
              <w:rPr>
                <w:rFonts w:ascii="Times New Roman" w:cs="Times New Roman" w:eastAsia="Times New Roman" w:hAnsi="Times New Roman"/>
                <w:sz w:val="29"/>
                <w:szCs w:val="29"/>
                <w:color w:val="auto"/>
                <w:vertAlign w:val="superscript"/>
              </w:rPr>
              <w:t>7, 8</w:t>
            </w:r>
          </w:p>
        </w:tc>
        <w:tc>
          <w:tcPr>
            <w:tcW w:w="2460" w:type="dxa"/>
            <w:vAlign w:val="bottom"/>
            <w:gridSpan w:val="3"/>
          </w:tcPr>
          <w:p>
            <w:pPr>
              <w:ind w:left="320"/>
              <w:spacing w:after="0" w:line="283" w:lineRule="exact"/>
              <w:rPr>
                <w:sz w:val="20"/>
                <w:szCs w:val="20"/>
                <w:color w:val="auto"/>
              </w:rPr>
            </w:pPr>
            <w:r>
              <w:rPr>
                <w:rFonts w:ascii="Times New Roman" w:cs="Times New Roman" w:eastAsia="Times New Roman" w:hAnsi="Times New Roman"/>
                <w:sz w:val="18"/>
                <w:szCs w:val="18"/>
                <w:color w:val="auto"/>
              </w:rPr>
              <w:t xml:space="preserve">25,986,842 Shares </w:t>
            </w:r>
            <w:r>
              <w:rPr>
                <w:rFonts w:ascii="Times New Roman" w:cs="Times New Roman" w:eastAsia="Times New Roman" w:hAnsi="Times New Roman"/>
                <w:sz w:val="29"/>
                <w:szCs w:val="29"/>
                <w:color w:val="auto"/>
                <w:vertAlign w:val="superscript"/>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30,567,372</w:t>
            </w:r>
          </w:p>
        </w:tc>
        <w:tc>
          <w:tcPr>
            <w:tcW w:w="17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4</w:t>
            </w:r>
            <w:r>
              <w:rPr>
                <w:rFonts w:ascii="Times New Roman" w:cs="Times New Roman" w:eastAsia="Times New Roman" w:hAnsi="Times New Roman"/>
                <w:sz w:val="18"/>
                <w:szCs w:val="18"/>
                <w:color w:val="auto"/>
              </w:rPr>
              <w:t>/ 20.18%</w:t>
            </w:r>
          </w:p>
        </w:tc>
        <w:tc>
          <w:tcPr>
            <w:tcW w:w="3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4,580,530 Shares /1.88 %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Zion Building</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45 Rothschild Boulevard</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Tel-Aviv, Israel</w:t>
            </w:r>
          </w:p>
        </w:tc>
        <w:tc>
          <w:tcPr>
            <w:tcW w:w="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580" w:type="dxa"/>
            <w:vAlign w:val="bottom"/>
            <w:gridSpan w:val="4"/>
          </w:tcPr>
          <w:p>
            <w:pPr>
              <w:ind w:left="60"/>
              <w:spacing w:after="0" w:line="283" w:lineRule="exact"/>
              <w:rPr>
                <w:sz w:val="20"/>
                <w:szCs w:val="20"/>
                <w:color w:val="auto"/>
              </w:rPr>
            </w:pPr>
            <w:r>
              <w:rPr>
                <w:rFonts w:ascii="Times New Roman" w:cs="Times New Roman" w:eastAsia="Times New Roman" w:hAnsi="Times New Roman"/>
                <w:sz w:val="18"/>
                <w:szCs w:val="18"/>
                <w:color w:val="auto"/>
              </w:rPr>
              <w:t xml:space="preserve">Bank Leumi </w:t>
            </w:r>
            <w:r>
              <w:rPr>
                <w:rFonts w:ascii="Times New Roman" w:cs="Times New Roman" w:eastAsia="Times New Roman" w:hAnsi="Times New Roman"/>
                <w:sz w:val="29"/>
                <w:szCs w:val="29"/>
                <w:color w:val="auto"/>
                <w:vertAlign w:val="superscript"/>
              </w:rPr>
              <w:t>7, 8</w:t>
            </w:r>
          </w:p>
        </w:tc>
        <w:tc>
          <w:tcPr>
            <w:tcW w:w="2460" w:type="dxa"/>
            <w:vAlign w:val="bottom"/>
            <w:gridSpan w:val="3"/>
          </w:tcPr>
          <w:p>
            <w:pPr>
              <w:ind w:left="320"/>
              <w:spacing w:after="0" w:line="283" w:lineRule="exact"/>
              <w:rPr>
                <w:sz w:val="20"/>
                <w:szCs w:val="20"/>
                <w:color w:val="auto"/>
              </w:rPr>
            </w:pPr>
            <w:r>
              <w:rPr>
                <w:rFonts w:ascii="Times New Roman" w:cs="Times New Roman" w:eastAsia="Times New Roman" w:hAnsi="Times New Roman"/>
                <w:sz w:val="18"/>
                <w:szCs w:val="18"/>
                <w:color w:val="auto"/>
              </w:rPr>
              <w:t xml:space="preserve">25,986,842 Shares </w:t>
            </w:r>
            <w:r>
              <w:rPr>
                <w:rFonts w:ascii="Times New Roman" w:cs="Times New Roman" w:eastAsia="Times New Roman" w:hAnsi="Times New Roman"/>
                <w:sz w:val="29"/>
                <w:szCs w:val="29"/>
                <w:color w:val="auto"/>
                <w:vertAlign w:val="superscript"/>
              </w:rPr>
              <w:t>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30,567,372</w:t>
            </w:r>
          </w:p>
        </w:tc>
        <w:tc>
          <w:tcPr>
            <w:tcW w:w="1780" w:type="dxa"/>
            <w:vAlign w:val="bottom"/>
            <w:gridSpan w:val="3"/>
          </w:tcPr>
          <w:p>
            <w:pPr>
              <w:ind w:left="20"/>
              <w:spacing w:after="0" w:line="283" w:lineRule="exact"/>
              <w:rPr>
                <w:sz w:val="20"/>
                <w:szCs w:val="20"/>
                <w:color w:val="auto"/>
              </w:rPr>
            </w:pPr>
            <w:r>
              <w:rPr>
                <w:rFonts w:ascii="Times New Roman" w:cs="Times New Roman" w:eastAsia="Times New Roman" w:hAnsi="Times New Roman"/>
                <w:sz w:val="18"/>
                <w:szCs w:val="18"/>
                <w:color w:val="auto"/>
              </w:rPr>
              <w:t xml:space="preserve">Shares </w:t>
            </w:r>
            <w:r>
              <w:rPr>
                <w:rFonts w:ascii="Times New Roman" w:cs="Times New Roman" w:eastAsia="Times New Roman" w:hAnsi="Times New Roman"/>
                <w:sz w:val="29"/>
                <w:szCs w:val="29"/>
                <w:color w:val="auto"/>
                <w:vertAlign w:val="superscript"/>
              </w:rPr>
              <w:t>5</w:t>
            </w:r>
            <w:r>
              <w:rPr>
                <w:rFonts w:ascii="Times New Roman" w:cs="Times New Roman" w:eastAsia="Times New Roman" w:hAnsi="Times New Roman"/>
                <w:sz w:val="18"/>
                <w:szCs w:val="18"/>
                <w:color w:val="auto"/>
              </w:rPr>
              <w:t>/ 20.18%</w:t>
            </w:r>
          </w:p>
        </w:tc>
        <w:tc>
          <w:tcPr>
            <w:tcW w:w="36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4,580,530 Shares / 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34 Yehuda Halevi Street</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8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Tel-Aviv, Israel</w:t>
            </w:r>
          </w:p>
        </w:tc>
        <w:tc>
          <w:tcPr>
            <w:tcW w:w="5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0"/>
        </w:trPr>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160" w:right="340" w:hanging="571"/>
        <w:spacing w:after="0" w:line="197" w:lineRule="auto"/>
        <w:tabs>
          <w:tab w:leader="none" w:pos="1160" w:val="left"/>
        </w:tabs>
        <w:numPr>
          <w:ilvl w:val="0"/>
          <w:numId w:val="1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Beneficial ownership is calculated as of March 31, 2007 in accordance with General Instruction F. to Form 20-F and is based on 120,882,946 ordinary shares outstanding.</w:t>
      </w:r>
    </w:p>
    <w:p>
      <w:pPr>
        <w:ind w:left="1160" w:hanging="571"/>
        <w:spacing w:after="0" w:line="181" w:lineRule="auto"/>
        <w:tabs>
          <w:tab w:leader="none" w:pos="1160"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Aggregate number of shares issuable upon conversion of equity equivalent convertible capital notes.</w:t>
      </w:r>
    </w:p>
    <w:p>
      <w:pPr>
        <w:ind w:left="1160" w:hanging="571"/>
        <w:spacing w:after="0" w:line="180" w:lineRule="auto"/>
        <w:tabs>
          <w:tab w:leader="none" w:pos="1160" w:val="left"/>
        </w:tabs>
        <w:numPr>
          <w:ilvl w:val="0"/>
          <w:numId w:val="1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58,906 ordinary shares issuable upon exercise of warrants and 18,181,823 ordinary shares issuable upon conversion of debentures.</w:t>
      </w:r>
    </w:p>
    <w:p>
      <w:pPr>
        <w:ind w:left="1160" w:hanging="571"/>
        <w:spacing w:after="0" w:line="180" w:lineRule="auto"/>
        <w:tabs>
          <w:tab w:leader="none" w:pos="116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4,132,232 ordinary shares issuable upon exercise of selling securityholder’s warrants and 448,298 ordinary shares issuable upon</w:t>
      </w:r>
    </w:p>
    <w:p>
      <w:pPr>
        <w:spacing w:after="0" w:line="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exercise of warrants issued to Tarshish Hahzakot Vehashkaot Hapoalim Ltd., a subsidiary of selling securityholder.</w:t>
      </w:r>
    </w:p>
    <w:p>
      <w:pPr>
        <w:ind w:left="1160" w:hanging="571"/>
        <w:spacing w:after="0" w:line="181" w:lineRule="auto"/>
        <w:tabs>
          <w:tab w:leader="none" w:pos="116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4,580,530 ordinary shares issuable upon exercise of selling securityholder’s warrants.</w:t>
      </w:r>
    </w:p>
    <w:p>
      <w:pPr>
        <w:ind w:left="1160" w:hanging="571"/>
        <w:spacing w:after="0" w:line="180" w:lineRule="auto"/>
        <w:tabs>
          <w:tab w:leader="none" w:pos="116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Under a shareholders agreement described below, SanDisk Corporation, Israel Corporation, Alliance Semiconductor Ltd. and Macronix</w:t>
      </w:r>
    </w:p>
    <w:p>
      <w:pPr>
        <w:spacing w:after="0" w:line="205" w:lineRule="exact"/>
        <w:rPr>
          <w:sz w:val="20"/>
          <w:szCs w:val="20"/>
          <w:color w:val="auto"/>
        </w:rPr>
      </w:pPr>
    </w:p>
    <w:p>
      <w:pPr>
        <w:ind w:left="1160" w:right="120" w:hanging="571"/>
        <w:spacing w:after="0" w:line="206" w:lineRule="auto"/>
        <w:tabs>
          <w:tab w:leader="none" w:pos="1160" w:val="left"/>
        </w:tabs>
        <w:numPr>
          <w:ilvl w:val="0"/>
          <w:numId w:val="2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This selling securityholder is an affiliate of a broker-dealer. This selling securityholder has represented to us that it (i) purchased the securities in the ordinary course of business and (ii) did not have an agreement or understanding, directly or indirectly, with any person to distribute the</w:t>
      </w:r>
    </w:p>
    <w:p>
      <w:pPr>
        <w:ind w:left="1160"/>
        <w:spacing w:after="0"/>
        <w:rPr>
          <w:sz w:val="20"/>
          <w:szCs w:val="20"/>
          <w:color w:val="auto"/>
        </w:rPr>
      </w:pPr>
      <w:r>
        <w:rPr>
          <w:rFonts w:ascii="Times New Roman" w:cs="Times New Roman" w:eastAsia="Times New Roman" w:hAnsi="Times New Roman"/>
          <w:sz w:val="18"/>
          <w:szCs w:val="18"/>
          <w:color w:val="auto"/>
        </w:rPr>
        <w:t>securities at the time it purchased the securities.</w:t>
      </w:r>
    </w:p>
    <w:p>
      <w:pPr>
        <w:spacing w:after="0" w:line="9" w:lineRule="exact"/>
        <w:rPr>
          <w:sz w:val="20"/>
          <w:szCs w:val="20"/>
          <w:color w:val="auto"/>
        </w:rPr>
      </w:pPr>
    </w:p>
    <w:p>
      <w:pPr>
        <w:ind w:left="1160" w:right="320" w:hanging="571"/>
        <w:spacing w:after="0" w:line="191" w:lineRule="auto"/>
        <w:tabs>
          <w:tab w:leader="none" w:pos="116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This selling securityholder is a public company registered with the Israel Securities Authority. The power to vote and dispose of the securities held by the selling securityholder rests with its board of directors.</w:t>
      </w:r>
    </w:p>
    <w:p>
      <w:pPr>
        <w:spacing w:after="0" w:line="200" w:lineRule="exact"/>
        <w:rPr>
          <w:sz w:val="20"/>
          <w:szCs w:val="20"/>
          <w:color w:val="auto"/>
        </w:rPr>
      </w:pPr>
    </w:p>
    <w:p>
      <w:pPr>
        <w:spacing w:after="0" w:line="249"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Pursuant to a shareholders agreement dated January 18, 2001, among Israel Corp., Alliance Semiconductor, SanDisk and Macronix, such parties have agreed, among other things, to vote or cause to be voted all their respective shares for the election to the Board of Directors of nominees designated by each party, nominees recommended by the Board, the election of a designee of Israel Corp. to serve as Chairman of the Board, unless agreed to otherwise, and against the election of any other persons to the Board of Directors. In addition, subject to certain exceptions, each shareholder agreed to restrictions on the transfer of its shares, including certain rights of first refusal, and through January 2008, to maintain minimum shareholdings.</w:t>
      </w:r>
    </w:p>
    <w:p>
      <w:pPr>
        <w:spacing w:after="0" w:line="193" w:lineRule="exact"/>
        <w:rPr>
          <w:sz w:val="20"/>
          <w:szCs w:val="20"/>
          <w:color w:val="auto"/>
        </w:rPr>
      </w:pPr>
    </w:p>
    <w:p>
      <w:pPr>
        <w:ind w:right="320" w:firstLine="395"/>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total possible profit to be realized as a result of any conversion discounts for securities underlying any securities of the issuer that are held by the selling securityholders or their affiliates (other than the equity equivalent capital notes):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Combined market</w:t>
            </w: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price of the</w:t>
            </w: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Discount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Market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underlying</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4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 price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price 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Underlying shares</w:t>
            </w:r>
          </w:p>
        </w:tc>
        <w:tc>
          <w:tcPr>
            <w:tcW w:w="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shares</w:t>
            </w:r>
            <w:r>
              <w:rPr>
                <w:rFonts w:ascii="Times New Roman" w:cs="Times New Roman" w:eastAsia="Times New Roman" w:hAnsi="Times New Roman"/>
                <w:sz w:val="17"/>
                <w:szCs w:val="17"/>
                <w:b w:val="1"/>
                <w:bCs w:val="1"/>
                <w:color w:val="auto"/>
                <w:vertAlign w:val="superscript"/>
              </w:rPr>
              <w:t>(1)</w:t>
            </w:r>
            <w:r>
              <w:rPr>
                <w:rFonts w:ascii="Times New Roman" w:cs="Times New Roman" w:eastAsia="Times New Roman" w:hAnsi="Times New Roman"/>
                <w:sz w:val="11"/>
                <w:szCs w:val="11"/>
                <w:b w:val="1"/>
                <w:bCs w:val="1"/>
                <w:color w:val="auto"/>
              </w:rPr>
              <w:t xml:space="preserve"> (US</w:t>
            </w:r>
          </w:p>
        </w:tc>
        <w:tc>
          <w:tcPr>
            <w:tcW w:w="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conversion/exercise</w:t>
            </w:r>
          </w:p>
        </w:tc>
        <w:tc>
          <w:tcPr>
            <w:tcW w:w="40" w:type="dxa"/>
            <w:vAlign w:val="bottom"/>
          </w:tcPr>
          <w:p>
            <w:pPr>
              <w:spacing w:after="0"/>
              <w:rPr>
                <w:sz w:val="12"/>
                <w:szCs w:val="12"/>
                <w:color w:val="auto"/>
              </w:rPr>
            </w:pPr>
          </w:p>
        </w:tc>
        <w:tc>
          <w:tcPr>
            <w:tcW w:w="14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 date of sale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w w:val="98"/>
              </w:rPr>
              <w:t>the date of</w:t>
            </w:r>
          </w:p>
        </w:tc>
        <w:tc>
          <w:tcPr>
            <w:tcW w:w="40" w:type="dxa"/>
            <w:vAlign w:val="bottom"/>
          </w:tcPr>
          <w:p>
            <w:pPr>
              <w:spacing w:after="0"/>
              <w:rPr>
                <w:sz w:val="13"/>
                <w:szCs w:val="13"/>
                <w:color w:val="auto"/>
              </w:rPr>
            </w:pPr>
          </w:p>
        </w:tc>
        <w:tc>
          <w:tcPr>
            <w:tcW w:w="12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w w:val="97"/>
              </w:rPr>
              <w:t>Conversion/Exercise</w:t>
            </w:r>
          </w:p>
        </w:tc>
        <w:tc>
          <w:tcPr>
            <w:tcW w:w="40" w:type="dxa"/>
            <w:vAlign w:val="bottom"/>
          </w:tcPr>
          <w:p>
            <w:pPr>
              <w:spacing w:after="0"/>
              <w:rPr>
                <w:sz w:val="13"/>
                <w:szCs w:val="13"/>
                <w:color w:val="auto"/>
              </w:rPr>
            </w:pPr>
          </w:p>
        </w:tc>
        <w:tc>
          <w:tcPr>
            <w:tcW w:w="14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issuable upon</w:t>
            </w:r>
          </w:p>
        </w:tc>
        <w:tc>
          <w:tcPr>
            <w:tcW w:w="6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5"/>
              </w:rPr>
              <w:t>dollars in</w:t>
            </w:r>
          </w:p>
        </w:tc>
        <w:tc>
          <w:tcPr>
            <w:tcW w:w="40" w:type="dxa"/>
            <w:vAlign w:val="bottom"/>
          </w:tcPr>
          <w:p>
            <w:pPr>
              <w:spacing w:after="0"/>
              <w:rPr>
                <w:sz w:val="13"/>
                <w:szCs w:val="13"/>
                <w:color w:val="auto"/>
              </w:rPr>
            </w:pPr>
          </w:p>
        </w:tc>
        <w:tc>
          <w:tcPr>
            <w:tcW w:w="1420" w:type="dxa"/>
            <w:vAlign w:val="bottom"/>
          </w:tcPr>
          <w:p>
            <w:pPr>
              <w:jc w:val="center"/>
              <w:spacing w:after="0" w:line="159" w:lineRule="exact"/>
              <w:rPr>
                <w:sz w:val="20"/>
                <w:szCs w:val="20"/>
                <w:color w:val="auto"/>
              </w:rPr>
            </w:pPr>
            <w:r>
              <w:rPr>
                <w:rFonts w:ascii="Times New Roman" w:cs="Times New Roman" w:eastAsia="Times New Roman" w:hAnsi="Times New Roman"/>
                <w:sz w:val="12"/>
                <w:szCs w:val="12"/>
                <w:b w:val="1"/>
                <w:bCs w:val="1"/>
                <w:color w:val="auto"/>
              </w:rPr>
              <w:t>price</w:t>
            </w:r>
            <w:r>
              <w:rPr>
                <w:rFonts w:ascii="Times New Roman" w:cs="Times New Roman" w:eastAsia="Times New Roman" w:hAnsi="Times New Roman"/>
                <w:sz w:val="18"/>
                <w:szCs w:val="18"/>
                <w:b w:val="1"/>
                <w:bCs w:val="1"/>
                <w:color w:val="auto"/>
                <w:vertAlign w:val="superscript"/>
              </w:rPr>
              <w:t>(2)</w:t>
            </w:r>
            <w:r>
              <w:rPr>
                <w:rFonts w:ascii="Times New Roman" w:cs="Times New Roman" w:eastAsia="Times New Roman" w:hAnsi="Times New Roman"/>
                <w:sz w:val="12"/>
                <w:szCs w:val="12"/>
                <w:b w:val="1"/>
                <w:bCs w:val="1"/>
                <w:color w:val="auto"/>
              </w:rPr>
              <w:t xml:space="preserve"> (US dollars in</w:t>
            </w:r>
          </w:p>
        </w:tc>
        <w:tc>
          <w:tcPr>
            <w:tcW w:w="40" w:type="dxa"/>
            <w:vAlign w:val="bottom"/>
          </w:tcPr>
          <w:p>
            <w:pPr>
              <w:spacing w:after="0"/>
              <w:rPr>
                <w:sz w:val="13"/>
                <w:szCs w:val="13"/>
                <w:color w:val="auto"/>
              </w:rPr>
            </w:pPr>
          </w:p>
        </w:tc>
        <w:tc>
          <w:tcPr>
            <w:tcW w:w="1440" w:type="dxa"/>
            <w:vAlign w:val="bottom"/>
            <w:gridSpan w:val="2"/>
          </w:tcPr>
          <w:p>
            <w:pPr>
              <w:jc w:val="center"/>
              <w:ind w:right="20"/>
              <w:spacing w:after="0" w:line="159" w:lineRule="exact"/>
              <w:rPr>
                <w:sz w:val="20"/>
                <w:szCs w:val="20"/>
                <w:color w:val="auto"/>
              </w:rPr>
            </w:pPr>
            <w:r>
              <w:rPr>
                <w:rFonts w:ascii="Times New Roman" w:cs="Times New Roman" w:eastAsia="Times New Roman" w:hAnsi="Times New Roman"/>
                <w:sz w:val="14"/>
                <w:szCs w:val="14"/>
                <w:b w:val="1"/>
                <w:bCs w:val="1"/>
                <w:color w:val="auto"/>
                <w:w w:val="94"/>
              </w:rPr>
              <w:t>(US dollars in</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6"/>
              </w:rPr>
              <w:t>sale (US$)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conversion/exercise</w:t>
            </w:r>
          </w:p>
        </w:tc>
        <w:tc>
          <w:tcPr>
            <w:tcW w:w="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40" w:type="dxa"/>
            <w:vAlign w:val="bottom"/>
          </w:tcPr>
          <w:p>
            <w:pPr>
              <w:spacing w:after="0"/>
              <w:rPr>
                <w:sz w:val="15"/>
                <w:szCs w:val="15"/>
                <w:color w:val="auto"/>
              </w:rPr>
            </w:pPr>
          </w:p>
        </w:tc>
        <w:tc>
          <w:tcPr>
            <w:tcW w:w="14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2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Israel Corp.</w:t>
            </w:r>
            <w:r>
              <w:rPr>
                <w:rFonts w:ascii="Times New Roman" w:cs="Times New Roman" w:eastAsia="Times New Roman" w:hAnsi="Times New Roman"/>
                <w:sz w:val="29"/>
                <w:szCs w:val="29"/>
                <w:color w:val="auto"/>
                <w:vertAlign w:val="superscript"/>
              </w:rPr>
              <w:t>(3)</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6.30</w:t>
            </w:r>
            <w:r>
              <w:rPr>
                <w:rFonts w:ascii="Times New Roman" w:cs="Times New Roman" w:eastAsia="Times New Roman" w:hAnsi="Times New Roman"/>
                <w:sz w:val="14"/>
                <w:szCs w:val="14"/>
                <w:color w:val="auto"/>
              </w:rPr>
              <w:t>(9)</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6.17</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58,906</w:t>
            </w:r>
          </w:p>
        </w:tc>
        <w:tc>
          <w:tcPr>
            <w:tcW w:w="1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371</w:t>
            </w:r>
          </w:p>
        </w:tc>
        <w:tc>
          <w:tcPr>
            <w:tcW w:w="14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363</w:t>
            </w:r>
          </w:p>
        </w:tc>
        <w:tc>
          <w:tcPr>
            <w:tcW w:w="14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Israel Corp. </w:t>
            </w:r>
            <w:r>
              <w:rPr>
                <w:rFonts w:ascii="Times New Roman" w:cs="Times New Roman" w:eastAsia="Times New Roman" w:hAnsi="Times New Roman"/>
                <w:sz w:val="29"/>
                <w:szCs w:val="29"/>
                <w:color w:val="auto"/>
                <w:vertAlign w:val="superscript"/>
              </w:rPr>
              <w:t>(4)</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1.10</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18,181,823</w:t>
            </w: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28,727</w:t>
            </w:r>
          </w:p>
        </w:tc>
        <w:tc>
          <w:tcPr>
            <w:tcW w:w="14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20,000</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8,727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Bank Hapoalim</w:t>
            </w:r>
            <w:r>
              <w:rPr>
                <w:rFonts w:ascii="Times New Roman" w:cs="Times New Roman" w:eastAsia="Times New Roman" w:hAnsi="Times New Roman"/>
                <w:sz w:val="29"/>
                <w:szCs w:val="29"/>
                <w:color w:val="auto"/>
                <w:vertAlign w:val="superscript"/>
              </w:rPr>
              <w:t>(5)</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6.30</w:t>
            </w:r>
            <w:r>
              <w:rPr>
                <w:rFonts w:ascii="Times New Roman" w:cs="Times New Roman" w:eastAsia="Times New Roman" w:hAnsi="Times New Roman"/>
                <w:sz w:val="14"/>
                <w:szCs w:val="14"/>
                <w:color w:val="auto"/>
              </w:rPr>
              <w:t>(9)</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6.17</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448,298</w:t>
            </w:r>
          </w:p>
        </w:tc>
        <w:tc>
          <w:tcPr>
            <w:tcW w:w="1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2,824</w:t>
            </w:r>
          </w:p>
        </w:tc>
        <w:tc>
          <w:tcPr>
            <w:tcW w:w="14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2,766</w:t>
            </w:r>
          </w:p>
        </w:tc>
        <w:tc>
          <w:tcPr>
            <w:tcW w:w="14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Bank Hapoalim</w:t>
            </w:r>
            <w:r>
              <w:rPr>
                <w:rFonts w:ascii="Times New Roman" w:cs="Times New Roman" w:eastAsia="Times New Roman" w:hAnsi="Times New Roman"/>
                <w:sz w:val="29"/>
                <w:szCs w:val="29"/>
                <w:color w:val="auto"/>
                <w:vertAlign w:val="superscript"/>
              </w:rPr>
              <w:t>(6)</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4"/>
                <w:szCs w:val="14"/>
                <w:color w:val="auto"/>
              </w:rPr>
              <w:t>(9)</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1.21</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4,132,232</w:t>
            </w: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5,165</w:t>
            </w:r>
          </w:p>
        </w:tc>
        <w:tc>
          <w:tcPr>
            <w:tcW w:w="14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5,000</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shd w:val="clear" w:color="auto" w:fill="CCEEFF"/>
          </w:tcPr>
          <w:p>
            <w:pPr>
              <w:ind w:left="40"/>
              <w:spacing w:after="0" w:line="256" w:lineRule="exact"/>
              <w:rPr>
                <w:sz w:val="20"/>
                <w:szCs w:val="20"/>
                <w:color w:val="auto"/>
              </w:rPr>
            </w:pPr>
            <w:r>
              <w:rPr>
                <w:rFonts w:ascii="Times New Roman" w:cs="Times New Roman" w:eastAsia="Times New Roman" w:hAnsi="Times New Roman"/>
                <w:sz w:val="18"/>
                <w:szCs w:val="18"/>
                <w:color w:val="auto"/>
              </w:rPr>
              <w:t>Bank Leumi</w:t>
            </w:r>
            <w:r>
              <w:rPr>
                <w:rFonts w:ascii="Times New Roman" w:cs="Times New Roman" w:eastAsia="Times New Roman" w:hAnsi="Times New Roman"/>
                <w:sz w:val="29"/>
                <w:szCs w:val="29"/>
                <w:color w:val="auto"/>
                <w:vertAlign w:val="superscript"/>
              </w:rPr>
              <w:t>(7)</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6.30</w:t>
            </w:r>
            <w:r>
              <w:rPr>
                <w:rFonts w:ascii="Times New Roman" w:cs="Times New Roman" w:eastAsia="Times New Roman" w:hAnsi="Times New Roman"/>
                <w:sz w:val="14"/>
                <w:szCs w:val="14"/>
                <w:color w:val="auto"/>
              </w:rPr>
              <w:t>(9)</w:t>
            </w:r>
          </w:p>
        </w:tc>
        <w:tc>
          <w:tcPr>
            <w:tcW w:w="2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6.17</w:t>
            </w: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448,298</w:t>
            </w:r>
          </w:p>
        </w:tc>
        <w:tc>
          <w:tcPr>
            <w:tcW w:w="1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2,824</w:t>
            </w:r>
          </w:p>
        </w:tc>
        <w:tc>
          <w:tcPr>
            <w:tcW w:w="14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2,766</w:t>
            </w:r>
          </w:p>
        </w:tc>
        <w:tc>
          <w:tcPr>
            <w:tcW w:w="14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880" w:type="dxa"/>
            <w:vAlign w:val="bottom"/>
          </w:tcPr>
          <w:p>
            <w:pPr>
              <w:ind w:left="40"/>
              <w:spacing w:after="0" w:line="256" w:lineRule="exact"/>
              <w:rPr>
                <w:sz w:val="20"/>
                <w:szCs w:val="20"/>
                <w:color w:val="auto"/>
              </w:rPr>
            </w:pPr>
            <w:r>
              <w:rPr>
                <w:rFonts w:ascii="Times New Roman" w:cs="Times New Roman" w:eastAsia="Times New Roman" w:hAnsi="Times New Roman"/>
                <w:sz w:val="18"/>
                <w:szCs w:val="18"/>
                <w:color w:val="auto"/>
              </w:rPr>
              <w:t>Bank Leumi</w:t>
            </w:r>
            <w:r>
              <w:rPr>
                <w:rFonts w:ascii="Times New Roman" w:cs="Times New Roman" w:eastAsia="Times New Roman" w:hAnsi="Times New Roman"/>
                <w:sz w:val="29"/>
                <w:szCs w:val="29"/>
                <w:color w:val="auto"/>
                <w:vertAlign w:val="superscript"/>
              </w:rPr>
              <w:t>(8)</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4"/>
                <w:szCs w:val="14"/>
                <w:color w:val="auto"/>
              </w:rPr>
              <w:t>(9)</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1.21</w:t>
            </w:r>
          </w:p>
        </w:tc>
        <w:tc>
          <w:tcPr>
            <w:tcW w:w="14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4,132,232</w:t>
            </w:r>
          </w:p>
        </w:tc>
        <w:tc>
          <w:tcPr>
            <w:tcW w:w="148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5,165</w:t>
            </w:r>
          </w:p>
        </w:tc>
        <w:tc>
          <w:tcPr>
            <w:tcW w:w="146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5,000</w:t>
            </w:r>
          </w:p>
        </w:tc>
        <w:tc>
          <w:tcPr>
            <w:tcW w:w="146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27,401,789</w:t>
            </w:r>
          </w:p>
        </w:tc>
        <w:tc>
          <w:tcPr>
            <w:tcW w:w="148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45,078</w:t>
            </w:r>
          </w:p>
        </w:tc>
        <w:tc>
          <w:tcPr>
            <w:tcW w:w="146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35,895</w:t>
            </w:r>
          </w:p>
        </w:tc>
        <w:tc>
          <w:tcPr>
            <w:tcW w:w="146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9,182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1061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27"/>
          <w:szCs w:val="27"/>
          <w:b w:val="1"/>
          <w:bCs w:val="1"/>
          <w:color w:val="auto"/>
          <w:vertAlign w:val="superscript"/>
        </w:rPr>
      </w:pPr>
      <w:r>
        <w:rPr>
          <w:rFonts w:ascii="Times New Roman" w:cs="Times New Roman" w:eastAsia="Times New Roman" w:hAnsi="Times New Roman"/>
          <w:sz w:val="17"/>
          <w:szCs w:val="17"/>
          <w:color w:val="auto"/>
        </w:rPr>
        <w:t>Based on the market price on the date of sale.</w:t>
      </w:r>
    </w:p>
    <w:p>
      <w:pPr>
        <w:spacing w:after="0" w:line="162" w:lineRule="exact"/>
        <w:rPr>
          <w:rFonts w:ascii="Times New Roman" w:cs="Times New Roman" w:eastAsia="Times New Roman" w:hAnsi="Times New Roman"/>
          <w:sz w:val="27"/>
          <w:szCs w:val="27"/>
          <w:b w:val="1"/>
          <w:bCs w:val="1"/>
          <w:color w:val="auto"/>
          <w:vertAlign w:val="superscript"/>
        </w:rPr>
      </w:pPr>
    </w:p>
    <w:p>
      <w:pPr>
        <w:ind w:left="220" w:hanging="212"/>
        <w:spacing w:after="0"/>
        <w:tabs>
          <w:tab w:leader="none" w:pos="220" w:val="left"/>
        </w:tabs>
        <w:numPr>
          <w:ilvl w:val="0"/>
          <w:numId w:val="22"/>
        </w:numPr>
        <w:rPr>
          <w:rFonts w:ascii="Times New Roman" w:cs="Times New Roman" w:eastAsia="Times New Roman" w:hAnsi="Times New Roman"/>
          <w:sz w:val="27"/>
          <w:szCs w:val="27"/>
          <w:b w:val="1"/>
          <w:bCs w:val="1"/>
          <w:color w:val="auto"/>
          <w:vertAlign w:val="superscript"/>
        </w:rPr>
      </w:pPr>
      <w:r>
        <w:rPr>
          <w:rFonts w:ascii="Times New Roman" w:cs="Times New Roman" w:eastAsia="Times New Roman" w:hAnsi="Times New Roman"/>
          <w:sz w:val="17"/>
          <w:szCs w:val="17"/>
          <w:color w:val="auto"/>
        </w:rPr>
        <w:t>Derived by multiplying the number of shares issuable by the conversion/exercise price.</w:t>
      </w:r>
    </w:p>
    <w:p>
      <w:pPr>
        <w:sectPr>
          <w:pgSz w:w="11900" w:h="16882" w:orient="portrait"/>
          <w:cols w:equalWidth="0" w:num="1">
            <w:col w:w="11420"/>
          </w:cols>
          <w:pgMar w:left="240" w:top="125" w:right="239" w:bottom="0" w:gutter="0" w:footer="0" w:header="0"/>
        </w:sectPr>
      </w:pPr>
    </w:p>
    <w:bookmarkStart w:id="15" w:name="page16"/>
    <w:bookmarkEnd w:id="15"/>
    <w:p>
      <w:pPr>
        <w:ind w:right="160" w:firstLine="8"/>
        <w:spacing w:after="0"/>
        <w:tabs>
          <w:tab w:leader="none" w:pos="207" w:val="left"/>
        </w:tabs>
        <w:numPr>
          <w:ilvl w:val="0"/>
          <w:numId w:val="23"/>
        </w:numPr>
        <w:rPr>
          <w:rFonts w:ascii="Times New Roman" w:cs="Times New Roman" w:eastAsia="Times New Roman" w:hAnsi="Times New Roman"/>
          <w:sz w:val="25"/>
          <w:szCs w:val="25"/>
          <w:b w:val="1"/>
          <w:bCs w:val="1"/>
          <w:color w:val="auto"/>
          <w:vertAlign w:val="superscript"/>
        </w:rPr>
      </w:pPr>
      <w:r>
        <w:rPr>
          <w:rFonts w:ascii="Times New Roman" w:cs="Times New Roman" w:eastAsia="Times New Roman" w:hAnsi="Times New Roman"/>
          <w:sz w:val="15"/>
          <w:szCs w:val="15"/>
          <w:color w:val="auto"/>
        </w:rPr>
        <w:t>Represents warrants issued on December 11, 2003 in connection with the undertaking given by Israel Corp. in connection with the November 2003 amendment to our facility agreement with our banks. The exercise price equals the average closing price of our shares for the 15 trading days preceding the date the November 2003 amendment was signed.</w:t>
      </w:r>
    </w:p>
    <w:p>
      <w:pPr>
        <w:spacing w:after="0" w:line="200" w:lineRule="exact"/>
        <w:rPr>
          <w:rFonts w:ascii="Times New Roman" w:cs="Times New Roman" w:eastAsia="Times New Roman" w:hAnsi="Times New Roman"/>
          <w:sz w:val="25"/>
          <w:szCs w:val="25"/>
          <w:b w:val="1"/>
          <w:bCs w:val="1"/>
          <w:color w:val="auto"/>
          <w:vertAlign w:val="superscript"/>
        </w:rPr>
      </w:pPr>
    </w:p>
    <w:p>
      <w:pPr>
        <w:spacing w:after="0" w:line="271" w:lineRule="exact"/>
        <w:rPr>
          <w:rFonts w:ascii="Times New Roman" w:cs="Times New Roman" w:eastAsia="Times New Roman" w:hAnsi="Times New Roman"/>
          <w:sz w:val="25"/>
          <w:szCs w:val="25"/>
          <w:b w:val="1"/>
          <w:bCs w:val="1"/>
          <w:color w:val="auto"/>
          <w:vertAlign w:val="superscript"/>
        </w:rPr>
      </w:pPr>
    </w:p>
    <w:p>
      <w:pPr>
        <w:ind w:right="40" w:firstLine="8"/>
        <w:spacing w:after="0" w:line="264" w:lineRule="auto"/>
        <w:tabs>
          <w:tab w:leader="none" w:pos="178" w:val="left"/>
        </w:tabs>
        <w:numPr>
          <w:ilvl w:val="0"/>
          <w:numId w:val="23"/>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Represents convertible debentures issued in connection with our 2005 rights offering. The discount to the market price market was identical to that in the rights distributed to the public in the rights offering.</w:t>
      </w:r>
    </w:p>
    <w:p>
      <w:pPr>
        <w:spacing w:after="0" w:line="220" w:lineRule="exact"/>
        <w:rPr>
          <w:rFonts w:ascii="Times New Roman" w:cs="Times New Roman" w:eastAsia="Times New Roman" w:hAnsi="Times New Roman"/>
          <w:sz w:val="21"/>
          <w:szCs w:val="21"/>
          <w:b w:val="1"/>
          <w:bCs w:val="1"/>
          <w:color w:val="auto"/>
          <w:vertAlign w:val="superscript"/>
        </w:rPr>
      </w:pPr>
    </w:p>
    <w:p>
      <w:pPr>
        <w:ind w:right="200" w:firstLine="8"/>
        <w:spacing w:after="0"/>
        <w:tabs>
          <w:tab w:leader="none" w:pos="214" w:val="left"/>
        </w:tabs>
        <w:numPr>
          <w:ilvl w:val="0"/>
          <w:numId w:val="23"/>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6"/>
          <w:szCs w:val="16"/>
          <w:color w:val="auto"/>
        </w:rPr>
        <w:t>Represents warrants issued to Tarshish Hahzakot Vehashkaot Hapoalim Ltd., a subsidiary of Bank Hapoalim in connection with the November 2003 amendment to our facility agreement. The exercise price equals the average closing price of our shares for the 15 trading days preceding the date the November 2003 amendment was signed.</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80" w:firstLine="8"/>
        <w:spacing w:after="0" w:line="220" w:lineRule="auto"/>
        <w:tabs>
          <w:tab w:leader="none" w:pos="214" w:val="left"/>
        </w:tabs>
        <w:numPr>
          <w:ilvl w:val="0"/>
          <w:numId w:val="24"/>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6"/>
          <w:szCs w:val="16"/>
          <w:color w:val="auto"/>
        </w:rPr>
        <w:t>Represents warrants issued in connection with the July 2005 amendment to our facility agreement. The exercise price equals the closing price of our shares on the last trading day prior to signing the July 2005 amendment.</w:t>
      </w:r>
    </w:p>
    <w:p>
      <w:pPr>
        <w:spacing w:after="0" w:line="246" w:lineRule="exact"/>
        <w:rPr>
          <w:rFonts w:ascii="Times New Roman" w:cs="Times New Roman" w:eastAsia="Times New Roman" w:hAnsi="Times New Roman"/>
          <w:sz w:val="26"/>
          <w:szCs w:val="26"/>
          <w:b w:val="1"/>
          <w:bCs w:val="1"/>
          <w:color w:val="auto"/>
          <w:vertAlign w:val="superscript"/>
        </w:rPr>
      </w:pPr>
    </w:p>
    <w:p>
      <w:pPr>
        <w:ind w:right="20" w:firstLine="8"/>
        <w:spacing w:after="0" w:line="220" w:lineRule="auto"/>
        <w:tabs>
          <w:tab w:leader="none" w:pos="214" w:val="left"/>
        </w:tabs>
        <w:numPr>
          <w:ilvl w:val="0"/>
          <w:numId w:val="24"/>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6"/>
          <w:szCs w:val="16"/>
          <w:color w:val="auto"/>
        </w:rPr>
        <w:t>Represents warrants issued in connection with the November 2003 amendment to our facility agreement. The exercise price equals the average closing price of our shares for the 15 trading days preceding the date the November 2003 amendment was signed.</w:t>
      </w:r>
    </w:p>
    <w:p>
      <w:pPr>
        <w:spacing w:after="0" w:line="246" w:lineRule="exact"/>
        <w:rPr>
          <w:rFonts w:ascii="Times New Roman" w:cs="Times New Roman" w:eastAsia="Times New Roman" w:hAnsi="Times New Roman"/>
          <w:sz w:val="26"/>
          <w:szCs w:val="26"/>
          <w:b w:val="1"/>
          <w:bCs w:val="1"/>
          <w:color w:val="auto"/>
          <w:vertAlign w:val="superscript"/>
        </w:rPr>
      </w:pPr>
    </w:p>
    <w:p>
      <w:pPr>
        <w:ind w:right="80" w:firstLine="8"/>
        <w:spacing w:after="0" w:line="220" w:lineRule="auto"/>
        <w:tabs>
          <w:tab w:leader="none" w:pos="214" w:val="left"/>
        </w:tabs>
        <w:numPr>
          <w:ilvl w:val="0"/>
          <w:numId w:val="24"/>
        </w:numPr>
        <w:rPr>
          <w:rFonts w:ascii="Times New Roman" w:cs="Times New Roman" w:eastAsia="Times New Roman" w:hAnsi="Times New Roman"/>
          <w:sz w:val="26"/>
          <w:szCs w:val="26"/>
          <w:b w:val="1"/>
          <w:bCs w:val="1"/>
          <w:color w:val="auto"/>
          <w:vertAlign w:val="superscript"/>
        </w:rPr>
      </w:pPr>
      <w:r>
        <w:rPr>
          <w:rFonts w:ascii="Times New Roman" w:cs="Times New Roman" w:eastAsia="Times New Roman" w:hAnsi="Times New Roman"/>
          <w:sz w:val="16"/>
          <w:szCs w:val="16"/>
          <w:color w:val="auto"/>
        </w:rPr>
        <w:t>Represents warrants issued in connection with the July 2005 amendment to our facility agreement. The exercise price equals the closing price of our shares on the last trading day prior to signing the July 2005 amendment.</w:t>
      </w:r>
    </w:p>
    <w:p>
      <w:pPr>
        <w:spacing w:after="0" w:line="164" w:lineRule="exact"/>
        <w:rPr>
          <w:rFonts w:ascii="Times New Roman" w:cs="Times New Roman" w:eastAsia="Times New Roman" w:hAnsi="Times New Roman"/>
          <w:sz w:val="26"/>
          <w:szCs w:val="26"/>
          <w:b w:val="1"/>
          <w:bCs w:val="1"/>
          <w:color w:val="auto"/>
          <w:vertAlign w:val="superscript"/>
        </w:rPr>
      </w:pPr>
    </w:p>
    <w:p>
      <w:pPr>
        <w:ind w:left="220" w:hanging="212"/>
        <w:spacing w:after="0"/>
        <w:tabs>
          <w:tab w:leader="none" w:pos="220" w:val="left"/>
        </w:tabs>
        <w:numPr>
          <w:ilvl w:val="0"/>
          <w:numId w:val="24"/>
        </w:numPr>
        <w:rPr>
          <w:rFonts w:ascii="Times New Roman" w:cs="Times New Roman" w:eastAsia="Times New Roman" w:hAnsi="Times New Roman"/>
          <w:sz w:val="27"/>
          <w:szCs w:val="27"/>
          <w:b w:val="1"/>
          <w:bCs w:val="1"/>
          <w:color w:val="auto"/>
          <w:vertAlign w:val="superscript"/>
        </w:rPr>
      </w:pPr>
      <w:r>
        <w:rPr>
          <w:rFonts w:ascii="Times New Roman" w:cs="Times New Roman" w:eastAsia="Times New Roman" w:hAnsi="Times New Roman"/>
          <w:sz w:val="17"/>
          <w:szCs w:val="17"/>
          <w:color w:val="auto"/>
        </w:rPr>
        <w:t>Represents the closing price of our shares on the date prior to closing.</w:t>
      </w:r>
    </w:p>
    <w:p>
      <w:pPr>
        <w:spacing w:after="0" w:line="204" w:lineRule="exact"/>
        <w:rPr>
          <w:sz w:val="20"/>
          <w:szCs w:val="20"/>
          <w:color w:val="auto"/>
        </w:rPr>
      </w:pPr>
    </w:p>
    <w:p>
      <w:pPr>
        <w:ind w:firstLine="395"/>
        <w:spacing w:after="0" w:line="275" w:lineRule="auto"/>
        <w:rPr>
          <w:sz w:val="20"/>
          <w:szCs w:val="20"/>
          <w:color w:val="auto"/>
        </w:rPr>
      </w:pPr>
      <w:r>
        <w:rPr>
          <w:rFonts w:ascii="Times New Roman" w:cs="Times New Roman" w:eastAsia="Times New Roman" w:hAnsi="Times New Roman"/>
          <w:sz w:val="18"/>
          <w:szCs w:val="18"/>
          <w:color w:val="auto"/>
        </w:rPr>
        <w:t>The following table sets forth all prior securities transactions engaged in by our Company with the selling shareholders for the three years preceding the date of this prospectus, as well as certain additional information:</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Subject to the</w:t>
            </w:r>
          </w:p>
        </w:tc>
        <w:tc>
          <w:tcPr>
            <w:tcW w:w="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Transaction Held by</w:t>
            </w: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Number of Shares</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Persons Other than</w:t>
            </w: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Issued or</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Selling</w:t>
            </w: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Issuable to the</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Percentage of</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Market Price of</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Shareholders, or</w:t>
            </w: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Selling</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Total Outstanding</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Number of Shares</w:t>
            </w: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their Affiliates, or</w:t>
            </w: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Shareholder in</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Shares Issued or</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Immediately</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Current</w:t>
            </w:r>
          </w:p>
        </w:tc>
      </w:tr>
      <w:tr>
        <w:trPr>
          <w:trHeight w:val="149"/>
        </w:trPr>
        <w:tc>
          <w:tcPr>
            <w:tcW w:w="1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Outstanding Prior</w:t>
            </w:r>
          </w:p>
        </w:tc>
        <w:tc>
          <w:tcPr>
            <w:tcW w:w="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Affiliates of the</w:t>
            </w:r>
          </w:p>
        </w:tc>
        <w:tc>
          <w:tcPr>
            <w:tcW w:w="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Connection with</w:t>
            </w:r>
          </w:p>
        </w:tc>
        <w:tc>
          <w:tcPr>
            <w:tcW w:w="4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Issuable in the</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Prior to</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Market Price</w:t>
            </w:r>
          </w:p>
        </w:tc>
      </w:tr>
      <w:tr>
        <w:trPr>
          <w:trHeight w:val="178"/>
        </w:trPr>
        <w:tc>
          <w:tcPr>
            <w:tcW w:w="17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Issued to</w:t>
            </w:r>
          </w:p>
        </w:tc>
        <w:tc>
          <w:tcPr>
            <w:tcW w:w="60" w:type="dxa"/>
            <w:vAlign w:val="bottom"/>
          </w:tcPr>
          <w:p>
            <w:pPr>
              <w:spacing w:after="0"/>
              <w:rPr>
                <w:sz w:val="15"/>
                <w:szCs w:val="15"/>
                <w:color w:val="auto"/>
              </w:rPr>
            </w:pPr>
          </w:p>
        </w:tc>
        <w:tc>
          <w:tcPr>
            <w:tcW w:w="222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Date of Transaction</w:t>
            </w:r>
          </w:p>
        </w:tc>
        <w:tc>
          <w:tcPr>
            <w:tcW w:w="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to Transaction</w:t>
            </w:r>
          </w:p>
        </w:tc>
        <w:tc>
          <w:tcPr>
            <w:tcW w:w="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Company</w:t>
            </w:r>
          </w:p>
        </w:tc>
        <w:tc>
          <w:tcPr>
            <w:tcW w:w="4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the Transaction</w:t>
            </w:r>
          </w:p>
        </w:tc>
        <w:tc>
          <w:tcPr>
            <w:tcW w:w="4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Transaction</w:t>
            </w:r>
          </w:p>
        </w:tc>
        <w:tc>
          <w:tcPr>
            <w:tcW w:w="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Transaction</w:t>
            </w:r>
          </w:p>
        </w:tc>
        <w:tc>
          <w:tcPr>
            <w:tcW w:w="4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of the Shares*</w:t>
            </w:r>
          </w:p>
        </w:tc>
      </w:tr>
      <w:tr>
        <w:trPr>
          <w:trHeight w:val="95"/>
        </w:trPr>
        <w:tc>
          <w:tcPr>
            <w:tcW w:w="1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 Corp.</w:t>
            </w:r>
          </w:p>
        </w:tc>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January 26, 2004</w:t>
            </w:r>
          </w:p>
        </w:tc>
        <w:tc>
          <w:tcPr>
            <w:tcW w:w="17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52,996,097</w:t>
            </w:r>
          </w:p>
        </w:tc>
        <w:tc>
          <w:tcPr>
            <w:tcW w:w="1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14,416,440</w:t>
            </w:r>
          </w:p>
        </w:tc>
        <w:tc>
          <w:tcPr>
            <w:tcW w:w="1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419,048</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2.91%</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6.99</w:t>
            </w:r>
          </w:p>
        </w:tc>
        <w:tc>
          <w:tcPr>
            <w:tcW w:w="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Israel Corp.</w:t>
            </w:r>
          </w:p>
        </w:tc>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December 15, 2005</w:t>
            </w:r>
          </w:p>
        </w:tc>
        <w:tc>
          <w:tcPr>
            <w:tcW w:w="17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66,932,056</w:t>
            </w:r>
          </w:p>
        </w:tc>
        <w:tc>
          <w:tcPr>
            <w:tcW w:w="1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25,360,921</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18,181,823</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71.69%</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1.58</w:t>
            </w:r>
          </w:p>
        </w:tc>
        <w:tc>
          <w:tcPr>
            <w:tcW w:w="4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Leumi</w:t>
            </w:r>
          </w:p>
        </w:tc>
        <w:tc>
          <w:tcPr>
            <w:tcW w:w="2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August 4, 2005</w:t>
            </w:r>
          </w:p>
        </w:tc>
        <w:tc>
          <w:tcPr>
            <w:tcW w:w="174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66,707,609</w:t>
            </w:r>
          </w:p>
        </w:tc>
        <w:tc>
          <w:tcPr>
            <w:tcW w:w="1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24,698,095</w:t>
            </w:r>
          </w:p>
        </w:tc>
        <w:tc>
          <w:tcPr>
            <w:tcW w:w="138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4,132,232</w:t>
            </w:r>
          </w:p>
        </w:tc>
        <w:tc>
          <w:tcPr>
            <w:tcW w:w="9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16.73%</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r>
      <w:tr>
        <w:trPr>
          <w:trHeight w:val="228"/>
        </w:trPr>
        <w:tc>
          <w:tcPr>
            <w:tcW w:w="1480" w:type="dxa"/>
            <w:vAlign w:val="bottom"/>
          </w:tcPr>
          <w:p>
            <w:pPr>
              <w:spacing w:after="0"/>
              <w:rPr>
                <w:sz w:val="20"/>
                <w:szCs w:val="20"/>
                <w:color w:val="auto"/>
              </w:rPr>
            </w:pPr>
            <w:r>
              <w:rPr>
                <w:rFonts w:ascii="Times New Roman" w:cs="Times New Roman" w:eastAsia="Times New Roman" w:hAnsi="Times New Roman"/>
                <w:sz w:val="18"/>
                <w:szCs w:val="18"/>
                <w:color w:val="auto"/>
              </w:rPr>
              <w:t>Bank Hapoalim</w:t>
            </w:r>
          </w:p>
        </w:tc>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August 4, 2005</w:t>
            </w:r>
          </w:p>
        </w:tc>
        <w:tc>
          <w:tcPr>
            <w:tcW w:w="17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66,707,609</w:t>
            </w:r>
          </w:p>
        </w:tc>
        <w:tc>
          <w:tcPr>
            <w:tcW w:w="1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24,698,095</w:t>
            </w: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4,132,232</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16.73%</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4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w:t>
            </w:r>
          </w:p>
        </w:tc>
      </w:tr>
    </w:tbl>
    <w:p>
      <w:pPr>
        <w:spacing w:after="0" w:line="200" w:lineRule="exact"/>
        <w:rPr>
          <w:sz w:val="20"/>
          <w:szCs w:val="20"/>
          <w:color w:val="auto"/>
        </w:rPr>
      </w:pPr>
    </w:p>
    <w:p>
      <w:pPr>
        <w:spacing w:after="0" w:line="232"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reported sale price of our ordinary shares on the NASDAQ Global Market on May 2, 2007.</w:t>
      </w:r>
    </w:p>
    <w:p>
      <w:pPr>
        <w:spacing w:after="0" w:line="290" w:lineRule="exact"/>
        <w:rPr>
          <w:rFonts w:ascii="Times New Roman" w:cs="Times New Roman" w:eastAsia="Times New Roman" w:hAnsi="Times New Roman"/>
          <w:sz w:val="18"/>
          <w:szCs w:val="18"/>
          <w:color w:val="auto"/>
        </w:rPr>
      </w:pPr>
    </w:p>
    <w:p>
      <w:pPr>
        <w:ind w:left="42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95" w:lineRule="exact"/>
        <w:rPr>
          <w:sz w:val="20"/>
          <w:szCs w:val="20"/>
          <w:color w:val="auto"/>
        </w:rPr>
      </w:pPr>
    </w:p>
    <w:p>
      <w:pPr>
        <w:jc w:val="both"/>
        <w:ind w:right="200" w:firstLine="351"/>
        <w:spacing w:after="0" w:line="262" w:lineRule="auto"/>
        <w:rPr>
          <w:sz w:val="20"/>
          <w:szCs w:val="20"/>
          <w:color w:val="auto"/>
        </w:rPr>
      </w:pPr>
      <w:r>
        <w:rPr>
          <w:rFonts w:ascii="Times New Roman" w:cs="Times New Roman" w:eastAsia="Times New Roman" w:hAnsi="Times New Roman"/>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86"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3" w:lineRule="exact"/>
        <w:rPr>
          <w:sz w:val="20"/>
          <w:szCs w:val="20"/>
          <w:color w:val="auto"/>
        </w:rPr>
      </w:pPr>
    </w:p>
    <w:p>
      <w:pPr>
        <w:jc w:val="both"/>
        <w:ind w:right="80" w:firstLine="351"/>
        <w:spacing w:after="0" w:line="287" w:lineRule="auto"/>
        <w:rPr>
          <w:sz w:val="20"/>
          <w:szCs w:val="20"/>
          <w:color w:val="auto"/>
        </w:rPr>
      </w:pPr>
      <w:r>
        <w:rPr>
          <w:rFonts w:ascii="Times New Roman" w:cs="Times New Roman" w:eastAsia="Times New Roman" w:hAnsi="Times New Roman"/>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86" w:lineRule="exact"/>
        <w:rPr>
          <w:sz w:val="20"/>
          <w:szCs w:val="20"/>
          <w:color w:val="auto"/>
        </w:rPr>
      </w:pPr>
    </w:p>
    <w:p>
      <w:pPr>
        <w:ind w:right="20" w:firstLine="351"/>
        <w:spacing w:after="0" w:line="310" w:lineRule="auto"/>
        <w:rPr>
          <w:sz w:val="20"/>
          <w:szCs w:val="20"/>
          <w:color w:val="auto"/>
        </w:rPr>
      </w:pPr>
      <w:r>
        <w:rPr>
          <w:rFonts w:ascii="Times New Roman" w:cs="Times New Roman" w:eastAsia="Times New Roman" w:hAnsi="Times New Roman"/>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51"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ectPr>
          <w:pgSz w:w="11900" w:h="16838" w:orient="portrait"/>
          <w:cols w:equalWidth="0" w:num="1">
            <w:col w:w="11420"/>
          </w:cols>
          <w:pgMar w:left="240" w:top="166" w:right="239" w:bottom="11" w:gutter="0" w:footer="0" w:header="0"/>
        </w:sectPr>
      </w:pPr>
    </w:p>
    <w:bookmarkStart w:id="16" w:name="page17"/>
    <w:bookmarkEnd w:id="16"/>
    <w:p>
      <w:pPr>
        <w:spacing w:after="0" w:line="105"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objective stated in our articles of association is to engage in any lawful activity.</w:t>
      </w:r>
    </w:p>
    <w:p>
      <w:pPr>
        <w:spacing w:after="0" w:line="225" w:lineRule="exact"/>
        <w:rPr>
          <w:sz w:val="20"/>
          <w:szCs w:val="20"/>
          <w:color w:val="auto"/>
        </w:rPr>
      </w:pPr>
    </w:p>
    <w:p>
      <w:pPr>
        <w:ind w:right="60" w:firstLine="351"/>
        <w:spacing w:after="0" w:line="296" w:lineRule="auto"/>
        <w:rPr>
          <w:sz w:val="20"/>
          <w:szCs w:val="20"/>
          <w:color w:val="auto"/>
        </w:rPr>
      </w:pPr>
      <w:r>
        <w:rPr>
          <w:rFonts w:ascii="Times New Roman" w:cs="Times New Roman" w:eastAsia="Times New Roman" w:hAnsi="Times New Roman"/>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95"/>
        <w:spacing w:after="0" w:line="275" w:lineRule="auto"/>
        <w:rPr>
          <w:sz w:val="20"/>
          <w:szCs w:val="20"/>
          <w:color w:val="auto"/>
        </w:rPr>
      </w:pPr>
      <w:r>
        <w:rPr>
          <w:rFonts w:ascii="Times New Roman" w:cs="Times New Roman" w:eastAsia="Times New Roman" w:hAnsi="Times New Roman"/>
          <w:sz w:val="18"/>
          <w:szCs w:val="18"/>
          <w:color w:val="auto"/>
        </w:rPr>
        <w:t>As of March 31 2007, 120,882,946 of our ordinary shares were outstanding. The above numbers of outstanding ordinary shares do not include 1.3 million treasury shares held by us through a trustee.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ordinary shares is American Stock Transfer &amp; Trust Company, 59 Maiden Lane, New York, New York 10007.</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FOREIGN EXCHANGE CONTROLS AND OTHER LIMITATIONS</w:t>
      </w:r>
    </w:p>
    <w:p>
      <w:pPr>
        <w:spacing w:after="0" w:line="308" w:lineRule="exact"/>
        <w:rPr>
          <w:sz w:val="20"/>
          <w:szCs w:val="20"/>
          <w:color w:val="auto"/>
        </w:rPr>
      </w:pPr>
    </w:p>
    <w:p>
      <w:pPr>
        <w:ind w:right="40" w:firstLine="351"/>
        <w:spacing w:after="0" w:line="253" w:lineRule="auto"/>
        <w:rPr>
          <w:sz w:val="20"/>
          <w:szCs w:val="20"/>
          <w:color w:val="auto"/>
        </w:rPr>
      </w:pPr>
      <w:r>
        <w:rPr>
          <w:rFonts w:ascii="Times New Roman" w:cs="Times New Roman" w:eastAsia="Times New Roman" w:hAnsi="Times New Roman"/>
          <w:sz w:val="18"/>
          <w:szCs w:val="18"/>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97" w:lineRule="exact"/>
        <w:rPr>
          <w:sz w:val="20"/>
          <w:szCs w:val="20"/>
          <w:color w:val="auto"/>
        </w:rPr>
      </w:pPr>
    </w:p>
    <w:p>
      <w:pPr>
        <w:ind w:right="60" w:firstLine="348"/>
        <w:spacing w:after="0" w:line="275" w:lineRule="auto"/>
        <w:rPr>
          <w:sz w:val="20"/>
          <w:szCs w:val="20"/>
          <w:color w:val="auto"/>
        </w:rPr>
      </w:pPr>
      <w:r>
        <w:rPr>
          <w:rFonts w:ascii="Times New Roman" w:cs="Times New Roman" w:eastAsia="Times New Roman" w:hAnsi="Times New Roman"/>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308"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Israeli Capital Gains Tax</w:t>
      </w:r>
    </w:p>
    <w:p>
      <w:pPr>
        <w:spacing w:after="0" w:line="225" w:lineRule="exact"/>
        <w:rPr>
          <w:sz w:val="20"/>
          <w:szCs w:val="20"/>
          <w:color w:val="auto"/>
        </w:rPr>
      </w:pPr>
    </w:p>
    <w:p>
      <w:pPr>
        <w:ind w:right="240" w:firstLine="351"/>
        <w:spacing w:after="0" w:line="258" w:lineRule="auto"/>
        <w:rPr>
          <w:sz w:val="20"/>
          <w:szCs w:val="20"/>
          <w:color w:val="auto"/>
        </w:rPr>
      </w:pPr>
      <w:r>
        <w:rPr>
          <w:rFonts w:ascii="Times New Roman" w:cs="Times New Roman" w:eastAsia="Times New Roman" w:hAnsi="Times New Roman"/>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0" w:lineRule="exact"/>
        <w:rPr>
          <w:sz w:val="20"/>
          <w:szCs w:val="20"/>
          <w:color w:val="auto"/>
        </w:rPr>
      </w:pPr>
    </w:p>
    <w:p>
      <w:pPr>
        <w:ind w:right="140" w:firstLine="351"/>
        <w:spacing w:after="0" w:line="275" w:lineRule="auto"/>
        <w:rPr>
          <w:sz w:val="20"/>
          <w:szCs w:val="20"/>
          <w:color w:val="auto"/>
        </w:rPr>
      </w:pPr>
      <w:r>
        <w:rPr>
          <w:rFonts w:ascii="Times New Roman" w:cs="Times New Roman" w:eastAsia="Times New Roman" w:hAnsi="Times New Roman"/>
          <w:sz w:val="18"/>
          <w:szCs w:val="18"/>
          <w:color w:val="auto"/>
        </w:rPr>
        <w:t>On January 1, 2006 an amendment to the Israeli tax regime became effective (the “2006 Tax Reform”). The 2006 Tax Reform significantly changed the tax rates applicable to income derived from shares.</w:t>
      </w:r>
    </w:p>
    <w:p>
      <w:pPr>
        <w:spacing w:after="0" w:line="174" w:lineRule="exact"/>
        <w:rPr>
          <w:sz w:val="20"/>
          <w:szCs w:val="20"/>
          <w:color w:val="auto"/>
        </w:rPr>
      </w:pPr>
    </w:p>
    <w:p>
      <w:pPr>
        <w:ind w:firstLine="341"/>
        <w:spacing w:after="0" w:line="310" w:lineRule="auto"/>
        <w:rPr>
          <w:sz w:val="20"/>
          <w:szCs w:val="20"/>
          <w:color w:val="auto"/>
        </w:rPr>
      </w:pPr>
      <w:r>
        <w:rPr>
          <w:rFonts w:ascii="Times New Roman" w:cs="Times New Roman" w:eastAsia="Times New Roman" w:hAnsi="Times New Roman"/>
          <w:sz w:val="16"/>
          <w:szCs w:val="16"/>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51" w:lineRule="exact"/>
        <w:rPr>
          <w:sz w:val="20"/>
          <w:szCs w:val="20"/>
          <w:color w:val="auto"/>
        </w:rPr>
      </w:pPr>
    </w:p>
    <w:p>
      <w:pPr>
        <w:ind w:right="180" w:firstLine="341"/>
        <w:spacing w:after="0" w:line="258" w:lineRule="auto"/>
        <w:rPr>
          <w:sz w:val="20"/>
          <w:szCs w:val="20"/>
          <w:color w:val="auto"/>
        </w:rPr>
      </w:pPr>
      <w:r>
        <w:rPr>
          <w:rFonts w:ascii="Times New Roman" w:cs="Times New Roman" w:eastAsia="Times New Roman" w:hAnsi="Times New Roman"/>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93" w:lineRule="exact"/>
        <w:rPr>
          <w:sz w:val="20"/>
          <w:szCs w:val="20"/>
          <w:color w:val="auto"/>
        </w:rPr>
      </w:pPr>
    </w:p>
    <w:p>
      <w:pPr>
        <w:ind w:right="260" w:firstLine="351"/>
        <w:spacing w:after="0" w:line="339" w:lineRule="auto"/>
        <w:rPr>
          <w:sz w:val="20"/>
          <w:szCs w:val="20"/>
          <w:color w:val="auto"/>
        </w:rPr>
      </w:pPr>
      <w:r>
        <w:rPr>
          <w:rFonts w:ascii="Times New Roman" w:cs="Times New Roman" w:eastAsia="Times New Roman" w:hAnsi="Times New Roman"/>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w:t>
      </w:r>
    </w:p>
    <w:p>
      <w:pPr>
        <w:sectPr>
          <w:pgSz w:w="11900" w:h="16944" w:orient="portrait"/>
          <w:cols w:equalWidth="0" w:num="1">
            <w:col w:w="11400"/>
          </w:cols>
          <w:pgMar w:left="240" w:top="125" w:right="259" w:bottom="0" w:gutter="0" w:footer="0" w:header="0"/>
        </w:sectPr>
      </w:pPr>
    </w:p>
    <w:bookmarkStart w:id="17" w:name="page18"/>
    <w:bookmarkEnd w:id="17"/>
    <w:p>
      <w:pPr>
        <w:ind w:right="60"/>
        <w:spacing w:after="0" w:line="262" w:lineRule="auto"/>
        <w:rPr>
          <w:sz w:val="20"/>
          <w:szCs w:val="20"/>
          <w:color w:val="auto"/>
        </w:rPr>
      </w:pPr>
      <w:r>
        <w:rPr>
          <w:rFonts w:ascii="Times New Roman" w:cs="Times New Roman" w:eastAsia="Times New Roman" w:hAnsi="Times New Roman"/>
          <w:sz w:val="18"/>
          <w:szCs w:val="18"/>
          <w:color w:val="auto"/>
        </w:rPr>
        <w:t>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86"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74"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 Israeli Tax on Interest Income and on Original Issuance Discount</w:t>
      </w:r>
    </w:p>
    <w:p>
      <w:pPr>
        <w:spacing w:after="0" w:line="225" w:lineRule="exact"/>
        <w:rPr>
          <w:sz w:val="20"/>
          <w:szCs w:val="20"/>
          <w:color w:val="auto"/>
        </w:rPr>
      </w:pPr>
    </w:p>
    <w:p>
      <w:pPr>
        <w:ind w:right="80" w:firstLine="351"/>
        <w:spacing w:after="0" w:line="253" w:lineRule="auto"/>
        <w:rPr>
          <w:sz w:val="20"/>
          <w:szCs w:val="20"/>
          <w:color w:val="auto"/>
        </w:rPr>
      </w:pPr>
      <w:r>
        <w:rPr>
          <w:rFonts w:ascii="Times New Roman" w:cs="Times New Roman" w:eastAsia="Times New Roman" w:hAnsi="Times New Roman"/>
          <w:sz w:val="18"/>
          <w:szCs w:val="18"/>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31% in 2006, 29% in 2007, 27% in 2008, 26% in 2009 and 25% in 2010 and thereafter. As a result of the provisions related to tax withholding, as explained below, foreign resident individuals and corporations will be subject to tax of 25% or less, according to the relevant treaty relating to their domicile country.</w:t>
      </w:r>
    </w:p>
    <w:p>
      <w:pPr>
        <w:spacing w:after="0" w:line="197" w:lineRule="exact"/>
        <w:rPr>
          <w:sz w:val="20"/>
          <w:szCs w:val="20"/>
          <w:color w:val="auto"/>
        </w:rPr>
      </w:pPr>
    </w:p>
    <w:p>
      <w:pPr>
        <w:ind w:firstLine="351"/>
        <w:spacing w:after="0" w:line="293" w:lineRule="auto"/>
        <w:rPr>
          <w:sz w:val="20"/>
          <w:szCs w:val="20"/>
          <w:color w:val="auto"/>
        </w:rPr>
      </w:pPr>
      <w:r>
        <w:rPr>
          <w:rFonts w:ascii="Times New Roman" w:cs="Times New Roman" w:eastAsia="Times New Roman" w:hAnsi="Times New Roman"/>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 Israeli Tax on Dividend Income</w:t>
      </w:r>
    </w:p>
    <w:p>
      <w:pPr>
        <w:spacing w:after="0" w:line="225" w:lineRule="exact"/>
        <w:rPr>
          <w:sz w:val="20"/>
          <w:szCs w:val="20"/>
          <w:color w:val="auto"/>
        </w:rPr>
      </w:pPr>
    </w:p>
    <w:p>
      <w:pPr>
        <w:jc w:val="both"/>
        <w:ind w:right="160" w:firstLine="351"/>
        <w:spacing w:after="0" w:line="258" w:lineRule="auto"/>
        <w:rPr>
          <w:sz w:val="20"/>
          <w:szCs w:val="20"/>
          <w:color w:val="auto"/>
        </w:rPr>
      </w:pPr>
      <w:r>
        <w:rPr>
          <w:rFonts w:ascii="Times New Roman" w:cs="Times New Roman" w:eastAsia="Times New Roman" w:hAnsi="Times New Roman"/>
          <w:sz w:val="18"/>
          <w:szCs w:val="18"/>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90" w:lineRule="exact"/>
        <w:rPr>
          <w:sz w:val="20"/>
          <w:szCs w:val="20"/>
          <w:color w:val="auto"/>
        </w:rPr>
      </w:pPr>
    </w:p>
    <w:p>
      <w:pPr>
        <w:ind w:right="80" w:firstLine="351"/>
        <w:spacing w:after="0" w:line="310" w:lineRule="auto"/>
        <w:rPr>
          <w:sz w:val="20"/>
          <w:szCs w:val="20"/>
          <w:color w:val="auto"/>
        </w:rPr>
      </w:pPr>
      <w:r>
        <w:rPr>
          <w:rFonts w:ascii="Times New Roman" w:cs="Times New Roman" w:eastAsia="Times New Roman" w:hAnsi="Times New Roman"/>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 PFIC Rules</w:t>
      </w:r>
    </w:p>
    <w:p>
      <w:pPr>
        <w:spacing w:after="0" w:line="225" w:lineRule="exact"/>
        <w:rPr>
          <w:sz w:val="20"/>
          <w:szCs w:val="20"/>
          <w:color w:val="auto"/>
        </w:rPr>
      </w:pPr>
    </w:p>
    <w:p>
      <w:pPr>
        <w:jc w:val="both"/>
        <w:ind w:right="60" w:firstLine="341"/>
        <w:spacing w:after="0" w:line="262" w:lineRule="auto"/>
        <w:rPr>
          <w:sz w:val="20"/>
          <w:szCs w:val="20"/>
          <w:color w:val="auto"/>
        </w:rPr>
      </w:pPr>
      <w:r>
        <w:rPr>
          <w:rFonts w:ascii="Times New Roman" w:cs="Times New Roman" w:eastAsia="Times New Roman" w:hAnsi="Times New Roman"/>
          <w:sz w:val="18"/>
          <w:szCs w:val="18"/>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86"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95"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Market is a qualifying exchange. U.S. holders are strongly urged to consult their own tax advisers regarding the possible application and consequences of the PFIC rules.</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3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Since 1998, we have not declared or paid cash dividends on any of our shares and we have no current intention of paying any cash dividends in the future.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facility agreement that we entered into with our banks, as amended, prohibits the payment of dividends.</w:t>
      </w:r>
    </w:p>
    <w:p>
      <w:pPr>
        <w:sectPr>
          <w:pgSz w:w="11900" w:h="16838" w:orient="portrait"/>
          <w:cols w:equalWidth="0" w:num="1">
            <w:col w:w="11400"/>
          </w:cols>
          <w:pgMar w:left="240" w:top="125" w:right="259" w:bottom="0" w:gutter="0" w:footer="0" w:header="0"/>
        </w:sectPr>
      </w:pPr>
    </w:p>
    <w:bookmarkStart w:id="18" w:name="page19"/>
    <w:bookmarkEnd w:id="18"/>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308" w:lineRule="exact"/>
        <w:rPr>
          <w:sz w:val="20"/>
          <w:szCs w:val="20"/>
          <w:color w:val="auto"/>
        </w:rPr>
      </w:pPr>
    </w:p>
    <w:p>
      <w:pPr>
        <w:ind w:right="540" w:firstLine="348"/>
        <w:spacing w:after="0" w:line="339" w:lineRule="auto"/>
        <w:rPr>
          <w:sz w:val="20"/>
          <w:szCs w:val="20"/>
          <w:color w:val="auto"/>
        </w:rPr>
      </w:pPr>
      <w:r>
        <w:rPr>
          <w:rFonts w:ascii="Times New Roman" w:cs="Times New Roman" w:eastAsia="Times New Roman" w:hAnsi="Times New Roman"/>
          <w:sz w:val="16"/>
          <w:szCs w:val="16"/>
          <w:color w:val="auto"/>
        </w:rPr>
        <w:t>The validity of the securities offered in this prospectus will be passed upon for us by Yigal Arnon &amp; Co., our Israeli counsel. In addition, certain other matters in connection with this offering with respect to United States law will be passed upon for us by Eilenberg Krause &amp; Paul LLP, our U.S. counsel.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308" w:lineRule="exact"/>
        <w:rPr>
          <w:sz w:val="20"/>
          <w:szCs w:val="20"/>
          <w:color w:val="auto"/>
        </w:rPr>
      </w:pPr>
    </w:p>
    <w:p>
      <w:pPr>
        <w:ind w:right="80" w:firstLine="348"/>
        <w:spacing w:after="0" w:line="255" w:lineRule="auto"/>
        <w:rPr>
          <w:sz w:val="20"/>
          <w:szCs w:val="20"/>
          <w:color w:val="auto"/>
        </w:rPr>
      </w:pPr>
      <w:r>
        <w:rPr>
          <w:rFonts w:ascii="Times New Roman" w:cs="Times New Roman" w:eastAsia="Times New Roman" w:hAnsi="Times New Roman"/>
          <w:sz w:val="18"/>
          <w:szCs w:val="18"/>
          <w:color w:val="auto"/>
        </w:rPr>
        <w:t>The audited consolidated financial statements incorporated in this prospectus by reference from the company’s Annual Report on Form 20-F for the year ended December 31, 2005 and the company’s report on Form 6-K filed on February 8, 2007,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AGENT FOR SERVICE OF PROCESS IN THE UNITED STATES</w:t>
      </w:r>
    </w:p>
    <w:p>
      <w:pPr>
        <w:spacing w:after="0" w:line="294" w:lineRule="exact"/>
        <w:rPr>
          <w:sz w:val="20"/>
          <w:szCs w:val="20"/>
          <w:color w:val="auto"/>
        </w:rPr>
      </w:pPr>
    </w:p>
    <w:p>
      <w:pPr>
        <w:ind w:right="220" w:firstLine="348"/>
        <w:spacing w:after="0" w:line="258" w:lineRule="auto"/>
        <w:rPr>
          <w:sz w:val="20"/>
          <w:szCs w:val="20"/>
          <w:color w:val="auto"/>
        </w:rPr>
      </w:pPr>
      <w:r>
        <w:rPr>
          <w:rFonts w:ascii="Times New Roman" w:cs="Times New Roman" w:eastAsia="Times New Roman" w:hAnsi="Times New Roman"/>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 It may be difficult to enforce a U.S. judgment against us, our officers and directors and some of the experts named in this prospectus or to assert U.S. securities law claims in Israel.”</w:t>
      </w:r>
    </w:p>
    <w:p>
      <w:pPr>
        <w:spacing w:after="0" w:line="2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OF</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BY REFERENCE</w:t>
      </w:r>
    </w:p>
    <w:p>
      <w:pPr>
        <w:spacing w:after="0" w:line="294" w:lineRule="exact"/>
        <w:rPr>
          <w:sz w:val="20"/>
          <w:szCs w:val="20"/>
          <w:color w:val="auto"/>
        </w:rPr>
      </w:pPr>
    </w:p>
    <w:p>
      <w:pPr>
        <w:ind w:firstLine="348"/>
        <w:spacing w:after="0" w:line="290" w:lineRule="auto"/>
        <w:rPr>
          <w:sz w:val="20"/>
          <w:szCs w:val="20"/>
          <w:color w:val="auto"/>
        </w:rPr>
      </w:pPr>
      <w:r>
        <w:rPr>
          <w:rFonts w:ascii="Times New Roman" w:cs="Times New Roman" w:eastAsia="Times New Roman" w:hAnsi="Times New Roman"/>
          <w:sz w:val="16"/>
          <w:szCs w:val="16"/>
          <w:color w:val="auto"/>
        </w:rPr>
        <w:t>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66"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86" w:lineRule="exact"/>
        <w:rPr>
          <w:sz w:val="20"/>
          <w:szCs w:val="20"/>
          <w:color w:val="auto"/>
        </w:rPr>
      </w:pPr>
    </w:p>
    <w:p>
      <w:pPr>
        <w:ind w:right="160" w:firstLine="348"/>
        <w:spacing w:after="0" w:line="258" w:lineRule="auto"/>
        <w:rPr>
          <w:sz w:val="20"/>
          <w:szCs w:val="20"/>
          <w:color w:val="auto"/>
        </w:rPr>
      </w:pPr>
      <w:r>
        <w:rPr>
          <w:rFonts w:ascii="Times New Roman" w:cs="Times New Roman" w:eastAsia="Times New Roman" w:hAnsi="Times New Roman"/>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1720" w:right="20" w:hanging="567"/>
        <w:spacing w:after="0" w:line="275" w:lineRule="auto"/>
        <w:rPr>
          <w:sz w:val="20"/>
          <w:szCs w:val="20"/>
          <w:color w:val="auto"/>
        </w:rPr>
      </w:pPr>
      <w:r>
        <w:rPr>
          <w:rFonts w:ascii="Times New Roman" w:cs="Times New Roman" w:eastAsia="Times New Roman" w:hAnsi="Times New Roman"/>
          <w:sz w:val="18"/>
          <w:szCs w:val="18"/>
          <w:color w:val="auto"/>
        </w:rPr>
        <w:t>—Annual report on Form 20-F for the year ended December 31, 2005, filed on July 13, 2006, to the extent the information in that report has not been updated or superseded by this prospectus;</w:t>
      </w:r>
    </w:p>
    <w:p>
      <w:pPr>
        <w:spacing w:after="0" w:line="20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July 2006 No. 2 (filed on July 24,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July 2006 No. 3 (filed on July 26, 2006).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(filed on August 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1 (filed on August 9,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3 (filed on August 24,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August 2006 No. 4 (filed on August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2 (filed on September 12,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3 (filed on September 13, 2006).</w:t>
      </w:r>
    </w:p>
    <w:p>
      <w:pPr>
        <w:sectPr>
          <w:pgSz w:w="11900" w:h="16838" w:orient="portrait"/>
          <w:cols w:equalWidth="0" w:num="1">
            <w:col w:w="11420"/>
          </w:cols>
          <w:pgMar w:left="240" w:top="125" w:right="239" w:bottom="0" w:gutter="0" w:footer="0" w:header="0"/>
        </w:sectPr>
      </w:pPr>
    </w:p>
    <w:bookmarkStart w:id="19" w:name="page20"/>
    <w:bookmarkEnd w:id="19"/>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4 (filed on September 18,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5 (filed on September 25,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6 (filed on September 26,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September 2006 No. 7 (filed on September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October 2006 No. 1 (filed on October 18,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1 (filed on November 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2 (filed on November 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3 (filed on November 2,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4 (filed on November 6,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5 (filed on November 7,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6 (filed on November 7,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November 2006 No. 8 (filed on November 24,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2 (filed on December 21,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3 (filed on December 21,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December 2006 No. 4 (filed on December 28, 2006).</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January 2007 No. 2 (filed on January 23,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February 2007 No. 2 (filed on February 8,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February 2007 No. 3 (filed on February 12,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March 2007 No. 1 (filed on March 15, 2007).</w:t>
      </w:r>
    </w:p>
    <w:p>
      <w:pPr>
        <w:spacing w:after="0" w:line="2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Report on Form 6-K dated May 2007 No. 2 (filed on May 2, 2007).</w:t>
      </w:r>
    </w:p>
    <w:p>
      <w:pPr>
        <w:spacing w:after="0" w:line="252" w:lineRule="exact"/>
        <w:rPr>
          <w:sz w:val="20"/>
          <w:szCs w:val="20"/>
          <w:color w:val="auto"/>
        </w:rPr>
      </w:pPr>
    </w:p>
    <w:p>
      <w:pPr>
        <w:ind w:left="1720" w:right="240" w:hanging="567"/>
        <w:spacing w:after="0" w:line="275" w:lineRule="auto"/>
        <w:rPr>
          <w:sz w:val="20"/>
          <w:szCs w:val="20"/>
          <w:color w:val="auto"/>
        </w:rPr>
      </w:pPr>
      <w:r>
        <w:rPr>
          <w:rFonts w:ascii="Times New Roman" w:cs="Times New Roman" w:eastAsia="Times New Roman" w:hAnsi="Times New Roman"/>
          <w:sz w:val="18"/>
          <w:szCs w:val="18"/>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8"/>
        <w:spacing w:after="0" w:line="296" w:lineRule="auto"/>
        <w:rPr>
          <w:sz w:val="20"/>
          <w:szCs w:val="20"/>
          <w:color w:val="auto"/>
        </w:rPr>
      </w:pPr>
      <w:r>
        <w:rPr>
          <w:rFonts w:ascii="Times New Roman" w:cs="Times New Roman" w:eastAsia="Times New Roman" w:hAnsi="Times New Roman"/>
          <w:sz w:val="16"/>
          <w:szCs w:val="16"/>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the filing of the registration statement being filed in connection with this offering and before the date of termination of this offering. Any such Form 6-K which we intend to so incorporate shall state in such form that it is being incorporated by reference into this prospectus.</w:t>
      </w:r>
    </w:p>
    <w:p>
      <w:pPr>
        <w:spacing w:after="0" w:line="162" w:lineRule="exact"/>
        <w:rPr>
          <w:sz w:val="20"/>
          <w:szCs w:val="20"/>
          <w:color w:val="auto"/>
        </w:rPr>
      </w:pPr>
    </w:p>
    <w:p>
      <w:pPr>
        <w:ind w:right="20" w:firstLine="348"/>
        <w:spacing w:after="0" w:line="262" w:lineRule="auto"/>
        <w:rPr>
          <w:sz w:val="20"/>
          <w:szCs w:val="20"/>
          <w:color w:val="auto"/>
        </w:rPr>
      </w:pPr>
      <w:r>
        <w:rPr>
          <w:rFonts w:ascii="Times New Roman" w:cs="Times New Roman" w:eastAsia="Times New Roman" w:hAnsi="Times New Roman"/>
          <w:sz w:val="18"/>
          <w:szCs w:val="18"/>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 Click on “Investor Relations” and then “Filings.”</w:t>
      </w:r>
    </w:p>
    <w:p>
      <w:pPr>
        <w:spacing w:after="0" w:line="186" w:lineRule="exact"/>
        <w:rPr>
          <w:sz w:val="20"/>
          <w:szCs w:val="20"/>
          <w:color w:val="auto"/>
        </w:rPr>
      </w:pPr>
    </w:p>
    <w:p>
      <w:pPr>
        <w:ind w:right="340" w:firstLine="341"/>
        <w:spacing w:after="0" w:line="275" w:lineRule="auto"/>
        <w:rPr>
          <w:sz w:val="20"/>
          <w:szCs w:val="20"/>
          <w:color w:val="auto"/>
        </w:rPr>
      </w:pPr>
      <w:r>
        <w:rPr>
          <w:rFonts w:ascii="Times New Roman" w:cs="Times New Roman" w:eastAsia="Times New Roman" w:hAnsi="Times New Roman"/>
          <w:sz w:val="18"/>
          <w:szCs w:val="18"/>
          <w:color w:val="auto"/>
        </w:rPr>
        <w:t xml:space="preserve">A copy of this prospectus, our memorandum of association and our articles of association, are available for inspection at our offices at Hamada Avenue, Ramat Gavriel Industrial Park, Migdal Haemek, Israel and on the Israel Securities Authority’s Magna website, </w:t>
      </w:r>
      <w:r>
        <w:rPr>
          <w:rFonts w:ascii="Times New Roman" w:cs="Times New Roman" w:eastAsia="Times New Roman" w:hAnsi="Times New Roman"/>
          <w:sz w:val="18"/>
          <w:szCs w:val="18"/>
          <w:u w:val="single" w:color="auto"/>
          <w:color w:val="auto"/>
        </w:rPr>
        <w:t>www.magna.isa.gov.il</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ectPr>
          <w:pgSz w:w="11900" w:h="16838" w:orient="portrait"/>
          <w:cols w:equalWidth="0" w:num="1">
            <w:col w:w="11360"/>
          </w:cols>
          <w:pgMar w:left="240" w:top="368" w:right="299" w:bottom="1440" w:gutter="0" w:footer="0" w:header="0"/>
        </w:sectPr>
      </w:pP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297815</wp:posOffset>
            </wp:positionV>
            <wp:extent cx="2058035" cy="677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type w:val="continuous"/>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22"/>
          <w:szCs w:val="22"/>
          <w:color w:val="auto"/>
        </w:rPr>
        <w:t>117,763,158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202565</wp:posOffset>
            </wp:positionV>
            <wp:extent cx="11061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or sale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__, 2007</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6"/>
          <w:szCs w:val="16"/>
          <w:b w:val="1"/>
          <w:bCs w:val="1"/>
          <w:color w:val="auto"/>
        </w:rPr>
        <w:t>INDEMNIFICATION OF DIRECTORS AND OFFICERS</w:t>
      </w: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Israeli Companies Law-1999, or the Companies Law, provides that a company may include in its articles of association provisions allowing it to:</w:t>
      </w:r>
    </w:p>
    <w:p>
      <w:pPr>
        <w:spacing w:after="0" w:line="225" w:lineRule="exact"/>
        <w:rPr>
          <w:sz w:val="20"/>
          <w:szCs w:val="20"/>
          <w:color w:val="auto"/>
        </w:rPr>
      </w:pPr>
    </w:p>
    <w:p>
      <w:pPr>
        <w:jc w:val="both"/>
        <w:ind w:left="580" w:right="80" w:hanging="572"/>
        <w:spacing w:after="0" w:line="262"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13" w:lineRule="exact"/>
        <w:rPr>
          <w:rFonts w:ascii="Times New Roman" w:cs="Times New Roman" w:eastAsia="Times New Roman" w:hAnsi="Times New Roman"/>
          <w:sz w:val="18"/>
          <w:szCs w:val="18"/>
          <w:color w:val="auto"/>
        </w:rPr>
      </w:pPr>
    </w:p>
    <w:p>
      <w:pPr>
        <w:ind w:left="580" w:right="100" w:hanging="572"/>
        <w:spacing w:after="0" w:line="275"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his duty of care to the company or any other person;</w:t>
      </w:r>
    </w:p>
    <w:p>
      <w:pPr>
        <w:spacing w:after="0" w:line="252" w:lineRule="exact"/>
        <w:rPr>
          <w:rFonts w:ascii="Times New Roman" w:cs="Times New Roman" w:eastAsia="Times New Roman" w:hAnsi="Times New Roman"/>
          <w:sz w:val="18"/>
          <w:szCs w:val="18"/>
          <w:color w:val="auto"/>
        </w:rPr>
      </w:pPr>
    </w:p>
    <w:p>
      <w:pPr>
        <w:ind w:left="1160" w:right="140" w:hanging="571"/>
        <w:spacing w:after="0" w:line="275" w:lineRule="auto"/>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which may be imposed upon him in favor of other persons.</w:t>
      </w:r>
    </w:p>
    <w:p>
      <w:pPr>
        <w:spacing w:after="0" w:line="252"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 an office holder of the company for:</w:t>
      </w:r>
    </w:p>
    <w:p>
      <w:pPr>
        <w:spacing w:after="0" w:line="252" w:lineRule="exact"/>
        <w:rPr>
          <w:rFonts w:ascii="Times New Roman" w:cs="Times New Roman" w:eastAsia="Times New Roman" w:hAnsi="Times New Roman"/>
          <w:sz w:val="18"/>
          <w:szCs w:val="18"/>
          <w:color w:val="auto"/>
        </w:rPr>
      </w:pPr>
    </w:p>
    <w:p>
      <w:pPr>
        <w:ind w:left="1160" w:right="60" w:hanging="571"/>
        <w:spacing w:after="0" w:line="262" w:lineRule="auto"/>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13" w:lineRule="exact"/>
        <w:rPr>
          <w:rFonts w:ascii="Times New Roman" w:cs="Times New Roman" w:eastAsia="Times New Roman" w:hAnsi="Times New Roman"/>
          <w:sz w:val="18"/>
          <w:szCs w:val="18"/>
          <w:color w:val="auto"/>
        </w:rPr>
      </w:pPr>
    </w:p>
    <w:p>
      <w:pPr>
        <w:ind w:left="1160" w:hanging="571"/>
        <w:spacing w:after="0" w:line="258" w:lineRule="auto"/>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217" w:lineRule="exact"/>
        <w:rPr>
          <w:rFonts w:ascii="Times New Roman" w:cs="Times New Roman" w:eastAsia="Times New Roman" w:hAnsi="Times New Roman"/>
          <w:sz w:val="18"/>
          <w:szCs w:val="18"/>
          <w:color w:val="auto"/>
        </w:rPr>
      </w:pPr>
    </w:p>
    <w:p>
      <w:pPr>
        <w:ind w:left="1160" w:right="20" w:hanging="571"/>
        <w:spacing w:after="0" w:line="255" w:lineRule="auto"/>
        <w:tabs>
          <w:tab w:leader="none" w:pos="11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74" w:lineRule="exact"/>
        <w:rPr>
          <w:sz w:val="20"/>
          <w:szCs w:val="20"/>
          <w:color w:val="auto"/>
        </w:rPr>
      </w:pPr>
    </w:p>
    <w:p>
      <w:pPr>
        <w:ind w:left="1160" w:right="220" w:hanging="571"/>
        <w:spacing w:after="0" w:line="310" w:lineRule="auto"/>
        <w:tabs>
          <w:tab w:leader="none" w:pos="11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78" w:lineRule="exact"/>
        <w:rPr>
          <w:rFonts w:ascii="Times New Roman" w:cs="Times New Roman" w:eastAsia="Times New Roman" w:hAnsi="Times New Roman"/>
          <w:sz w:val="16"/>
          <w:szCs w:val="16"/>
          <w:color w:val="auto"/>
        </w:rPr>
      </w:pPr>
    </w:p>
    <w:p>
      <w:pPr>
        <w:ind w:left="1160" w:hanging="571"/>
        <w:spacing w:after="0"/>
        <w:tabs>
          <w:tab w:leader="none" w:pos="11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sub-sections 3(b) and 3(c) above.</w:t>
      </w:r>
    </w:p>
    <w:p>
      <w:pPr>
        <w:sectPr>
          <w:pgSz w:w="11900" w:h="16838" w:orient="portrait"/>
          <w:cols w:equalWidth="0" w:num="1">
            <w:col w:w="11420"/>
          </w:cols>
          <w:pgMar w:left="240" w:top="111" w:right="239" w:bottom="316" w:gutter="0" w:footer="0" w:header="0"/>
        </w:sectPr>
      </w:pPr>
    </w:p>
    <w:bookmarkStart w:id="21" w:name="page22"/>
    <w:bookmarkEnd w:id="21"/>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92" w:lineRule="exact"/>
        <w:rPr>
          <w:sz w:val="20"/>
          <w:szCs w:val="20"/>
          <w:color w:val="auto"/>
        </w:rPr>
      </w:pPr>
    </w:p>
    <w:p>
      <w:pPr>
        <w:ind w:left="1160" w:hanging="571"/>
        <w:spacing w:after="0"/>
        <w:tabs>
          <w:tab w:leader="none" w:pos="116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breach of his fiduciary duty, except to the extent described above;</w:t>
      </w:r>
    </w:p>
    <w:p>
      <w:pPr>
        <w:spacing w:after="0" w:line="230" w:lineRule="exact"/>
        <w:rPr>
          <w:rFonts w:ascii="Times New Roman" w:cs="Times New Roman" w:eastAsia="Times New Roman" w:hAnsi="Times New Roman"/>
          <w:sz w:val="27"/>
          <w:szCs w:val="27"/>
          <w:color w:val="auto"/>
          <w:vertAlign w:val="superscript"/>
        </w:rPr>
      </w:pPr>
    </w:p>
    <w:p>
      <w:pPr>
        <w:ind w:left="1160" w:right="780" w:hanging="571"/>
        <w:spacing w:after="0" w:line="206" w:lineRule="auto"/>
        <w:tabs>
          <w:tab w:leader="none" w:pos="116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breach of his duty of care, if such breach was done intentionally, recklessly or with disregard of the circumstances of the breach or its consequences;</w:t>
      </w:r>
    </w:p>
    <w:p>
      <w:pPr>
        <w:spacing w:after="0" w:line="149" w:lineRule="exact"/>
        <w:rPr>
          <w:rFonts w:ascii="Times New Roman" w:cs="Times New Roman" w:eastAsia="Times New Roman" w:hAnsi="Times New Roman"/>
          <w:sz w:val="27"/>
          <w:szCs w:val="27"/>
          <w:color w:val="auto"/>
          <w:vertAlign w:val="superscript"/>
        </w:rPr>
      </w:pPr>
    </w:p>
    <w:p>
      <w:pPr>
        <w:ind w:left="1160" w:hanging="571"/>
        <w:spacing w:after="0"/>
        <w:tabs>
          <w:tab w:leader="none" w:pos="116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an act or omission done with the intent to unlawfully realize personal gain; or</w:t>
      </w:r>
    </w:p>
    <w:p>
      <w:pPr>
        <w:spacing w:after="0" w:line="148" w:lineRule="exact"/>
        <w:rPr>
          <w:rFonts w:ascii="Times New Roman" w:cs="Times New Roman" w:eastAsia="Times New Roman" w:hAnsi="Times New Roman"/>
          <w:sz w:val="27"/>
          <w:szCs w:val="27"/>
          <w:color w:val="auto"/>
          <w:vertAlign w:val="superscript"/>
        </w:rPr>
      </w:pPr>
    </w:p>
    <w:p>
      <w:pPr>
        <w:ind w:left="1160" w:hanging="571"/>
        <w:spacing w:after="0"/>
        <w:tabs>
          <w:tab w:leader="none" w:pos="1160" w:val="left"/>
        </w:tabs>
        <w:numPr>
          <w:ilvl w:val="0"/>
          <w:numId w:val="3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a fine or monetary settlement imposed upon him.</w:t>
      </w:r>
    </w:p>
    <w:p>
      <w:pPr>
        <w:spacing w:after="0" w:line="200" w:lineRule="exact"/>
        <w:rPr>
          <w:sz w:val="20"/>
          <w:szCs w:val="20"/>
          <w:color w:val="auto"/>
        </w:rPr>
      </w:pPr>
    </w:p>
    <w:p>
      <w:pPr>
        <w:spacing w:after="0" w:line="247" w:lineRule="exact"/>
        <w:rPr>
          <w:sz w:val="20"/>
          <w:szCs w:val="20"/>
          <w:color w:val="auto"/>
        </w:rPr>
      </w:pPr>
    </w:p>
    <w:p>
      <w:pPr>
        <w:ind w:right="440" w:firstLine="351"/>
        <w:spacing w:after="0" w:line="262" w:lineRule="auto"/>
        <w:rPr>
          <w:sz w:val="20"/>
          <w:szCs w:val="20"/>
          <w:color w:val="auto"/>
        </w:rPr>
      </w:pPr>
      <w:r>
        <w:rPr>
          <w:rFonts w:ascii="Times New Roman" w:cs="Times New Roman" w:eastAsia="Times New Roman" w:hAnsi="Times New Roman"/>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86" w:lineRule="exact"/>
        <w:rPr>
          <w:sz w:val="20"/>
          <w:szCs w:val="20"/>
          <w:color w:val="auto"/>
        </w:rPr>
      </w:pPr>
    </w:p>
    <w:p>
      <w:pPr>
        <w:ind w:right="120" w:firstLine="348"/>
        <w:spacing w:after="0" w:line="262" w:lineRule="auto"/>
        <w:rPr>
          <w:sz w:val="20"/>
          <w:szCs w:val="20"/>
          <w:color w:val="auto"/>
        </w:rPr>
      </w:pPr>
      <w:r>
        <w:rPr>
          <w:rFonts w:ascii="Times New Roman" w:cs="Times New Roman" w:eastAsia="Times New Roman" w:hAnsi="Times New Roman"/>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86" w:lineRule="exact"/>
        <w:rPr>
          <w:sz w:val="20"/>
          <w:szCs w:val="20"/>
          <w:color w:val="auto"/>
        </w:rPr>
      </w:pPr>
    </w:p>
    <w:p>
      <w:pPr>
        <w:ind w:right="600" w:firstLine="348"/>
        <w:spacing w:after="0" w:line="275" w:lineRule="auto"/>
        <w:rPr>
          <w:sz w:val="20"/>
          <w:szCs w:val="20"/>
          <w:color w:val="auto"/>
        </w:rPr>
      </w:pPr>
      <w:r>
        <w:rPr>
          <w:rFonts w:ascii="Times New Roman" w:cs="Times New Roman" w:eastAsia="Times New Roman" w:hAnsi="Times New Roman"/>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2</w:t>
            </w: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319"/>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743"/>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16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99"/>
        </w:trPr>
        <w:tc>
          <w:tcPr>
            <w:tcW w:w="3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2"/>
        </w:trPr>
        <w:tc>
          <w:tcPr>
            <w:tcW w:w="360" w:type="dxa"/>
            <w:vAlign w:val="bottom"/>
          </w:tcPr>
          <w:p>
            <w:pPr>
              <w:spacing w:after="0"/>
              <w:rPr>
                <w:sz w:val="16"/>
                <w:szCs w:val="16"/>
                <w:color w:val="auto"/>
              </w:rPr>
            </w:pPr>
          </w:p>
        </w:tc>
        <w:tc>
          <w:tcPr>
            <w:tcW w:w="102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Numbers</w:t>
            </w:r>
          </w:p>
        </w:tc>
        <w:tc>
          <w:tcPr>
            <w:tcW w:w="100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Description of Document</w:t>
            </w:r>
          </w:p>
        </w:tc>
      </w:tr>
      <w:tr>
        <w:trPr>
          <w:trHeight w:val="20"/>
        </w:trPr>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465"/>
        </w:trPr>
        <w:tc>
          <w:tcPr>
            <w:tcW w:w="360" w:type="dxa"/>
            <w:vAlign w:val="bottom"/>
          </w:tcPr>
          <w:p>
            <w:pPr>
              <w:spacing w:after="0"/>
              <w:rPr>
                <w:sz w:val="24"/>
                <w:szCs w:val="24"/>
                <w:color w:val="auto"/>
              </w:rPr>
            </w:pPr>
          </w:p>
        </w:tc>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 of Association of the Registrant, approved by shareholders on November 14, 2000, as amended (incorporated by reference to like</w:t>
            </w:r>
          </w:p>
        </w:tc>
      </w:tr>
      <w:tr>
        <w:trPr>
          <w:trHeight w:val="216"/>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number exhibit filed with the Registrant’s Registration Statement on Form F-1, File No. 333-0126909). Pursuant to approvals by shareholders,</w:t>
            </w:r>
          </w:p>
        </w:tc>
      </w:tr>
      <w:tr>
        <w:trPr>
          <w:trHeight w:val="228"/>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Registrant’s Articles of Association provide for an authorized share capital of NIS 800,000,000 divided into 800,000,000 shares.</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Yigal Arnon &amp; Co.*</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Yigal Arnon &amp; Co. (contained in their opinion constituting Exhibit 5.1)*</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23.2</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Brightman Almagor &amp; Co.</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24.1</w:t>
            </w:r>
          </w:p>
        </w:tc>
        <w:tc>
          <w:tcPr>
            <w:tcW w:w="34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80" w:hanging="572"/>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6"/>
          <w:szCs w:val="16"/>
          <w:b w:val="1"/>
          <w:bCs w:val="1"/>
          <w:color w:val="auto"/>
        </w:rPr>
        <w:t>UNDERTAKINGS</w:t>
      </w:r>
    </w:p>
    <w:p>
      <w:pPr>
        <w:spacing w:after="0" w:line="200" w:lineRule="exact"/>
        <w:rPr>
          <w:sz w:val="20"/>
          <w:szCs w:val="20"/>
          <w:color w:val="auto"/>
        </w:rPr>
      </w:pPr>
    </w:p>
    <w:p>
      <w:pPr>
        <w:spacing w:after="0" w:line="270" w:lineRule="exact"/>
        <w:rPr>
          <w:sz w:val="20"/>
          <w:szCs w:val="20"/>
          <w:color w:val="auto"/>
        </w:rPr>
      </w:pPr>
    </w:p>
    <w:p>
      <w:pPr>
        <w:ind w:left="720" w:hanging="536"/>
        <w:spacing w:after="0"/>
        <w:tabs>
          <w:tab w:leader="none" w:pos="7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280" w:hanging="516"/>
        <w:spacing w:after="0"/>
        <w:tabs>
          <w:tab w:leader="none" w:pos="12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52" w:lineRule="exact"/>
        <w:rPr>
          <w:rFonts w:ascii="Times New Roman" w:cs="Times New Roman" w:eastAsia="Times New Roman" w:hAnsi="Times New Roman"/>
          <w:sz w:val="18"/>
          <w:szCs w:val="18"/>
          <w:color w:val="auto"/>
        </w:rPr>
      </w:pPr>
    </w:p>
    <w:p>
      <w:pPr>
        <w:ind w:left="580" w:right="60" w:firstLine="184"/>
        <w:spacing w:after="0" w:line="293" w:lineRule="auto"/>
        <w:tabs>
          <w:tab w:leader="none" w:pos="1318" w:val="left"/>
        </w:tabs>
        <w:numPr>
          <w:ilvl w:val="1"/>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1" w:lineRule="exact"/>
        <w:rPr>
          <w:rFonts w:ascii="Times New Roman" w:cs="Times New Roman" w:eastAsia="Times New Roman" w:hAnsi="Times New Roman"/>
          <w:sz w:val="16"/>
          <w:szCs w:val="16"/>
          <w:color w:val="auto"/>
        </w:rPr>
      </w:pPr>
    </w:p>
    <w:p>
      <w:pPr>
        <w:ind w:left="580" w:right="420" w:firstLine="184"/>
        <w:spacing w:after="0" w:line="275" w:lineRule="auto"/>
        <w:tabs>
          <w:tab w:leader="none" w:pos="13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ectPr>
          <w:pgSz w:w="11900" w:h="16838" w:orient="portrait"/>
          <w:cols w:equalWidth="0" w:num="1">
            <w:col w:w="11420"/>
          </w:cols>
          <w:pgMar w:left="240" w:top="125" w:right="239" w:bottom="170" w:gutter="0" w:footer="0" w:header="0"/>
        </w:sectPr>
      </w:pPr>
    </w:p>
    <w:bookmarkStart w:id="22" w:name="page23"/>
    <w:bookmarkEnd w:id="22"/>
    <w:p>
      <w:pPr>
        <w:ind w:right="200"/>
        <w:spacing w:after="0" w:line="258" w:lineRule="auto"/>
        <w:rPr>
          <w:sz w:val="20"/>
          <w:szCs w:val="20"/>
          <w:color w:val="auto"/>
        </w:rPr>
      </w:pPr>
      <w:r>
        <w:rPr>
          <w:rFonts w:ascii="Times New Roman" w:cs="Times New Roman" w:eastAsia="Times New Roman" w:hAnsi="Times New Roman"/>
          <w:sz w:val="18"/>
          <w:szCs w:val="18"/>
          <w:color w:val="auto"/>
        </w:rPr>
        <w:t>provided, however, that paragraphs (a)(1)(i), (a)(1)(ii) and (a)(1)(iii)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90" w:lineRule="exact"/>
        <w:rPr>
          <w:sz w:val="20"/>
          <w:szCs w:val="20"/>
          <w:color w:val="auto"/>
        </w:rPr>
      </w:pPr>
    </w:p>
    <w:p>
      <w:pPr>
        <w:jc w:val="both"/>
        <w:ind w:right="240" w:firstLine="184"/>
        <w:spacing w:after="0" w:line="262"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6" w:lineRule="exact"/>
        <w:rPr>
          <w:rFonts w:ascii="Times New Roman" w:cs="Times New Roman" w:eastAsia="Times New Roman" w:hAnsi="Times New Roman"/>
          <w:sz w:val="18"/>
          <w:szCs w:val="18"/>
          <w:color w:val="auto"/>
        </w:rPr>
      </w:pPr>
    </w:p>
    <w:p>
      <w:pPr>
        <w:ind w:right="200" w:firstLine="184"/>
        <w:spacing w:after="0" w:line="275"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73" w:lineRule="exact"/>
        <w:rPr>
          <w:rFonts w:ascii="Times New Roman" w:cs="Times New Roman" w:eastAsia="Times New Roman" w:hAnsi="Times New Roman"/>
          <w:sz w:val="18"/>
          <w:szCs w:val="18"/>
          <w:color w:val="auto"/>
        </w:rPr>
      </w:pPr>
    </w:p>
    <w:p>
      <w:pPr>
        <w:ind w:firstLine="184"/>
        <w:spacing w:after="0" w:line="254" w:lineRule="auto"/>
        <w:tabs>
          <w:tab w:leader="none" w:pos="73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2" w:lineRule="exact"/>
        <w:rPr>
          <w:rFonts w:ascii="Times New Roman" w:cs="Times New Roman" w:eastAsia="Times New Roman" w:hAnsi="Times New Roman"/>
          <w:sz w:val="18"/>
          <w:szCs w:val="18"/>
          <w:color w:val="auto"/>
        </w:rPr>
      </w:pPr>
    </w:p>
    <w:p>
      <w:pPr>
        <w:ind w:left="740" w:hanging="556"/>
        <w:spacing w:after="0"/>
        <w:tabs>
          <w:tab w:leader="none" w:pos="7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registrant is relying on Rule 430B (230.430B of this chapter):</w:t>
      </w:r>
    </w:p>
    <w:p>
      <w:pPr>
        <w:spacing w:after="0" w:line="252" w:lineRule="exact"/>
        <w:rPr>
          <w:rFonts w:ascii="Times New Roman" w:cs="Times New Roman" w:eastAsia="Times New Roman" w:hAnsi="Times New Roman"/>
          <w:sz w:val="18"/>
          <w:szCs w:val="18"/>
          <w:color w:val="auto"/>
        </w:rPr>
      </w:pPr>
    </w:p>
    <w:p>
      <w:pPr>
        <w:ind w:left="1720" w:right="220" w:hanging="564"/>
        <w:spacing w:after="0" w:line="275" w:lineRule="auto"/>
        <w:tabs>
          <w:tab w:leader="none" w:pos="17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200" w:lineRule="exact"/>
        <w:rPr>
          <w:rFonts w:ascii="Times New Roman" w:cs="Times New Roman" w:eastAsia="Times New Roman" w:hAnsi="Times New Roman"/>
          <w:sz w:val="18"/>
          <w:szCs w:val="18"/>
          <w:color w:val="auto"/>
        </w:rPr>
      </w:pPr>
    </w:p>
    <w:p>
      <w:pPr>
        <w:ind w:left="1720" w:hanging="564"/>
        <w:spacing w:after="0" w:line="252" w:lineRule="auto"/>
        <w:tabs>
          <w:tab w:leader="none" w:pos="17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228" w:lineRule="exact"/>
        <w:rPr>
          <w:rFonts w:ascii="Times New Roman" w:cs="Times New Roman" w:eastAsia="Times New Roman" w:hAnsi="Times New Roman"/>
          <w:sz w:val="18"/>
          <w:szCs w:val="18"/>
          <w:color w:val="auto"/>
        </w:rPr>
      </w:pPr>
    </w:p>
    <w:p>
      <w:pPr>
        <w:ind w:left="1160" w:right="200" w:hanging="571"/>
        <w:spacing w:after="0" w:line="291" w:lineRule="auto"/>
        <w:tabs>
          <w:tab w:leader="none" w:pos="1160" w:val="left"/>
        </w:tabs>
        <w:numPr>
          <w:ilvl w:val="1"/>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right="320" w:firstLine="184"/>
        <w:spacing w:after="0" w:line="301" w:lineRule="auto"/>
        <w:tabs>
          <w:tab w:leader="none" w:pos="731"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52" w:lineRule="exact"/>
        <w:rPr>
          <w:rFonts w:ascii="Times New Roman" w:cs="Times New Roman" w:eastAsia="Times New Roman" w:hAnsi="Times New Roman"/>
          <w:sz w:val="18"/>
          <w:szCs w:val="18"/>
          <w:color w:val="auto"/>
        </w:rPr>
      </w:pPr>
    </w:p>
    <w:p>
      <w:pPr>
        <w:ind w:left="1160" w:right="840" w:hanging="571"/>
        <w:spacing w:after="0" w:line="275" w:lineRule="auto"/>
        <w:tabs>
          <w:tab w:leader="none" w:pos="1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200" w:lineRule="exact"/>
        <w:rPr>
          <w:rFonts w:ascii="Times New Roman" w:cs="Times New Roman" w:eastAsia="Times New Roman" w:hAnsi="Times New Roman"/>
          <w:sz w:val="18"/>
          <w:szCs w:val="18"/>
          <w:color w:val="auto"/>
        </w:rPr>
      </w:pPr>
    </w:p>
    <w:p>
      <w:pPr>
        <w:ind w:left="1160" w:right="280" w:hanging="571"/>
        <w:spacing w:after="0" w:line="275" w:lineRule="auto"/>
        <w:tabs>
          <w:tab w:leader="none" w:pos="1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00" w:lineRule="exact"/>
        <w:rPr>
          <w:rFonts w:ascii="Times New Roman" w:cs="Times New Roman" w:eastAsia="Times New Roman" w:hAnsi="Times New Roman"/>
          <w:sz w:val="18"/>
          <w:szCs w:val="18"/>
          <w:color w:val="auto"/>
        </w:rPr>
      </w:pPr>
    </w:p>
    <w:p>
      <w:pPr>
        <w:ind w:left="1160" w:hanging="571"/>
        <w:spacing w:after="0"/>
        <w:tabs>
          <w:tab w:leader="none" w:pos="11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right="140" w:firstLine="184"/>
        <w:spacing w:after="0" w:line="310" w:lineRule="auto"/>
        <w:tabs>
          <w:tab w:leader="none" w:pos="731"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w:t>
      </w:r>
    </w:p>
    <w:p>
      <w:pPr>
        <w:sectPr>
          <w:pgSz w:w="11900" w:h="16838" w:orient="portrait"/>
          <w:cols w:equalWidth="0" w:num="1">
            <w:col w:w="11420"/>
          </w:cols>
          <w:pgMar w:left="240" w:top="125" w:right="239" w:bottom="0" w:gutter="0" w:footer="0" w:header="0"/>
        </w:sectPr>
      </w:pPr>
    </w:p>
    <w:bookmarkStart w:id="23" w:name="page24"/>
    <w:bookmarkEnd w:id="23"/>
    <w:p>
      <w:pPr>
        <w:ind w:right="200"/>
        <w:spacing w:after="0" w:line="275" w:lineRule="auto"/>
        <w:rPr>
          <w:sz w:val="20"/>
          <w:szCs w:val="20"/>
          <w:color w:val="auto"/>
        </w:rPr>
      </w:pPr>
      <w:r>
        <w:rPr>
          <w:rFonts w:ascii="Times New Roman" w:cs="Times New Roman" w:eastAsia="Times New Roman" w:hAnsi="Times New Roman"/>
          <w:sz w:val="18"/>
          <w:szCs w:val="18"/>
          <w:color w:val="auto"/>
        </w:rPr>
        <w:t>shall be deemed to be a new registration statement relating to the securities offered therein, and the offering of such securities at that time shall be deemed to be the initial bona fide offering thereof.</w:t>
      </w:r>
    </w:p>
    <w:p>
      <w:pPr>
        <w:spacing w:after="0" w:line="174" w:lineRule="exact"/>
        <w:rPr>
          <w:sz w:val="20"/>
          <w:szCs w:val="20"/>
          <w:color w:val="auto"/>
        </w:rPr>
      </w:pPr>
    </w:p>
    <w:p>
      <w:pPr>
        <w:ind w:right="140" w:firstLine="184"/>
        <w:spacing w:after="0" w:line="291" w:lineRule="auto"/>
        <w:tabs>
          <w:tab w:leader="none" w:pos="722"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08" w:lineRule="exact"/>
        <w:rPr>
          <w:sz w:val="20"/>
          <w:szCs w:val="20"/>
          <w:color w:val="auto"/>
        </w:rPr>
      </w:pPr>
    </w:p>
    <w:p>
      <w:pPr>
        <w:ind w:right="540" w:firstLine="395"/>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F-3 and has duly caused this Amendment No.2 to the Registration Statement on Form F-3 to be signed on its behalf by the undersigned, thereunto duly authorized, in the City of Migdal Haemek, Israel, on May 3, 2007.</w:t>
      </w:r>
    </w:p>
    <w:p>
      <w:pPr>
        <w:spacing w:after="0" w:line="1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00" w:lineRule="exact"/>
        <w:rPr>
          <w:sz w:val="20"/>
          <w:szCs w:val="20"/>
          <w:color w:val="auto"/>
        </w:rPr>
      </w:pPr>
    </w:p>
    <w:p>
      <w:pPr>
        <w:spacing w:after="0" w:line="2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Russell C. Ellwanger</w:t>
      </w:r>
    </w:p>
    <w:p>
      <w:pPr>
        <w:spacing w:after="0" w:line="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00" w:lineRule="exact"/>
        <w:rPr>
          <w:sz w:val="20"/>
          <w:szCs w:val="20"/>
          <w:color w:val="auto"/>
        </w:rPr>
      </w:pPr>
    </w:p>
    <w:p>
      <w:pPr>
        <w:spacing w:after="0" w:line="256" w:lineRule="exact"/>
        <w:rPr>
          <w:sz w:val="20"/>
          <w:szCs w:val="20"/>
          <w:color w:val="auto"/>
        </w:rPr>
      </w:pPr>
    </w:p>
    <w:p>
      <w:pPr>
        <w:ind w:right="100" w:firstLine="351"/>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5"/>
              </w:rPr>
              <w:t>Signature</w:t>
            </w:r>
          </w:p>
        </w:tc>
        <w:tc>
          <w:tcPr>
            <w:tcW w:w="3040" w:type="dxa"/>
            <w:vAlign w:val="bottom"/>
          </w:tcPr>
          <w:p>
            <w:pPr>
              <w:spacing w:after="0"/>
              <w:rPr>
                <w:sz w:val="18"/>
                <w:szCs w:val="18"/>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Dov Moran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Russell C. Ellwanger</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Finance and Acting Chief</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Oren Shirazi</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Nir Gilad</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7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Melvin Keating</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7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3 ,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3 , 2007</w:t>
            </w:r>
          </w:p>
        </w:tc>
      </w:tr>
      <w:tr>
        <w:trPr>
          <w:trHeight w:val="216"/>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spacing w:after="0"/>
              <w:rPr>
                <w:sz w:val="18"/>
                <w:szCs w:val="18"/>
                <w:color w:val="auto"/>
              </w:rPr>
            </w:pPr>
          </w:p>
        </w:tc>
      </w:tr>
      <w:tr>
        <w:trPr>
          <w:trHeight w:val="22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Hans Rohrer</w:t>
            </w:r>
          </w:p>
        </w:tc>
        <w:tc>
          <w:tcPr>
            <w:tcW w:w="18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47"/>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Director</w:t>
            </w:r>
          </w:p>
        </w:tc>
        <w:tc>
          <w:tcPr>
            <w:tcW w:w="3940" w:type="dxa"/>
            <w:vAlign w:val="bottom"/>
          </w:tcPr>
          <w:p>
            <w:pPr>
              <w:spacing w:after="0"/>
              <w:rPr>
                <w:sz w:val="24"/>
                <w:szCs w:val="24"/>
                <w:color w:val="auto"/>
              </w:rPr>
            </w:pPr>
          </w:p>
        </w:tc>
      </w:tr>
      <w:tr>
        <w:trPr>
          <w:trHeight w:val="216"/>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spacing w:after="0"/>
              <w:rPr>
                <w:sz w:val="18"/>
                <w:szCs w:val="18"/>
                <w:color w:val="auto"/>
              </w:rPr>
            </w:pPr>
          </w:p>
        </w:tc>
      </w:tr>
      <w:tr>
        <w:trPr>
          <w:trHeight w:val="22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Miri Katz</w:t>
            </w:r>
          </w:p>
        </w:tc>
        <w:tc>
          <w:tcPr>
            <w:tcW w:w="18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447"/>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AUTHORIZED REPRESENTATIVE IN THE UNITED STATES</w:t>
            </w:r>
          </w:p>
        </w:tc>
        <w:tc>
          <w:tcPr>
            <w:tcW w:w="3940" w:type="dxa"/>
            <w:vAlign w:val="bottom"/>
          </w:tcPr>
          <w:p>
            <w:pPr>
              <w:spacing w:after="0"/>
              <w:rPr>
                <w:sz w:val="24"/>
                <w:szCs w:val="24"/>
                <w:color w:val="auto"/>
              </w:rPr>
            </w:pPr>
          </w:p>
        </w:tc>
      </w:tr>
      <w:tr>
        <w:trPr>
          <w:trHeight w:val="228"/>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Tower Semiconductor USA, Inc.</w:t>
            </w:r>
          </w:p>
        </w:tc>
        <w:tc>
          <w:tcPr>
            <w:tcW w:w="3940" w:type="dxa"/>
            <w:vAlign w:val="bottom"/>
          </w:tcPr>
          <w:p>
            <w:pPr>
              <w:spacing w:after="0"/>
              <w:rPr>
                <w:sz w:val="19"/>
                <w:szCs w:val="19"/>
                <w:color w:val="auto"/>
              </w:rPr>
            </w:pPr>
          </w:p>
        </w:tc>
      </w:tr>
      <w:tr>
        <w:trPr>
          <w:trHeight w:val="636"/>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 Russell C. Ellwanger</w:t>
            </w:r>
          </w:p>
        </w:tc>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May 3 , 2007</w:t>
            </w:r>
          </w:p>
        </w:tc>
      </w:tr>
      <w:tr>
        <w:trPr>
          <w:trHeight w:val="216"/>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spacing w:after="0"/>
              <w:rPr>
                <w:sz w:val="18"/>
                <w:szCs w:val="18"/>
                <w:color w:val="auto"/>
              </w:rPr>
            </w:pPr>
          </w:p>
        </w:tc>
      </w:tr>
      <w:tr>
        <w:trPr>
          <w:trHeight w:val="216"/>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3940" w:type="dxa"/>
            <w:vAlign w:val="bottom"/>
          </w:tcPr>
          <w:p>
            <w:pPr>
              <w:spacing w:after="0"/>
              <w:rPr>
                <w:sz w:val="18"/>
                <w:szCs w:val="18"/>
                <w:color w:val="auto"/>
              </w:rPr>
            </w:pPr>
          </w:p>
        </w:tc>
      </w:tr>
      <w:tr>
        <w:trPr>
          <w:trHeight w:val="228"/>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940" w:type="dxa"/>
            <w:vAlign w:val="bottom"/>
          </w:tcPr>
          <w:p>
            <w:pPr>
              <w:spacing w:after="0"/>
              <w:rPr>
                <w:sz w:val="19"/>
                <w:szCs w:val="19"/>
                <w:color w:val="auto"/>
              </w:rPr>
            </w:pPr>
          </w:p>
        </w:tc>
      </w:tr>
      <w:tr>
        <w:trPr>
          <w:trHeight w:val="663"/>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*By: /s/ Russell C. Ellwanger</w:t>
            </w:r>
          </w:p>
        </w:tc>
        <w:tc>
          <w:tcPr>
            <w:tcW w:w="3940" w:type="dxa"/>
            <w:vAlign w:val="bottom"/>
          </w:tcPr>
          <w:p>
            <w:pPr>
              <w:spacing w:after="0"/>
              <w:rPr>
                <w:sz w:val="24"/>
                <w:szCs w:val="24"/>
                <w:color w:val="auto"/>
              </w:rPr>
            </w:pPr>
          </w:p>
        </w:tc>
      </w:tr>
      <w:tr>
        <w:trPr>
          <w:trHeight w:val="216"/>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spacing w:after="0"/>
              <w:rPr>
                <w:sz w:val="18"/>
                <w:szCs w:val="18"/>
                <w:color w:val="auto"/>
              </w:rPr>
            </w:pPr>
          </w:p>
        </w:tc>
      </w:tr>
      <w:tr>
        <w:trPr>
          <w:trHeight w:val="216"/>
        </w:trPr>
        <w:tc>
          <w:tcPr>
            <w:tcW w:w="7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Russell C. Ellwanger</w:t>
            </w:r>
          </w:p>
        </w:tc>
        <w:tc>
          <w:tcPr>
            <w:tcW w:w="3940" w:type="dxa"/>
            <w:vAlign w:val="bottom"/>
          </w:tcPr>
          <w:p>
            <w:pPr>
              <w:spacing w:after="0"/>
              <w:rPr>
                <w:sz w:val="18"/>
                <w:szCs w:val="18"/>
                <w:color w:val="auto"/>
              </w:rPr>
            </w:pPr>
          </w:p>
        </w:tc>
      </w:tr>
      <w:tr>
        <w:trPr>
          <w:trHeight w:val="228"/>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(Attorney in Fact)</w:t>
            </w:r>
          </w:p>
        </w:tc>
        <w:tc>
          <w:tcPr>
            <w:tcW w:w="188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940" w:type="dxa"/>
            <w:vAlign w:val="bottom"/>
          </w:tcPr>
          <w:p>
            <w:pPr>
              <w:spacing w:after="0"/>
              <w:rPr>
                <w:sz w:val="19"/>
                <w:szCs w:val="19"/>
                <w:color w:val="auto"/>
              </w:rPr>
            </w:pPr>
          </w:p>
        </w:tc>
      </w:tr>
      <w:tr>
        <w:trPr>
          <w:trHeight w:val="675"/>
        </w:trPr>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00" w:type="dxa"/>
            <w:vAlign w:val="bottom"/>
            <w:gridSpan w:val="2"/>
          </w:tcPr>
          <w:p>
            <w:pPr>
              <w:ind w:left="4300"/>
              <w:spacing w:after="0"/>
              <w:rPr>
                <w:sz w:val="20"/>
                <w:szCs w:val="20"/>
                <w:color w:val="auto"/>
              </w:rPr>
            </w:pPr>
            <w:r>
              <w:rPr>
                <w:rFonts w:ascii="Times New Roman" w:cs="Times New Roman" w:eastAsia="Times New Roman" w:hAnsi="Times New Roman"/>
                <w:sz w:val="18"/>
                <w:szCs w:val="18"/>
                <w:color w:val="auto"/>
              </w:rPr>
              <w:t>8</w:t>
            </w:r>
          </w:p>
        </w:tc>
        <w:tc>
          <w:tcPr>
            <w:tcW w:w="3940" w:type="dxa"/>
            <w:vAlign w:val="bottom"/>
          </w:tcPr>
          <w:p>
            <w:pPr>
              <w:spacing w:after="0"/>
              <w:rPr>
                <w:sz w:val="24"/>
                <w:szCs w:val="24"/>
                <w:color w:val="auto"/>
              </w:rPr>
            </w:pPr>
          </w:p>
        </w:tc>
      </w:tr>
      <w:tr>
        <w:trPr>
          <w:trHeight w:val="174"/>
        </w:trPr>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61"/>
        </w:trPr>
        <w:tc>
          <w:tcPr>
            <w:tcW w:w="36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3940" w:type="dxa"/>
            <w:vAlign w:val="bottom"/>
            <w:shd w:val="clear" w:color="auto" w:fill="808080"/>
          </w:tcPr>
          <w:p>
            <w:pPr>
              <w:spacing w:after="0"/>
              <w:rPr>
                <w:sz w:val="5"/>
                <w:szCs w:val="5"/>
                <w:color w:val="auto"/>
              </w:rPr>
            </w:pPr>
          </w:p>
        </w:tc>
      </w:tr>
      <w:tr>
        <w:trPr>
          <w:trHeight w:val="305"/>
        </w:trPr>
        <w:tc>
          <w:tcPr>
            <w:tcW w:w="3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192"/>
        </w:trPr>
        <w:tc>
          <w:tcPr>
            <w:tcW w:w="360" w:type="dxa"/>
            <w:vAlign w:val="bottom"/>
          </w:tcPr>
          <w:p>
            <w:pPr>
              <w:spacing w:after="0"/>
              <w:rPr>
                <w:sz w:val="16"/>
                <w:szCs w:val="16"/>
                <w:color w:val="auto"/>
              </w:rPr>
            </w:pPr>
          </w:p>
        </w:tc>
        <w:tc>
          <w:tcPr>
            <w:tcW w:w="102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Numbers</w:t>
            </w:r>
          </w:p>
        </w:tc>
        <w:tc>
          <w:tcPr>
            <w:tcW w:w="610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3940" w:type="dxa"/>
            <w:vAlign w:val="bottom"/>
          </w:tcPr>
          <w:p>
            <w:pPr>
              <w:spacing w:after="0"/>
              <w:rPr>
                <w:sz w:val="16"/>
                <w:szCs w:val="16"/>
                <w:color w:val="auto"/>
              </w:rPr>
            </w:pPr>
          </w:p>
        </w:tc>
      </w:tr>
      <w:tr>
        <w:trPr>
          <w:trHeight w:val="20"/>
        </w:trPr>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465"/>
        </w:trPr>
        <w:tc>
          <w:tcPr>
            <w:tcW w:w="360" w:type="dxa"/>
            <w:vAlign w:val="bottom"/>
          </w:tcPr>
          <w:p>
            <w:pPr>
              <w:spacing w:after="0"/>
              <w:rPr>
                <w:sz w:val="24"/>
                <w:szCs w:val="24"/>
                <w:color w:val="auto"/>
              </w:rPr>
            </w:pPr>
          </w:p>
        </w:tc>
        <w:tc>
          <w:tcPr>
            <w:tcW w:w="68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Articles of Association of the Registrant, approved by shareholders on November 14, 2000, as amended (incorporated by reference to like</w:t>
            </w:r>
          </w:p>
        </w:tc>
      </w:tr>
      <w:tr>
        <w:trPr>
          <w:trHeight w:val="216"/>
        </w:trPr>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number exhibit filed with the Registrant’s Registration Statement on Form F-1, File No. 333-0126909). Pursuant to approvals by shareholders,</w:t>
            </w:r>
          </w:p>
        </w:tc>
      </w:tr>
      <w:tr>
        <w:trPr>
          <w:trHeight w:val="228"/>
        </w:trPr>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Registrant’s Articles of Association provide for an authorized share capital of NIS 800,000,000 divided into 800,000,000 shares.</w:t>
            </w: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34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Opinion of Yigal Arnon &amp; Co.*</w:t>
            </w:r>
          </w:p>
        </w:tc>
        <w:tc>
          <w:tcPr>
            <w:tcW w:w="3940" w:type="dxa"/>
            <w:vAlign w:val="bottom"/>
          </w:tcPr>
          <w:p>
            <w:pPr>
              <w:spacing w:after="0"/>
              <w:rPr>
                <w:sz w:val="24"/>
                <w:szCs w:val="24"/>
                <w:color w:val="auto"/>
              </w:rPr>
            </w:pP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34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Yigal Arnon &amp; Co. (contained in their opinion constituting Exhibit 5.1)*</w:t>
            </w:r>
          </w:p>
        </w:tc>
        <w:tc>
          <w:tcPr>
            <w:tcW w:w="3940" w:type="dxa"/>
            <w:vAlign w:val="bottom"/>
          </w:tcPr>
          <w:p>
            <w:pPr>
              <w:spacing w:after="0"/>
              <w:rPr>
                <w:sz w:val="24"/>
                <w:szCs w:val="24"/>
                <w:color w:val="auto"/>
              </w:rPr>
            </w:pP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23.2</w:t>
            </w:r>
          </w:p>
        </w:tc>
        <w:tc>
          <w:tcPr>
            <w:tcW w:w="34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Consent of Brightman Almagor &amp; Co.</w:t>
            </w:r>
          </w:p>
        </w:tc>
        <w:tc>
          <w:tcPr>
            <w:tcW w:w="3940" w:type="dxa"/>
            <w:vAlign w:val="bottom"/>
          </w:tcPr>
          <w:p>
            <w:pPr>
              <w:spacing w:after="0"/>
              <w:rPr>
                <w:sz w:val="24"/>
                <w:szCs w:val="24"/>
                <w:color w:val="auto"/>
              </w:rPr>
            </w:pPr>
          </w:p>
        </w:tc>
      </w:tr>
      <w:tr>
        <w:trPr>
          <w:trHeight w:val="459"/>
        </w:trPr>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24.1</w:t>
            </w:r>
          </w:p>
        </w:tc>
        <w:tc>
          <w:tcPr>
            <w:tcW w:w="340" w:type="dxa"/>
            <w:vAlign w:val="bottom"/>
          </w:tcPr>
          <w:p>
            <w:pPr>
              <w:spacing w:after="0"/>
              <w:rPr>
                <w:sz w:val="24"/>
                <w:szCs w:val="24"/>
                <w:color w:val="auto"/>
              </w:rPr>
            </w:pPr>
          </w:p>
        </w:tc>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Power of Attorney *</w:t>
            </w:r>
          </w:p>
        </w:tc>
        <w:tc>
          <w:tcPr>
            <w:tcW w:w="3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80" w:hanging="572"/>
        <w:spacing w:after="0"/>
        <w:tabs>
          <w:tab w:leader="none" w:pos="5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3906520</wp:posOffset>
            </wp:positionV>
            <wp:extent cx="72675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0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2 to the Registration Statement on Form F-3 (No. 333-140174) of (i) our report dated February 1, 2006, relating to the financial statements of Tower Semiconductor Ltd. appearing in the Annual Report on Form 20-F of Tower Semiconductor Ltd. for the year ended December 31, 2005, and (ii) our report dated February 7, 2007, relating to the financial statements of Tower Semiconductor Ltd. for the year ended December 31, 2006 appearing in the Report on Form 6-K of Tower Semiconductor Ltd. filed on February 8, 2007. We also consent to the reference to us under the heading “Experts” in this Amendment No. 2 to the Registration Statement.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Brightman Almagor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&amp; 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Member Firm of Deloitte Touche Tohmatsu</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lowerRoman"/>
      <w:start w:val="3"/>
    </w:lvl>
  </w:abstractNum>
  <w:abstractNum w:abstractNumId="1">
    <w:nsid w:val="333AB105"/>
    <w:multiLevelType w:val="hybridMultilevel"/>
    <w:lvl w:ilvl="0">
      <w:lvlJc w:val="left"/>
      <w:lvlText w:val="\emdash "/>
      <w:numFmt w:val="bullet"/>
      <w:start w:val="1"/>
    </w:lvl>
  </w:abstractNum>
  <w:abstractNum w:abstractNumId="2">
    <w:nsid w:val="721DA317"/>
    <w:multiLevelType w:val="hybridMultilevel"/>
    <w:lvl w:ilvl="0">
      <w:lvlJc w:val="left"/>
      <w:lvlText w:val="\emdash "/>
      <w:numFmt w:val="bullet"/>
      <w:start w:val="1"/>
    </w:lvl>
  </w:abstractNum>
  <w:abstractNum w:abstractNumId="3">
    <w:nsid w:val="2443A858"/>
    <w:multiLevelType w:val="hybridMultilevel"/>
    <w:lvl w:ilvl="0">
      <w:lvlJc w:val="left"/>
      <w:lvlText w:val="\emdash "/>
      <w:numFmt w:val="bullet"/>
      <w:start w:val="1"/>
    </w:lvl>
  </w:abstractNum>
  <w:abstractNum w:abstractNumId="4">
    <w:nsid w:val="2D1D5AE9"/>
    <w:multiLevelType w:val="hybridMultilevel"/>
    <w:lvl w:ilvl="0">
      <w:lvlJc w:val="left"/>
      <w:lvlText w:val="\emdash "/>
      <w:numFmt w:val="bullet"/>
      <w:start w:val="1"/>
    </w:lvl>
  </w:abstractNum>
  <w:abstractNum w:abstractNumId="5">
    <w:nsid w:val="6763845E"/>
    <w:multiLevelType w:val="hybridMultilevel"/>
    <w:lvl w:ilvl="0">
      <w:lvlJc w:val="left"/>
      <w:lvlText w:val="\emdash "/>
      <w:numFmt w:val="bullet"/>
      <w:start w:val="1"/>
    </w:lvl>
  </w:abstractNum>
  <w:abstractNum w:abstractNumId="6">
    <w:nsid w:val="75A2A8D4"/>
    <w:multiLevelType w:val="hybridMultilevel"/>
    <w:lvl w:ilvl="0">
      <w:lvlJc w:val="left"/>
      <w:lvlText w:val="\emdash "/>
      <w:numFmt w:val="bullet"/>
      <w:start w:val="1"/>
    </w:lvl>
  </w:abstractNum>
  <w:abstractNum w:abstractNumId="7">
    <w:nsid w:val="8EDBDAB"/>
    <w:multiLevelType w:val="hybridMultilevel"/>
    <w:lvl w:ilvl="0">
      <w:lvlJc w:val="left"/>
      <w:lvlText w:val="\emdash "/>
      <w:numFmt w:val="bullet"/>
      <w:start w:val="1"/>
    </w:lvl>
  </w:abstractNum>
  <w:abstractNum w:abstractNumId="8">
    <w:nsid w:val="79838CB2"/>
    <w:multiLevelType w:val="hybridMultilevel"/>
    <w:lvl w:ilvl="0">
      <w:lvlJc w:val="left"/>
      <w:lvlText w:val="\emdash "/>
      <w:numFmt w:val="bullet"/>
      <w:start w:val="1"/>
    </w:lvl>
  </w:abstractNum>
  <w:abstractNum w:abstractNumId="9">
    <w:nsid w:val="4353D0CD"/>
    <w:multiLevelType w:val="hybridMultilevel"/>
    <w:lvl w:ilvl="0">
      <w:lvlJc w:val="left"/>
      <w:lvlText w:val="\emdash "/>
      <w:numFmt w:val="bullet"/>
      <w:start w:val="1"/>
    </w:lvl>
  </w:abstractNum>
  <w:abstractNum w:abstractNumId="10">
    <w:nsid w:val="B03E0C6"/>
    <w:multiLevelType w:val="hybridMultilevel"/>
    <w:lvl w:ilvl="0">
      <w:lvlJc w:val="left"/>
      <w:lvlText w:val="(%1)"/>
      <w:numFmt w:val="lowerRoman"/>
      <w:start w:val="1"/>
    </w:lvl>
  </w:abstractNum>
  <w:abstractNum w:abstractNumId="11">
    <w:nsid w:val="189A769B"/>
    <w:multiLevelType w:val="hybridMultilevel"/>
    <w:lvl w:ilvl="0">
      <w:lvlJc w:val="left"/>
      <w:lvlText w:val="(%1)"/>
      <w:numFmt w:val="lowerRoman"/>
      <w:start w:val="6"/>
    </w:lvl>
  </w:abstractNum>
  <w:abstractNum w:abstractNumId="12">
    <w:nsid w:val="54E49EB4"/>
    <w:multiLevelType w:val="hybridMultilevel"/>
    <w:lvl w:ilvl="0">
      <w:lvlJc w:val="left"/>
      <w:lvlText w:val="\emdash "/>
      <w:numFmt w:val="bullet"/>
      <w:start w:val="1"/>
    </w:lvl>
  </w:abstractNum>
  <w:abstractNum w:abstractNumId="13">
    <w:nsid w:val="71F32454"/>
    <w:multiLevelType w:val="hybridMultilevel"/>
    <w:lvl w:ilvl="0">
      <w:lvlJc w:val="left"/>
      <w:lvlText w:val="1"/>
      <w:numFmt w:val="bullet"/>
      <w:start w:val="1"/>
    </w:lvl>
  </w:abstractNum>
  <w:abstractNum w:abstractNumId="14">
    <w:nsid w:val="2CA88611"/>
    <w:multiLevelType w:val="hybridMultilevel"/>
    <w:lvl w:ilvl="0">
      <w:lvlJc w:val="left"/>
      <w:lvlText w:val="2"/>
      <w:numFmt w:val="bullet"/>
      <w:start w:val="1"/>
    </w:lvl>
  </w:abstractNum>
  <w:abstractNum w:abstractNumId="15">
    <w:nsid w:val="836C40E"/>
    <w:multiLevelType w:val="hybridMultilevel"/>
    <w:lvl w:ilvl="0">
      <w:lvlJc w:val="left"/>
      <w:lvlText w:val="3"/>
      <w:numFmt w:val="bullet"/>
      <w:start w:val="1"/>
    </w:lvl>
  </w:abstractNum>
  <w:abstractNum w:abstractNumId="16">
    <w:nsid w:val="2901D82"/>
    <w:multiLevelType w:val="hybridMultilevel"/>
    <w:lvl w:ilvl="0">
      <w:lvlJc w:val="left"/>
      <w:lvlText w:val="4"/>
      <w:numFmt w:val="bullet"/>
      <w:start w:val="1"/>
    </w:lvl>
  </w:abstractNum>
  <w:abstractNum w:abstractNumId="17">
    <w:nsid w:val="3A95F874"/>
    <w:multiLevelType w:val="hybridMultilevel"/>
    <w:lvl w:ilvl="0">
      <w:lvlJc w:val="left"/>
      <w:lvlText w:val="5"/>
      <w:numFmt w:val="bullet"/>
      <w:start w:val="1"/>
    </w:lvl>
  </w:abstractNum>
  <w:abstractNum w:abstractNumId="18">
    <w:nsid w:val="8138641"/>
    <w:multiLevelType w:val="hybridMultilevel"/>
    <w:lvl w:ilvl="0">
      <w:lvlJc w:val="left"/>
      <w:lvlText w:val="6"/>
      <w:numFmt w:val="bullet"/>
      <w:start w:val="1"/>
    </w:lvl>
  </w:abstractNum>
  <w:abstractNum w:abstractNumId="19">
    <w:nsid w:val="1E7FF521"/>
    <w:multiLevelType w:val="hybridMultilevel"/>
    <w:lvl w:ilvl="0">
      <w:lvlJc w:val="left"/>
      <w:lvlText w:val="7"/>
      <w:numFmt w:val="bullet"/>
      <w:start w:val="1"/>
    </w:lvl>
  </w:abstractNum>
  <w:abstractNum w:abstractNumId="20">
    <w:nsid w:val="7C3DBD3D"/>
    <w:multiLevelType w:val="hybridMultilevel"/>
    <w:lvl w:ilvl="0">
      <w:lvlJc w:val="left"/>
      <w:lvlText w:val="8"/>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3"/>
    </w:lvl>
  </w:abstractNum>
  <w:abstractNum w:abstractNumId="23">
    <w:nsid w:val="22221A70"/>
    <w:multiLevelType w:val="hybridMultilevel"/>
    <w:lvl w:ilvl="0">
      <w:lvlJc w:val="left"/>
      <w:lvlText w:val="(%1)"/>
      <w:numFmt w:val="decimal"/>
      <w:start w:val="6"/>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emdash "/>
      <w:numFmt w:val="bullet"/>
      <w:start w:val="1"/>
    </w:lvl>
  </w:abstractNum>
  <w:abstractNum w:abstractNumId="26">
    <w:nsid w:val="614FD4A1"/>
    <w:multiLevelType w:val="hybridMultilevel"/>
    <w:lvl w:ilvl="0">
      <w:lvlJc w:val="left"/>
      <w:lvlText w:val="\emdash "/>
      <w:numFmt w:val="bullet"/>
      <w:start w:val="1"/>
    </w:lvl>
  </w:abstractNum>
  <w:abstractNum w:abstractNumId="27">
    <w:nsid w:val="419AC241"/>
    <w:multiLevelType w:val="hybridMultilevel"/>
    <w:lvl w:ilvl="0">
      <w:lvlJc w:val="left"/>
      <w:lvlText w:val="\emdash "/>
      <w:numFmt w:val="bullet"/>
      <w:start w:val="1"/>
    </w:lvl>
  </w:abstractNum>
  <w:abstractNum w:abstractNumId="28">
    <w:nsid w:val="5577F8E1"/>
    <w:multiLevelType w:val="hybridMultilevel"/>
    <w:lvl w:ilvl="0">
      <w:lvlJc w:val="left"/>
      <w:lvlText w:val="%1."/>
      <w:numFmt w:val="decimal"/>
      <w:start w:val="1"/>
    </w:lvl>
    <w:lvl w:ilvl="1">
      <w:lvlJc w:val="left"/>
      <w:lvlText w:val="(%2)"/>
      <w:numFmt w:val="lowerLetter"/>
      <w:start w:val="1"/>
    </w:lvl>
  </w:abstractNum>
  <w:abstractNum w:abstractNumId="29">
    <w:nsid w:val="440BADFC"/>
    <w:multiLevelType w:val="hybridMultilevel"/>
    <w:lvl w:ilvl="0">
      <w:lvlJc w:val="left"/>
      <w:lvlText w:val="%1."/>
      <w:numFmt w:val="lowerRoman"/>
      <w:start w:val="1"/>
    </w:lvl>
  </w:abstractNum>
  <w:abstractNum w:abstractNumId="30">
    <w:nsid w:val="5072367"/>
    <w:multiLevelType w:val="hybridMultilevel"/>
    <w:lvl w:ilvl="0">
      <w:lvlJc w:val="left"/>
      <w:lvlText w:val="š"/>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1"/>
    </w:lvl>
    <w:lvl w:ilvl="1">
      <w:lvlJc w:val="left"/>
      <w:lvlText w:val="(%2)"/>
      <w:numFmt w:val="lowerRoman"/>
      <w:start w:val="1"/>
    </w:lvl>
  </w:abstractNum>
  <w:abstractNum w:abstractNumId="34">
    <w:nsid w:val="5C482A97"/>
    <w:multiLevelType w:val="hybridMultilevel"/>
    <w:lvl w:ilvl="0">
      <w:lvlJc w:val="left"/>
      <w:lvlText w:val="(%1)"/>
      <w:numFmt w:val="decimal"/>
      <w:start w:val="2"/>
    </w:lvl>
  </w:abstractNum>
  <w:abstractNum w:abstractNumId="35">
    <w:nsid w:val="2463B9EA"/>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6">
    <w:nsid w:val="5E884ADC"/>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37">
    <w:nsid w:val="51EAD36B"/>
    <w:multiLevelType w:val="hybridMultilevel"/>
    <w:lvl w:ilvl="0">
      <w:lvlJc w:val="left"/>
      <w:lvlText w:val="%1"/>
      <w:numFmt w:val="lowerLetter"/>
      <w:start w:val="1"/>
    </w:lvl>
    <w:lvl w:ilvl="1">
      <w:lvlJc w:val="left"/>
      <w:lvlText w:val="%2."/>
      <w:numFmt w:val="lowerRoman"/>
      <w:start w:val="1"/>
    </w:lvl>
  </w:abstractNum>
  <w:abstractNum w:abstractNumId="38">
    <w:nsid w:val="2D517796"/>
    <w:multiLevelType w:val="hybridMultilevel"/>
    <w:lvl w:ilvl="0">
      <w:lvlJc w:val="left"/>
      <w:lvlText w:val="(%1)"/>
      <w:numFmt w:val="lowerLetter"/>
      <w:start w:val="2"/>
    </w:lvl>
    <w:lvl w:ilvl="1">
      <w:lvlJc w:val="left"/>
      <w:lvlText w:val="%2"/>
      <w:numFmt w:val="lowerRoman"/>
      <w:start w:val="1"/>
    </w:lvl>
  </w:abstractNum>
  <w:abstractNum w:abstractNumId="39">
    <w:nsid w:val="580BD78F"/>
    <w:multiLevelType w:val="hybridMultilevel"/>
    <w:lvl w:ilvl="0">
      <w:lvlJc w:val="left"/>
      <w:lvlText w:val="(%1)"/>
      <w:numFmt w:val="lowerLetter"/>
      <w:start w:val="3"/>
    </w:lvl>
  </w:abstractNum>
  <w:abstractNum w:abstractNumId="40">
    <w:nsid w:val="153EA43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2019-12-14T03:28:35Z</dcterms:created>
  <dcterms:modified xsi:type="dcterms:W3CDTF">2019-12-14T03:28:35Z</dcterms:modified>
</cp:coreProperties>
</file>