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September 2007 No.3</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 September 25, 2007, Tower Semiconductor announced that it completed the expansion of its previously issued long-term bonds traded in Israel. Attached hereto is a copy of the press release.</w:t>
      </w:r>
    </w:p>
    <w:p>
      <w:pPr>
        <w:spacing w:after="0" w:line="209" w:lineRule="exact"/>
        <w:rPr>
          <w:sz w:val="24"/>
          <w:szCs w:val="24"/>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 the expansion, 12,118 units were sold, each comprised of long-term non-convertible bonds, with a face amount of NIS 2,500 (approximately $620), long-term convertible bonds, with a face amount of NIS 2,625 (approximately $651), and 58 warrants. The bonds were issued at 10% of par value. For a description of the terms of long-term bonds and warrants, please see the Registrant's Form 6-K filed on June 13, 2007.</w:t>
      </w:r>
    </w:p>
    <w:p>
      <w:pPr>
        <w:spacing w:after="0" w:line="210"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25, 2007</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340" w:space="720"/>
            <w:col w:w="5159"/>
          </w:cols>
          <w:pgMar w:left="240" w:top="919" w:right="1440" w:bottom="1440" w:gutter="0" w:footer="0" w:header="0"/>
          <w:type w:val="continuous"/>
        </w:sect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Nati Somekh Gilboa</w:t>
      </w:r>
    </w:p>
    <w:p>
      <w:pPr>
        <w:ind w:left="506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line="236" w:lineRule="auto"/>
        <w:rPr>
          <w:sz w:val="20"/>
          <w:szCs w:val="20"/>
          <w:color w:val="auto"/>
        </w:rPr>
      </w:pPr>
      <w:r>
        <w:rPr>
          <w:rFonts w:ascii="Courier New" w:cs="Courier New" w:eastAsia="Courier New" w:hAnsi="Courier New"/>
          <w:sz w:val="18"/>
          <w:szCs w:val="18"/>
          <w:color w:val="auto"/>
        </w:rPr>
        <w:t>TOWER SEMICONDUCTOR COMPLETES EXPANSION OF ITS PREVIOUSLY ISSUED LONG-TERM BONDS SERIES TRADED IN ISRAEL</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September 25, 2007 - Tower Semiconductor Ltd. (NASDAQ: TSEM; TASE: TSEM), an independent specialty foundry, announced today that it has completed the expansion of its series of long-term bonds and warrants which are traded on the Tel Aviv Stock Exchange. The additional placement, which raised gross proceeds of approximately $14 million, was made pursuant to a prospectus declared effective by the Israel Securities Authority on July 26, 2007 covering the offer and sale of long-term bonds and warrants of the same type purchased by Israeli institutions on June 13, 2007.</w:t>
      </w:r>
    </w:p>
    <w:p>
      <w:pPr>
        <w:spacing w:after="0" w:line="212"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The net proceeds raised are expected to be used to provide additional financing for the execution of the Company's previously announced capacity ramp-up plan.</w:t>
      </w:r>
    </w:p>
    <w:p>
      <w:pPr>
        <w:spacing w:after="0" w:line="17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placement was made in Israel to Israeli residents only and was not open to investors from other countries.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securities of the Company described in this release will not be registered under the United States Securities Act of 1933 and may not be offered or sold in the United States absent registration or an applicable exemption from registration requirements.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press release shall not constitute an offer to sell or the solicitation of an offer to buy the Company's securities.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ectPr>
          <w:pgSz w:w="11900" w:h="16838" w:orient="portrait"/>
          <w:cols w:equalWidth="0" w:num="1">
            <w:col w:w="10219"/>
          </w:cols>
          <w:pgMar w:left="240" w:top="92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Tower Semiconductor</w:t>
      </w:r>
    </w:p>
    <w:p>
      <w:pPr>
        <w:ind w:left="960"/>
        <w:spacing w:after="0" w:line="238" w:lineRule="auto"/>
        <w:rPr>
          <w:sz w:val="20"/>
          <w:szCs w:val="20"/>
          <w:color w:val="auto"/>
        </w:rPr>
      </w:pPr>
      <w:r>
        <w:rPr>
          <w:rFonts w:ascii="Courier New" w:cs="Courier New" w:eastAsia="Courier New" w:hAnsi="Courier New"/>
          <w:sz w:val="18"/>
          <w:szCs w:val="18"/>
          <w:color w:val="auto"/>
        </w:rPr>
        <w:t>Noit Levi, +972 4 604 7066</w:t>
      </w:r>
    </w:p>
    <w:p>
      <w:pPr>
        <w:ind w:left="960"/>
        <w:spacing w:after="0"/>
        <w:rPr>
          <w:sz w:val="20"/>
          <w:szCs w:val="20"/>
          <w:color w:val="auto"/>
        </w:rPr>
      </w:pPr>
      <w:r>
        <w:rPr>
          <w:rFonts w:ascii="Courier New" w:cs="Courier New" w:eastAsia="Courier New" w:hAnsi="Courier New"/>
          <w:sz w:val="18"/>
          <w:szCs w:val="18"/>
          <w:color w:val="auto"/>
        </w:rPr>
        <w:t>noitle@towersemi.com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Shelton Group Investor Relations</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Ryan Bright, + 1 972-239-5119 ext 159</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rbright@sheltongroup.com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2019-12-11T23:03:22Z</dcterms:created>
  <dcterms:modified xsi:type="dcterms:W3CDTF">2019-12-11T23:03:22Z</dcterms:modified>
</cp:coreProperties>
</file>