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May 2018 No.2</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1" w:lineRule="exact"/>
        <w:rPr>
          <w:sz w:val="24"/>
          <w:szCs w:val="24"/>
          <w:color w:val="auto"/>
        </w:rPr>
      </w:pPr>
    </w:p>
    <w:p>
      <w:pPr>
        <w:jc w:val="center"/>
        <w:spacing w:after="0" w:line="207" w:lineRule="exact"/>
        <w:tabs>
          <w:tab w:leader="none" w:pos="4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308" w:lineRule="exact"/>
        <w:rPr>
          <w:sz w:val="24"/>
          <w:szCs w:val="24"/>
          <w:color w:val="auto"/>
        </w:rPr>
      </w:pPr>
    </w:p>
    <w:p>
      <w:pPr>
        <w:ind w:firstLine="63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20" w:lineRule="exact"/>
        <w:rPr>
          <w:sz w:val="24"/>
          <w:szCs w:val="24"/>
          <w:color w:val="auto"/>
        </w:rPr>
      </w:pPr>
    </w:p>
    <w:p>
      <w:pPr>
        <w:jc w:val="center"/>
        <w:ind w:right="-19"/>
        <w:spacing w:after="0" w:line="253" w:lineRule="exact"/>
        <w:tabs>
          <w:tab w:leader="none" w:pos="42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3" w:right="239"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8"/>
          <w:szCs w:val="18"/>
          <w:color w:val="auto"/>
        </w:rPr>
        <w:t>On May 7, 2018, the Registrant announced its financial results for the three months ended March 31, 2018. Attached hereto is the following exhibit.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 dated 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firstLine="6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May 7, 2018</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240" w:top="387"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39763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6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TowerJazz Reports Results for the First Quarter of 2018</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Second Quarter Guidance Growth</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May 7, 2018 – </w:t>
      </w:r>
      <w:r>
        <w:rPr>
          <w:rFonts w:ascii="Times New Roman" w:cs="Times New Roman" w:eastAsia="Times New Roman" w:hAnsi="Times New Roman"/>
          <w:sz w:val="18"/>
          <w:szCs w:val="18"/>
          <w:color w:val="auto"/>
        </w:rPr>
        <w:t>TowerJazz (NASDAQ: TSEM &amp; TASE: TSEM) reported today its financial results for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2018.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8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$313 million resulted in EBITDA of $84 million and net profit of $26 million;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operations of $75 million and free cash flow of $35 million;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net cash of $247 million;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Shareholders equity of $1.07 billion;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upgraded S&amp;P rating from “ilA+ stable” to “ilAA- stable”;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second quarter revenue growth of 7% sequentially, with a mid-range guidance of $335 million.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TowerJazz expects revenues for the second quarter of 2018 ending June 30, 2018 to be $335 million, with an upward or downward range of 5%, representing a sequential growth of 7%.</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Mr. Russell Ellwanger, Chief Executive Officer of TowerJazz</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commented</w:t>
      </w:r>
      <w:r>
        <w:rPr>
          <w:rFonts w:ascii="Times New Roman" w:cs="Times New Roman" w:eastAsia="Times New Roman" w:hAnsi="Times New Roman"/>
          <w:sz w:val="18"/>
          <w:szCs w:val="18"/>
          <w:color w:val="auto"/>
        </w:rPr>
        <w:t>, “This past quarter we formally began projects and/ or were informed of wins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several varied industry defining projects with respective customer market leaders. The quarter, as forecasted, was impacted by seasonality and some activities, moving our offering to higher value richer mixes. Present customer forecasts show continued quarter over quarter growth throughout 2018, with a fourth quarter demonstrating over 25% organic business unit growth against the first quarter, and with commensurate bottom line achievements.”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2018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first quarter of 2018 were $313 million, seasonally down, reflecting a 5% decrease as compared to $330 million in the first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Gross and operating profits for the first quarter of 2018 were $66 million and $32 million, respectively, as compared to $89 million and $54 million, respectively, in the fourth quarter of 2017, and as compared to $85 million and $53 million, respectively, in the first quarter of 2017. This represents quarter over quarter gross and operating margins decrease of 4 and 5 percentage points, respectively, and year over year decrease of 5 and 6 percentage points,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for the first quarter of 2018 was $84 million, as compared to $101 million, in the first quarter of 2017.</w:t>
      </w: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profit for the first quarter of 2018 was $26 million, or $0.26 diluted earnings per share, as compared to $46 million, or $0.45 diluted earnings per share in the first quarter of 2017.</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Free cash flow for the quarter was $35 million, with $75 million cash flow from operations and $40 million investments in fixed assets, net. The other main cash activities during the first quarter of 2018 were: $15 million investment in marketable securities and other investments; $7 million loan repayment and a positive $5 million item due to the effect of the Japanese Yen exchange rate on the cash balance.</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(including marketable securities), net of gross debt, as of March 31, 2018, totaled to a record of $247 million as compared to net cash of $226 million as of December 31, 2017.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as of March 31, 2018 was a record of $1.07 billion, as compared to $1.03 billion as of December 31, 2017.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2018, the Company received an upgraded rating from Standard &amp; Poor’s Ma’alot (an Israeli rating company which is fully owned by S&amp;P Global Ratings). Its previous rating was “ilA+ with a stable horizon” and the new upgraded rating is “ilAA-, with a stable horizon”.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TowerJazz will host an investor conference call today, May 7, 2018, at 10:00 a.m. Eastern time (9:00 a.m. Central time, 8:00 a.m. Mountain time, 7:00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time and 5:00 p.m. Israel time) to discuss the Company’s financial results for the first quarter 2018 and its outlook.</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call will be webcast and can be accessed via TowerJazz’s website at </w:t>
      </w:r>
      <w:r>
        <w:rPr>
          <w:rFonts w:ascii="Times New Roman" w:cs="Times New Roman" w:eastAsia="Times New Roman" w:hAnsi="Times New Roman"/>
          <w:sz w:val="18"/>
          <w:szCs w:val="18"/>
          <w:u w:val="single" w:color="auto"/>
          <w:color w:val="auto"/>
        </w:rPr>
        <w:t>www.towerjazz.com</w:t>
      </w:r>
      <w:r>
        <w:rPr>
          <w:rFonts w:ascii="Times New Roman" w:cs="Times New Roman" w:eastAsia="Times New Roman" w:hAnsi="Times New Roman"/>
          <w:sz w:val="18"/>
          <w:szCs w:val="18"/>
          <w:color w:val="auto"/>
        </w:rPr>
        <w:t>, or by calling 1-888-668-9141 (U.S. Toll-Free), 03-918-0609 (Israel), +972-3-918-0609 (International). For those who are not available to listen to the live broadcast, the call will be archived on TowerJazz’s website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Company presents its financial statements in accordance with U.S. GAAP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financial information included in the tables below includes unaudited condensed financial data. Some of the financial information in this release, which we describe in this release as “adjusted” financial measures, is non-GAAP financial measures as defined in Regulation G and related reporting requirements promulgated by the Securities and Exchange Commission as they apply to our Company. These adjusted financial measures are calculated excluding one or more of the following: (1) amortization of acquired intangible assets; (2) compensation expenses in respect of equity grants to directors, officers and employees; (3) non-recurring items related to long-term investments, (4) income tax benefit resulted from Israeli deferred tax asset realization following valuation allowance release; and (5) income tax benefit related to U.S. tax reform.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used and/ or presented in this release, as well as calculated in the tables herein, the term Earnings Before Interest Tax Depreciation and Amortization (EBITDA) consists of net profit in accordance with GAAP, excluding interest and other financing expense, net, other income,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EBITDA and the adjusted financial information presented herein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is comprised of cash, cash equivalents, short-term deposits and marketable securities (in the amounts of $590 million and $560 million as of March 31, 2018 and December 31, 2017, respectively) less the outstanding principal amount of bank loans (in the amounts of $138 million as of March 31, 2018 and December 31, 2017), the outstanding principal amount of capital leases (in the amounts of $25 million and $16 million as of March 31, 2018 and December 31, 2017) and the outstanding principal amount of debentures (in the amount of $180 million as of March 31, 2018 and December 31, 2017).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In addition, the term Free Cash Flow, as used and/ or presented in this release, is calculated to be cash from operating activities (in the amounts of $75 million, $85 million and $82 million for the three months periods ended March 31, 2018, December 31, 2017 and March 31, 2017, respectively) less cash for investments in property and equipment, net (in the amounts of $40 million, $41 million and $40 million for the three months periods ended March 31, 2018, December 31, 2017 and March 31, 2017,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TowerJazz</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Times New Roman" w:cs="Times New Roman" w:eastAsia="Times New Roman" w:hAnsi="Times New Roman"/>
          <w:sz w:val="18"/>
          <w:szCs w:val="18"/>
          <w:u w:val="single" w:color="auto"/>
          <w:color w:val="auto"/>
        </w:rPr>
        <w:t>www.towerjazz.com</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right="5560"/>
        <w:spacing w:after="0" w:line="261" w:lineRule="auto"/>
        <w:rPr>
          <w:sz w:val="20"/>
          <w:szCs w:val="20"/>
          <w:color w:val="auto"/>
        </w:rPr>
      </w:pPr>
      <w:r>
        <w:rPr>
          <w:rFonts w:ascii="Times New Roman" w:cs="Times New Roman" w:eastAsia="Times New Roman" w:hAnsi="Times New Roman"/>
          <w:sz w:val="18"/>
          <w:szCs w:val="18"/>
          <w:color w:val="auto"/>
        </w:rPr>
        <w:t xml:space="preserve">Noit Levy-Karoubi | TowerJazz | +972 4 604 7066 | </w:t>
      </w:r>
      <w:r>
        <w:rPr>
          <w:rFonts w:ascii="Times New Roman" w:cs="Times New Roman" w:eastAsia="Times New Roman" w:hAnsi="Times New Roman"/>
          <w:sz w:val="18"/>
          <w:szCs w:val="18"/>
          <w:u w:val="single" w:color="auto"/>
          <w:color w:val="auto"/>
        </w:rPr>
        <w:t>Noit.levi@towerjazz.com</w:t>
      </w:r>
      <w:r>
        <w:rPr>
          <w:rFonts w:ascii="Times New Roman" w:cs="Times New Roman" w:eastAsia="Times New Roman" w:hAnsi="Times New Roman"/>
          <w:sz w:val="18"/>
          <w:szCs w:val="18"/>
          <w:color w:val="auto"/>
        </w:rPr>
        <w:t xml:space="preserve"> GK Investor Relations | Gavriel Frohwein, (646) 688 3559 | </w:t>
      </w:r>
      <w:r>
        <w:rPr>
          <w:rFonts w:ascii="Times New Roman" w:cs="Times New Roman" w:eastAsia="Times New Roman" w:hAnsi="Times New Roman"/>
          <w:sz w:val="18"/>
          <w:szCs w:val="18"/>
          <w:u w:val="single" w:color="auto"/>
          <w:color w:val="auto"/>
        </w:rPr>
        <w:t>towerjazz@gkir.com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and bondholders (as of March 31, 2018 we are in compliance with all such covenants included in our banks’ agreements, bond G indenture and others), (x) obtaining new customer engagements, products qualification and production ramp-up of the TPSCo facilities and our San Antonio facility, (xi) the lease of the fab 3 facility , (xii)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retention of key employees and recruitment and retention of skilled qualified personnel, (xxxi) exposure to inflation, currency rates (mainly the Israeli Shekel and Japanese Yen) and interest rate fluctuations and risks associated with doing business locally and internationally, as well fluctuations in the market price of our traded securities, (xxxii)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(xxxiii) meeting regulatory requirements worldwide, including environmental and governmental regulations, (xxxiv) pending litigation, including the shareholder class actions that were filed against the Company, certain officers, its directors and/or its external auditor in the US and Israel, following a short sell thesis report issued by a short-selling focused firm, which has been dismissed and closed in the US as well as dismissed by the Israeli district court, on which the Israeli plaintiff has recently appealed to the Israeli supreme court, (xxxv) realization of the fab establishment project in China, including obtaining required project funding, negotiation and closure of definitive agreements in relation theretoto, licensing of technologies, receipt of payment milestones to Tower, qualification and ramp of process flows and products to enable mass production for customers and attain revenue to levels that would cover the facility’s fixed costs, and (xxxvi) business interruption due to fire and other natural disasters, the security situation in Israel and other events beyond our control such as power interruptions.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23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8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S S E T 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Cash, cash equivalents and short-term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464,661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113,874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144,352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149,666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19,175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901,660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28,798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652,816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635,124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629,554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18,479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19,841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DEFERRED TAX AND OTHER LONG-TERM ASSETS, NET</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110,771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111,269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1,719,524</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1,673,639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1,427,403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114,763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105,958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14,310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65,469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309,580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302,373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237,829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229,013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228,723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31,224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31,908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EMPLOYEE RELATED LIABILITIES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14,517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14,662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DEFERRED TAX LIABILITY AND OTHER LONG-TERM LIABILITIES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66,267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651,769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643,933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1,067,755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1,029,706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1,719,524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1,673,639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1,427,403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 w:name="page9"/>
    <w:bookmarkEnd w:id="8"/>
    <w:p>
      <w:pPr>
        <w:jc w:val="center"/>
        <w:ind w:left="260" w:right="2380"/>
        <w:spacing w:after="0" w:line="26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357,614</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330,080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246,545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268,256</w:t>
            </w:r>
          </w:p>
        </w:tc>
        <w:tc>
          <w:tcPr>
            <w:tcW w:w="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245,312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66,165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89,358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18,370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34,260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54,486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52,763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4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(598)</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FINANCING EXPENSE, NET</w:t>
            </w:r>
          </w:p>
        </w:tc>
        <w:tc>
          <w:tcPr>
            <w:tcW w:w="14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(3,193)</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47,406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49,045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 NET</w:t>
            </w:r>
          </w:p>
        </w:tc>
        <w:tc>
          <w:tcPr>
            <w:tcW w:w="140" w:type="dxa"/>
            <w:vAlign w:val="bottom"/>
          </w:tcPr>
          <w:p>
            <w:pPr>
              <w:spacing w:after="0"/>
              <w:rPr>
                <w:sz w:val="19"/>
                <w:szCs w:val="19"/>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(955)</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101,236(a)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PROFIT BEFORE NON CONTROLLING INTEREST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148,642(a)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CONTROLLING INTEREST</w:t>
            </w:r>
          </w:p>
        </w:tc>
        <w:tc>
          <w:tcPr>
            <w:tcW w:w="140" w:type="dxa"/>
            <w:vAlign w:val="bottom"/>
          </w:tcPr>
          <w:p>
            <w:pPr>
              <w:spacing w:after="0"/>
              <w:rPr>
                <w:sz w:val="19"/>
                <w:szCs w:val="19"/>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(1,063)</w:t>
            </w: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26,118</w:t>
            </w:r>
          </w:p>
        </w:tc>
        <w:tc>
          <w:tcPr>
            <w:tcW w:w="22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147,211(a)</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45,509</w:t>
            </w:r>
          </w:p>
        </w:tc>
        <w:tc>
          <w:tcPr>
            <w:tcW w:w="0" w:type="dxa"/>
            <w:vAlign w:val="bottom"/>
          </w:tcPr>
          <w:p>
            <w:pPr>
              <w:spacing w:after="0"/>
              <w:rPr>
                <w:sz w:val="1"/>
                <w:szCs w:val="1"/>
                <w:color w:val="auto"/>
              </w:rPr>
            </w:pPr>
          </w:p>
        </w:tc>
      </w:tr>
      <w:tr>
        <w:trPr>
          <w:trHeight w:val="21"/>
        </w:trPr>
        <w:tc>
          <w:tcPr>
            <w:tcW w:w="73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0.27</w:t>
            </w:r>
          </w:p>
        </w:tc>
        <w:tc>
          <w:tcPr>
            <w:tcW w:w="22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1.50(a)</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0.48</w:t>
            </w:r>
          </w:p>
        </w:tc>
        <w:tc>
          <w:tcPr>
            <w:tcW w:w="0" w:type="dxa"/>
            <w:vAlign w:val="bottom"/>
          </w:tcPr>
          <w:p>
            <w:pPr>
              <w:spacing w:after="0"/>
              <w:rPr>
                <w:sz w:val="1"/>
                <w:szCs w:val="1"/>
                <w:color w:val="auto"/>
              </w:rPr>
            </w:pPr>
          </w:p>
        </w:tc>
      </w:tr>
      <w:tr>
        <w:trPr>
          <w:trHeight w:val="21"/>
        </w:trPr>
        <w:tc>
          <w:tcPr>
            <w:tcW w:w="73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98,495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0.26</w:t>
            </w:r>
          </w:p>
        </w:tc>
        <w:tc>
          <w:tcPr>
            <w:tcW w:w="22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1.40(a)</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0.45</w:t>
            </w:r>
          </w:p>
        </w:tc>
        <w:tc>
          <w:tcPr>
            <w:tcW w:w="0" w:type="dxa"/>
            <w:vAlign w:val="bottom"/>
          </w:tcPr>
          <w:p>
            <w:pPr>
              <w:spacing w:after="0"/>
              <w:rPr>
                <w:sz w:val="1"/>
                <w:szCs w:val="1"/>
                <w:color w:val="auto"/>
              </w:rPr>
            </w:pPr>
          </w:p>
        </w:tc>
      </w:tr>
      <w:tr>
        <w:trPr>
          <w:trHeight w:val="21"/>
        </w:trPr>
        <w:tc>
          <w:tcPr>
            <w:tcW w:w="73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 used for 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26,118</w:t>
            </w:r>
          </w:p>
        </w:tc>
        <w:tc>
          <w:tcPr>
            <w:tcW w:w="22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149,502(a)</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47,666</w:t>
            </w:r>
          </w:p>
        </w:tc>
        <w:tc>
          <w:tcPr>
            <w:tcW w:w="0" w:type="dxa"/>
            <w:vAlign w:val="bottom"/>
          </w:tcPr>
          <w:p>
            <w:pPr>
              <w:spacing w:after="0"/>
              <w:rPr>
                <w:sz w:val="1"/>
                <w:szCs w:val="1"/>
                <w:color w:val="auto"/>
              </w:rPr>
            </w:pPr>
          </w:p>
        </w:tc>
      </w:tr>
      <w:tr>
        <w:trPr>
          <w:trHeight w:val="21"/>
        </w:trPr>
        <w:tc>
          <w:tcPr>
            <w:tcW w:w="73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106,776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104,915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80" w:right="600" w:hanging="372"/>
        <w:spacing w:after="0" w:line="286" w:lineRule="auto"/>
        <w:tabs>
          <w:tab w:leader="none" w:pos="3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Three months ended December 31, 2017 included $82,370 Israeli deferred tax asset realization following valuation allowance release and $12,970 income tax benefit related to U.S. tax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FINANCIAL DATA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 count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GAAP NET PROFIT TO ADJUSTED NET PROFIT: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GAAP NET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147,211</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Non-recurring items related to long term investments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Income tax benefit resulted from Israeli deferred tax asset realization following valuation</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allowance release, see (a) above</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(82,370)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Income tax benefit related to U.S. tax reform, see (a) above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(12,970)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NET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31,146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59,925</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49,943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NET PROFIT PER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0.61</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0.58</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0.58</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NET PROFIT USED TO CALCULATE PER SHARE DATA: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31,146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59,925</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62,216</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33,486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62,216</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 OF SHARES AND OTHER SECURITIES USED TO CALCULATE PER SHARE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98,312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106,776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107,721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107,245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CALCULATION: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GAAP OPERATING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54,486</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Depreciation of fixed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47,741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84,290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107,272</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short-term deposits -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480,407</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Cash from operations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75,001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85,285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(40,047)</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(41,349)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 of warrants and options,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Debt repaid</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(6,656)</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(16,863)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TPSCo dividend to Panasonic</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marketable securities and others,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(14,963)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(64,867)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short-term deposits -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464,661</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432,113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34,954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43,936</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41,792</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148,642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51,310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Effect of indexation, translation and fair value measurement on debt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(1,740)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2,281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3,027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445</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(2,692)</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(6,313)</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(2,786)</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(712)</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(17,882)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(4,219)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1,765</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Long-term employee related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(387)</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(2,482)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Deferred tax, net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(1,531)</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(99,915)</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75,001</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85,285</w:t>
            </w: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(40,047)</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(41,349)</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marketable securities and others,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(14,963)</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(64,867)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(55,010)</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(106,216)</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Debt repaid</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(6,656)</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(16,863)</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 of warrants and options, net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3,278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Dividend payment to Panasonic</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(13,585)</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140" w:type="dxa"/>
            <w:vAlign w:val="bottom"/>
            <w:shd w:val="clear" w:color="auto" w:fill="CCEEFF"/>
          </w:tcPr>
          <w:p>
            <w:pPr>
              <w:spacing w:after="0"/>
              <w:rPr>
                <w:sz w:val="22"/>
                <w:szCs w:val="2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4,707</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(34,446)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480,407</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464,661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14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SHORT-TERM DEPOSITS -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464,661</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432,113</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2019-12-06T04:02:34Z</dcterms:created>
  <dcterms:modified xsi:type="dcterms:W3CDTF">2019-12-06T04:02:34Z</dcterms:modified>
</cp:coreProperties>
</file>