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August 2009 No. 11</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21"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Amendment to Standby Equity Purchase Agreement</w:t>
      </w:r>
    </w:p>
    <w:p>
      <w:pPr>
        <w:spacing w:after="0" w:line="312" w:lineRule="exact"/>
        <w:rPr>
          <w:sz w:val="24"/>
          <w:szCs w:val="24"/>
          <w:color w:val="auto"/>
        </w:rPr>
      </w:pPr>
    </w:p>
    <w:p>
      <w:pPr>
        <w:jc w:val="both"/>
        <w:ind w:right="180" w:firstLine="341"/>
        <w:spacing w:after="0" w:line="306" w:lineRule="auto"/>
        <w:rPr>
          <w:sz w:val="20"/>
          <w:szCs w:val="20"/>
          <w:color w:val="auto"/>
        </w:rPr>
      </w:pPr>
      <w:r>
        <w:rPr>
          <w:rFonts w:ascii="Arial" w:cs="Arial" w:eastAsia="Arial" w:hAnsi="Arial"/>
          <w:sz w:val="16"/>
          <w:szCs w:val="16"/>
          <w:color w:val="auto"/>
        </w:rPr>
        <w:t>As reported in our Report on Form 6-K for the month of August 2009 (No. 5), on August 11, 2009, we entered into a Standby Equity Purchase Agreement, or SEPA, with YA Global Master SPV Ltd., or YA Global. The SEPA provides that, upon the terms and subject to the conditions set forth therein, YA Global is committed to purchase up to $25 million of our ordinary shares over a two-year commitment period on the terms set forth in the SEPA.</w:t>
      </w:r>
    </w:p>
    <w:p>
      <w:pPr>
        <w:spacing w:after="0" w:line="161" w:lineRule="exact"/>
        <w:rPr>
          <w:sz w:val="24"/>
          <w:szCs w:val="24"/>
          <w:color w:val="auto"/>
        </w:rPr>
      </w:pPr>
    </w:p>
    <w:p>
      <w:pPr>
        <w:ind w:right="140" w:firstLine="351"/>
        <w:spacing w:after="0" w:line="268" w:lineRule="auto"/>
        <w:rPr>
          <w:sz w:val="20"/>
          <w:szCs w:val="20"/>
          <w:color w:val="auto"/>
        </w:rPr>
      </w:pPr>
      <w:r>
        <w:rPr>
          <w:rFonts w:ascii="Arial" w:cs="Arial" w:eastAsia="Arial" w:hAnsi="Arial"/>
          <w:sz w:val="18"/>
          <w:szCs w:val="18"/>
          <w:color w:val="auto"/>
        </w:rPr>
        <w:t>On August 27, 2009 we and YA Global entered into Amendment No. 1 to the SEPA. A copy of Amendment No. 1 to the SEPA is attached hereto as Exhibit 99.1, which is incorporated herein by reference.</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Except as modified by Amendment No.1, the SEPA remains unchanged and in full force and effect.</w:t>
      </w:r>
    </w:p>
    <w:p>
      <w:pPr>
        <w:spacing w:after="0" w:line="225" w:lineRule="exact"/>
        <w:rPr>
          <w:sz w:val="24"/>
          <w:szCs w:val="24"/>
          <w:color w:val="auto"/>
        </w:rPr>
      </w:pPr>
    </w:p>
    <w:p>
      <w:pPr>
        <w:ind w:right="180" w:firstLine="348"/>
        <w:spacing w:after="0" w:line="268" w:lineRule="auto"/>
        <w:rPr>
          <w:sz w:val="20"/>
          <w:szCs w:val="20"/>
          <w:color w:val="auto"/>
        </w:rPr>
      </w:pPr>
      <w:r>
        <w:rPr>
          <w:rFonts w:ascii="Arial" w:cs="Arial" w:eastAsia="Arial" w:hAnsi="Arial"/>
          <w:sz w:val="18"/>
          <w:szCs w:val="18"/>
          <w:color w:val="auto"/>
        </w:rPr>
        <w:t>This Report is hereby incorporated by reference into our Registration Statement No. 333-148747 on Form F-3, as amended or supplemented, and our other effective registration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p>
      <w:pPr>
        <w:spacing w:after="0" w:line="308" w:lineRule="exact"/>
        <w:rPr>
          <w:sz w:val="24"/>
          <w:szCs w:val="24"/>
          <w:color w:val="auto"/>
        </w:rPr>
      </w:pPr>
    </w:p>
    <w:p>
      <w:pPr>
        <w:spacing w:after="0"/>
        <w:rPr>
          <w:sz w:val="20"/>
          <w:szCs w:val="20"/>
          <w:color w:val="auto"/>
        </w:rPr>
      </w:pPr>
      <w:r>
        <w:rPr>
          <w:rFonts w:ascii="Arial" w:cs="Arial" w:eastAsia="Arial" w:hAnsi="Arial"/>
          <w:sz w:val="16"/>
          <w:szCs w:val="16"/>
          <w:color w:val="auto"/>
        </w:rPr>
        <w:t>EXHIBIT NO.</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rPr>
          <w:sz w:val="20"/>
          <w:szCs w:val="20"/>
          <w:color w:val="auto"/>
        </w:rPr>
      </w:pPr>
      <w:r>
        <w:rPr>
          <w:rFonts w:ascii="Arial" w:cs="Arial" w:eastAsia="Arial" w:hAnsi="Arial"/>
          <w:sz w:val="16"/>
          <w:szCs w:val="16"/>
          <w:color w:val="auto"/>
        </w:rPr>
        <w:t>DESCRIPTION</w:t>
      </w:r>
    </w:p>
    <w:p>
      <w:pPr>
        <w:spacing w:after="0" w:line="200" w:lineRule="exact"/>
        <w:rPr>
          <w:sz w:val="24"/>
          <w:szCs w:val="24"/>
          <w:color w:val="auto"/>
        </w:rPr>
      </w:pPr>
    </w:p>
    <w:p>
      <w:pPr>
        <w:sectPr>
          <w:pgSz w:w="11900" w:h="16838" w:orient="portrait"/>
          <w:cols w:equalWidth="0" w:num="2">
            <w:col w:w="1060" w:space="660"/>
            <w:col w:w="9700"/>
          </w:cols>
          <w:pgMar w:left="240" w:top="476" w:right="239" w:bottom="1440"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color w:val="auto"/>
        </w:rPr>
        <w:t>99.1</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right="240"/>
        <w:spacing w:after="0" w:line="268" w:lineRule="auto"/>
        <w:rPr>
          <w:sz w:val="20"/>
          <w:szCs w:val="20"/>
          <w:color w:val="auto"/>
        </w:rPr>
      </w:pPr>
      <w:r>
        <w:rPr>
          <w:rFonts w:ascii="Arial" w:cs="Arial" w:eastAsia="Arial" w:hAnsi="Arial"/>
          <w:sz w:val="18"/>
          <w:szCs w:val="18"/>
          <w:color w:val="auto"/>
        </w:rPr>
        <w:t>Amendment No. 1 to Standby Equity Purchase Agreement by and among Tower Semiconductor Ltd. and YA Global Master SPV Ltd., dated as of August 27,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-1088390</wp:posOffset>
            </wp:positionH>
            <wp:positionV relativeFrom="paragraph">
              <wp:posOffset>250190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000" w:space="720"/>
            <w:col w:w="9700"/>
          </w:cols>
          <w:pgMar w:left="240" w:top="476" w:right="239" w:bottom="1440" w:gutter="0" w:footer="0" w:header="0"/>
          <w:type w:val="continuous"/>
        </w:sectPr>
      </w:pP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19"/>
                <w:szCs w:val="19"/>
                <w:color w:val="auto"/>
              </w:rPr>
            </w:pPr>
          </w:p>
        </w:tc>
        <w:tc>
          <w:tcPr>
            <w:tcW w:w="7760" w:type="dxa"/>
            <w:vAlign w:val="bottom"/>
          </w:tcPr>
          <w:p>
            <w:pPr>
              <w:ind w:left="206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3660" w:type="dxa"/>
            <w:vAlign w:val="bottom"/>
          </w:tcPr>
          <w:p>
            <w:pPr>
              <w:spacing w:after="0"/>
              <w:rPr>
                <w:sz w:val="20"/>
                <w:szCs w:val="20"/>
                <w:color w:val="auto"/>
              </w:rPr>
            </w:pPr>
            <w:r>
              <w:rPr>
                <w:rFonts w:ascii="Arial" w:cs="Arial" w:eastAsia="Arial" w:hAnsi="Arial"/>
                <w:sz w:val="18"/>
                <w:szCs w:val="18"/>
                <w:color w:val="auto"/>
              </w:rPr>
              <w:t>Date: August 27, 2009</w:t>
            </w:r>
          </w:p>
        </w:tc>
        <w:tc>
          <w:tcPr>
            <w:tcW w:w="7760" w:type="dxa"/>
            <w:vAlign w:val="bottom"/>
          </w:tcPr>
          <w:p>
            <w:pPr>
              <w:ind w:left="2060"/>
              <w:spacing w:after="0"/>
              <w:rPr>
                <w:sz w:val="20"/>
                <w:szCs w:val="20"/>
                <w:color w:val="auto"/>
              </w:rPr>
            </w:pPr>
            <w:r>
              <w:rPr>
                <w:rFonts w:ascii="Arial" w:cs="Arial" w:eastAsia="Arial" w:hAnsi="Arial"/>
                <w:sz w:val="18"/>
                <w:szCs w:val="18"/>
                <w:color w:val="auto"/>
              </w:rPr>
              <w:t>By: /s/ Nati Somekh Gilboa</w:t>
            </w:r>
          </w:p>
        </w:tc>
      </w:tr>
      <w:tr>
        <w:trPr>
          <w:trHeight w:val="216"/>
        </w:trPr>
        <w:tc>
          <w:tcPr>
            <w:tcW w:w="3660" w:type="dxa"/>
            <w:vAlign w:val="bottom"/>
          </w:tcPr>
          <w:p>
            <w:pPr>
              <w:spacing w:after="0"/>
              <w:rPr>
                <w:sz w:val="18"/>
                <w:szCs w:val="18"/>
                <w:color w:val="auto"/>
              </w:rPr>
            </w:pPr>
          </w:p>
        </w:tc>
        <w:tc>
          <w:tcPr>
            <w:tcW w:w="7760" w:type="dxa"/>
            <w:vAlign w:val="bottom"/>
          </w:tcPr>
          <w:p>
            <w:pPr>
              <w:ind w:left="206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spacing w:after="0"/>
              <w:rPr>
                <w:sz w:val="18"/>
                <w:szCs w:val="18"/>
                <w:color w:val="auto"/>
              </w:rPr>
            </w:pPr>
          </w:p>
        </w:tc>
        <w:tc>
          <w:tcPr>
            <w:tcW w:w="7760" w:type="dxa"/>
            <w:vAlign w:val="bottom"/>
          </w:tcPr>
          <w:p>
            <w:pPr>
              <w:ind w:left="2060"/>
              <w:spacing w:after="0"/>
              <w:rPr>
                <w:sz w:val="20"/>
                <w:szCs w:val="20"/>
                <w:color w:val="auto"/>
              </w:rPr>
            </w:pPr>
            <w:r>
              <w:rPr>
                <w:rFonts w:ascii="Arial" w:cs="Arial" w:eastAsia="Arial" w:hAnsi="Arial"/>
                <w:sz w:val="18"/>
                <w:szCs w:val="18"/>
                <w:color w:val="auto"/>
              </w:rPr>
              <w:t>Nati Somekh Gilboa</w:t>
            </w:r>
          </w:p>
        </w:tc>
      </w:tr>
      <w:tr>
        <w:trPr>
          <w:trHeight w:val="222"/>
        </w:trPr>
        <w:tc>
          <w:tcPr>
            <w:tcW w:w="3660" w:type="dxa"/>
            <w:vAlign w:val="bottom"/>
          </w:tcPr>
          <w:p>
            <w:pPr>
              <w:spacing w:after="0"/>
              <w:rPr>
                <w:sz w:val="19"/>
                <w:szCs w:val="19"/>
                <w:color w:val="auto"/>
              </w:rPr>
            </w:pPr>
          </w:p>
        </w:tc>
        <w:tc>
          <w:tcPr>
            <w:tcW w:w="7760" w:type="dxa"/>
            <w:vAlign w:val="bottom"/>
          </w:tcPr>
          <w:p>
            <w:pPr>
              <w:ind w:left="2060"/>
              <w:spacing w:after="0"/>
              <w:rPr>
                <w:sz w:val="20"/>
                <w:szCs w:val="20"/>
                <w:color w:val="auto"/>
              </w:rPr>
            </w:pPr>
            <w:r>
              <w:rPr>
                <w:rFonts w:ascii="Arial" w:cs="Arial" w:eastAsia="Arial" w:hAnsi="Arial"/>
                <w:sz w:val="18"/>
                <w:szCs w:val="18"/>
                <w:color w:val="auto"/>
              </w:rPr>
              <w:t>Corporate Secretary</w:t>
            </w:r>
          </w:p>
        </w:tc>
      </w:tr>
      <w:tr>
        <w:trPr>
          <w:trHeight w:val="417"/>
        </w:trPr>
        <w:tc>
          <w:tcPr>
            <w:tcW w:w="3660" w:type="dxa"/>
            <w:vAlign w:val="bottom"/>
          </w:tcPr>
          <w:p>
            <w:pPr>
              <w:spacing w:after="0"/>
              <w:rPr>
                <w:sz w:val="24"/>
                <w:szCs w:val="24"/>
                <w:color w:val="auto"/>
              </w:rPr>
            </w:pPr>
          </w:p>
        </w:tc>
        <w:tc>
          <w:tcPr>
            <w:tcW w:w="7760" w:type="dxa"/>
            <w:vAlign w:val="bottom"/>
          </w:tcPr>
          <w:p>
            <w:pPr>
              <w:spacing w:after="0"/>
              <w:rPr>
                <w:sz w:val="24"/>
                <w:szCs w:val="24"/>
                <w:color w:val="auto"/>
              </w:rPr>
            </w:pPr>
          </w:p>
        </w:tc>
      </w:tr>
      <w:tr>
        <w:trPr>
          <w:trHeight w:val="61"/>
        </w:trPr>
        <w:tc>
          <w:tcPr>
            <w:tcW w:w="3660" w:type="dxa"/>
            <w:vAlign w:val="bottom"/>
            <w:shd w:val="clear" w:color="auto" w:fill="808080"/>
          </w:tcPr>
          <w:p>
            <w:pPr>
              <w:spacing w:after="0"/>
              <w:rPr>
                <w:sz w:val="5"/>
                <w:szCs w:val="5"/>
                <w:color w:val="auto"/>
              </w:rPr>
            </w:pPr>
          </w:p>
        </w:tc>
        <w:tc>
          <w:tcPr>
            <w:tcW w:w="776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1539240</wp:posOffset>
            </wp:positionV>
            <wp:extent cx="726757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STANDBY EQUITY PURCHASE AGREEMENT</w:t>
      </w:r>
    </w:p>
    <w:p>
      <w:pPr>
        <w:spacing w:after="0" w:line="306" w:lineRule="exact"/>
        <w:rPr>
          <w:sz w:val="20"/>
          <w:szCs w:val="20"/>
          <w:color w:val="auto"/>
        </w:rPr>
      </w:pPr>
    </w:p>
    <w:p>
      <w:pPr>
        <w:ind w:right="220" w:firstLine="351"/>
        <w:spacing w:after="0" w:line="258" w:lineRule="auto"/>
        <w:rPr>
          <w:sz w:val="20"/>
          <w:szCs w:val="20"/>
          <w:color w:val="auto"/>
        </w:rPr>
      </w:pPr>
      <w:r>
        <w:rPr>
          <w:rFonts w:ascii="Arial" w:cs="Arial" w:eastAsia="Arial" w:hAnsi="Arial"/>
          <w:sz w:val="18"/>
          <w:szCs w:val="18"/>
          <w:b w:val="1"/>
          <w:bCs w:val="1"/>
          <w:color w:val="auto"/>
        </w:rPr>
        <w:t xml:space="preserve">THIS AMENDMENT NO. 1 </w:t>
      </w:r>
      <w:r>
        <w:rPr>
          <w:rFonts w:ascii="Arial" w:cs="Arial" w:eastAsia="Arial" w:hAnsi="Arial"/>
          <w:sz w:val="18"/>
          <w:szCs w:val="18"/>
          <w:color w:val="auto"/>
        </w:rPr>
        <w:t>(the “</w:t>
      </w:r>
      <w:r>
        <w:rPr>
          <w:rFonts w:ascii="Arial" w:cs="Arial" w:eastAsia="Arial" w:hAnsi="Arial"/>
          <w:sz w:val="18"/>
          <w:szCs w:val="18"/>
          <w:u w:val="single" w:color="auto"/>
          <w:color w:val="auto"/>
        </w:rPr>
        <w:t>Amendment</w:t>
      </w:r>
      <w:r>
        <w:rPr>
          <w:rFonts w:ascii="Arial" w:cs="Arial" w:eastAsia="Arial" w:hAnsi="Arial"/>
          <w:sz w:val="18"/>
          <w:szCs w:val="18"/>
          <w:color w:val="auto"/>
        </w:rPr>
        <w:t>”) to the Standby Equity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August 11, 2009, between</w:t>
      </w:r>
      <w:r>
        <w:rPr>
          <w:rFonts w:ascii="Arial" w:cs="Arial" w:eastAsia="Arial" w:hAnsi="Arial"/>
          <w:sz w:val="18"/>
          <w:szCs w:val="18"/>
          <w:b w:val="1"/>
          <w:bCs w:val="1"/>
          <w:color w:val="auto"/>
        </w:rPr>
        <w:t xml:space="preserve"> YA GLOBAL MASTER SPV LTD.</w:t>
      </w:r>
      <w:r>
        <w:rPr>
          <w:rFonts w:ascii="Arial" w:cs="Arial" w:eastAsia="Arial" w:hAnsi="Arial"/>
          <w:sz w:val="18"/>
          <w:szCs w:val="18"/>
          <w:color w:val="auto"/>
        </w:rPr>
        <w:t>, a Cayman Islands exempt limited company (the “</w:t>
      </w:r>
      <w:r>
        <w:rPr>
          <w:rFonts w:ascii="Arial" w:cs="Arial" w:eastAsia="Arial" w:hAnsi="Arial"/>
          <w:sz w:val="18"/>
          <w:szCs w:val="18"/>
          <w:u w:val="single" w:color="auto"/>
          <w:color w:val="auto"/>
        </w:rPr>
        <w:t>Investor</w:t>
      </w:r>
      <w:r>
        <w:rPr>
          <w:rFonts w:ascii="Arial" w:cs="Arial" w:eastAsia="Arial" w:hAnsi="Arial"/>
          <w:sz w:val="18"/>
          <w:szCs w:val="18"/>
          <w:color w:val="auto"/>
        </w:rPr>
        <w:t>”) and</w:t>
      </w:r>
      <w:r>
        <w:rPr>
          <w:rFonts w:ascii="Arial" w:cs="Arial" w:eastAsia="Arial" w:hAnsi="Arial"/>
          <w:sz w:val="18"/>
          <w:szCs w:val="18"/>
          <w:b w:val="1"/>
          <w:bCs w:val="1"/>
          <w:color w:val="auto"/>
        </w:rPr>
        <w:t xml:space="preserve"> TOWER SEMICONDUCTOR LTD.</w:t>
      </w:r>
      <w:r>
        <w:rPr>
          <w:rFonts w:ascii="Arial" w:cs="Arial" w:eastAsia="Arial" w:hAnsi="Arial"/>
          <w:sz w:val="18"/>
          <w:szCs w:val="18"/>
          <w:color w:val="auto"/>
        </w:rPr>
        <w:t>, a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organized and existing under the laws of the State of Israel (the “</w:t>
      </w:r>
      <w:r>
        <w:rPr>
          <w:rFonts w:ascii="Arial" w:cs="Arial" w:eastAsia="Arial" w:hAnsi="Arial"/>
          <w:sz w:val="18"/>
          <w:szCs w:val="18"/>
          <w:u w:val="single" w:color="auto"/>
          <w:color w:val="auto"/>
        </w:rPr>
        <w:t>Company</w:t>
      </w:r>
      <w:r>
        <w:rPr>
          <w:rFonts w:ascii="Arial" w:cs="Arial" w:eastAsia="Arial" w:hAnsi="Arial"/>
          <w:sz w:val="18"/>
          <w:szCs w:val="18"/>
          <w:color w:val="auto"/>
        </w:rPr>
        <w:t>”) is dated August 27, 2009. Capitalized terms used but not defined herein shall have the meaning given thereto in the Agreement.</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hereto desire to amend certain provisions of the Agreement as more fully described herein;</w:t>
      </w:r>
    </w:p>
    <w:p>
      <w:pPr>
        <w:spacing w:after="0" w:line="225" w:lineRule="exact"/>
        <w:rPr>
          <w:sz w:val="20"/>
          <w:szCs w:val="20"/>
          <w:color w:val="auto"/>
        </w:rPr>
      </w:pPr>
    </w:p>
    <w:p>
      <w:pPr>
        <w:ind w:right="240" w:firstLine="351"/>
        <w:spacing w:after="0" w:line="275"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the mutual covenants contained herein and other good and valuable consideration, the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and sufficiency of which are hereby acknowledged, the Investor and the Company hereby agree as follows:</w:t>
      </w:r>
    </w:p>
    <w:p>
      <w:pPr>
        <w:spacing w:after="0" w:line="174" w:lineRule="exact"/>
        <w:rPr>
          <w:sz w:val="20"/>
          <w:szCs w:val="20"/>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w:t>
      </w:r>
    </w:p>
    <w:p>
      <w:pPr>
        <w:spacing w:after="0" w:line="258" w:lineRule="exact"/>
        <w:rPr>
          <w:rFonts w:ascii="Arial" w:cs="Arial" w:eastAsia="Arial" w:hAnsi="Arial"/>
          <w:sz w:val="18"/>
          <w:szCs w:val="18"/>
          <w:color w:val="auto"/>
        </w:rPr>
      </w:pPr>
    </w:p>
    <w:p>
      <w:pPr>
        <w:ind w:left="1720" w:hanging="564"/>
        <w:spacing w:after="0"/>
        <w:tabs>
          <w:tab w:leader="none" w:pos="1720" w:val="left"/>
        </w:tabs>
        <w:numPr>
          <w:ilvl w:val="1"/>
          <w:numId w:val="1"/>
        </w:numPr>
        <w:rPr>
          <w:rFonts w:ascii="Arial" w:cs="Arial" w:eastAsia="Arial" w:hAnsi="Arial"/>
          <w:sz w:val="18"/>
          <w:szCs w:val="18"/>
          <w:color w:val="auto"/>
        </w:rPr>
      </w:pPr>
      <w:r>
        <w:rPr>
          <w:rFonts w:ascii="Arial" w:cs="Arial" w:eastAsia="Arial" w:hAnsi="Arial"/>
          <w:sz w:val="18"/>
          <w:szCs w:val="18"/>
          <w:color w:val="auto"/>
        </w:rPr>
        <w:t>Section 1.27 of the Agreement is hereby amended and restated in its entirety to read as follows:</w:t>
      </w:r>
    </w:p>
    <w:p>
      <w:pPr>
        <w:spacing w:after="0" w:line="252" w:lineRule="exact"/>
        <w:rPr>
          <w:rFonts w:ascii="Arial" w:cs="Arial" w:eastAsia="Arial" w:hAnsi="Arial"/>
          <w:sz w:val="18"/>
          <w:szCs w:val="18"/>
          <w:color w:val="auto"/>
        </w:rPr>
      </w:pPr>
    </w:p>
    <w:p>
      <w:pPr>
        <w:ind w:left="1720" w:right="180"/>
        <w:spacing w:after="0" w:line="268" w:lineRule="auto"/>
        <w:rPr>
          <w:rFonts w:ascii="Arial" w:cs="Arial" w:eastAsia="Arial" w:hAnsi="Arial"/>
          <w:sz w:val="18"/>
          <w:szCs w:val="18"/>
          <w:color w:val="auto"/>
        </w:rPr>
      </w:pPr>
      <w:r>
        <w:rPr>
          <w:rFonts w:ascii="Arial" w:cs="Arial" w:eastAsia="Arial" w:hAnsi="Arial"/>
          <w:sz w:val="18"/>
          <w:szCs w:val="18"/>
          <w:u w:val="single" w:color="auto"/>
          <w:color w:val="auto"/>
        </w:rPr>
        <w:t>Section 1.27 “Maximum Advance Amount</w:t>
      </w:r>
      <w:r>
        <w:rPr>
          <w:rFonts w:ascii="Arial" w:cs="Arial" w:eastAsia="Arial" w:hAnsi="Arial"/>
          <w:sz w:val="18"/>
          <w:szCs w:val="18"/>
          <w:color w:val="auto"/>
        </w:rPr>
        <w:t>” shall be $5,000,000, or such other amount as may be agreed upon by the mutual consent of the parties.</w:t>
      </w:r>
    </w:p>
    <w:p>
      <w:pPr>
        <w:spacing w:after="0" w:line="212" w:lineRule="exact"/>
        <w:rPr>
          <w:rFonts w:ascii="Arial" w:cs="Arial" w:eastAsia="Arial" w:hAnsi="Arial"/>
          <w:sz w:val="18"/>
          <w:szCs w:val="18"/>
          <w:color w:val="auto"/>
        </w:rPr>
      </w:pPr>
    </w:p>
    <w:p>
      <w:pPr>
        <w:ind w:left="1720" w:hanging="564"/>
        <w:spacing w:after="0"/>
        <w:tabs>
          <w:tab w:leader="none" w:pos="1720" w:val="left"/>
        </w:tabs>
        <w:numPr>
          <w:ilvl w:val="1"/>
          <w:numId w:val="1"/>
        </w:numPr>
        <w:rPr>
          <w:rFonts w:ascii="Arial" w:cs="Arial" w:eastAsia="Arial" w:hAnsi="Arial"/>
          <w:sz w:val="18"/>
          <w:szCs w:val="18"/>
          <w:color w:val="auto"/>
        </w:rPr>
      </w:pPr>
      <w:r>
        <w:rPr>
          <w:rFonts w:ascii="Arial" w:cs="Arial" w:eastAsia="Arial" w:hAnsi="Arial"/>
          <w:sz w:val="18"/>
          <w:szCs w:val="18"/>
          <w:color w:val="auto"/>
        </w:rPr>
        <w:t>A new subsection (f) shall be added to the end of Section 2.01 as follows:</w:t>
      </w:r>
    </w:p>
    <w:p>
      <w:pPr>
        <w:spacing w:after="0" w:line="252" w:lineRule="exact"/>
        <w:rPr>
          <w:rFonts w:ascii="Arial" w:cs="Arial" w:eastAsia="Arial" w:hAnsi="Arial"/>
          <w:sz w:val="18"/>
          <w:szCs w:val="18"/>
          <w:color w:val="auto"/>
        </w:rPr>
      </w:pPr>
    </w:p>
    <w:p>
      <w:pPr>
        <w:jc w:val="both"/>
        <w:ind w:left="1720" w:right="260"/>
        <w:spacing w:after="0" w:line="259" w:lineRule="auto"/>
        <w:rPr>
          <w:rFonts w:ascii="Arial" w:cs="Arial" w:eastAsia="Arial" w:hAnsi="Arial"/>
          <w:sz w:val="18"/>
          <w:szCs w:val="18"/>
          <w:color w:val="auto"/>
        </w:rPr>
      </w:pPr>
      <w:r>
        <w:rPr>
          <w:rFonts w:ascii="Arial" w:cs="Arial" w:eastAsia="Arial" w:hAnsi="Arial"/>
          <w:sz w:val="18"/>
          <w:szCs w:val="18"/>
          <w:u w:val="single" w:color="auto"/>
          <w:color w:val="auto"/>
        </w:rPr>
        <w:t>Section 2.01(f) Advance Amount</w:t>
      </w:r>
      <w:r>
        <w:rPr>
          <w:rFonts w:ascii="Arial" w:cs="Arial" w:eastAsia="Arial" w:hAnsi="Arial"/>
          <w:sz w:val="18"/>
          <w:szCs w:val="18"/>
          <w:color w:val="auto"/>
        </w:rPr>
        <w:t>. In connection with each Advance Notice, the Company may, with the prior consent of the Investor, change the amount of the Advance designated in such Advance Notice during the Pricing Period, provided that such amount requested shall be in compliance with Section 2.01(a) hereof.</w:t>
      </w:r>
    </w:p>
    <w:p>
      <w:pPr>
        <w:spacing w:after="0" w:line="221" w:lineRule="exact"/>
        <w:rPr>
          <w:rFonts w:ascii="Arial" w:cs="Arial" w:eastAsia="Arial" w:hAnsi="Arial"/>
          <w:sz w:val="18"/>
          <w:szCs w:val="18"/>
          <w:color w:val="auto"/>
        </w:rPr>
      </w:pPr>
    </w:p>
    <w:p>
      <w:pPr>
        <w:ind w:left="1720" w:hanging="564"/>
        <w:spacing w:after="0"/>
        <w:tabs>
          <w:tab w:leader="none" w:pos="1720" w:val="left"/>
        </w:tabs>
        <w:numPr>
          <w:ilvl w:val="1"/>
          <w:numId w:val="1"/>
        </w:numPr>
        <w:rPr>
          <w:rFonts w:ascii="Arial" w:cs="Arial" w:eastAsia="Arial" w:hAnsi="Arial"/>
          <w:sz w:val="18"/>
          <w:szCs w:val="18"/>
          <w:color w:val="auto"/>
        </w:rPr>
      </w:pPr>
      <w:r>
        <w:rPr>
          <w:rFonts w:ascii="Arial" w:cs="Arial" w:eastAsia="Arial" w:hAnsi="Arial"/>
          <w:sz w:val="18"/>
          <w:szCs w:val="18"/>
          <w:color w:val="auto"/>
        </w:rPr>
        <w:t>Section 3.07 of the Agreement is hereby amended and restated in its entirety to read as follows:</w:t>
      </w:r>
    </w:p>
    <w:p>
      <w:pPr>
        <w:spacing w:after="0" w:line="252" w:lineRule="exact"/>
        <w:rPr>
          <w:rFonts w:ascii="Arial" w:cs="Arial" w:eastAsia="Arial" w:hAnsi="Arial"/>
          <w:sz w:val="18"/>
          <w:szCs w:val="18"/>
          <w:color w:val="auto"/>
        </w:rPr>
      </w:pPr>
    </w:p>
    <w:p>
      <w:pPr>
        <w:ind w:left="1720" w:right="100"/>
        <w:spacing w:after="0" w:line="289" w:lineRule="auto"/>
        <w:rPr>
          <w:rFonts w:ascii="Arial" w:cs="Arial" w:eastAsia="Arial" w:hAnsi="Arial"/>
          <w:sz w:val="18"/>
          <w:szCs w:val="18"/>
          <w:color w:val="auto"/>
        </w:rPr>
      </w:pPr>
      <w:r>
        <w:rPr>
          <w:rFonts w:ascii="Arial" w:cs="Arial" w:eastAsia="Arial" w:hAnsi="Arial"/>
          <w:sz w:val="16"/>
          <w:szCs w:val="16"/>
          <w:u w:val="single" w:color="auto"/>
          <w:color w:val="auto"/>
        </w:rPr>
        <w:t>Section 3.07 Trading Activities</w:t>
      </w:r>
      <w:r>
        <w:rPr>
          <w:rFonts w:ascii="Arial" w:cs="Arial" w:eastAsia="Arial" w:hAnsi="Arial"/>
          <w:sz w:val="16"/>
          <w:szCs w:val="16"/>
          <w:color w:val="auto"/>
        </w:rPr>
        <w:t>. The Investor’s trading activities with respect to the Company’s Ordinary Shares shall be in compliance with all applicable federal and state securities laws, rules and regulations, the Securities Regulations, and the rules and regulations of the Principal Markets on which the Ordinary Shares are listed or traded. As of the date of the initial Agreement, neither the Investor nor any affiliate of the Investor has an open short position in the Ordinary Shares. The Investor agrees that it shall not, and that it will cause its affiliates not to, engage in any short sales of the Ordinary Shares, except that upon receipt of an Advance Notice the Investor shall be permitted to, and the Company acknowledges and agrees that the Investor may, sell, whether by short sale or otherwise, such number of Ordinary Shares as the Investor reasonably expects to receive from the Company pursuant to the Advance Notice prior to receiving such shares.</w:t>
      </w:r>
    </w:p>
    <w:p>
      <w:pPr>
        <w:spacing w:after="0" w:line="200" w:lineRule="exact"/>
        <w:rPr>
          <w:rFonts w:ascii="Arial" w:cs="Arial" w:eastAsia="Arial" w:hAnsi="Arial"/>
          <w:sz w:val="18"/>
          <w:szCs w:val="18"/>
          <w:color w:val="auto"/>
        </w:rPr>
      </w:pPr>
    </w:p>
    <w:p>
      <w:pPr>
        <w:spacing w:after="0" w:line="336" w:lineRule="exact"/>
        <w:rPr>
          <w:rFonts w:ascii="Arial" w:cs="Arial" w:eastAsia="Arial" w:hAnsi="Arial"/>
          <w:sz w:val="18"/>
          <w:szCs w:val="18"/>
          <w:color w:val="auto"/>
        </w:rPr>
      </w:pPr>
    </w:p>
    <w:p>
      <w:pPr>
        <w:ind w:left="1720" w:right="160" w:hanging="564"/>
        <w:spacing w:after="0" w:line="268" w:lineRule="auto"/>
        <w:tabs>
          <w:tab w:leader="none" w:pos="1720" w:val="left"/>
        </w:tabs>
        <w:numPr>
          <w:ilvl w:val="1"/>
          <w:numId w:val="1"/>
        </w:numPr>
        <w:rPr>
          <w:rFonts w:ascii="Arial" w:cs="Arial" w:eastAsia="Arial" w:hAnsi="Arial"/>
          <w:sz w:val="18"/>
          <w:szCs w:val="18"/>
          <w:color w:val="auto"/>
        </w:rPr>
      </w:pPr>
      <w:r>
        <w:rPr>
          <w:rFonts w:ascii="Arial" w:cs="Arial" w:eastAsia="Arial" w:hAnsi="Arial"/>
          <w:sz w:val="18"/>
          <w:szCs w:val="18"/>
          <w:color w:val="auto"/>
        </w:rPr>
        <w:t>All references in the Agreement to the Company as being organized and existing under the laws of the State of Delaware shall amended to refer to the laws of the State of Israel.</w:t>
      </w:r>
    </w:p>
    <w:p>
      <w:pPr>
        <w:spacing w:after="0" w:line="206"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58" w:lineRule="exact"/>
        <w:rPr>
          <w:rFonts w:ascii="Arial" w:cs="Arial" w:eastAsia="Arial" w:hAnsi="Arial"/>
          <w:sz w:val="18"/>
          <w:szCs w:val="18"/>
          <w:color w:val="auto"/>
        </w:rPr>
      </w:pPr>
    </w:p>
    <w:p>
      <w:pPr>
        <w:ind w:left="1720" w:right="140" w:hanging="564"/>
        <w:spacing w:after="0" w:line="268" w:lineRule="auto"/>
        <w:tabs>
          <w:tab w:leader="none" w:pos="172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parties hereto acknowledge and agree that, other than as set forth in this Amendment, the Agreement remains unchanged and in full force and effect.</w:t>
      </w:r>
    </w:p>
    <w:p>
      <w:pPr>
        <w:spacing w:after="0" w:line="212" w:lineRule="exact"/>
        <w:rPr>
          <w:rFonts w:ascii="Arial" w:cs="Arial" w:eastAsia="Arial" w:hAnsi="Arial"/>
          <w:sz w:val="18"/>
          <w:szCs w:val="18"/>
          <w:color w:val="auto"/>
        </w:rPr>
      </w:pPr>
    </w:p>
    <w:p>
      <w:pPr>
        <w:ind w:left="1720" w:right="140" w:hanging="564"/>
        <w:spacing w:after="0" w:line="268" w:lineRule="auto"/>
        <w:tabs>
          <w:tab w:leader="none" w:pos="172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This Amendment may be executed in several counterparts, each of which will be deemed to be an original and all of which will together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-1541780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THE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220" w:firstLine="351"/>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No. 1 to be executed by the undersigned, thereunto duly authorized,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set forth above.</w:t>
      </w:r>
    </w:p>
    <w:p>
      <w:pPr>
        <w:spacing w:after="0" w:line="17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125" w:right="239" w:bottom="141" w:gutter="0" w:footer="0" w:header="0"/>
        </w:sectPr>
      </w:pPr>
    </w:p>
    <w:bookmarkStart w:id="2" w:name="page3"/>
    <w:bookmarkEnd w:id="2"/>
    <w:p>
      <w:pPr>
        <w:ind w:left="45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YA GLOBAL MASTER SPV LTD.</w:t>
      </w:r>
    </w:p>
    <w:p>
      <w:pPr>
        <w:spacing w:after="0" w:line="200" w:lineRule="exact"/>
        <w:rPr>
          <w:sz w:val="20"/>
          <w:szCs w:val="20"/>
          <w:color w:val="auto"/>
        </w:rPr>
      </w:pPr>
    </w:p>
    <w:p>
      <w:pPr>
        <w:spacing w:after="0" w:line="27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Yorkville Advisors, LLC</w:t>
      </w:r>
    </w:p>
    <w:p>
      <w:pPr>
        <w:spacing w:after="0" w:line="15" w:lineRule="exact"/>
        <w:rPr>
          <w:sz w:val="20"/>
          <w:szCs w:val="20"/>
          <w:color w:val="auto"/>
        </w:rPr>
      </w:pPr>
    </w:p>
    <w:p>
      <w:pPr>
        <w:ind w:left="4520"/>
        <w:spacing w:after="0"/>
        <w:tabs>
          <w:tab w:leader="none" w:pos="49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Investment Manager</w:t>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285750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2."/>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2019-12-10T12:57:44Z</dcterms:created>
  <dcterms:modified xsi:type="dcterms:W3CDTF">2019-12-10T12:57:44Z</dcterms:modified>
</cp:coreProperties>
</file>