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19"/>
        <w:spacing w:after="0"/>
        <w:rPr>
          <w:sz w:val="20"/>
          <w:szCs w:val="20"/>
          <w:color w:val="auto"/>
        </w:rPr>
      </w:pPr>
      <w:r>
        <w:rPr>
          <w:rFonts w:ascii="Courier New" w:cs="Courier New" w:eastAsia="Courier New" w:hAnsi="Courier New"/>
          <w:sz w:val="12"/>
          <w:szCs w:val="12"/>
          <w:color w:val="auto"/>
        </w:rPr>
        <w:t>FORM 6-K</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Washington, D.C. 20549</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For the month of February No. 2 2007</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TOWER SEMICONDUCTOR LTD.</w:t>
      </w:r>
    </w:p>
    <w:p>
      <w:pPr>
        <w:jc w:val="center"/>
        <w:ind w:right="4559"/>
        <w:spacing w:after="0"/>
        <w:rPr>
          <w:sz w:val="20"/>
          <w:szCs w:val="20"/>
          <w:color w:val="auto"/>
        </w:rPr>
      </w:pPr>
      <w:r>
        <w:rPr>
          <w:rFonts w:ascii="Courier New" w:cs="Courier New" w:eastAsia="Courier New" w:hAnsi="Courier New"/>
          <w:sz w:val="12"/>
          <w:szCs w:val="12"/>
          <w:color w:val="auto"/>
        </w:rPr>
        <w:t>(Translation of registrant's name into English)</w:t>
      </w:r>
    </w:p>
    <w:p>
      <w:pPr>
        <w:spacing w:after="0" w:line="133" w:lineRule="exact"/>
        <w:rPr>
          <w:sz w:val="24"/>
          <w:szCs w:val="24"/>
          <w:color w:val="auto"/>
        </w:rPr>
      </w:pPr>
    </w:p>
    <w:p>
      <w:pPr>
        <w:jc w:val="center"/>
        <w:ind w:right="4559"/>
        <w:spacing w:after="0"/>
        <w:rPr>
          <w:sz w:val="20"/>
          <w:szCs w:val="20"/>
          <w:color w:val="auto"/>
        </w:rPr>
      </w:pPr>
      <w:r>
        <w:rPr>
          <w:rFonts w:ascii="Courier New" w:cs="Courier New" w:eastAsia="Courier New" w:hAnsi="Courier New"/>
          <w:sz w:val="12"/>
          <w:szCs w:val="12"/>
          <w:color w:val="auto"/>
        </w:rPr>
        <w:t>RAMAT GAVRIEL INDUSTRIAL PARK</w:t>
      </w:r>
    </w:p>
    <w:p>
      <w:pPr>
        <w:ind w:left="1400"/>
        <w:spacing w:after="0"/>
        <w:rPr>
          <w:sz w:val="20"/>
          <w:szCs w:val="20"/>
          <w:color w:val="auto"/>
        </w:rPr>
      </w:pPr>
      <w:r>
        <w:rPr>
          <w:rFonts w:ascii="Courier New" w:cs="Courier New" w:eastAsia="Courier New" w:hAnsi="Courier New"/>
          <w:sz w:val="12"/>
          <w:szCs w:val="12"/>
          <w:color w:val="auto"/>
        </w:rPr>
        <w:t>P.O. BOX 619, MIGDAL HAEMEK, ISRAEL 23105</w:t>
      </w:r>
    </w:p>
    <w:p>
      <w:pPr>
        <w:ind w:left="1400"/>
        <w:spacing w:after="0" w:line="237" w:lineRule="auto"/>
        <w:rPr>
          <w:sz w:val="20"/>
          <w:szCs w:val="20"/>
          <w:color w:val="auto"/>
        </w:rPr>
      </w:pPr>
      <w:r>
        <w:rPr>
          <w:rFonts w:ascii="Courier New" w:cs="Courier New" w:eastAsia="Courier New" w:hAnsi="Courier New"/>
          <w:sz w:val="12"/>
          <w:szCs w:val="12"/>
          <w:color w:val="auto"/>
        </w:rPr>
        <w:t>(Address of principal executive offices)</w:t>
      </w:r>
    </w:p>
    <w:p>
      <w:pPr>
        <w:spacing w:after="0" w:line="139" w:lineRule="exact"/>
        <w:rPr>
          <w:sz w:val="24"/>
          <w:szCs w:val="24"/>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Indicate by check mark whether the registrant files or will file annual reports under cover Form 20-F or Form 40-F.</w:t>
      </w:r>
    </w:p>
    <w:p>
      <w:pPr>
        <w:spacing w:after="0" w:line="135" w:lineRule="exact"/>
        <w:rPr>
          <w:sz w:val="24"/>
          <w:szCs w:val="24"/>
          <w:color w:val="auto"/>
        </w:rPr>
      </w:pPr>
    </w:p>
    <w:p>
      <w:pPr>
        <w:ind w:left="1740"/>
        <w:spacing w:after="0"/>
        <w:tabs>
          <w:tab w:leader="none" w:pos="3000" w:val="left"/>
        </w:tabs>
        <w:rPr>
          <w:sz w:val="20"/>
          <w:szCs w:val="20"/>
          <w:color w:val="auto"/>
        </w:rPr>
      </w:pPr>
      <w:r>
        <w:rPr>
          <w:rFonts w:ascii="Courier New" w:cs="Courier New" w:eastAsia="Courier New" w:hAnsi="Courier New"/>
          <w:sz w:val="12"/>
          <w:szCs w:val="12"/>
          <w:color w:val="auto"/>
        </w:rPr>
        <w:t>Form 20-F [X]</w:t>
      </w:r>
      <w:r>
        <w:rPr>
          <w:sz w:val="20"/>
          <w:szCs w:val="20"/>
          <w:color w:val="auto"/>
        </w:rPr>
        <w:tab/>
      </w:r>
      <w:r>
        <w:rPr>
          <w:rFonts w:ascii="Courier New" w:cs="Courier New" w:eastAsia="Courier New" w:hAnsi="Courier New"/>
          <w:sz w:val="11"/>
          <w:szCs w:val="11"/>
          <w:color w:val="auto"/>
        </w:rPr>
        <w:t>Form 40-F [_]</w:t>
      </w:r>
    </w:p>
    <w:p>
      <w:pPr>
        <w:spacing w:after="0" w:line="139" w:lineRule="exact"/>
        <w:rPr>
          <w:sz w:val="24"/>
          <w:szCs w:val="24"/>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391" w:lineRule="exact"/>
        <w:rPr>
          <w:sz w:val="24"/>
          <w:szCs w:val="24"/>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On February 7, 2007, the Registrant announced its financial results for the fourth quarter and fiscal year ended December 31, 2006. Attached hereto are the following exhibits:</w:t>
      </w:r>
    </w:p>
    <w:p>
      <w:pPr>
        <w:spacing w:after="0" w:line="135" w:lineRule="exact"/>
        <w:rPr>
          <w:sz w:val="24"/>
          <w:szCs w:val="24"/>
          <w:color w:val="auto"/>
        </w:rPr>
      </w:pPr>
    </w:p>
    <w:p>
      <w:pPr>
        <w:ind w:left="340"/>
        <w:spacing w:after="0"/>
        <w:tabs>
          <w:tab w:leader="none" w:pos="1380" w:val="left"/>
        </w:tabs>
        <w:rPr>
          <w:sz w:val="20"/>
          <w:szCs w:val="20"/>
          <w:color w:val="auto"/>
        </w:rPr>
      </w:pPr>
      <w:r>
        <w:rPr>
          <w:rFonts w:ascii="Courier New" w:cs="Courier New" w:eastAsia="Courier New" w:hAnsi="Courier New"/>
          <w:sz w:val="12"/>
          <w:szCs w:val="12"/>
          <w:color w:val="auto"/>
        </w:rPr>
        <w:t>Exhibit 99.1</w:t>
      </w:r>
      <w:r>
        <w:rPr>
          <w:sz w:val="20"/>
          <w:szCs w:val="20"/>
          <w:color w:val="auto"/>
        </w:rPr>
        <w:tab/>
      </w:r>
      <w:r>
        <w:rPr>
          <w:rFonts w:ascii="Courier New" w:cs="Courier New" w:eastAsia="Courier New" w:hAnsi="Courier New"/>
          <w:sz w:val="11"/>
          <w:szCs w:val="11"/>
          <w:color w:val="auto"/>
        </w:rPr>
        <w:t>Press release dated February 7, 2007</w:t>
      </w:r>
    </w:p>
    <w:p>
      <w:pPr>
        <w:spacing w:after="0" w:line="139" w:lineRule="exact"/>
        <w:rPr>
          <w:sz w:val="24"/>
          <w:szCs w:val="24"/>
          <w:color w:val="auto"/>
        </w:rPr>
      </w:pPr>
    </w:p>
    <w:p>
      <w:pPr>
        <w:ind w:left="1400" w:right="4699" w:hanging="1053"/>
        <w:spacing w:after="0" w:line="236" w:lineRule="auto"/>
        <w:tabs>
          <w:tab w:leader="none" w:pos="1380" w:val="left"/>
        </w:tabs>
        <w:rPr>
          <w:sz w:val="20"/>
          <w:szCs w:val="20"/>
          <w:color w:val="auto"/>
        </w:rPr>
      </w:pPr>
      <w:r>
        <w:rPr>
          <w:rFonts w:ascii="Courier New" w:cs="Courier New" w:eastAsia="Courier New" w:hAnsi="Courier New"/>
          <w:sz w:val="12"/>
          <w:szCs w:val="12"/>
          <w:color w:val="auto"/>
        </w:rPr>
        <w:t>Exhibit 99.2</w:t>
      </w:r>
      <w:r>
        <w:rPr>
          <w:sz w:val="20"/>
          <w:szCs w:val="20"/>
          <w:color w:val="auto"/>
        </w:rPr>
        <w:tab/>
      </w:r>
      <w:r>
        <w:rPr>
          <w:rFonts w:ascii="Courier New" w:cs="Courier New" w:eastAsia="Courier New" w:hAnsi="Courier New"/>
          <w:sz w:val="12"/>
          <w:szCs w:val="12"/>
          <w:color w:val="auto"/>
        </w:rPr>
        <w:t>Registrant's consolidated financial statements as of December 31, 2006 and 2005 and for the years ended December 31, 2006, 2005 and 2004, and the report thereon dated February 7, 2007 of Brightman Almagor &amp; Co.</w:t>
      </w:r>
    </w:p>
    <w:p>
      <w:pPr>
        <w:spacing w:after="0" w:line="141" w:lineRule="exact"/>
        <w:rPr>
          <w:sz w:val="24"/>
          <w:szCs w:val="24"/>
          <w:color w:val="auto"/>
        </w:rPr>
      </w:pPr>
    </w:p>
    <w:p>
      <w:pPr>
        <w:ind w:left="1400" w:right="4699" w:hanging="1053"/>
        <w:spacing w:after="0" w:line="235" w:lineRule="auto"/>
        <w:tabs>
          <w:tab w:leader="none" w:pos="1380" w:val="left"/>
        </w:tabs>
        <w:rPr>
          <w:sz w:val="20"/>
          <w:szCs w:val="20"/>
          <w:color w:val="auto"/>
        </w:rPr>
      </w:pPr>
      <w:r>
        <w:rPr>
          <w:rFonts w:ascii="Courier New" w:cs="Courier New" w:eastAsia="Courier New" w:hAnsi="Courier New"/>
          <w:sz w:val="12"/>
          <w:szCs w:val="12"/>
          <w:color w:val="auto"/>
        </w:rPr>
        <w:t>Exhibit 99.3</w:t>
      </w:r>
      <w:r>
        <w:rPr>
          <w:sz w:val="20"/>
          <w:szCs w:val="20"/>
          <w:color w:val="auto"/>
        </w:rPr>
        <w:tab/>
      </w:r>
      <w:r>
        <w:rPr>
          <w:rFonts w:ascii="Courier New" w:cs="Courier New" w:eastAsia="Courier New" w:hAnsi="Courier New"/>
          <w:sz w:val="12"/>
          <w:szCs w:val="12"/>
          <w:color w:val="auto"/>
        </w:rPr>
        <w:t>Management's Discussion and Analysis of Financial Condition and Results of Operations</w:t>
      </w:r>
    </w:p>
    <w:p>
      <w:pPr>
        <w:spacing w:after="0" w:line="135" w:lineRule="exact"/>
        <w:rPr>
          <w:sz w:val="24"/>
          <w:szCs w:val="24"/>
          <w:color w:val="auto"/>
        </w:rPr>
      </w:pPr>
    </w:p>
    <w:p>
      <w:pPr>
        <w:ind w:left="340"/>
        <w:spacing w:after="0"/>
        <w:tabs>
          <w:tab w:leader="none" w:pos="1380" w:val="left"/>
        </w:tabs>
        <w:rPr>
          <w:sz w:val="20"/>
          <w:szCs w:val="20"/>
          <w:color w:val="auto"/>
        </w:rPr>
      </w:pPr>
      <w:r>
        <w:rPr>
          <w:rFonts w:ascii="Courier New" w:cs="Courier New" w:eastAsia="Courier New" w:hAnsi="Courier New"/>
          <w:sz w:val="12"/>
          <w:szCs w:val="12"/>
          <w:color w:val="auto"/>
        </w:rPr>
        <w:t>Exhibit 99.4</w:t>
      </w:r>
      <w:r>
        <w:rPr>
          <w:sz w:val="20"/>
          <w:szCs w:val="20"/>
          <w:color w:val="auto"/>
        </w:rPr>
        <w:tab/>
      </w:r>
      <w:r>
        <w:rPr>
          <w:rFonts w:ascii="Courier New" w:cs="Courier New" w:eastAsia="Courier New" w:hAnsi="Courier New"/>
          <w:sz w:val="11"/>
          <w:szCs w:val="11"/>
          <w:color w:val="auto"/>
        </w:rPr>
        <w:t>Consent of Independent Registered Accounting Firm</w:t>
      </w:r>
    </w:p>
    <w:p>
      <w:pPr>
        <w:spacing w:after="0" w:line="139" w:lineRule="exact"/>
        <w:rPr>
          <w:sz w:val="24"/>
          <w:szCs w:val="24"/>
          <w:color w:val="auto"/>
        </w:rPr>
      </w:pPr>
    </w:p>
    <w:p>
      <w:pPr>
        <w:ind w:right="4699" w:firstLine="351"/>
        <w:spacing w:after="0" w:line="263" w:lineRule="auto"/>
        <w:rPr>
          <w:sz w:val="20"/>
          <w:szCs w:val="20"/>
          <w:color w:val="auto"/>
        </w:rPr>
      </w:pPr>
      <w:r>
        <w:rPr>
          <w:rFonts w:ascii="Courier New" w:cs="Courier New" w:eastAsia="Courier New" w:hAnsi="Courier New"/>
          <w:sz w:val="11"/>
          <w:szCs w:val="11"/>
          <w:color w:val="auto"/>
        </w:rPr>
        <w:t>This Form 6-K, including all exhibits hereto, is hereby incorporated by reference into (1) all effective registration statements filed by us under the Securities Act of 1933 and (2) Registration Statement No. 333-140174 on Form F-3, except that the information herein relating to EBITDA and related non-GAAP financial measure disclosures is expressly excluded from such incorporation..</w:t>
      </w:r>
    </w:p>
    <w:p>
      <w:pPr>
        <w:spacing w:after="0" w:line="241"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SIGNATURES</w:t>
      </w:r>
    </w:p>
    <w:p>
      <w:pPr>
        <w:spacing w:after="0" w:line="139" w:lineRule="exact"/>
        <w:rPr>
          <w:sz w:val="24"/>
          <w:szCs w:val="24"/>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Pursuant to the requirements of the Securities Exchange Act of 1934, the registrant has duly caused this report to be signed on its behalf by the undersigned, thereunto duly authorized.</w:t>
      </w:r>
    </w:p>
    <w:p>
      <w:pPr>
        <w:spacing w:after="0" w:line="270" w:lineRule="exact"/>
        <w:rPr>
          <w:sz w:val="24"/>
          <w:szCs w:val="24"/>
          <w:color w:val="auto"/>
        </w:rPr>
      </w:pPr>
    </w:p>
    <w:p>
      <w:pPr>
        <w:ind w:left="3720"/>
        <w:spacing w:after="0"/>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39"/>
          </w:cols>
          <w:pgMar w:left="220" w:top="344" w:right="1440" w:bottom="1440" w:gutter="0" w:footer="0" w:header="0"/>
        </w:sectPr>
      </w:pPr>
    </w:p>
    <w:p>
      <w:pPr>
        <w:spacing w:after="0" w:line="27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Date: February 8, 2007</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By: /s/ Nati Somekh Gilboa</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Nati Somekh Gilboa</w:t>
      </w:r>
    </w:p>
    <w:p>
      <w:pPr>
        <w:spacing w:after="0"/>
        <w:rPr>
          <w:sz w:val="20"/>
          <w:szCs w:val="20"/>
          <w:color w:val="auto"/>
        </w:rPr>
      </w:pPr>
      <w:r>
        <w:rPr>
          <w:rFonts w:ascii="Courier New" w:cs="Courier New" w:eastAsia="Courier New" w:hAnsi="Courier New"/>
          <w:sz w:val="12"/>
          <w:szCs w:val="12"/>
          <w:color w:val="auto"/>
        </w:rPr>
        <w:t>Corporate Secretary</w:t>
      </w:r>
    </w:p>
    <w:p>
      <w:pPr>
        <w:sectPr>
          <w:pgSz w:w="11900" w:h="16838" w:orient="portrait"/>
          <w:cols w:equalWidth="0" w:num="2">
            <w:col w:w="3000" w:space="720"/>
            <w:col w:w="6519"/>
          </w:cols>
          <w:pgMar w:left="220" w:top="344" w:right="1440" w:bottom="1440" w:gutter="0" w:footer="0" w:header="0"/>
          <w:type w:val="continuous"/>
        </w:sectPr>
      </w:pPr>
    </w:p>
    <w:bookmarkStart w:id="1" w:name="page2"/>
    <w:bookmarkEnd w:id="1"/>
    <w:p>
      <w:pPr>
        <w:jc w:val="center"/>
        <w:ind w:right="-148"/>
        <w:spacing w:after="0"/>
        <w:rPr>
          <w:sz w:val="20"/>
          <w:szCs w:val="20"/>
          <w:color w:val="auto"/>
        </w:rPr>
      </w:pPr>
      <w:r>
        <w:rPr>
          <w:rFonts w:ascii="Courier New" w:cs="Courier New" w:eastAsia="Courier New" w:hAnsi="Courier New"/>
          <w:sz w:val="12"/>
          <w:szCs w:val="12"/>
          <w:color w:val="auto"/>
        </w:rPr>
        <w:t>EXHIBIT 99.1</w:t>
      </w:r>
    </w:p>
    <w:p>
      <w:pPr>
        <w:spacing w:after="0" w:line="134" w:lineRule="exact"/>
        <w:rPr>
          <w:sz w:val="20"/>
          <w:szCs w:val="20"/>
          <w:color w:val="auto"/>
        </w:rPr>
      </w:pPr>
    </w:p>
    <w:p>
      <w:pPr>
        <w:jc w:val="center"/>
        <w:ind w:right="4551"/>
        <w:spacing w:after="0"/>
        <w:rPr>
          <w:sz w:val="20"/>
          <w:szCs w:val="20"/>
          <w:color w:val="auto"/>
        </w:rPr>
      </w:pPr>
      <w:r>
        <w:rPr>
          <w:rFonts w:ascii="Courier New" w:cs="Courier New" w:eastAsia="Courier New" w:hAnsi="Courier New"/>
          <w:sz w:val="12"/>
          <w:szCs w:val="12"/>
          <w:color w:val="auto"/>
        </w:rPr>
        <w:t>TOWER SEMICONDUCTOR 2006 SALES DOUBLED YEAR-OVER-YEAR</w:t>
      </w:r>
    </w:p>
    <w:p>
      <w:pPr>
        <w:spacing w:after="0" w:line="4" w:lineRule="exact"/>
        <w:rPr>
          <w:sz w:val="20"/>
          <w:szCs w:val="20"/>
          <w:color w:val="auto"/>
        </w:rPr>
      </w:pPr>
    </w:p>
    <w:p>
      <w:pPr>
        <w:ind w:left="148" w:right="4699" w:firstLine="70"/>
        <w:spacing w:after="0" w:line="273" w:lineRule="auto"/>
        <w:rPr>
          <w:sz w:val="20"/>
          <w:szCs w:val="20"/>
          <w:color w:val="auto"/>
        </w:rPr>
      </w:pPr>
      <w:r>
        <w:rPr>
          <w:rFonts w:ascii="Courier New" w:cs="Courier New" w:eastAsia="Courier New" w:hAnsi="Courier New"/>
          <w:sz w:val="11"/>
          <w:szCs w:val="11"/>
          <w:color w:val="auto"/>
        </w:rPr>
        <w:t>MOVED TO POSITIVE CASH FLOW FROM OPERATIONS IN THE FOURTH QUARTER OF 2006; REPORTED CONSECUTIVE RECORD REVENUE AND EBITDA GROWTH IN EACH QUARTER OF 2006</w:t>
      </w:r>
    </w:p>
    <w:p>
      <w:pPr>
        <w:spacing w:after="0" w:line="122" w:lineRule="exact"/>
        <w:rPr>
          <w:sz w:val="20"/>
          <w:szCs w:val="20"/>
          <w:color w:val="auto"/>
        </w:rPr>
      </w:pPr>
    </w:p>
    <w:p>
      <w:pPr>
        <w:jc w:val="both"/>
        <w:ind w:left="8" w:right="4839"/>
        <w:spacing w:after="0" w:line="236" w:lineRule="auto"/>
        <w:rPr>
          <w:sz w:val="20"/>
          <w:szCs w:val="20"/>
          <w:color w:val="auto"/>
        </w:rPr>
      </w:pPr>
      <w:r>
        <w:rPr>
          <w:rFonts w:ascii="Courier New" w:cs="Courier New" w:eastAsia="Courier New" w:hAnsi="Courier New"/>
          <w:sz w:val="12"/>
          <w:szCs w:val="12"/>
          <w:color w:val="auto"/>
        </w:rPr>
        <w:t>MIGDAL HAEMEK, Israel - February 7, 2007 - Tower Semiconductor Ltd. (Nasdaq: TSEM, TASE: TSEM), a pure-play independent specialty foundry, today announced fourth quarter and year-end 2006 results.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FINANCIAL HIGHLIGHTS:</w:t>
      </w:r>
    </w:p>
    <w:p>
      <w:pPr>
        <w:spacing w:after="0" w:line="139" w:lineRule="exact"/>
        <w:rPr>
          <w:sz w:val="20"/>
          <w:szCs w:val="20"/>
          <w:color w:val="auto"/>
        </w:rPr>
      </w:pPr>
    </w:p>
    <w:p>
      <w:pPr>
        <w:ind w:left="708" w:right="4619" w:hanging="357"/>
        <w:spacing w:after="0" w:line="236" w:lineRule="auto"/>
        <w:tabs>
          <w:tab w:leader="none" w:pos="70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Reported revenues of $187.4 million in 2006, a 2X growth compared with 2005 (excluding $8 million income in 2005 from a technology-related agreement)</w:t>
      </w:r>
    </w:p>
    <w:p>
      <w:pPr>
        <w:spacing w:after="0" w:line="139" w:lineRule="exact"/>
        <w:rPr>
          <w:rFonts w:ascii="Courier New" w:cs="Courier New" w:eastAsia="Courier New" w:hAnsi="Courier New"/>
          <w:sz w:val="12"/>
          <w:szCs w:val="12"/>
          <w:color w:val="auto"/>
        </w:rPr>
      </w:pPr>
    </w:p>
    <w:p>
      <w:pPr>
        <w:ind w:left="708" w:right="4619" w:hanging="357"/>
        <w:spacing w:after="0" w:line="235" w:lineRule="auto"/>
        <w:tabs>
          <w:tab w:leader="none" w:pos="70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Reported fourth consecutive record revenue quarter at $55.5 million, a 78 percent increase year-over-year</w:t>
      </w:r>
    </w:p>
    <w:p>
      <w:pPr>
        <w:spacing w:after="0" w:line="139" w:lineRule="exact"/>
        <w:rPr>
          <w:rFonts w:ascii="Courier New" w:cs="Courier New" w:eastAsia="Courier New" w:hAnsi="Courier New"/>
          <w:sz w:val="12"/>
          <w:szCs w:val="12"/>
          <w:color w:val="auto"/>
        </w:rPr>
      </w:pPr>
    </w:p>
    <w:p>
      <w:pPr>
        <w:ind w:left="708" w:right="4759" w:hanging="357"/>
        <w:spacing w:after="0" w:line="235" w:lineRule="auto"/>
        <w:tabs>
          <w:tab w:leader="none" w:pos="70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Recorded positive cash flow from operations in the fourth quarter of 2006, for the first time since Fab2 was established</w:t>
      </w:r>
    </w:p>
    <w:p>
      <w:pPr>
        <w:spacing w:after="0" w:line="139" w:lineRule="exact"/>
        <w:rPr>
          <w:rFonts w:ascii="Courier New" w:cs="Courier New" w:eastAsia="Courier New" w:hAnsi="Courier New"/>
          <w:sz w:val="12"/>
          <w:szCs w:val="12"/>
          <w:color w:val="auto"/>
        </w:rPr>
      </w:pPr>
    </w:p>
    <w:p>
      <w:pPr>
        <w:jc w:val="both"/>
        <w:ind w:left="708" w:right="4979" w:hanging="357"/>
        <w:spacing w:after="0" w:line="236" w:lineRule="auto"/>
        <w:tabs>
          <w:tab w:leader="none" w:pos="70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Achieved positive EBITDA in 2006 compared to a negative EBITDA in 2005; the fourth quarter of 2006 represents the fifth consecutive quarter of positive EBITDA and EBITDA growth</w:t>
      </w:r>
    </w:p>
    <w:p>
      <w:pPr>
        <w:spacing w:after="0" w:line="139" w:lineRule="exact"/>
        <w:rPr>
          <w:rFonts w:ascii="Courier New" w:cs="Courier New" w:eastAsia="Courier New" w:hAnsi="Courier New"/>
          <w:sz w:val="12"/>
          <w:szCs w:val="12"/>
          <w:color w:val="auto"/>
        </w:rPr>
      </w:pPr>
    </w:p>
    <w:p>
      <w:pPr>
        <w:ind w:left="708" w:right="4619" w:hanging="357"/>
        <w:spacing w:after="0" w:line="235" w:lineRule="auto"/>
        <w:tabs>
          <w:tab w:leader="none" w:pos="70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Reduced long-term debt by $158 million during the second half of 2006, with shareholders equity turning positive</w:t>
      </w:r>
    </w:p>
    <w:p>
      <w:pPr>
        <w:spacing w:after="0" w:line="139" w:lineRule="exact"/>
        <w:rPr>
          <w:sz w:val="20"/>
          <w:szCs w:val="20"/>
          <w:color w:val="auto"/>
        </w:rPr>
      </w:pPr>
    </w:p>
    <w:p>
      <w:pPr>
        <w:ind w:left="8" w:right="4839"/>
        <w:spacing w:after="0" w:line="262" w:lineRule="auto"/>
        <w:rPr>
          <w:sz w:val="20"/>
          <w:szCs w:val="20"/>
          <w:color w:val="auto"/>
        </w:rPr>
      </w:pPr>
      <w:r>
        <w:rPr>
          <w:rFonts w:ascii="Courier New" w:cs="Courier New" w:eastAsia="Courier New" w:hAnsi="Courier New"/>
          <w:sz w:val="11"/>
          <w:szCs w:val="11"/>
          <w:color w:val="auto"/>
        </w:rPr>
        <w:t>For the fourth quarter of 2006, the Company reported total revenues of $55.5 million, representing a 78 percent increase as compared to $31.1 million reported in the fourth quarter of 2005, and an increase of 8 percent over the $51.5 million reported in the third quarter of 2006. Net loss for the fourth quarter was $38 million, or $0.40 per share, which included depreciation and amortization expenses of $41 million, as compared to a loss for the fourth quarter of 2005 of $45 million, or $0.68 per share, including $37 million of depreciation and amortization expenses.</w:t>
      </w:r>
    </w:p>
    <w:p>
      <w:pPr>
        <w:spacing w:after="0" w:line="128"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For the full year 2006, revenues doubled to $187.4 million over 2005 revenues of $94 million (excluding $8 million income in 2005 from a technology-related agreement). EBITDA was positive in 2006, and increased in every quarter during the year, compared with negative EBITDA for the year 2005. Net loss for the year was $87 million, or $1.05 per share, which included a one-time gain of $80.1 million, resulting from the debt restructuring with our banks, and depreciation and amortization expenses of $155 million. 2005 loss was $203 million, or $3.06 per share, including $145 million of depreciation and amortization expenses. Shareholder equity at the end of 2006 was $133 million compared to negative $30 million at the end of 2005.</w:t>
      </w:r>
    </w:p>
    <w:p>
      <w:pPr>
        <w:spacing w:after="0" w:line="396" w:lineRule="exact"/>
        <w:rPr>
          <w:sz w:val="20"/>
          <w:szCs w:val="20"/>
          <w:color w:val="auto"/>
        </w:rPr>
      </w:pPr>
    </w:p>
    <w:p>
      <w:pPr>
        <w:ind w:left="8" w:right="4699"/>
        <w:spacing w:after="0" w:line="260" w:lineRule="auto"/>
        <w:rPr>
          <w:sz w:val="20"/>
          <w:szCs w:val="20"/>
          <w:color w:val="auto"/>
        </w:rPr>
      </w:pPr>
      <w:r>
        <w:rPr>
          <w:rFonts w:ascii="Courier New" w:cs="Courier New" w:eastAsia="Courier New" w:hAnsi="Courier New"/>
          <w:sz w:val="11"/>
          <w:szCs w:val="11"/>
          <w:color w:val="auto"/>
        </w:rPr>
        <w:t>"2006 represented a year of significant achievements and progress for Tower," said Russell Ellwanger, chief executive officer of Tower Semiconductor. "We doubled our yearly sales to $187 million and of the $93 million increase in sales, we improved our EBITDA by more than $60 million (excluding the effect of the above mentioned technology-related agreement in 2005). Additionally, we achieved our stated target of positive cash flow from operations in the fourth quarter. We enter 2007 in a stronger position, having tripled our base of large customers during 2006, having maintained greater than 90% utilization in both Fabs and continuing in our plan to ramp Fab2 to 24,000 wafer starts per month. This is demonstrated by our Q4 revenue growth over Q3, against a worldwide foundry revenue decrease. Driven by seasonality, this trend continues with a Q1 2007 worldwide foundry guided revenue decrease of up to 14%. However, we guide revenues for the first quarter of 2007 to be between $53 and $57 million, the same range as Q4 2006, which is an increase of 48% to 59% over Q1 2006. We expect that several multi-year large contracts will either begin to materialize into revenue from new products or enable substantial increases in revenue from existing customers in the second half of 2007, side by side to our capacity growth. We are confident that we will build upon 2006 and anticipate delivering further significant top line and bottom line growth for 2007".</w:t>
      </w:r>
    </w:p>
    <w:p>
      <w:pPr>
        <w:spacing w:after="0" w:line="137"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FOURTH QUARTER AND FISCAL YEAR 2006 FINANCIAL RESULTS CONFERENCE CALL AND WEB CAST:</w:t>
      </w:r>
    </w:p>
    <w:p>
      <w:pPr>
        <w:spacing w:after="0" w:line="146" w:lineRule="exact"/>
        <w:rPr>
          <w:sz w:val="20"/>
          <w:szCs w:val="20"/>
          <w:color w:val="auto"/>
        </w:rPr>
      </w:pPr>
    </w:p>
    <w:p>
      <w:pPr>
        <w:ind w:left="8" w:right="4759"/>
        <w:spacing w:after="0" w:line="236" w:lineRule="auto"/>
        <w:rPr>
          <w:sz w:val="20"/>
          <w:szCs w:val="20"/>
          <w:color w:val="auto"/>
        </w:rPr>
      </w:pPr>
      <w:r>
        <w:rPr>
          <w:rFonts w:ascii="Courier New" w:cs="Courier New" w:eastAsia="Courier New" w:hAnsi="Courier New"/>
          <w:sz w:val="12"/>
          <w:szCs w:val="12"/>
          <w:color w:val="auto"/>
        </w:rPr>
        <w:t>Tower will host a conference call to discuss these results on Wednesday, February 7, 2007, at 11:00 a.m. Eastern Standard Time / 6:00 p.m. Israel time. To participate, please call: 1-800-994-4498 (U.S. toll-free number) or</w:t>
      </w:r>
    </w:p>
    <w:p>
      <w:pPr>
        <w:spacing w:after="0" w:line="4"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972-3-918-0609 (international) and mention ID code: TOWER. Callers in Israel are invited to call locally 03-918-0609. The conference call will also be Web cast live at http://www.earnings.com and at www.towersemi.com and will be available thereafter on both Web sites for replay for 90 days, starting at 2:00 p.m. Eastern Standard Time on the day of the call.</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As used in this release, the term EBITDA consists of loss, according to GAAP (Generally Accepted Accounting Principles), excluding interest and financing expenses (net), tax and depreciation and amortization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ABOUT TOWER SEMICONDUCTOR LTD.</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each with standard and specialized process technology processes: Fab 1 ranging from 1.0 to 0.35 and Fab 2 featuring 0.18 and 0.13-micron. Tower's web site is located at http://www.towersemi.com.</w:t>
      </w:r>
    </w:p>
    <w:p>
      <w:pPr>
        <w:spacing w:after="0" w:line="392"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SAFE HARBOR</w:t>
      </w:r>
    </w:p>
    <w:p>
      <w:pPr>
        <w:spacing w:after="0" w:line="139" w:lineRule="exact"/>
        <w:rPr>
          <w:sz w:val="20"/>
          <w:szCs w:val="20"/>
          <w:color w:val="auto"/>
        </w:rPr>
      </w:pPr>
    </w:p>
    <w:p>
      <w:pPr>
        <w:ind w:left="8" w:right="4619"/>
        <w:spacing w:after="0" w:line="260" w:lineRule="auto"/>
        <w:rPr>
          <w:sz w:val="20"/>
          <w:szCs w:val="20"/>
          <w:color w:val="auto"/>
        </w:rPr>
      </w:pPr>
      <w:r>
        <w:rPr>
          <w:rFonts w:ascii="Courier New" w:cs="Courier New" w:eastAsia="Courier New" w:hAnsi="Courier New"/>
          <w:sz w:val="11"/>
          <w:szCs w:val="11"/>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having sufficient funds to operate the company in the short-term and the funding needs for its ramp-up plan, (ii) the completion of the equipment installation, technology transfer and ramp-up of production in Fab 2 and raising the funds therefor, (iii) the cyclical nature of the semiconductor industry and the resulting periodic overcapacity, fluctuations in operating results, future average selling price erosion that may be more severe than our expectations,</w:t>
      </w:r>
    </w:p>
    <w:p>
      <w:pPr>
        <w:spacing w:after="0" w:line="1" w:lineRule="exact"/>
        <w:rPr>
          <w:sz w:val="20"/>
          <w:szCs w:val="20"/>
          <w:color w:val="auto"/>
        </w:rPr>
      </w:pPr>
    </w:p>
    <w:p>
      <w:pPr>
        <w:ind w:left="8" w:right="5119" w:hanging="8"/>
        <w:spacing w:after="0" w:line="266" w:lineRule="auto"/>
        <w:tabs>
          <w:tab w:leader="none" w:pos="359"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operating our facilities at satisfactory utilization rates which is critical in order to defray the high level of fixed costs associated with operating a foundry and reduce our losses, (v) our ability to satisfy the</w:t>
      </w:r>
    </w:p>
    <w:p>
      <w:pPr>
        <w:sectPr>
          <w:pgSz w:w="11900" w:h="16838" w:orient="portrait"/>
          <w:cols w:equalWidth="0" w:num="1">
            <w:col w:w="10247"/>
          </w:cols>
          <w:pgMar w:left="212" w:top="272" w:right="1440" w:bottom="0" w:gutter="0" w:footer="0" w:header="0"/>
        </w:sectPr>
      </w:pPr>
    </w:p>
    <w:bookmarkStart w:id="2" w:name="page3"/>
    <w:bookmarkEnd w:id="2"/>
    <w:p>
      <w:pPr>
        <w:ind w:right="4699"/>
        <w:spacing w:after="0" w:line="238" w:lineRule="auto"/>
        <w:rPr>
          <w:sz w:val="20"/>
          <w:szCs w:val="20"/>
          <w:color w:val="auto"/>
        </w:rPr>
      </w:pPr>
      <w:r>
        <w:rPr>
          <w:rFonts w:ascii="Courier New" w:cs="Courier New" w:eastAsia="Courier New" w:hAnsi="Courier New"/>
          <w:sz w:val="12"/>
          <w:szCs w:val="12"/>
          <w:color w:val="auto"/>
        </w:rPr>
        <w:t>covenants stipulated in our amended facility agreement, (vi) our ability to capitalize on increases in demand for foundry services, (vii) meeting the conditions to receive Israeli government grants and tax benefits approved for Fab 2 and obtaining the approval of the Israeli Investment Center for a new expansion program, (viii) attracting additional customers, (ix) not receiving orders from our wafer partners, customers, (x) failing to maintain and develop our technology processes and services, (xi) competing effectively, (xii) our large amount of debt and our ability to repay our short-term and long-term debt on a timely basis, (xiii) achieving acceptable device yields, product performance and delivery times, (xiv) the timely development, internal qualification and customer acceptance of new processes and products and (xv) business interruption due to terror attacks, earthquakes, other acts of God and the security situation in Israel.</w:t>
      </w:r>
    </w:p>
    <w:p>
      <w:pPr>
        <w:spacing w:after="0" w:line="139"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F-1, F-3 and 6-K, as were filed with the Securities and Exchange Commission and the Israel Securities Authority. Future results may differ materially from those previously reported. We do not intend to update, and expressly disclaim any obligation to update, the information contained in this release.</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Contact:</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Tower Semiconductor</w:t>
      </w:r>
    </w:p>
    <w:p>
      <w:pPr>
        <w:ind w:left="340"/>
        <w:spacing w:after="0"/>
        <w:rPr>
          <w:sz w:val="20"/>
          <w:szCs w:val="20"/>
          <w:color w:val="auto"/>
        </w:rPr>
      </w:pPr>
      <w:r>
        <w:rPr>
          <w:rFonts w:ascii="Courier New" w:cs="Courier New" w:eastAsia="Courier New" w:hAnsi="Courier New"/>
          <w:sz w:val="12"/>
          <w:szCs w:val="12"/>
          <w:color w:val="auto"/>
        </w:rPr>
        <w:t>Ilanit Vudinsky, +972 4 650 6434</w:t>
      </w:r>
    </w:p>
    <w:p>
      <w:pPr>
        <w:ind w:left="340"/>
        <w:spacing w:after="0" w:line="237" w:lineRule="auto"/>
        <w:rPr>
          <w:sz w:val="20"/>
          <w:szCs w:val="20"/>
          <w:color w:val="auto"/>
        </w:rPr>
      </w:pPr>
      <w:r>
        <w:rPr>
          <w:rFonts w:ascii="Courier New" w:cs="Courier New" w:eastAsia="Courier New" w:hAnsi="Courier New"/>
          <w:sz w:val="12"/>
          <w:szCs w:val="12"/>
          <w:color w:val="auto"/>
        </w:rPr>
        <w:t>ilanitvu@towersemi.com</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or:</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Shelton Group</w:t>
      </w:r>
    </w:p>
    <w:p>
      <w:pPr>
        <w:ind w:left="340"/>
        <w:spacing w:after="0"/>
        <w:rPr>
          <w:sz w:val="20"/>
          <w:szCs w:val="20"/>
          <w:color w:val="auto"/>
        </w:rPr>
      </w:pPr>
      <w:r>
        <w:rPr>
          <w:rFonts w:ascii="Courier New" w:cs="Courier New" w:eastAsia="Courier New" w:hAnsi="Courier New"/>
          <w:sz w:val="12"/>
          <w:szCs w:val="12"/>
          <w:color w:val="auto"/>
        </w:rPr>
        <w:t>Jim Mathias, , (972) 239-5119 ext. 115</w:t>
      </w:r>
    </w:p>
    <w:p>
      <w:pPr>
        <w:ind w:left="340"/>
        <w:spacing w:after="0" w:line="237" w:lineRule="auto"/>
        <w:rPr>
          <w:sz w:val="20"/>
          <w:szCs w:val="20"/>
          <w:color w:val="auto"/>
        </w:rPr>
      </w:pPr>
      <w:r>
        <w:rPr>
          <w:rFonts w:ascii="Courier New" w:cs="Courier New" w:eastAsia="Courier New" w:hAnsi="Courier New"/>
          <w:sz w:val="12"/>
          <w:szCs w:val="12"/>
          <w:color w:val="auto"/>
        </w:rPr>
        <w:t>jmathias@sheltongroup.com</w:t>
      </w:r>
    </w:p>
    <w:p>
      <w:pPr>
        <w:spacing w:after="0" w:line="387"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TOWER SEMICONDUCTOR LTD. AND SUBSIDIARY</w:t>
      </w:r>
    </w:p>
    <w:p>
      <w:pPr>
        <w:ind w:left="1880"/>
        <w:spacing w:after="0"/>
        <w:rPr>
          <w:sz w:val="20"/>
          <w:szCs w:val="20"/>
          <w:color w:val="auto"/>
        </w:rPr>
      </w:pPr>
      <w:r>
        <w:rPr>
          <w:rFonts w:ascii="Courier New" w:cs="Courier New" w:eastAsia="Courier New" w:hAnsi="Courier New"/>
          <w:sz w:val="12"/>
          <w:szCs w:val="12"/>
          <w:color w:val="auto"/>
        </w:rPr>
        <w:t>CONSOLIDATED BALANCE SHEETS</w:t>
      </w:r>
    </w:p>
    <w:tbl>
      <w:tblPr>
        <w:tblLayout w:type="fixed"/>
        <w:tblInd w:w="0" w:type="dxa"/>
        <w:tblCellMar>
          <w:top w:w="0" w:type="dxa"/>
          <w:left w:w="0" w:type="dxa"/>
          <w:bottom w:w="0" w:type="dxa"/>
          <w:right w:w="0" w:type="dxa"/>
        </w:tblCellMar>
      </w:tblPr>
      <w:tr>
        <w:trPr>
          <w:trHeight w:val="134"/>
        </w:trPr>
        <w:tc>
          <w:tcPr>
            <w:tcW w:w="4280" w:type="dxa"/>
            <w:vAlign w:val="bottom"/>
          </w:tcPr>
          <w:p>
            <w:pPr>
              <w:ind w:left="2020"/>
              <w:spacing w:after="0" w:line="135" w:lineRule="exact"/>
              <w:rPr>
                <w:sz w:val="20"/>
                <w:szCs w:val="20"/>
                <w:color w:val="auto"/>
              </w:rPr>
            </w:pPr>
            <w:r>
              <w:rPr>
                <w:rFonts w:ascii="Courier New" w:cs="Courier New" w:eastAsia="Courier New" w:hAnsi="Courier New"/>
                <w:sz w:val="12"/>
                <w:szCs w:val="12"/>
                <w:color w:val="auto"/>
              </w:rPr>
              <w:t>(DOLLARS IN THOUSANDS)</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gridSpan w:val="3"/>
          </w:tcPr>
          <w:p>
            <w:pPr>
              <w:ind w:left="100"/>
              <w:spacing w:after="0"/>
              <w:rPr>
                <w:sz w:val="20"/>
                <w:szCs w:val="20"/>
                <w:color w:val="auto"/>
              </w:rPr>
            </w:pPr>
            <w:r>
              <w:rPr>
                <w:rFonts w:ascii="Courier New" w:cs="Courier New" w:eastAsia="Courier New" w:hAnsi="Courier New"/>
                <w:sz w:val="12"/>
                <w:szCs w:val="12"/>
                <w:color w:val="auto"/>
              </w:rPr>
              <w:t>AS OF DECEMBER 31,</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2180" w:type="dxa"/>
            <w:vAlign w:val="bottom"/>
            <w:gridSpan w:val="4"/>
          </w:tcPr>
          <w:p>
            <w:pPr>
              <w:jc w:val="right"/>
              <w:ind w:right="301"/>
              <w:spacing w:after="0"/>
              <w:rPr>
                <w:sz w:val="20"/>
                <w:szCs w:val="20"/>
                <w:color w:val="auto"/>
              </w:rPr>
            </w:pPr>
            <w:r>
              <w:rPr>
                <w:rFonts w:ascii="Courier New" w:cs="Courier New" w:eastAsia="Courier New" w:hAnsi="Courier New"/>
                <w:sz w:val="12"/>
                <w:szCs w:val="12"/>
                <w:color w:val="auto"/>
                <w:w w:val="99"/>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97"/>
              </w:rPr>
              <w:t>2006</w:t>
            </w:r>
          </w:p>
        </w:tc>
        <w:tc>
          <w:tcPr>
            <w:tcW w:w="320" w:type="dxa"/>
            <w:vAlign w:val="bottom"/>
          </w:tcPr>
          <w:p>
            <w:pPr>
              <w:spacing w:after="0"/>
              <w:rPr>
                <w:sz w:val="11"/>
                <w:szCs w:val="11"/>
                <w:color w:val="auto"/>
              </w:rPr>
            </w:pPr>
          </w:p>
        </w:tc>
        <w:tc>
          <w:tcPr>
            <w:tcW w:w="9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2005</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CURRENT ASSETS</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CASH, CASH EQUIVALENTS AND DEPOSITS (IN 2005</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ind w:left="560"/>
              <w:spacing w:after="0"/>
              <w:rPr>
                <w:sz w:val="20"/>
                <w:szCs w:val="20"/>
                <w:color w:val="auto"/>
              </w:rPr>
            </w:pPr>
            <w:r>
              <w:rPr>
                <w:rFonts w:ascii="Courier New" w:cs="Courier New" w:eastAsia="Courier New" w:hAnsi="Courier New"/>
                <w:sz w:val="12"/>
                <w:szCs w:val="12"/>
                <w:color w:val="auto"/>
              </w:rPr>
              <w:t>INCLUDED $31,661 DESIGNATED CASH  AND DEPOSITS)</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40,940</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38,998</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TRADE ACCOUNTS RECEIVABLE</w:t>
            </w:r>
          </w:p>
        </w:tc>
        <w:tc>
          <w:tcPr>
            <w:tcW w:w="180" w:type="dxa"/>
            <w:vAlign w:val="bottom"/>
          </w:tcPr>
          <w:p>
            <w:pPr>
              <w:spacing w:after="0"/>
              <w:rPr>
                <w:sz w:val="11"/>
                <w:szCs w:val="11"/>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31,498</w:t>
            </w:r>
          </w:p>
        </w:tc>
        <w:tc>
          <w:tcPr>
            <w:tcW w:w="32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16,776</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OTHER RECEIVABLES</w:t>
            </w:r>
          </w:p>
        </w:tc>
        <w:tc>
          <w:tcPr>
            <w:tcW w:w="180" w:type="dxa"/>
            <w:vAlign w:val="bottom"/>
          </w:tcPr>
          <w:p>
            <w:pPr>
              <w:spacing w:after="0"/>
              <w:rPr>
                <w:sz w:val="11"/>
                <w:szCs w:val="11"/>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5,425</w:t>
            </w:r>
          </w:p>
        </w:tc>
        <w:tc>
          <w:tcPr>
            <w:tcW w:w="32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9,043</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INVENTORIES</w:t>
            </w:r>
          </w:p>
        </w:tc>
        <w:tc>
          <w:tcPr>
            <w:tcW w:w="180" w:type="dxa"/>
            <w:vAlign w:val="bottom"/>
          </w:tcPr>
          <w:p>
            <w:pPr>
              <w:spacing w:after="0"/>
              <w:rPr>
                <w:sz w:val="11"/>
                <w:szCs w:val="11"/>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41,101</w:t>
            </w:r>
          </w:p>
        </w:tc>
        <w:tc>
          <w:tcPr>
            <w:tcW w:w="32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24,376</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OTHER CURRENT ASSETS</w:t>
            </w:r>
          </w:p>
        </w:tc>
        <w:tc>
          <w:tcPr>
            <w:tcW w:w="180" w:type="dxa"/>
            <w:vAlign w:val="bottom"/>
          </w:tcPr>
          <w:p>
            <w:pPr>
              <w:spacing w:after="0"/>
              <w:rPr>
                <w:sz w:val="11"/>
                <w:szCs w:val="11"/>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1,473</w:t>
            </w:r>
          </w:p>
        </w:tc>
        <w:tc>
          <w:tcPr>
            <w:tcW w:w="32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1,048</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ind w:left="760"/>
              <w:spacing w:after="0"/>
              <w:rPr>
                <w:sz w:val="20"/>
                <w:szCs w:val="20"/>
                <w:color w:val="auto"/>
              </w:rPr>
            </w:pPr>
            <w:r>
              <w:rPr>
                <w:rFonts w:ascii="Courier New" w:cs="Courier New" w:eastAsia="Courier New" w:hAnsi="Courier New"/>
                <w:sz w:val="12"/>
                <w:szCs w:val="12"/>
                <w:color w:val="auto"/>
              </w:rPr>
              <w:t>TOTAL CURRENT ASSETS</w:t>
            </w:r>
          </w:p>
        </w:tc>
        <w:tc>
          <w:tcPr>
            <w:tcW w:w="180" w:type="dxa"/>
            <w:vAlign w:val="bottom"/>
          </w:tcPr>
          <w:p>
            <w:pPr>
              <w:spacing w:after="0"/>
              <w:rPr>
                <w:sz w:val="11"/>
                <w:szCs w:val="11"/>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9"/>
              </w:rPr>
              <w:t>120,437</w:t>
            </w:r>
          </w:p>
        </w:tc>
        <w:tc>
          <w:tcPr>
            <w:tcW w:w="32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90,241</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PROPERTY AND EQUIPMENT, NET</w:t>
            </w:r>
          </w:p>
        </w:tc>
        <w:tc>
          <w:tcPr>
            <w:tcW w:w="180" w:type="dxa"/>
            <w:vAlign w:val="bottom"/>
          </w:tcPr>
          <w:p>
            <w:pPr>
              <w:spacing w:after="0"/>
              <w:rPr>
                <w:sz w:val="23"/>
                <w:szCs w:val="23"/>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9"/>
              </w:rPr>
              <w:t>532,954</w:t>
            </w:r>
          </w:p>
        </w:tc>
        <w:tc>
          <w:tcPr>
            <w:tcW w:w="320" w:type="dxa"/>
            <w:vAlign w:val="bottom"/>
          </w:tcPr>
          <w:p>
            <w:pPr>
              <w:spacing w:after="0"/>
              <w:rPr>
                <w:sz w:val="23"/>
                <w:szCs w:val="23"/>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510,645</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INTANGIBLE ASSETS, NET</w:t>
            </w:r>
          </w:p>
        </w:tc>
        <w:tc>
          <w:tcPr>
            <w:tcW w:w="180" w:type="dxa"/>
            <w:vAlign w:val="bottom"/>
          </w:tcPr>
          <w:p>
            <w:pPr>
              <w:spacing w:after="0"/>
              <w:rPr>
                <w:sz w:val="23"/>
                <w:szCs w:val="23"/>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44,981</w:t>
            </w:r>
          </w:p>
        </w:tc>
        <w:tc>
          <w:tcPr>
            <w:tcW w:w="320" w:type="dxa"/>
            <w:vAlign w:val="bottom"/>
          </w:tcPr>
          <w:p>
            <w:pPr>
              <w:spacing w:after="0"/>
              <w:rPr>
                <w:sz w:val="23"/>
                <w:szCs w:val="23"/>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61,441</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OTHER ASSETS, NET</w:t>
            </w:r>
          </w:p>
        </w:tc>
        <w:tc>
          <w:tcPr>
            <w:tcW w:w="180" w:type="dxa"/>
            <w:vAlign w:val="bottom"/>
          </w:tcPr>
          <w:p>
            <w:pPr>
              <w:spacing w:after="0"/>
              <w:rPr>
                <w:sz w:val="23"/>
                <w:szCs w:val="23"/>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1,346</w:t>
            </w:r>
          </w:p>
        </w:tc>
        <w:tc>
          <w:tcPr>
            <w:tcW w:w="320" w:type="dxa"/>
            <w:vAlign w:val="bottom"/>
          </w:tcPr>
          <w:p>
            <w:pPr>
              <w:spacing w:after="0"/>
              <w:rPr>
                <w:sz w:val="23"/>
                <w:szCs w:val="23"/>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16,359</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280" w:type="dxa"/>
            <w:vAlign w:val="bottom"/>
          </w:tcPr>
          <w:p>
            <w:pPr>
              <w:ind w:left="760"/>
              <w:spacing w:after="0"/>
              <w:rPr>
                <w:sz w:val="20"/>
                <w:szCs w:val="20"/>
                <w:color w:val="auto"/>
              </w:rPr>
            </w:pPr>
            <w:r>
              <w:rPr>
                <w:rFonts w:ascii="Courier New" w:cs="Courier New" w:eastAsia="Courier New" w:hAnsi="Courier New"/>
                <w:sz w:val="12"/>
                <w:szCs w:val="12"/>
                <w:color w:val="auto"/>
              </w:rPr>
              <w:t>TOTAL ASSETS</w:t>
            </w: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$ 699,718</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$ 678,686</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CURRENT LIABILITIES</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CURRENT MATURITIES OF LONG-TERM DEBT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21,103</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180" w:type="dxa"/>
            <w:vAlign w:val="bottom"/>
          </w:tcPr>
          <w:p>
            <w:pPr>
              <w:spacing w:after="0"/>
              <w:rPr>
                <w:sz w:val="11"/>
                <w:szCs w:val="11"/>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6,632</w:t>
            </w:r>
          </w:p>
        </w:tc>
        <w:tc>
          <w:tcPr>
            <w:tcW w:w="32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6,453</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TRADE ACCOUNTS PAYABLE</w:t>
            </w:r>
          </w:p>
        </w:tc>
        <w:tc>
          <w:tcPr>
            <w:tcW w:w="180" w:type="dxa"/>
            <w:vAlign w:val="bottom"/>
          </w:tcPr>
          <w:p>
            <w:pPr>
              <w:spacing w:after="0"/>
              <w:rPr>
                <w:sz w:val="11"/>
                <w:szCs w:val="11"/>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55,128</w:t>
            </w:r>
          </w:p>
        </w:tc>
        <w:tc>
          <w:tcPr>
            <w:tcW w:w="32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59,741</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OTHER CURRENT LIABILITIES</w:t>
            </w:r>
          </w:p>
        </w:tc>
        <w:tc>
          <w:tcPr>
            <w:tcW w:w="180" w:type="dxa"/>
            <w:vAlign w:val="bottom"/>
          </w:tcPr>
          <w:p>
            <w:pPr>
              <w:spacing w:after="0"/>
              <w:rPr>
                <w:sz w:val="11"/>
                <w:szCs w:val="11"/>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22,096</w:t>
            </w:r>
          </w:p>
        </w:tc>
        <w:tc>
          <w:tcPr>
            <w:tcW w:w="32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8,972</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ind w:left="760"/>
              <w:spacing w:after="0"/>
              <w:rPr>
                <w:sz w:val="20"/>
                <w:szCs w:val="20"/>
                <w:color w:val="auto"/>
              </w:rPr>
            </w:pPr>
            <w:r>
              <w:rPr>
                <w:rFonts w:ascii="Courier New" w:cs="Courier New" w:eastAsia="Courier New" w:hAnsi="Courier New"/>
                <w:sz w:val="12"/>
                <w:szCs w:val="12"/>
                <w:color w:val="auto"/>
              </w:rPr>
              <w:t>TOTAL CURRENT LIABILITIES</w:t>
            </w:r>
          </w:p>
        </w:tc>
        <w:tc>
          <w:tcPr>
            <w:tcW w:w="180" w:type="dxa"/>
            <w:vAlign w:val="bottom"/>
          </w:tcPr>
          <w:p>
            <w:pPr>
              <w:spacing w:after="0"/>
              <w:rPr>
                <w:sz w:val="11"/>
                <w:szCs w:val="11"/>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83,856</w:t>
            </w:r>
          </w:p>
        </w:tc>
        <w:tc>
          <w:tcPr>
            <w:tcW w:w="32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96,269</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LONG-TERM DEBT FROM BANKS</w:t>
            </w:r>
          </w:p>
        </w:tc>
        <w:tc>
          <w:tcPr>
            <w:tcW w:w="180" w:type="dxa"/>
            <w:vAlign w:val="bottom"/>
          </w:tcPr>
          <w:p>
            <w:pPr>
              <w:spacing w:after="0"/>
              <w:rPr>
                <w:sz w:val="23"/>
                <w:szCs w:val="23"/>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9"/>
              </w:rPr>
              <w:t>356,947</w:t>
            </w:r>
          </w:p>
        </w:tc>
        <w:tc>
          <w:tcPr>
            <w:tcW w:w="320" w:type="dxa"/>
            <w:vAlign w:val="bottom"/>
          </w:tcPr>
          <w:p>
            <w:pPr>
              <w:spacing w:after="0"/>
              <w:rPr>
                <w:sz w:val="23"/>
                <w:szCs w:val="23"/>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497,000</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CONVERTIBLE DEBENTURES</w:t>
            </w:r>
          </w:p>
        </w:tc>
        <w:tc>
          <w:tcPr>
            <w:tcW w:w="180" w:type="dxa"/>
            <w:vAlign w:val="bottom"/>
          </w:tcPr>
          <w:p>
            <w:pPr>
              <w:spacing w:after="0"/>
              <w:rPr>
                <w:sz w:val="23"/>
                <w:szCs w:val="23"/>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62,175</w:t>
            </w:r>
          </w:p>
        </w:tc>
        <w:tc>
          <w:tcPr>
            <w:tcW w:w="320" w:type="dxa"/>
            <w:vAlign w:val="bottom"/>
          </w:tcPr>
          <w:p>
            <w:pPr>
              <w:spacing w:after="0"/>
              <w:rPr>
                <w:sz w:val="23"/>
                <w:szCs w:val="23"/>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19,358</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LONG-TERM CUSTOMERS' ADVANCES</w:t>
            </w:r>
          </w:p>
        </w:tc>
        <w:tc>
          <w:tcPr>
            <w:tcW w:w="180" w:type="dxa"/>
            <w:vAlign w:val="bottom"/>
          </w:tcPr>
          <w:p>
            <w:pPr>
              <w:spacing w:after="0"/>
              <w:rPr>
                <w:sz w:val="23"/>
                <w:szCs w:val="23"/>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46,042</w:t>
            </w:r>
          </w:p>
        </w:tc>
        <w:tc>
          <w:tcPr>
            <w:tcW w:w="320" w:type="dxa"/>
            <w:vAlign w:val="bottom"/>
          </w:tcPr>
          <w:p>
            <w:pPr>
              <w:spacing w:after="0"/>
              <w:rPr>
                <w:sz w:val="23"/>
                <w:szCs w:val="23"/>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59,621</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OTHER LONG-TERM LIABILITIES</w:t>
            </w:r>
          </w:p>
        </w:tc>
        <w:tc>
          <w:tcPr>
            <w:tcW w:w="180" w:type="dxa"/>
            <w:vAlign w:val="bottom"/>
          </w:tcPr>
          <w:p>
            <w:pPr>
              <w:spacing w:after="0"/>
              <w:rPr>
                <w:sz w:val="23"/>
                <w:szCs w:val="23"/>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17,708</w:t>
            </w:r>
          </w:p>
        </w:tc>
        <w:tc>
          <w:tcPr>
            <w:tcW w:w="320" w:type="dxa"/>
            <w:vAlign w:val="bottom"/>
          </w:tcPr>
          <w:p>
            <w:pPr>
              <w:spacing w:after="0"/>
              <w:rPr>
                <w:sz w:val="23"/>
                <w:szCs w:val="23"/>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11,012</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ind w:left="760"/>
              <w:spacing w:after="0"/>
              <w:rPr>
                <w:sz w:val="20"/>
                <w:szCs w:val="20"/>
                <w:color w:val="auto"/>
              </w:rPr>
            </w:pPr>
            <w:r>
              <w:rPr>
                <w:rFonts w:ascii="Courier New" w:cs="Courier New" w:eastAsia="Courier New" w:hAnsi="Courier New"/>
                <w:sz w:val="12"/>
                <w:szCs w:val="12"/>
                <w:color w:val="auto"/>
              </w:rPr>
              <w:t>TOTAL LIABILITIES</w:t>
            </w:r>
          </w:p>
        </w:tc>
        <w:tc>
          <w:tcPr>
            <w:tcW w:w="180" w:type="dxa"/>
            <w:vAlign w:val="bottom"/>
          </w:tcPr>
          <w:p>
            <w:pPr>
              <w:spacing w:after="0"/>
              <w:rPr>
                <w:sz w:val="11"/>
                <w:szCs w:val="11"/>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9"/>
              </w:rPr>
              <w:t>566,728</w:t>
            </w:r>
          </w:p>
        </w:tc>
        <w:tc>
          <w:tcPr>
            <w:tcW w:w="32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683,260</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CONVERTIBLE DEBENTURES</w:t>
            </w:r>
          </w:p>
        </w:tc>
        <w:tc>
          <w:tcPr>
            <w:tcW w:w="180" w:type="dxa"/>
            <w:vAlign w:val="bottom"/>
          </w:tcPr>
          <w:p>
            <w:pPr>
              <w:spacing w:after="0"/>
              <w:rPr>
                <w:sz w:val="23"/>
                <w:szCs w:val="23"/>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23"/>
                <w:szCs w:val="23"/>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25,493</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SHAREHOLDERS' EQUITY (DEFICIT)</w:t>
            </w:r>
          </w:p>
        </w:tc>
        <w:tc>
          <w:tcPr>
            <w:tcW w:w="180" w:type="dxa"/>
            <w:vAlign w:val="bottom"/>
          </w:tcPr>
          <w:p>
            <w:pPr>
              <w:spacing w:after="0"/>
              <w:rPr>
                <w:sz w:val="23"/>
                <w:szCs w:val="23"/>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9"/>
              </w:rPr>
              <w:t>132,990</w:t>
            </w:r>
          </w:p>
        </w:tc>
        <w:tc>
          <w:tcPr>
            <w:tcW w:w="320" w:type="dxa"/>
            <w:vAlign w:val="bottom"/>
          </w:tcPr>
          <w:p>
            <w:pPr>
              <w:spacing w:after="0"/>
              <w:rPr>
                <w:sz w:val="23"/>
                <w:szCs w:val="23"/>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(30,067)</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280" w:type="dxa"/>
            <w:vAlign w:val="bottom"/>
          </w:tcPr>
          <w:p>
            <w:pPr>
              <w:ind w:left="76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$ 699,718</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$ 678,686</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522"/>
        </w:trPr>
        <w:tc>
          <w:tcPr>
            <w:tcW w:w="4280" w:type="dxa"/>
            <w:vAlign w:val="bottom"/>
          </w:tcPr>
          <w:p>
            <w:pPr>
              <w:ind w:left="1460"/>
              <w:spacing w:after="0"/>
              <w:rPr>
                <w:sz w:val="20"/>
                <w:szCs w:val="20"/>
                <w:color w:val="auto"/>
              </w:rPr>
            </w:pPr>
            <w:r>
              <w:rPr>
                <w:rFonts w:ascii="Courier New" w:cs="Courier New" w:eastAsia="Courier New" w:hAnsi="Courier New"/>
                <w:sz w:val="12"/>
                <w:szCs w:val="12"/>
                <w:color w:val="auto"/>
                <w:w w:val="99"/>
              </w:rPr>
              <w:t>TOWER SEMICONDUCTOR LTD. AND SUBSIDIARY</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5"/>
        </w:trPr>
        <w:tc>
          <w:tcPr>
            <w:tcW w:w="4280" w:type="dxa"/>
            <w:vAlign w:val="bottom"/>
          </w:tcPr>
          <w:p>
            <w:pPr>
              <w:ind w:left="1540"/>
              <w:spacing w:after="0"/>
              <w:rPr>
                <w:sz w:val="20"/>
                <w:szCs w:val="20"/>
                <w:color w:val="auto"/>
              </w:rPr>
            </w:pPr>
            <w:r>
              <w:rPr>
                <w:rFonts w:ascii="Courier New" w:cs="Courier New" w:eastAsia="Courier New" w:hAnsi="Courier New"/>
                <w:sz w:val="12"/>
                <w:szCs w:val="12"/>
                <w:color w:val="auto"/>
              </w:rPr>
              <w:t>CONSOLIDATED STATEMENTS OF OPERATIONS</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5220" w:type="dxa"/>
            <w:vAlign w:val="bottom"/>
            <w:gridSpan w:val="3"/>
          </w:tcPr>
          <w:p>
            <w:pPr>
              <w:jc w:val="right"/>
              <w:ind w:right="261"/>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70"/>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YEAR ENDED</w:t>
            </w:r>
          </w:p>
        </w:tc>
        <w:tc>
          <w:tcPr>
            <w:tcW w:w="920" w:type="dxa"/>
            <w:vAlign w:val="bottom"/>
          </w:tcPr>
          <w:p>
            <w:pPr>
              <w:spacing w:after="0"/>
              <w:rPr>
                <w:sz w:val="23"/>
                <w:szCs w:val="23"/>
                <w:color w:val="auto"/>
              </w:rPr>
            </w:pPr>
          </w:p>
        </w:tc>
        <w:tc>
          <w:tcPr>
            <w:tcW w:w="210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THREE MONTHS ENDED</w:t>
            </w:r>
          </w:p>
        </w:tc>
      </w:tr>
      <w:tr>
        <w:trPr>
          <w:trHeight w:val="135"/>
        </w:trPr>
        <w:tc>
          <w:tcPr>
            <w:tcW w:w="4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0" w:type="dxa"/>
            <w:vAlign w:val="bottom"/>
            <w:gridSpan w:val="3"/>
          </w:tcPr>
          <w:p>
            <w:pPr>
              <w:jc w:val="right"/>
              <w:ind w:right="721"/>
              <w:spacing w:after="0"/>
              <w:rPr>
                <w:sz w:val="20"/>
                <w:szCs w:val="20"/>
                <w:color w:val="auto"/>
              </w:rPr>
            </w:pPr>
            <w:r>
              <w:rPr>
                <w:rFonts w:ascii="Courier New" w:cs="Courier New" w:eastAsia="Courier New" w:hAnsi="Courier New"/>
                <w:sz w:val="12"/>
                <w:szCs w:val="12"/>
                <w:color w:val="auto"/>
              </w:rPr>
              <w:t>DECEMBER 31,</w:t>
            </w:r>
          </w:p>
        </w:tc>
        <w:tc>
          <w:tcPr>
            <w:tcW w:w="210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DECEMBER 31,</w:t>
            </w:r>
          </w:p>
        </w:tc>
      </w:tr>
      <w:tr>
        <w:trPr>
          <w:trHeight w:val="135"/>
        </w:trPr>
        <w:tc>
          <w:tcPr>
            <w:tcW w:w="4280" w:type="dxa"/>
            <w:vAlign w:val="bottom"/>
          </w:tcPr>
          <w:p>
            <w:pPr>
              <w:spacing w:after="0"/>
              <w:rPr>
                <w:sz w:val="11"/>
                <w:szCs w:val="11"/>
                <w:color w:val="auto"/>
              </w:rPr>
            </w:pPr>
          </w:p>
        </w:tc>
        <w:tc>
          <w:tcPr>
            <w:tcW w:w="2180" w:type="dxa"/>
            <w:vAlign w:val="bottom"/>
            <w:gridSpan w:val="4"/>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2"/>
                <w:szCs w:val="12"/>
                <w:color w:val="auto"/>
              </w:rPr>
              <w:t>2006</w:t>
            </w:r>
          </w:p>
        </w:tc>
        <w:tc>
          <w:tcPr>
            <w:tcW w:w="320" w:type="dxa"/>
            <w:vAlign w:val="bottom"/>
          </w:tcPr>
          <w:p>
            <w:pPr>
              <w:spacing w:after="0"/>
              <w:rPr>
                <w:sz w:val="11"/>
                <w:szCs w:val="11"/>
                <w:color w:val="auto"/>
              </w:rPr>
            </w:pPr>
          </w:p>
        </w:tc>
        <w:tc>
          <w:tcPr>
            <w:tcW w:w="9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2005</w:t>
            </w:r>
          </w:p>
        </w:tc>
        <w:tc>
          <w:tcPr>
            <w:tcW w:w="118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2006</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5"/>
              </w:rPr>
              <w:t>---------</w:t>
            </w:r>
          </w:p>
        </w:tc>
        <w:tc>
          <w:tcPr>
            <w:tcW w:w="11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280" w:type="dxa"/>
            <w:vAlign w:val="bottom"/>
          </w:tcPr>
          <w:p>
            <w:pPr>
              <w:ind w:left="420"/>
              <w:spacing w:after="0"/>
              <w:rPr>
                <w:sz w:val="20"/>
                <w:szCs w:val="20"/>
                <w:color w:val="auto"/>
              </w:rPr>
            </w:pPr>
            <w:r>
              <w:rPr>
                <w:rFonts w:ascii="Courier New" w:cs="Courier New" w:eastAsia="Courier New" w:hAnsi="Courier New"/>
                <w:sz w:val="12"/>
                <w:szCs w:val="12"/>
                <w:color w:val="auto"/>
              </w:rPr>
              <w:t>SALES</w:t>
            </w:r>
          </w:p>
        </w:tc>
        <w:tc>
          <w:tcPr>
            <w:tcW w:w="180" w:type="dxa"/>
            <w:vAlign w:val="bottom"/>
          </w:tcPr>
          <w:p>
            <w:pPr>
              <w:spacing w:after="0"/>
              <w:rPr>
                <w:sz w:val="23"/>
                <w:szCs w:val="23"/>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9"/>
              </w:rPr>
              <w:t>187,438</w:t>
            </w:r>
          </w:p>
        </w:tc>
        <w:tc>
          <w:tcPr>
            <w:tcW w:w="320" w:type="dxa"/>
            <w:vAlign w:val="bottom"/>
          </w:tcPr>
          <w:p>
            <w:pPr>
              <w:spacing w:after="0"/>
              <w:rPr>
                <w:sz w:val="23"/>
                <w:szCs w:val="23"/>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93,991</w:t>
            </w:r>
          </w:p>
        </w:tc>
        <w:tc>
          <w:tcPr>
            <w:tcW w:w="11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55,505</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31,063</w:t>
            </w:r>
          </w:p>
        </w:tc>
      </w:tr>
      <w:tr>
        <w:trPr>
          <w:trHeight w:val="135"/>
        </w:trPr>
        <w:tc>
          <w:tcPr>
            <w:tcW w:w="4280" w:type="dxa"/>
            <w:vAlign w:val="bottom"/>
          </w:tcPr>
          <w:p>
            <w:pPr>
              <w:ind w:left="420"/>
              <w:spacing w:after="0"/>
              <w:rPr>
                <w:sz w:val="20"/>
                <w:szCs w:val="20"/>
                <w:color w:val="auto"/>
              </w:rPr>
            </w:pPr>
            <w:r>
              <w:rPr>
                <w:rFonts w:ascii="Courier New" w:cs="Courier New" w:eastAsia="Courier New" w:hAnsi="Courier New"/>
                <w:sz w:val="12"/>
                <w:szCs w:val="12"/>
                <w:color w:val="auto"/>
              </w:rPr>
              <w:t>REVENUES RELATED TO A JOINT DEVELOPMENT AGREEMENT</w:t>
            </w:r>
          </w:p>
        </w:tc>
        <w:tc>
          <w:tcPr>
            <w:tcW w:w="180" w:type="dxa"/>
            <w:vAlign w:val="bottom"/>
          </w:tcPr>
          <w:p>
            <w:pPr>
              <w:spacing w:after="0"/>
              <w:rPr>
                <w:sz w:val="11"/>
                <w:szCs w:val="11"/>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8,000</w:t>
            </w:r>
          </w:p>
        </w:tc>
        <w:tc>
          <w:tcPr>
            <w:tcW w:w="11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5"/>
              </w:rPr>
              <w:t>---------</w:t>
            </w:r>
          </w:p>
        </w:tc>
        <w:tc>
          <w:tcPr>
            <w:tcW w:w="11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9"/>
              </w:rPr>
              <w:t>187,438</w:t>
            </w:r>
          </w:p>
        </w:tc>
        <w:tc>
          <w:tcPr>
            <w:tcW w:w="32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101,991</w:t>
            </w:r>
          </w:p>
        </w:tc>
        <w:tc>
          <w:tcPr>
            <w:tcW w:w="11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55,505</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31,063</w:t>
            </w: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180" w:type="dxa"/>
            <w:vAlign w:val="bottom"/>
          </w:tcPr>
          <w:p>
            <w:pPr>
              <w:spacing w:after="0"/>
              <w:rPr>
                <w:sz w:val="23"/>
                <w:szCs w:val="23"/>
                <w:color w:val="auto"/>
              </w:rPr>
            </w:pPr>
          </w:p>
        </w:tc>
        <w:tc>
          <w:tcPr>
            <w:tcW w:w="7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9"/>
              </w:rPr>
              <w:t>267,390</w:t>
            </w:r>
          </w:p>
        </w:tc>
        <w:tc>
          <w:tcPr>
            <w:tcW w:w="320" w:type="dxa"/>
            <w:vAlign w:val="bottom"/>
          </w:tcPr>
          <w:p>
            <w:pPr>
              <w:spacing w:after="0"/>
              <w:rPr>
                <w:sz w:val="23"/>
                <w:szCs w:val="23"/>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238,358</w:t>
            </w:r>
          </w:p>
        </w:tc>
        <w:tc>
          <w:tcPr>
            <w:tcW w:w="11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72,724</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58,760</w:t>
            </w:r>
          </w:p>
        </w:tc>
      </w:tr>
      <w:tr>
        <w:trPr>
          <w:trHeight w:val="135"/>
        </w:trPr>
        <w:tc>
          <w:tcPr>
            <w:tcW w:w="4280" w:type="dxa"/>
            <w:vAlign w:val="bottom"/>
          </w:tcPr>
          <w:p>
            <w:pPr>
              <w:spacing w:after="0"/>
              <w:rPr>
                <w:sz w:val="11"/>
                <w:szCs w:val="11"/>
                <w:color w:val="auto"/>
              </w:rPr>
            </w:pPr>
          </w:p>
        </w:tc>
        <w:tc>
          <w:tcPr>
            <w:tcW w:w="9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5"/>
              </w:rPr>
              <w:t>---------</w:t>
            </w:r>
          </w:p>
        </w:tc>
        <w:tc>
          <w:tcPr>
            <w:tcW w:w="11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0239"/>
          </w:cols>
          <w:pgMar w:left="220" w:top="141" w:right="1440" w:bottom="0" w:gutter="0" w:footer="0" w:header="0"/>
        </w:sectPr>
      </w:pPr>
    </w:p>
    <w:bookmarkStart w:id="3" w:name="page4"/>
    <w:bookmarkEnd w:id="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3680" w:type="dxa"/>
            <w:vAlign w:val="bottom"/>
          </w:tcPr>
          <w:p>
            <w:pPr>
              <w:ind w:left="700"/>
              <w:spacing w:after="0"/>
              <w:rPr>
                <w:sz w:val="20"/>
                <w:szCs w:val="20"/>
                <w:color w:val="auto"/>
              </w:rPr>
            </w:pPr>
            <w:r>
              <w:rPr>
                <w:rFonts w:ascii="Courier New" w:cs="Courier New" w:eastAsia="Courier New" w:hAnsi="Courier New"/>
                <w:sz w:val="12"/>
                <w:szCs w:val="12"/>
                <w:color w:val="auto"/>
              </w:rPr>
              <w:t>GROSS LOSS</w:t>
            </w:r>
          </w:p>
        </w:tc>
        <w:tc>
          <w:tcPr>
            <w:tcW w:w="74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(79,952)</w:t>
            </w:r>
          </w:p>
        </w:tc>
        <w:tc>
          <w:tcPr>
            <w:tcW w:w="320" w:type="dxa"/>
            <w:vAlign w:val="bottom"/>
          </w:tcPr>
          <w:p>
            <w:pPr>
              <w:spacing w:after="0"/>
              <w:rPr>
                <w:sz w:val="11"/>
                <w:szCs w:val="11"/>
                <w:color w:val="auto"/>
              </w:rPr>
            </w:pP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2"/>
              </w:rPr>
              <w:t>(136,367)</w:t>
            </w:r>
          </w:p>
        </w:tc>
        <w:tc>
          <w:tcPr>
            <w:tcW w:w="11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(17,219)</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(27,697)</w:t>
            </w:r>
          </w:p>
        </w:tc>
      </w:tr>
      <w:tr>
        <w:trPr>
          <w:trHeight w:val="135"/>
        </w:trPr>
        <w:tc>
          <w:tcPr>
            <w:tcW w:w="3680" w:type="dxa"/>
            <w:vAlign w:val="bottom"/>
          </w:tcPr>
          <w:p>
            <w:pPr>
              <w:spacing w:after="0"/>
              <w:rPr>
                <w:sz w:val="11"/>
                <w:szCs w:val="11"/>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680" w:type="dxa"/>
            <w:vAlign w:val="bottom"/>
          </w:tcPr>
          <w:p>
            <w:pPr>
              <w:spacing w:after="0"/>
              <w:rPr>
                <w:sz w:val="20"/>
                <w:szCs w:val="20"/>
                <w:color w:val="auto"/>
              </w:rPr>
            </w:pPr>
            <w:r>
              <w:rPr>
                <w:rFonts w:ascii="Courier New" w:cs="Courier New" w:eastAsia="Courier New" w:hAnsi="Courier New"/>
                <w:sz w:val="12"/>
                <w:szCs w:val="12"/>
                <w:color w:val="auto"/>
              </w:rPr>
              <w:t>OPERATING COSTS AND EXPENSES</w:t>
            </w: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3680" w:type="dxa"/>
            <w:vAlign w:val="bottom"/>
          </w:tcPr>
          <w:p>
            <w:pPr>
              <w:ind w:left="420"/>
              <w:spacing w:after="0"/>
              <w:rPr>
                <w:sz w:val="20"/>
                <w:szCs w:val="20"/>
                <w:color w:val="auto"/>
              </w:rPr>
            </w:pPr>
            <w:r>
              <w:rPr>
                <w:rFonts w:ascii="Courier New" w:cs="Courier New" w:eastAsia="Courier New" w:hAnsi="Courier New"/>
                <w:sz w:val="12"/>
                <w:szCs w:val="12"/>
                <w:color w:val="auto"/>
              </w:rPr>
              <w:t>RESEARCH AND DEVELOPMENT</w:t>
            </w:r>
          </w:p>
        </w:tc>
        <w:tc>
          <w:tcPr>
            <w:tcW w:w="740" w:type="dxa"/>
            <w:vAlign w:val="bottom"/>
          </w:tcPr>
          <w:p>
            <w:pPr>
              <w:spacing w:after="0"/>
              <w:rPr>
                <w:sz w:val="23"/>
                <w:szCs w:val="23"/>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14,984</w:t>
            </w:r>
          </w:p>
        </w:tc>
        <w:tc>
          <w:tcPr>
            <w:tcW w:w="320" w:type="dxa"/>
            <w:vAlign w:val="bottom"/>
          </w:tcPr>
          <w:p>
            <w:pPr>
              <w:spacing w:after="0"/>
              <w:rPr>
                <w:sz w:val="23"/>
                <w:szCs w:val="23"/>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16,029</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3,877</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3,180</w:t>
            </w:r>
          </w:p>
        </w:tc>
      </w:tr>
      <w:tr>
        <w:trPr>
          <w:trHeight w:val="135"/>
        </w:trPr>
        <w:tc>
          <w:tcPr>
            <w:tcW w:w="3680" w:type="dxa"/>
            <w:vAlign w:val="bottom"/>
          </w:tcPr>
          <w:p>
            <w:pPr>
              <w:ind w:left="420"/>
              <w:spacing w:after="0"/>
              <w:rPr>
                <w:sz w:val="20"/>
                <w:szCs w:val="20"/>
                <w:color w:val="auto"/>
              </w:rPr>
            </w:pPr>
            <w:r>
              <w:rPr>
                <w:rFonts w:ascii="Courier New" w:cs="Courier New" w:eastAsia="Courier New" w:hAnsi="Courier New"/>
                <w:sz w:val="12"/>
                <w:szCs w:val="12"/>
                <w:color w:val="auto"/>
              </w:rPr>
              <w:t>MARKETING, GENERAL AND ADMINISTRATIVE</w:t>
            </w:r>
          </w:p>
        </w:tc>
        <w:tc>
          <w:tcPr>
            <w:tcW w:w="7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24,512</w:t>
            </w:r>
          </w:p>
        </w:tc>
        <w:tc>
          <w:tcPr>
            <w:tcW w:w="32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17,418</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6,406</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3,937</w:t>
            </w:r>
          </w:p>
        </w:tc>
      </w:tr>
      <w:tr>
        <w:trPr>
          <w:trHeight w:val="135"/>
        </w:trPr>
        <w:tc>
          <w:tcPr>
            <w:tcW w:w="3680" w:type="dxa"/>
            <w:vAlign w:val="bottom"/>
          </w:tcPr>
          <w:p>
            <w:pPr>
              <w:spacing w:after="0"/>
              <w:rPr>
                <w:sz w:val="11"/>
                <w:szCs w:val="11"/>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39,496</w:t>
            </w:r>
          </w:p>
        </w:tc>
        <w:tc>
          <w:tcPr>
            <w:tcW w:w="320" w:type="dxa"/>
            <w:vAlign w:val="bottom"/>
          </w:tcPr>
          <w:p>
            <w:pPr>
              <w:spacing w:after="0"/>
              <w:rPr>
                <w:sz w:val="23"/>
                <w:szCs w:val="23"/>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33,447</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10,283</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7,117</w:t>
            </w:r>
          </w:p>
        </w:tc>
      </w:tr>
      <w:tr>
        <w:trPr>
          <w:trHeight w:val="135"/>
        </w:trPr>
        <w:tc>
          <w:tcPr>
            <w:tcW w:w="3680" w:type="dxa"/>
            <w:vAlign w:val="bottom"/>
          </w:tcPr>
          <w:p>
            <w:pPr>
              <w:spacing w:after="0"/>
              <w:rPr>
                <w:sz w:val="11"/>
                <w:szCs w:val="11"/>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680" w:type="dxa"/>
            <w:vAlign w:val="bottom"/>
          </w:tcPr>
          <w:p>
            <w:pPr>
              <w:ind w:left="700"/>
              <w:spacing w:after="0"/>
              <w:rPr>
                <w:sz w:val="20"/>
                <w:szCs w:val="20"/>
                <w:color w:val="auto"/>
              </w:rPr>
            </w:pPr>
            <w:r>
              <w:rPr>
                <w:rFonts w:ascii="Courier New" w:cs="Courier New" w:eastAsia="Courier New" w:hAnsi="Courier New"/>
                <w:sz w:val="12"/>
                <w:szCs w:val="12"/>
                <w:color w:val="auto"/>
              </w:rPr>
              <w:t>OPERATING LOSS</w:t>
            </w:r>
          </w:p>
        </w:tc>
        <w:tc>
          <w:tcPr>
            <w:tcW w:w="740" w:type="dxa"/>
            <w:vAlign w:val="bottom"/>
          </w:tcPr>
          <w:p>
            <w:pPr>
              <w:spacing w:after="0"/>
              <w:rPr>
                <w:sz w:val="23"/>
                <w:szCs w:val="23"/>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(119,448)</w:t>
            </w:r>
          </w:p>
        </w:tc>
        <w:tc>
          <w:tcPr>
            <w:tcW w:w="320" w:type="dxa"/>
            <w:vAlign w:val="bottom"/>
          </w:tcPr>
          <w:p>
            <w:pPr>
              <w:spacing w:after="0"/>
              <w:rPr>
                <w:sz w:val="23"/>
                <w:szCs w:val="23"/>
                <w:color w:val="auto"/>
              </w:rPr>
            </w:pP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2"/>
              </w:rPr>
              <w:t>(169,814)</w:t>
            </w:r>
          </w:p>
        </w:tc>
        <w:tc>
          <w:tcPr>
            <w:tcW w:w="11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(27,502)</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(34,814)</w:t>
            </w:r>
          </w:p>
        </w:tc>
      </w:tr>
      <w:tr>
        <w:trPr>
          <w:trHeight w:val="270"/>
        </w:trPr>
        <w:tc>
          <w:tcPr>
            <w:tcW w:w="368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740" w:type="dxa"/>
            <w:vAlign w:val="bottom"/>
          </w:tcPr>
          <w:p>
            <w:pPr>
              <w:spacing w:after="0"/>
              <w:rPr>
                <w:sz w:val="23"/>
                <w:szCs w:val="23"/>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(48,148)</w:t>
            </w:r>
          </w:p>
        </w:tc>
        <w:tc>
          <w:tcPr>
            <w:tcW w:w="320" w:type="dxa"/>
            <w:vAlign w:val="bottom"/>
          </w:tcPr>
          <w:p>
            <w:pPr>
              <w:spacing w:after="0"/>
              <w:rPr>
                <w:sz w:val="23"/>
                <w:szCs w:val="23"/>
                <w:color w:val="auto"/>
              </w:rPr>
            </w:pP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(35,651)</w:t>
            </w:r>
          </w:p>
        </w:tc>
        <w:tc>
          <w:tcPr>
            <w:tcW w:w="11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(10,191)</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(10,223)</w:t>
            </w:r>
          </w:p>
        </w:tc>
      </w:tr>
      <w:tr>
        <w:trPr>
          <w:trHeight w:val="270"/>
        </w:trPr>
        <w:tc>
          <w:tcPr>
            <w:tcW w:w="3680" w:type="dxa"/>
            <w:vAlign w:val="bottom"/>
          </w:tcPr>
          <w:p>
            <w:pPr>
              <w:spacing w:after="0"/>
              <w:rPr>
                <w:sz w:val="20"/>
                <w:szCs w:val="20"/>
                <w:color w:val="auto"/>
              </w:rPr>
            </w:pPr>
            <w:r>
              <w:rPr>
                <w:rFonts w:ascii="Courier New" w:cs="Courier New" w:eastAsia="Courier New" w:hAnsi="Courier New"/>
                <w:sz w:val="12"/>
                <w:szCs w:val="12"/>
                <w:color w:val="auto"/>
              </w:rPr>
              <w:t>GAIN ON DEBT RESTRUCTURING</w:t>
            </w:r>
          </w:p>
        </w:tc>
        <w:tc>
          <w:tcPr>
            <w:tcW w:w="740" w:type="dxa"/>
            <w:vAlign w:val="bottom"/>
          </w:tcPr>
          <w:p>
            <w:pPr>
              <w:spacing w:after="0"/>
              <w:rPr>
                <w:sz w:val="23"/>
                <w:szCs w:val="23"/>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80,071</w:t>
            </w:r>
          </w:p>
        </w:tc>
        <w:tc>
          <w:tcPr>
            <w:tcW w:w="320" w:type="dxa"/>
            <w:vAlign w:val="bottom"/>
          </w:tcPr>
          <w:p>
            <w:pPr>
              <w:spacing w:after="0"/>
              <w:rPr>
                <w:sz w:val="23"/>
                <w:szCs w:val="23"/>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680" w:type="dxa"/>
            <w:vAlign w:val="bottom"/>
          </w:tcPr>
          <w:p>
            <w:pPr>
              <w:spacing w:after="0"/>
              <w:rPr>
                <w:sz w:val="20"/>
                <w:szCs w:val="20"/>
                <w:color w:val="auto"/>
              </w:rPr>
            </w:pPr>
            <w:r>
              <w:rPr>
                <w:rFonts w:ascii="Courier New" w:cs="Courier New" w:eastAsia="Courier New" w:hAnsi="Courier New"/>
                <w:sz w:val="12"/>
                <w:szCs w:val="12"/>
                <w:color w:val="auto"/>
              </w:rPr>
              <w:t>OTHER INCOME (EXPENSE), NET</w:t>
            </w:r>
          </w:p>
        </w:tc>
        <w:tc>
          <w:tcPr>
            <w:tcW w:w="740" w:type="dxa"/>
            <w:vAlign w:val="bottom"/>
          </w:tcPr>
          <w:p>
            <w:pPr>
              <w:spacing w:after="0"/>
              <w:rPr>
                <w:sz w:val="23"/>
                <w:szCs w:val="23"/>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597</w:t>
            </w:r>
          </w:p>
        </w:tc>
        <w:tc>
          <w:tcPr>
            <w:tcW w:w="320" w:type="dxa"/>
            <w:vAlign w:val="bottom"/>
          </w:tcPr>
          <w:p>
            <w:pPr>
              <w:spacing w:after="0"/>
              <w:rPr>
                <w:sz w:val="23"/>
                <w:szCs w:val="23"/>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2,383</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(135)</w:t>
            </w:r>
          </w:p>
        </w:tc>
      </w:tr>
      <w:tr>
        <w:trPr>
          <w:trHeight w:val="135"/>
        </w:trPr>
        <w:tc>
          <w:tcPr>
            <w:tcW w:w="3680" w:type="dxa"/>
            <w:vAlign w:val="bottom"/>
          </w:tcPr>
          <w:p>
            <w:pPr>
              <w:spacing w:after="0"/>
              <w:rPr>
                <w:sz w:val="11"/>
                <w:szCs w:val="11"/>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680" w:type="dxa"/>
            <w:vAlign w:val="bottom"/>
          </w:tcPr>
          <w:p>
            <w:pPr>
              <w:ind w:left="1120"/>
              <w:spacing w:after="0"/>
              <w:rPr>
                <w:sz w:val="20"/>
                <w:szCs w:val="20"/>
                <w:color w:val="auto"/>
              </w:rPr>
            </w:pPr>
            <w:r>
              <w:rPr>
                <w:rFonts w:ascii="Courier New" w:cs="Courier New" w:eastAsia="Courier New" w:hAnsi="Courier New"/>
                <w:sz w:val="12"/>
                <w:szCs w:val="12"/>
                <w:color w:val="auto"/>
              </w:rPr>
              <w:t>LOSS FOR THE PERIOD</w:t>
            </w:r>
          </w:p>
        </w:tc>
        <w:tc>
          <w:tcPr>
            <w:tcW w:w="16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 (86,928)</w:t>
            </w:r>
          </w:p>
        </w:tc>
        <w:tc>
          <w:tcPr>
            <w:tcW w:w="12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$(203,082)</w:t>
            </w:r>
          </w:p>
        </w:tc>
        <w:tc>
          <w:tcPr>
            <w:tcW w:w="11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(37,693)</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(45,172)</w:t>
            </w:r>
          </w:p>
        </w:tc>
      </w:tr>
      <w:tr>
        <w:trPr>
          <w:trHeight w:val="135"/>
        </w:trPr>
        <w:tc>
          <w:tcPr>
            <w:tcW w:w="3680" w:type="dxa"/>
            <w:vAlign w:val="bottom"/>
          </w:tcPr>
          <w:p>
            <w:pPr>
              <w:spacing w:after="0"/>
              <w:rPr>
                <w:sz w:val="11"/>
                <w:szCs w:val="11"/>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680" w:type="dxa"/>
            <w:vAlign w:val="bottom"/>
          </w:tcPr>
          <w:p>
            <w:pPr>
              <w:spacing w:after="0"/>
              <w:rPr>
                <w:sz w:val="20"/>
                <w:szCs w:val="20"/>
                <w:color w:val="auto"/>
              </w:rPr>
            </w:pPr>
            <w:r>
              <w:rPr>
                <w:rFonts w:ascii="Courier New" w:cs="Courier New" w:eastAsia="Courier New" w:hAnsi="Courier New"/>
                <w:sz w:val="12"/>
                <w:szCs w:val="12"/>
                <w:color w:val="auto"/>
              </w:rPr>
              <w:t>BASIC  LOSS PER ORDINARY SHARE</w:t>
            </w: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3680" w:type="dxa"/>
            <w:vAlign w:val="bottom"/>
          </w:tcPr>
          <w:p>
            <w:pPr>
              <w:ind w:left="420"/>
              <w:spacing w:after="0"/>
              <w:rPr>
                <w:sz w:val="20"/>
                <w:szCs w:val="20"/>
                <w:color w:val="auto"/>
              </w:rPr>
            </w:pPr>
            <w:r>
              <w:rPr>
                <w:rFonts w:ascii="Courier New" w:cs="Courier New" w:eastAsia="Courier New" w:hAnsi="Courier New"/>
                <w:sz w:val="12"/>
                <w:szCs w:val="12"/>
                <w:color w:val="auto"/>
              </w:rPr>
              <w:t>LOSS PER SHARE (*)</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(1.05)</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(3.06)</w:t>
            </w:r>
          </w:p>
        </w:tc>
        <w:tc>
          <w:tcPr>
            <w:tcW w:w="11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(0.40)</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(0.68)</w:t>
            </w:r>
          </w:p>
        </w:tc>
      </w:tr>
      <w:tr>
        <w:trPr>
          <w:trHeight w:val="135"/>
        </w:trPr>
        <w:tc>
          <w:tcPr>
            <w:tcW w:w="3680" w:type="dxa"/>
            <w:vAlign w:val="bottom"/>
          </w:tcPr>
          <w:p>
            <w:pPr>
              <w:spacing w:after="0"/>
              <w:rPr>
                <w:sz w:val="11"/>
                <w:szCs w:val="11"/>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680" w:type="dxa"/>
            <w:vAlign w:val="bottom"/>
          </w:tcPr>
          <w:p>
            <w:pPr>
              <w:ind w:left="420"/>
              <w:spacing w:after="0"/>
              <w:rPr>
                <w:sz w:val="20"/>
                <w:szCs w:val="20"/>
                <w:color w:val="auto"/>
              </w:rPr>
            </w:pPr>
            <w:r>
              <w:rPr>
                <w:rFonts w:ascii="Courier New" w:cs="Courier New" w:eastAsia="Courier New" w:hAnsi="Courier New"/>
                <w:sz w:val="12"/>
                <w:szCs w:val="12"/>
                <w:color w:val="auto"/>
              </w:rPr>
              <w:t>WEIGHTED AVERAGE NUMBER OF ORDINARY</w:t>
            </w: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135"/>
        </w:trPr>
        <w:tc>
          <w:tcPr>
            <w:tcW w:w="3680" w:type="dxa"/>
            <w:vAlign w:val="bottom"/>
          </w:tcPr>
          <w:p>
            <w:pPr>
              <w:ind w:left="700"/>
              <w:spacing w:after="0"/>
              <w:rPr>
                <w:sz w:val="20"/>
                <w:szCs w:val="20"/>
                <w:color w:val="auto"/>
              </w:rPr>
            </w:pPr>
            <w:r>
              <w:rPr>
                <w:rFonts w:ascii="Courier New" w:cs="Courier New" w:eastAsia="Courier New" w:hAnsi="Courier New"/>
                <w:sz w:val="12"/>
                <w:szCs w:val="12"/>
                <w:color w:val="auto"/>
              </w:rPr>
              <w:t>SHARES OUTSTANDING - IN THOUSANDS</w:t>
            </w:r>
          </w:p>
        </w:tc>
        <w:tc>
          <w:tcPr>
            <w:tcW w:w="7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82,581</w:t>
            </w:r>
          </w:p>
        </w:tc>
        <w:tc>
          <w:tcPr>
            <w:tcW w:w="32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66,371</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94,373</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66,905</w:t>
            </w:r>
          </w:p>
        </w:tc>
      </w:tr>
      <w:tr>
        <w:trPr>
          <w:trHeight w:val="135"/>
        </w:trPr>
        <w:tc>
          <w:tcPr>
            <w:tcW w:w="3680" w:type="dxa"/>
            <w:vAlign w:val="bottom"/>
          </w:tcPr>
          <w:p>
            <w:pPr>
              <w:spacing w:after="0"/>
              <w:rPr>
                <w:sz w:val="11"/>
                <w:szCs w:val="11"/>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pacing w:after="0" w:line="274" w:lineRule="exact"/>
        <w:rPr>
          <w:sz w:val="20"/>
          <w:szCs w:val="20"/>
          <w:color w:val="auto"/>
        </w:rPr>
      </w:pPr>
    </w:p>
    <w:p>
      <w:pPr>
        <w:ind w:left="348" w:right="4839" w:hanging="348"/>
        <w:spacing w:after="0" w:line="236" w:lineRule="auto"/>
        <w:tabs>
          <w:tab w:leader="none" w:pos="34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BASIC LOSS PER SHARE IN ACCORDANCE WITH U.S. GAAP FOR THE YEAR AND THREE MONTHS PERIODS ENDED DECEMBER 31, 2006 ARE $2.03 AND $0.38, RESPECTIVELY AND ARE THE SAME AS THE ISR. GAAP DATA FOR THE YEAR AND THREE MONTHS PERIODS ENDED DECEMBER 31, 2005.</w:t>
      </w:r>
    </w:p>
    <w:p>
      <w:pPr>
        <w:sectPr>
          <w:pgSz w:w="11900" w:h="16838" w:orient="portrait"/>
          <w:cols w:equalWidth="0" w:num="1">
            <w:col w:w="10247"/>
          </w:cols>
          <w:pgMar w:left="212" w:top="137" w:right="1440" w:bottom="1440" w:gutter="0" w:footer="0" w:header="0"/>
        </w:sectPr>
      </w:pPr>
    </w:p>
    <w:bookmarkStart w:id="4" w:name="page5"/>
    <w:bookmarkEnd w:id="4"/>
    <w:p>
      <w:pPr>
        <w:jc w:val="center"/>
        <w:ind w:right="-140"/>
        <w:spacing w:after="0"/>
        <w:rPr>
          <w:sz w:val="20"/>
          <w:szCs w:val="20"/>
          <w:color w:val="auto"/>
        </w:rPr>
      </w:pPr>
      <w:r>
        <w:rPr>
          <w:rFonts w:ascii="Courier New" w:cs="Courier New" w:eastAsia="Courier New" w:hAnsi="Courier New"/>
          <w:sz w:val="12"/>
          <w:szCs w:val="12"/>
          <w:color w:val="auto"/>
        </w:rPr>
        <w:t>EXHIBIT 99.2</w:t>
      </w:r>
    </w:p>
    <w:p>
      <w:pPr>
        <w:spacing w:after="0" w:line="134" w:lineRule="exact"/>
        <w:rPr>
          <w:sz w:val="20"/>
          <w:szCs w:val="20"/>
          <w:color w:val="auto"/>
        </w:rPr>
      </w:pPr>
    </w:p>
    <w:p>
      <w:pPr>
        <w:ind w:left="1960"/>
        <w:spacing w:after="0"/>
        <w:rPr>
          <w:sz w:val="20"/>
          <w:szCs w:val="20"/>
          <w:color w:val="auto"/>
        </w:rPr>
      </w:pPr>
      <w:r>
        <w:rPr>
          <w:rFonts w:ascii="Courier New" w:cs="Courier New" w:eastAsia="Courier New" w:hAnsi="Courier New"/>
          <w:sz w:val="12"/>
          <w:szCs w:val="12"/>
          <w:color w:val="auto"/>
        </w:rPr>
        <w:t>TOWER SEMICONDUCTOR LTD.</w:t>
      </w:r>
    </w:p>
    <w:p>
      <w:pPr>
        <w:ind w:left="2320"/>
        <w:spacing w:after="0"/>
        <w:rPr>
          <w:sz w:val="20"/>
          <w:szCs w:val="20"/>
          <w:color w:val="auto"/>
        </w:rPr>
      </w:pPr>
      <w:r>
        <w:rPr>
          <w:rFonts w:ascii="Courier New" w:cs="Courier New" w:eastAsia="Courier New" w:hAnsi="Courier New"/>
          <w:sz w:val="12"/>
          <w:szCs w:val="12"/>
          <w:color w:val="auto"/>
        </w:rPr>
        <w:t>AND SUBSIDIARY</w:t>
      </w:r>
    </w:p>
    <w:p>
      <w:pPr>
        <w:ind w:left="1680"/>
        <w:spacing w:after="0" w:line="237" w:lineRule="auto"/>
        <w:rPr>
          <w:sz w:val="20"/>
          <w:szCs w:val="20"/>
          <w:color w:val="auto"/>
        </w:rPr>
      </w:pPr>
      <w:r>
        <w:rPr>
          <w:rFonts w:ascii="Courier New" w:cs="Courier New" w:eastAsia="Courier New" w:hAnsi="Courier New"/>
          <w:sz w:val="12"/>
          <w:szCs w:val="12"/>
          <w:color w:val="auto"/>
        </w:rPr>
        <w:t>CONSOLIDATED FINANCIAL STATEMENTS</w:t>
      </w:r>
    </w:p>
    <w:p>
      <w:pPr>
        <w:ind w:left="2020"/>
        <w:spacing w:after="0"/>
        <w:rPr>
          <w:sz w:val="20"/>
          <w:szCs w:val="20"/>
          <w:color w:val="auto"/>
        </w:rPr>
      </w:pPr>
      <w:r>
        <w:rPr>
          <w:rFonts w:ascii="Courier New" w:cs="Courier New" w:eastAsia="Courier New" w:hAnsi="Courier New"/>
          <w:sz w:val="12"/>
          <w:szCs w:val="12"/>
          <w:color w:val="auto"/>
        </w:rPr>
        <w:t>AS OF DECEMBER 31, 2006</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900" w:type="dxa"/>
            <w:vAlign w:val="bottom"/>
          </w:tcPr>
          <w:p>
            <w:pPr>
              <w:jc w:val="center"/>
              <w:ind w:left="70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4900" w:type="dxa"/>
            <w:vAlign w:val="bottom"/>
          </w:tcPr>
          <w:p>
            <w:pPr>
              <w:ind w:left="1320"/>
              <w:spacing w:after="0"/>
              <w:rPr>
                <w:sz w:val="20"/>
                <w:szCs w:val="20"/>
                <w:color w:val="auto"/>
              </w:rPr>
            </w:pPr>
            <w:r>
              <w:rPr>
                <w:rFonts w:ascii="Courier New" w:cs="Courier New" w:eastAsia="Courier New" w:hAnsi="Courier New"/>
                <w:sz w:val="12"/>
                <w:szCs w:val="12"/>
                <w:color w:val="auto"/>
              </w:rPr>
              <w:t>INDEX TO CONSOLIDATED FINANCIAL STATEMENTS</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4900" w:type="dxa"/>
            <w:vAlign w:val="bottom"/>
          </w:tcPr>
          <w:p>
            <w:pPr>
              <w:spacing w:after="0"/>
              <w:rPr>
                <w:sz w:val="23"/>
                <w:szCs w:val="23"/>
                <w:color w:val="auto"/>
              </w:rPr>
            </w:pPr>
          </w:p>
        </w:tc>
        <w:tc>
          <w:tcPr>
            <w:tcW w:w="2080" w:type="dxa"/>
            <w:vAlign w:val="bottom"/>
          </w:tcPr>
          <w:p>
            <w:pPr>
              <w:jc w:val="right"/>
              <w:ind w:right="1581"/>
              <w:spacing w:after="0"/>
              <w:rPr>
                <w:sz w:val="20"/>
                <w:szCs w:val="20"/>
                <w:color w:val="auto"/>
              </w:rPr>
            </w:pPr>
            <w:r>
              <w:rPr>
                <w:rFonts w:ascii="Courier New" w:cs="Courier New" w:eastAsia="Courier New" w:hAnsi="Courier New"/>
                <w:sz w:val="12"/>
                <w:szCs w:val="12"/>
                <w:color w:val="auto"/>
              </w:rPr>
              <w:t>PAGE</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Courier New" w:cs="Courier New" w:eastAsia="Courier New" w:hAnsi="Courier New"/>
                <w:sz w:val="12"/>
                <w:szCs w:val="12"/>
                <w:color w:val="auto"/>
              </w:rPr>
              <w:t>REPORT OF INDEPENDENT REGISTERED PUBLIC ACCOUNTING FIRM</w:t>
            </w:r>
          </w:p>
        </w:tc>
        <w:tc>
          <w:tcPr>
            <w:tcW w:w="2080" w:type="dxa"/>
            <w:vAlign w:val="bottom"/>
          </w:tcPr>
          <w:p>
            <w:pPr>
              <w:jc w:val="right"/>
              <w:ind w:right="1581"/>
              <w:spacing w:after="0"/>
              <w:rPr>
                <w:sz w:val="20"/>
                <w:szCs w:val="20"/>
                <w:color w:val="auto"/>
              </w:rPr>
            </w:pPr>
            <w:r>
              <w:rPr>
                <w:rFonts w:ascii="Courier New" w:cs="Courier New" w:eastAsia="Courier New" w:hAnsi="Courier New"/>
                <w:sz w:val="12"/>
                <w:szCs w:val="12"/>
                <w:color w:val="auto"/>
              </w:rPr>
              <w:t>F-1</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Courier New" w:cs="Courier New" w:eastAsia="Courier New" w:hAnsi="Courier New"/>
                <w:sz w:val="12"/>
                <w:szCs w:val="12"/>
                <w:color w:val="auto"/>
              </w:rPr>
              <w:t>BALANCE SHEETS</w:t>
            </w:r>
          </w:p>
        </w:tc>
        <w:tc>
          <w:tcPr>
            <w:tcW w:w="2080" w:type="dxa"/>
            <w:vAlign w:val="bottom"/>
          </w:tcPr>
          <w:p>
            <w:pPr>
              <w:jc w:val="right"/>
              <w:ind w:right="1581"/>
              <w:spacing w:after="0"/>
              <w:rPr>
                <w:sz w:val="20"/>
                <w:szCs w:val="20"/>
                <w:color w:val="auto"/>
              </w:rPr>
            </w:pPr>
            <w:r>
              <w:rPr>
                <w:rFonts w:ascii="Courier New" w:cs="Courier New" w:eastAsia="Courier New" w:hAnsi="Courier New"/>
                <w:sz w:val="12"/>
                <w:szCs w:val="12"/>
                <w:color w:val="auto"/>
              </w:rPr>
              <w:t>F-2</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Courier New" w:cs="Courier New" w:eastAsia="Courier New" w:hAnsi="Courier New"/>
                <w:sz w:val="12"/>
                <w:szCs w:val="12"/>
                <w:color w:val="auto"/>
              </w:rPr>
              <w:t>STATEMENTS OF OPERATIONS</w:t>
            </w:r>
          </w:p>
        </w:tc>
        <w:tc>
          <w:tcPr>
            <w:tcW w:w="2080" w:type="dxa"/>
            <w:vAlign w:val="bottom"/>
          </w:tcPr>
          <w:p>
            <w:pPr>
              <w:jc w:val="right"/>
              <w:ind w:right="1581"/>
              <w:spacing w:after="0"/>
              <w:rPr>
                <w:sz w:val="20"/>
                <w:szCs w:val="20"/>
                <w:color w:val="auto"/>
              </w:rPr>
            </w:pPr>
            <w:r>
              <w:rPr>
                <w:rFonts w:ascii="Courier New" w:cs="Courier New" w:eastAsia="Courier New" w:hAnsi="Courier New"/>
                <w:sz w:val="12"/>
                <w:szCs w:val="12"/>
                <w:color w:val="auto"/>
              </w:rPr>
              <w:t>F-3</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Courier New" w:cs="Courier New" w:eastAsia="Courier New" w:hAnsi="Courier New"/>
                <w:sz w:val="12"/>
                <w:szCs w:val="12"/>
                <w:color w:val="auto"/>
              </w:rPr>
              <w:t>STATEMENTS OF CHANGES IN SHAREHOLDERS' EQUITY</w:t>
            </w:r>
          </w:p>
        </w:tc>
        <w:tc>
          <w:tcPr>
            <w:tcW w:w="2080" w:type="dxa"/>
            <w:vAlign w:val="bottom"/>
          </w:tcPr>
          <w:p>
            <w:pPr>
              <w:jc w:val="right"/>
              <w:ind w:right="1581"/>
              <w:spacing w:after="0"/>
              <w:rPr>
                <w:sz w:val="20"/>
                <w:szCs w:val="20"/>
                <w:color w:val="auto"/>
              </w:rPr>
            </w:pPr>
            <w:r>
              <w:rPr>
                <w:rFonts w:ascii="Courier New" w:cs="Courier New" w:eastAsia="Courier New" w:hAnsi="Courier New"/>
                <w:sz w:val="12"/>
                <w:szCs w:val="12"/>
                <w:color w:val="auto"/>
              </w:rPr>
              <w:t>F-4</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Courier New" w:cs="Courier New" w:eastAsia="Courier New" w:hAnsi="Courier New"/>
                <w:sz w:val="12"/>
                <w:szCs w:val="12"/>
                <w:color w:val="auto"/>
              </w:rPr>
              <w:t>STATEMENTS OF CASH FLOWS</w:t>
            </w:r>
          </w:p>
        </w:tc>
        <w:tc>
          <w:tcPr>
            <w:tcW w:w="2080" w:type="dxa"/>
            <w:vAlign w:val="bottom"/>
          </w:tcPr>
          <w:p>
            <w:pPr>
              <w:jc w:val="right"/>
              <w:ind w:right="1581"/>
              <w:spacing w:after="0"/>
              <w:rPr>
                <w:sz w:val="20"/>
                <w:szCs w:val="20"/>
                <w:color w:val="auto"/>
              </w:rPr>
            </w:pPr>
            <w:r>
              <w:rPr>
                <w:rFonts w:ascii="Courier New" w:cs="Courier New" w:eastAsia="Courier New" w:hAnsi="Courier New"/>
                <w:sz w:val="12"/>
                <w:szCs w:val="12"/>
                <w:color w:val="auto"/>
              </w:rPr>
              <w:t>F-5</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Courier New" w:cs="Courier New" w:eastAsia="Courier New" w:hAnsi="Courier New"/>
                <w:sz w:val="12"/>
                <w:szCs w:val="12"/>
                <w:color w:val="auto"/>
              </w:rPr>
              <w:t>NOTES TO FINANCIAL STATEMENTS</w:t>
            </w:r>
          </w:p>
        </w:tc>
        <w:tc>
          <w:tcPr>
            <w:tcW w:w="2080" w:type="dxa"/>
            <w:vAlign w:val="bottom"/>
          </w:tcPr>
          <w:p>
            <w:pPr>
              <w:jc w:val="right"/>
              <w:ind w:right="1441"/>
              <w:spacing w:after="0"/>
              <w:rPr>
                <w:sz w:val="20"/>
                <w:szCs w:val="20"/>
                <w:color w:val="auto"/>
              </w:rPr>
            </w:pPr>
            <w:r>
              <w:rPr>
                <w:rFonts w:ascii="Courier New" w:cs="Courier New" w:eastAsia="Courier New" w:hAnsi="Courier New"/>
                <w:sz w:val="12"/>
                <w:szCs w:val="12"/>
                <w:color w:val="auto"/>
                <w:w w:val="97"/>
              </w:rPr>
              <w:t>F-6-F-75</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856"/>
        </w:trPr>
        <w:tc>
          <w:tcPr>
            <w:tcW w:w="4900" w:type="dxa"/>
            <w:vAlign w:val="bottom"/>
          </w:tcPr>
          <w:p>
            <w:pPr>
              <w:ind w:left="3640"/>
              <w:spacing w:after="0"/>
              <w:rPr>
                <w:sz w:val="20"/>
                <w:szCs w:val="20"/>
                <w:color w:val="auto"/>
              </w:rPr>
            </w:pPr>
            <w:r>
              <w:rPr>
                <w:rFonts w:ascii="Courier New" w:cs="Courier New" w:eastAsia="Courier New" w:hAnsi="Courier New"/>
                <w:sz w:val="12"/>
                <w:szCs w:val="12"/>
                <w:color w:val="auto"/>
              </w:rPr>
              <w:t>Brightman Almagor</w:t>
            </w:r>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5"/>
        </w:trPr>
        <w:tc>
          <w:tcPr>
            <w:tcW w:w="4900" w:type="dxa"/>
            <w:vAlign w:val="bottom"/>
          </w:tcPr>
          <w:p>
            <w:pPr>
              <w:ind w:left="3640"/>
              <w:spacing w:after="0"/>
              <w:rPr>
                <w:sz w:val="20"/>
                <w:szCs w:val="20"/>
                <w:color w:val="auto"/>
              </w:rPr>
            </w:pPr>
            <w:r>
              <w:rPr>
                <w:rFonts w:ascii="Courier New" w:cs="Courier New" w:eastAsia="Courier New" w:hAnsi="Courier New"/>
                <w:sz w:val="12"/>
                <w:szCs w:val="12"/>
                <w:color w:val="auto"/>
              </w:rPr>
              <w:t>1 Azrieli Center</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ind w:left="3640"/>
              <w:spacing w:after="0"/>
              <w:rPr>
                <w:sz w:val="20"/>
                <w:szCs w:val="20"/>
                <w:color w:val="auto"/>
              </w:rPr>
            </w:pPr>
            <w:r>
              <w:rPr>
                <w:rFonts w:ascii="Courier New" w:cs="Courier New" w:eastAsia="Courier New" w:hAnsi="Courier New"/>
                <w:sz w:val="12"/>
                <w:szCs w:val="12"/>
                <w:color w:val="auto"/>
              </w:rPr>
              <w:t>Tel Aviv 67021</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ind w:left="3640"/>
              <w:spacing w:after="0"/>
              <w:rPr>
                <w:sz w:val="20"/>
                <w:szCs w:val="20"/>
                <w:color w:val="auto"/>
              </w:rPr>
            </w:pPr>
            <w:r>
              <w:rPr>
                <w:rFonts w:ascii="Courier New" w:cs="Courier New" w:eastAsia="Courier New" w:hAnsi="Courier New"/>
                <w:sz w:val="12"/>
                <w:szCs w:val="12"/>
                <w:color w:val="auto"/>
              </w:rPr>
              <w:t>P.O.B. 16593, Tel Aviv 61164</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ind w:left="3640"/>
              <w:spacing w:after="0"/>
              <w:rPr>
                <w:sz w:val="20"/>
                <w:szCs w:val="20"/>
                <w:color w:val="auto"/>
              </w:rPr>
            </w:pPr>
            <w:r>
              <w:rPr>
                <w:rFonts w:ascii="Courier New" w:cs="Courier New" w:eastAsia="Courier New" w:hAnsi="Courier New"/>
                <w:sz w:val="12"/>
                <w:szCs w:val="12"/>
                <w:color w:val="auto"/>
              </w:rPr>
              <w:t>Israel</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6980" w:type="dxa"/>
            <w:vAlign w:val="bottom"/>
            <w:gridSpan w:val="2"/>
          </w:tcPr>
          <w:p>
            <w:pPr>
              <w:ind w:left="3640"/>
              <w:spacing w:after="0"/>
              <w:rPr>
                <w:sz w:val="20"/>
                <w:szCs w:val="20"/>
                <w:color w:val="auto"/>
              </w:rPr>
            </w:pPr>
            <w:r>
              <w:rPr>
                <w:rFonts w:ascii="Courier New" w:cs="Courier New" w:eastAsia="Courier New" w:hAnsi="Courier New"/>
                <w:sz w:val="12"/>
                <w:szCs w:val="12"/>
                <w:color w:val="auto"/>
              </w:rPr>
              <w:t>Tel: +972 (3) 608 5555</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6980" w:type="dxa"/>
            <w:vAlign w:val="bottom"/>
            <w:gridSpan w:val="2"/>
          </w:tcPr>
          <w:p>
            <w:pPr>
              <w:ind w:left="3640"/>
              <w:spacing w:after="0"/>
              <w:rPr>
                <w:sz w:val="20"/>
                <w:szCs w:val="20"/>
                <w:color w:val="auto"/>
              </w:rPr>
            </w:pPr>
            <w:r>
              <w:rPr>
                <w:rFonts w:ascii="Courier New" w:cs="Courier New" w:eastAsia="Courier New" w:hAnsi="Courier New"/>
                <w:sz w:val="12"/>
                <w:szCs w:val="12"/>
                <w:color w:val="auto"/>
              </w:rPr>
              <w:t>Fax: +972 (3) 609 4022</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ind w:left="3640"/>
              <w:spacing w:after="0"/>
              <w:rPr>
                <w:sz w:val="20"/>
                <w:szCs w:val="20"/>
                <w:color w:val="auto"/>
              </w:rPr>
            </w:pPr>
            <w:r>
              <w:rPr>
                <w:rFonts w:ascii="Courier New" w:cs="Courier New" w:eastAsia="Courier New" w:hAnsi="Courier New"/>
                <w:sz w:val="12"/>
                <w:szCs w:val="12"/>
                <w:color w:val="auto"/>
              </w:rPr>
              <w:t>info@deloitte.co.il</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ind w:left="3640"/>
              <w:spacing w:after="0"/>
              <w:rPr>
                <w:sz w:val="20"/>
                <w:szCs w:val="20"/>
                <w:color w:val="auto"/>
              </w:rPr>
            </w:pPr>
            <w:r>
              <w:rPr>
                <w:rFonts w:ascii="Courier New" w:cs="Courier New" w:eastAsia="Courier New" w:hAnsi="Courier New"/>
                <w:sz w:val="12"/>
                <w:szCs w:val="12"/>
                <w:color w:val="auto"/>
              </w:rPr>
              <w:t>www.deloitte.com</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4900" w:type="dxa"/>
            <w:vAlign w:val="bottom"/>
          </w:tcPr>
          <w:p>
            <w:pPr>
              <w:jc w:val="center"/>
              <w:ind w:left="701"/>
              <w:spacing w:after="0"/>
              <w:rPr>
                <w:sz w:val="20"/>
                <w:szCs w:val="20"/>
                <w:color w:val="auto"/>
              </w:rPr>
            </w:pPr>
            <w:r>
              <w:rPr>
                <w:rFonts w:ascii="Courier New" w:cs="Courier New" w:eastAsia="Courier New" w:hAnsi="Courier New"/>
                <w:sz w:val="12"/>
                <w:szCs w:val="12"/>
                <w:color w:val="auto"/>
                <w:w w:val="97"/>
              </w:rPr>
              <w:t>REPORT OF INDEPENDENT REGISTERED PUBLIC ACCOUNTING FIRM</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4900" w:type="dxa"/>
            <w:vAlign w:val="bottom"/>
          </w:tcPr>
          <w:p>
            <w:pPr>
              <w:spacing w:after="0"/>
              <w:rPr>
                <w:sz w:val="20"/>
                <w:szCs w:val="20"/>
                <w:color w:val="auto"/>
              </w:rPr>
            </w:pPr>
            <w:r>
              <w:rPr>
                <w:rFonts w:ascii="Courier New" w:cs="Courier New" w:eastAsia="Courier New" w:hAnsi="Courier New"/>
                <w:sz w:val="12"/>
                <w:szCs w:val="12"/>
                <w:color w:val="auto"/>
              </w:rPr>
              <w:t>TO BOARD OF DIRECTORS AND THE SHAREHOLDERS OF</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4900" w:type="dxa"/>
            <w:vAlign w:val="bottom"/>
          </w:tcPr>
          <w:p>
            <w:pPr>
              <w:spacing w:after="0"/>
              <w:rPr>
                <w:sz w:val="20"/>
                <w:szCs w:val="20"/>
                <w:color w:val="auto"/>
              </w:rPr>
            </w:pPr>
            <w:r>
              <w:rPr>
                <w:rFonts w:ascii="Courier New" w:cs="Courier New" w:eastAsia="Courier New" w:hAnsi="Courier New"/>
                <w:sz w:val="12"/>
                <w:szCs w:val="12"/>
                <w:color w:val="auto"/>
              </w:rPr>
              <w:t>TOWER SEMICONDUCTOR LTD.</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4900" w:type="dxa"/>
            <w:vAlign w:val="bottom"/>
          </w:tcPr>
          <w:p>
            <w:pPr>
              <w:spacing w:after="0"/>
              <w:rPr>
                <w:sz w:val="20"/>
                <w:szCs w:val="20"/>
                <w:color w:val="auto"/>
              </w:rPr>
            </w:pPr>
            <w:r>
              <w:rPr>
                <w:rFonts w:ascii="Courier New" w:cs="Courier New" w:eastAsia="Courier New" w:hAnsi="Courier New"/>
                <w:sz w:val="12"/>
                <w:szCs w:val="12"/>
                <w:color w:val="auto"/>
                <w:w w:val="98"/>
              </w:rPr>
              <w:t>We have audited the accompanying consolidated balance sheets of Tower</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Semiconductor Ltd. and subsidiary ("the Company") as of December 31, 2006 and</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2005, and the related consolidated statements of operations, changes in</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shareholders' equity and cash flows for each of the three years in the period</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ended December 31, 2006. These financial statements are the responsibility of</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the Company's Board of Directors and management. Our responsibility is to</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spacing w:after="0"/>
              <w:rPr>
                <w:sz w:val="20"/>
                <w:szCs w:val="20"/>
                <w:color w:val="auto"/>
              </w:rPr>
            </w:pPr>
            <w:r>
              <w:rPr>
                <w:rFonts w:ascii="Courier New" w:cs="Courier New" w:eastAsia="Courier New" w:hAnsi="Courier New"/>
                <w:sz w:val="12"/>
                <w:szCs w:val="12"/>
                <w:color w:val="auto"/>
                <w:w w:val="98"/>
              </w:rPr>
              <w:t>express an opinion on these financial statements based on our audits.</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We conducted our audits in accordance with the standards of the Public Company</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Accounting Oversight Board (United States). Those standards require that we plan</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and perform the audit to obtain reasonable assurance about whether the financial</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statements are free of material misstatement. The Company is not required to</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have, nor were we engaged to perform, an audit of its internal control over</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financial reporting. Our audits included consideration of internal control over</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spacing w:after="0"/>
              <w:rPr>
                <w:sz w:val="20"/>
                <w:szCs w:val="20"/>
                <w:color w:val="auto"/>
              </w:rPr>
            </w:pPr>
            <w:r>
              <w:rPr>
                <w:rFonts w:ascii="Courier New" w:cs="Courier New" w:eastAsia="Courier New" w:hAnsi="Courier New"/>
                <w:sz w:val="12"/>
                <w:szCs w:val="12"/>
                <w:color w:val="auto"/>
                <w:w w:val="96"/>
              </w:rPr>
              <w:t>financial reporting as a basis for designing audit procedures that are</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appropriate in the circumstances, but not for the purpose of expressing an</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opinion on the effectiveness of the Company's internal control over financial</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reporting. Accordingly, we express no such opinion. An audit also includes</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examining, on a test basis, evidence supporting the amounts and disclosures in</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spacing w:after="0"/>
              <w:rPr>
                <w:sz w:val="20"/>
                <w:szCs w:val="20"/>
                <w:color w:val="auto"/>
              </w:rPr>
            </w:pPr>
            <w:r>
              <w:rPr>
                <w:rFonts w:ascii="Courier New" w:cs="Courier New" w:eastAsia="Courier New" w:hAnsi="Courier New"/>
                <w:sz w:val="12"/>
                <w:szCs w:val="12"/>
                <w:color w:val="auto"/>
                <w:w w:val="96"/>
              </w:rPr>
              <w:t>the financial statements, assessing the accounting principles used and</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significant estimates made by management, as well as evaluating the overall</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spacing w:after="0"/>
              <w:rPr>
                <w:sz w:val="20"/>
                <w:szCs w:val="20"/>
                <w:color w:val="auto"/>
              </w:rPr>
            </w:pPr>
            <w:r>
              <w:rPr>
                <w:rFonts w:ascii="Courier New" w:cs="Courier New" w:eastAsia="Courier New" w:hAnsi="Courier New"/>
                <w:sz w:val="12"/>
                <w:szCs w:val="12"/>
                <w:color w:val="auto"/>
                <w:w w:val="96"/>
              </w:rPr>
              <w:t>financial statement presentation. We believe that our audits provide a</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spacing w:after="0"/>
              <w:rPr>
                <w:sz w:val="20"/>
                <w:szCs w:val="20"/>
                <w:color w:val="auto"/>
              </w:rPr>
            </w:pPr>
            <w:r>
              <w:rPr>
                <w:rFonts w:ascii="Courier New" w:cs="Courier New" w:eastAsia="Courier New" w:hAnsi="Courier New"/>
                <w:sz w:val="12"/>
                <w:szCs w:val="12"/>
                <w:color w:val="auto"/>
              </w:rPr>
              <w:t>reasonable basis for our opinion.</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In our opinion, the consolidated financial statements referred to above present</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fairly, in all material respects, the consolidated financial position of the</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Company and subsidiary as of December 31, 2006 and 2005, and the consolidated</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results of their operations and their cash flows for each of the three years in</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the period ended December 31, 2006, in accordance with accounting principles</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spacing w:after="0"/>
              <w:rPr>
                <w:sz w:val="20"/>
                <w:szCs w:val="20"/>
                <w:color w:val="auto"/>
              </w:rPr>
            </w:pPr>
            <w:r>
              <w:rPr>
                <w:rFonts w:ascii="Courier New" w:cs="Courier New" w:eastAsia="Courier New" w:hAnsi="Courier New"/>
                <w:sz w:val="12"/>
                <w:szCs w:val="12"/>
                <w:color w:val="auto"/>
              </w:rPr>
              <w:t>generally accepted in Israel.</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Accounting principles generally accepted in Israel vary in certain significant</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respects from accounting principles generally accepted in the United States of</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America. The effect of the application of the latter on the financial position,</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6980" w:type="dxa"/>
            <w:vAlign w:val="bottom"/>
            <w:gridSpan w:val="2"/>
          </w:tcPr>
          <w:p>
            <w:pPr>
              <w:spacing w:after="0"/>
              <w:rPr>
                <w:sz w:val="20"/>
                <w:szCs w:val="20"/>
                <w:color w:val="auto"/>
              </w:rPr>
            </w:pPr>
            <w:r>
              <w:rPr>
                <w:rFonts w:ascii="Courier New" w:cs="Courier New" w:eastAsia="Courier New" w:hAnsi="Courier New"/>
                <w:sz w:val="12"/>
                <w:szCs w:val="12"/>
                <w:color w:val="auto"/>
              </w:rPr>
              <w:t>results of operations and cash flows as of the dates and for the years presented</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spacing w:after="0"/>
              <w:rPr>
                <w:sz w:val="20"/>
                <w:szCs w:val="20"/>
                <w:color w:val="auto"/>
              </w:rPr>
            </w:pPr>
            <w:r>
              <w:rPr>
                <w:rFonts w:ascii="Courier New" w:cs="Courier New" w:eastAsia="Courier New" w:hAnsi="Courier New"/>
                <w:sz w:val="12"/>
                <w:szCs w:val="12"/>
                <w:color w:val="auto"/>
              </w:rPr>
              <w:t>is summarized in Note 19.</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4900" w:type="dxa"/>
            <w:vAlign w:val="bottom"/>
          </w:tcPr>
          <w:p>
            <w:pPr>
              <w:spacing w:after="0"/>
              <w:rPr>
                <w:sz w:val="20"/>
                <w:szCs w:val="20"/>
                <w:color w:val="auto"/>
              </w:rPr>
            </w:pPr>
            <w:r>
              <w:rPr>
                <w:rFonts w:ascii="Courier New" w:cs="Courier New" w:eastAsia="Courier New" w:hAnsi="Courier New"/>
                <w:sz w:val="12"/>
                <w:szCs w:val="12"/>
                <w:color w:val="auto"/>
              </w:rPr>
              <w:t>/s/ BRIGHTMAN ALMAGOR &amp; CO.</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4900" w:type="dxa"/>
            <w:vAlign w:val="bottom"/>
          </w:tcPr>
          <w:p>
            <w:pPr>
              <w:spacing w:after="0"/>
              <w:rPr>
                <w:sz w:val="20"/>
                <w:szCs w:val="20"/>
                <w:color w:val="auto"/>
              </w:rPr>
            </w:pPr>
            <w:r>
              <w:rPr>
                <w:rFonts w:ascii="Courier New" w:cs="Courier New" w:eastAsia="Courier New" w:hAnsi="Courier New"/>
                <w:sz w:val="12"/>
                <w:szCs w:val="12"/>
                <w:color w:val="auto"/>
              </w:rPr>
              <w:t>BRIGHTMAN ALMAGOR &amp; CO.</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spacing w:after="0"/>
              <w:rPr>
                <w:sz w:val="20"/>
                <w:szCs w:val="20"/>
                <w:color w:val="auto"/>
              </w:rPr>
            </w:pPr>
            <w:r>
              <w:rPr>
                <w:rFonts w:ascii="Courier New" w:cs="Courier New" w:eastAsia="Courier New" w:hAnsi="Courier New"/>
                <w:sz w:val="12"/>
                <w:szCs w:val="12"/>
                <w:color w:val="auto"/>
              </w:rPr>
              <w:t>CERTIFIED PUBLIC ACCOUNTANTS</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spacing w:after="0"/>
              <w:rPr>
                <w:sz w:val="20"/>
                <w:szCs w:val="20"/>
                <w:color w:val="auto"/>
              </w:rPr>
            </w:pPr>
            <w:r>
              <w:rPr>
                <w:rFonts w:ascii="Courier New" w:cs="Courier New" w:eastAsia="Courier New" w:hAnsi="Courier New"/>
                <w:sz w:val="12"/>
                <w:szCs w:val="12"/>
                <w:color w:val="auto"/>
              </w:rPr>
              <w:t>A MEMBER FIRM OF DELOITTE TOUCHE TOHMATSU</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4900" w:type="dxa"/>
            <w:vAlign w:val="bottom"/>
          </w:tcPr>
          <w:p>
            <w:pPr>
              <w:spacing w:after="0"/>
              <w:rPr>
                <w:sz w:val="20"/>
                <w:szCs w:val="20"/>
                <w:color w:val="auto"/>
              </w:rPr>
            </w:pPr>
            <w:r>
              <w:rPr>
                <w:rFonts w:ascii="Courier New" w:cs="Courier New" w:eastAsia="Courier New" w:hAnsi="Courier New"/>
                <w:sz w:val="12"/>
                <w:szCs w:val="12"/>
                <w:color w:val="auto"/>
              </w:rPr>
              <w:t>Tel Aviv, Israel</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4900" w:type="dxa"/>
            <w:vAlign w:val="bottom"/>
          </w:tcPr>
          <w:p>
            <w:pPr>
              <w:spacing w:after="0"/>
              <w:rPr>
                <w:sz w:val="20"/>
                <w:szCs w:val="20"/>
                <w:color w:val="auto"/>
              </w:rPr>
            </w:pPr>
            <w:r>
              <w:rPr>
                <w:rFonts w:ascii="Courier New" w:cs="Courier New" w:eastAsia="Courier New" w:hAnsi="Courier New"/>
                <w:sz w:val="12"/>
                <w:szCs w:val="12"/>
                <w:color w:val="auto"/>
              </w:rPr>
              <w:t>February 7, 2007</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405"/>
        </w:trPr>
        <w:tc>
          <w:tcPr>
            <w:tcW w:w="4900" w:type="dxa"/>
            <w:vAlign w:val="bottom"/>
          </w:tcPr>
          <w:p>
            <w:pPr>
              <w:ind w:left="2600"/>
              <w:spacing w:after="0"/>
              <w:rPr>
                <w:sz w:val="20"/>
                <w:szCs w:val="20"/>
                <w:color w:val="auto"/>
              </w:rPr>
            </w:pPr>
            <w:r>
              <w:rPr>
                <w:rFonts w:ascii="Courier New" w:cs="Courier New" w:eastAsia="Courier New" w:hAnsi="Courier New"/>
                <w:sz w:val="12"/>
                <w:szCs w:val="12"/>
                <w:color w:val="auto"/>
              </w:rPr>
              <w:t>F - 1</w:t>
            </w:r>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87"/>
        </w:trPr>
        <w:tc>
          <w:tcPr>
            <w:tcW w:w="4900" w:type="dxa"/>
            <w:vAlign w:val="bottom"/>
          </w:tcPr>
          <w:p>
            <w:pPr>
              <w:jc w:val="center"/>
              <w:ind w:left="70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5"/>
        </w:trPr>
        <w:tc>
          <w:tcPr>
            <w:tcW w:w="4900" w:type="dxa"/>
            <w:vAlign w:val="bottom"/>
          </w:tcPr>
          <w:p>
            <w:pPr>
              <w:jc w:val="center"/>
              <w:ind w:left="701"/>
              <w:spacing w:after="0"/>
              <w:rPr>
                <w:sz w:val="20"/>
                <w:szCs w:val="20"/>
                <w:color w:val="auto"/>
              </w:rPr>
            </w:pPr>
            <w:r>
              <w:rPr>
                <w:rFonts w:ascii="Courier New" w:cs="Courier New" w:eastAsia="Courier New" w:hAnsi="Courier New"/>
                <w:sz w:val="12"/>
                <w:szCs w:val="12"/>
                <w:color w:val="auto"/>
                <w:w w:val="97"/>
              </w:rPr>
              <w:t>CONSOLIDATED BALANCE SHEETS</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ind w:left="700"/>
              <w:spacing w:after="0"/>
              <w:rPr>
                <w:sz w:val="20"/>
                <w:szCs w:val="20"/>
                <w:color w:val="auto"/>
              </w:rPr>
            </w:pPr>
            <w:r>
              <w:rPr>
                <w:rFonts w:ascii="Courier New" w:cs="Courier New" w:eastAsia="Courier New" w:hAnsi="Courier New"/>
                <w:sz w:val="12"/>
                <w:szCs w:val="12"/>
                <w:color w:val="auto"/>
                <w:w w:val="96"/>
              </w:rPr>
              <w:t>(dollars in thousands, except share data and per share data)</w:t>
            </w: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49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49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900" w:type="dxa"/>
            <w:vAlign w:val="bottom"/>
          </w:tcPr>
          <w:p>
            <w:pPr>
              <w:spacing w:after="0"/>
              <w:rPr>
                <w:sz w:val="11"/>
                <w:szCs w:val="11"/>
                <w:color w:val="auto"/>
              </w:rPr>
            </w:pPr>
          </w:p>
        </w:tc>
        <w:tc>
          <w:tcPr>
            <w:tcW w:w="20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NOTE</w:t>
            </w:r>
          </w:p>
        </w:tc>
        <w:tc>
          <w:tcPr>
            <w:tcW w:w="11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2006</w:t>
            </w:r>
          </w:p>
        </w:tc>
        <w:tc>
          <w:tcPr>
            <w:tcW w:w="380" w:type="dxa"/>
            <w:vAlign w:val="bottom"/>
          </w:tcPr>
          <w:p>
            <w:pPr>
              <w:spacing w:after="0"/>
              <w:rPr>
                <w:sz w:val="11"/>
                <w:szCs w:val="11"/>
                <w:color w:val="auto"/>
              </w:rPr>
            </w:pP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4900" w:type="dxa"/>
            <w:vAlign w:val="bottom"/>
          </w:tcPr>
          <w:p>
            <w:pPr>
              <w:spacing w:after="0"/>
              <w:rPr>
                <w:sz w:val="11"/>
                <w:szCs w:val="11"/>
                <w:color w:val="auto"/>
              </w:rPr>
            </w:pPr>
          </w:p>
        </w:tc>
        <w:tc>
          <w:tcPr>
            <w:tcW w:w="20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90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4900" w:type="dxa"/>
            <w:vAlign w:val="bottom"/>
          </w:tcPr>
          <w:p>
            <w:pPr>
              <w:ind w:left="280"/>
              <w:spacing w:after="0"/>
              <w:rPr>
                <w:sz w:val="20"/>
                <w:szCs w:val="20"/>
                <w:color w:val="auto"/>
              </w:rPr>
            </w:pPr>
            <w:r>
              <w:rPr>
                <w:rFonts w:ascii="Courier New" w:cs="Courier New" w:eastAsia="Courier New" w:hAnsi="Courier New"/>
                <w:sz w:val="12"/>
                <w:szCs w:val="12"/>
                <w:color w:val="auto"/>
              </w:rPr>
              <w:t>CURRENT ASSETS</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4900" w:type="dxa"/>
            <w:vAlign w:val="bottom"/>
          </w:tcPr>
          <w:p>
            <w:pPr>
              <w:ind w:left="480"/>
              <w:spacing w:after="0"/>
              <w:rPr>
                <w:sz w:val="20"/>
                <w:szCs w:val="20"/>
                <w:color w:val="auto"/>
              </w:rPr>
            </w:pPr>
            <w:r>
              <w:rPr>
                <w:rFonts w:ascii="Courier New" w:cs="Courier New" w:eastAsia="Courier New" w:hAnsi="Courier New"/>
                <w:sz w:val="12"/>
                <w:szCs w:val="12"/>
                <w:color w:val="auto"/>
              </w:rPr>
              <w:t>CASH AND CASH EQUIVALENTS</w:t>
            </w:r>
          </w:p>
        </w:tc>
        <w:tc>
          <w:tcPr>
            <w:tcW w:w="2080" w:type="dxa"/>
            <w:vAlign w:val="bottom"/>
          </w:tcPr>
          <w:p>
            <w:pPr>
              <w:spacing w:after="0"/>
              <w:rPr>
                <w:sz w:val="11"/>
                <w:szCs w:val="11"/>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39,710</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7,337</w:t>
            </w:r>
          </w:p>
        </w:tc>
      </w:tr>
      <w:tr>
        <w:trPr>
          <w:trHeight w:val="135"/>
        </w:trPr>
        <w:tc>
          <w:tcPr>
            <w:tcW w:w="4900" w:type="dxa"/>
            <w:vAlign w:val="bottom"/>
          </w:tcPr>
          <w:p>
            <w:pPr>
              <w:ind w:left="480"/>
              <w:spacing w:after="0"/>
              <w:rPr>
                <w:sz w:val="20"/>
                <w:szCs w:val="20"/>
                <w:color w:val="auto"/>
              </w:rPr>
            </w:pPr>
            <w:r>
              <w:rPr>
                <w:rFonts w:ascii="Courier New" w:cs="Courier New" w:eastAsia="Courier New" w:hAnsi="Courier New"/>
                <w:sz w:val="12"/>
                <w:szCs w:val="12"/>
                <w:color w:val="auto"/>
              </w:rPr>
              <w:t>SHORT-TERM INTEREST-BEARING DEPOSITS</w:t>
            </w:r>
          </w:p>
        </w:tc>
        <w:tc>
          <w:tcPr>
            <w:tcW w:w="2080" w:type="dxa"/>
            <w:vAlign w:val="bottom"/>
          </w:tcPr>
          <w:p>
            <w:pPr>
              <w:spacing w:after="0"/>
              <w:rPr>
                <w:sz w:val="11"/>
                <w:szCs w:val="11"/>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1,230</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900" w:type="dxa"/>
            <w:vAlign w:val="bottom"/>
          </w:tcPr>
          <w:p>
            <w:pPr>
              <w:ind w:left="480"/>
              <w:spacing w:after="0"/>
              <w:rPr>
                <w:sz w:val="20"/>
                <w:szCs w:val="20"/>
                <w:color w:val="auto"/>
              </w:rPr>
            </w:pPr>
            <w:r>
              <w:rPr>
                <w:rFonts w:ascii="Courier New" w:cs="Courier New" w:eastAsia="Courier New" w:hAnsi="Courier New"/>
                <w:sz w:val="12"/>
                <w:szCs w:val="12"/>
                <w:color w:val="auto"/>
              </w:rPr>
              <w:t>DESIGNATED CASH AND SHORT-TERM INTEREST-BEARING DEPOSITS</w:t>
            </w:r>
          </w:p>
        </w:tc>
        <w:tc>
          <w:tcPr>
            <w:tcW w:w="2080" w:type="dxa"/>
            <w:vAlign w:val="bottom"/>
          </w:tcPr>
          <w:p>
            <w:pPr>
              <w:spacing w:after="0"/>
              <w:rPr>
                <w:sz w:val="11"/>
                <w:szCs w:val="11"/>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31,661</w:t>
            </w:r>
          </w:p>
        </w:tc>
      </w:tr>
      <w:tr>
        <w:trPr>
          <w:trHeight w:val="135"/>
        </w:trPr>
        <w:tc>
          <w:tcPr>
            <w:tcW w:w="4900" w:type="dxa"/>
            <w:vAlign w:val="bottom"/>
          </w:tcPr>
          <w:p>
            <w:pPr>
              <w:ind w:left="480"/>
              <w:spacing w:after="0"/>
              <w:rPr>
                <w:sz w:val="20"/>
                <w:szCs w:val="20"/>
                <w:color w:val="auto"/>
              </w:rPr>
            </w:pPr>
            <w:r>
              <w:rPr>
                <w:rFonts w:ascii="Courier New" w:cs="Courier New" w:eastAsia="Courier New" w:hAnsi="Courier New"/>
                <w:sz w:val="12"/>
                <w:szCs w:val="12"/>
                <w:color w:val="auto"/>
              </w:rPr>
              <w:t>TRADE ACCOUNTS RECEIVABLE:</w:t>
            </w:r>
          </w:p>
        </w:tc>
        <w:tc>
          <w:tcPr>
            <w:tcW w:w="2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w:t>
            </w: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900" w:type="dxa"/>
            <w:vAlign w:val="bottom"/>
          </w:tcPr>
          <w:p>
            <w:pPr>
              <w:ind w:left="700"/>
              <w:spacing w:after="0"/>
              <w:rPr>
                <w:sz w:val="20"/>
                <w:szCs w:val="20"/>
                <w:color w:val="auto"/>
              </w:rPr>
            </w:pPr>
            <w:r>
              <w:rPr>
                <w:rFonts w:ascii="Courier New" w:cs="Courier New" w:eastAsia="Courier New" w:hAnsi="Courier New"/>
                <w:sz w:val="12"/>
                <w:szCs w:val="12"/>
                <w:color w:val="auto"/>
              </w:rPr>
              <w:t>RELATED PARTIES</w:t>
            </w:r>
          </w:p>
        </w:tc>
        <w:tc>
          <w:tcPr>
            <w:tcW w:w="2080" w:type="dxa"/>
            <w:vAlign w:val="bottom"/>
          </w:tcPr>
          <w:p>
            <w:pPr>
              <w:spacing w:after="0"/>
              <w:rPr>
                <w:sz w:val="11"/>
                <w:szCs w:val="11"/>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13,625</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5,309</w:t>
            </w:r>
          </w:p>
        </w:tc>
      </w:tr>
      <w:tr>
        <w:trPr>
          <w:trHeight w:val="135"/>
        </w:trPr>
        <w:tc>
          <w:tcPr>
            <w:tcW w:w="4900" w:type="dxa"/>
            <w:vAlign w:val="bottom"/>
          </w:tcPr>
          <w:p>
            <w:pPr>
              <w:ind w:left="700"/>
              <w:spacing w:after="0"/>
              <w:rPr>
                <w:sz w:val="20"/>
                <w:szCs w:val="20"/>
                <w:color w:val="auto"/>
              </w:rPr>
            </w:pPr>
            <w:r>
              <w:rPr>
                <w:rFonts w:ascii="Courier New" w:cs="Courier New" w:eastAsia="Courier New" w:hAnsi="Courier New"/>
                <w:sz w:val="12"/>
                <w:szCs w:val="12"/>
                <w:color w:val="auto"/>
              </w:rPr>
              <w:t>OTHERS</w:t>
            </w:r>
          </w:p>
        </w:tc>
        <w:tc>
          <w:tcPr>
            <w:tcW w:w="2080" w:type="dxa"/>
            <w:vAlign w:val="bottom"/>
          </w:tcPr>
          <w:p>
            <w:pPr>
              <w:spacing w:after="0"/>
              <w:rPr>
                <w:sz w:val="11"/>
                <w:szCs w:val="11"/>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17,873</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11,467</w:t>
            </w:r>
          </w:p>
        </w:tc>
      </w:tr>
      <w:tr>
        <w:trPr>
          <w:trHeight w:val="135"/>
        </w:trPr>
        <w:tc>
          <w:tcPr>
            <w:tcW w:w="4900" w:type="dxa"/>
            <w:vAlign w:val="bottom"/>
          </w:tcPr>
          <w:p>
            <w:pPr>
              <w:ind w:left="480"/>
              <w:spacing w:after="0"/>
              <w:rPr>
                <w:sz w:val="20"/>
                <w:szCs w:val="20"/>
                <w:color w:val="auto"/>
              </w:rPr>
            </w:pPr>
            <w:r>
              <w:rPr>
                <w:rFonts w:ascii="Courier New" w:cs="Courier New" w:eastAsia="Courier New" w:hAnsi="Courier New"/>
                <w:sz w:val="12"/>
                <w:szCs w:val="12"/>
                <w:color w:val="auto"/>
              </w:rPr>
              <w:t>OTHER RECEIVABLES</w:t>
            </w:r>
          </w:p>
        </w:tc>
        <w:tc>
          <w:tcPr>
            <w:tcW w:w="2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w:t>
            </w: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5,425</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9,043</w:t>
            </w:r>
          </w:p>
        </w:tc>
      </w:tr>
      <w:tr>
        <w:trPr>
          <w:trHeight w:val="135"/>
        </w:trPr>
        <w:tc>
          <w:tcPr>
            <w:tcW w:w="4900" w:type="dxa"/>
            <w:vAlign w:val="bottom"/>
          </w:tcPr>
          <w:p>
            <w:pPr>
              <w:ind w:left="480"/>
              <w:spacing w:after="0"/>
              <w:rPr>
                <w:sz w:val="20"/>
                <w:szCs w:val="20"/>
                <w:color w:val="auto"/>
              </w:rPr>
            </w:pPr>
            <w:r>
              <w:rPr>
                <w:rFonts w:ascii="Courier New" w:cs="Courier New" w:eastAsia="Courier New" w:hAnsi="Courier New"/>
                <w:sz w:val="12"/>
                <w:szCs w:val="12"/>
                <w:color w:val="auto"/>
              </w:rPr>
              <w:t>INVENTORIES</w:t>
            </w:r>
          </w:p>
        </w:tc>
        <w:tc>
          <w:tcPr>
            <w:tcW w:w="2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w:t>
            </w: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41,101</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24,376</w:t>
            </w:r>
          </w:p>
        </w:tc>
      </w:tr>
      <w:tr>
        <w:trPr>
          <w:trHeight w:val="135"/>
        </w:trPr>
        <w:tc>
          <w:tcPr>
            <w:tcW w:w="4900" w:type="dxa"/>
            <w:vAlign w:val="bottom"/>
          </w:tcPr>
          <w:p>
            <w:pPr>
              <w:ind w:left="480"/>
              <w:spacing w:after="0"/>
              <w:rPr>
                <w:sz w:val="20"/>
                <w:szCs w:val="20"/>
                <w:color w:val="auto"/>
              </w:rPr>
            </w:pPr>
            <w:r>
              <w:rPr>
                <w:rFonts w:ascii="Courier New" w:cs="Courier New" w:eastAsia="Courier New" w:hAnsi="Courier New"/>
                <w:sz w:val="12"/>
                <w:szCs w:val="12"/>
                <w:color w:val="auto"/>
              </w:rPr>
              <w:t>OTHER CURRENT ASSETS</w:t>
            </w:r>
          </w:p>
        </w:tc>
        <w:tc>
          <w:tcPr>
            <w:tcW w:w="2080" w:type="dxa"/>
            <w:vAlign w:val="bottom"/>
          </w:tcPr>
          <w:p>
            <w:pPr>
              <w:spacing w:after="0"/>
              <w:rPr>
                <w:sz w:val="11"/>
                <w:szCs w:val="11"/>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1,473</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1,048</w:t>
            </w:r>
          </w:p>
        </w:tc>
      </w:tr>
      <w:tr>
        <w:trPr>
          <w:trHeight w:val="135"/>
        </w:trPr>
        <w:tc>
          <w:tcPr>
            <w:tcW w:w="49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900" w:type="dxa"/>
            <w:vAlign w:val="bottom"/>
          </w:tcPr>
          <w:p>
            <w:pPr>
              <w:ind w:left="900"/>
              <w:spacing w:after="0"/>
              <w:rPr>
                <w:sz w:val="20"/>
                <w:szCs w:val="20"/>
                <w:color w:val="auto"/>
              </w:rPr>
            </w:pPr>
            <w:r>
              <w:rPr>
                <w:rFonts w:ascii="Courier New" w:cs="Courier New" w:eastAsia="Courier New" w:hAnsi="Courier New"/>
                <w:sz w:val="12"/>
                <w:szCs w:val="12"/>
                <w:color w:val="auto"/>
              </w:rPr>
              <w:t>TOTAL CURRENT ASSETS</w:t>
            </w:r>
          </w:p>
        </w:tc>
        <w:tc>
          <w:tcPr>
            <w:tcW w:w="2080" w:type="dxa"/>
            <w:vAlign w:val="bottom"/>
          </w:tcPr>
          <w:p>
            <w:pPr>
              <w:spacing w:after="0"/>
              <w:rPr>
                <w:sz w:val="11"/>
                <w:szCs w:val="11"/>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120,437</w:t>
            </w:r>
          </w:p>
        </w:tc>
        <w:tc>
          <w:tcPr>
            <w:tcW w:w="3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90,241</w:t>
            </w:r>
          </w:p>
        </w:tc>
      </w:tr>
      <w:tr>
        <w:trPr>
          <w:trHeight w:val="135"/>
        </w:trPr>
        <w:tc>
          <w:tcPr>
            <w:tcW w:w="49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0239"/>
          </w:cols>
          <w:pgMar w:left="220" w:top="272"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280" w:type="dxa"/>
            <w:vAlign w:val="bottom"/>
          </w:tcPr>
          <w:p>
            <w:pPr>
              <w:ind w:left="280"/>
              <w:spacing w:after="0"/>
              <w:rPr>
                <w:sz w:val="20"/>
                <w:szCs w:val="20"/>
                <w:color w:val="auto"/>
              </w:rPr>
            </w:pPr>
            <w:r>
              <w:rPr>
                <w:rFonts w:ascii="Courier New" w:cs="Courier New" w:eastAsia="Courier New" w:hAnsi="Courier New"/>
                <w:sz w:val="12"/>
                <w:szCs w:val="12"/>
                <w:color w:val="auto"/>
              </w:rPr>
              <w:t>PROPERTY AND EQUIPMENT, NET</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532,954</w:t>
            </w:r>
          </w:p>
        </w:tc>
        <w:tc>
          <w:tcPr>
            <w:tcW w:w="6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510,645</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280" w:type="dxa"/>
            <w:vAlign w:val="bottom"/>
          </w:tcPr>
          <w:p>
            <w:pPr>
              <w:ind w:left="280"/>
              <w:spacing w:after="0"/>
              <w:rPr>
                <w:sz w:val="20"/>
                <w:szCs w:val="20"/>
                <w:color w:val="auto"/>
              </w:rPr>
            </w:pPr>
            <w:r>
              <w:rPr>
                <w:rFonts w:ascii="Courier New" w:cs="Courier New" w:eastAsia="Courier New" w:hAnsi="Courier New"/>
                <w:sz w:val="12"/>
                <w:szCs w:val="12"/>
                <w:color w:val="auto"/>
              </w:rPr>
              <w:t>INTANGIBLE ASSETS, NET</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6</w:t>
            </w:r>
          </w:p>
        </w:tc>
        <w:tc>
          <w:tcPr>
            <w:tcW w:w="5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44,981</w:t>
            </w:r>
          </w:p>
        </w:tc>
        <w:tc>
          <w:tcPr>
            <w:tcW w:w="6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61,441</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280" w:type="dxa"/>
            <w:vAlign w:val="bottom"/>
          </w:tcPr>
          <w:p>
            <w:pPr>
              <w:ind w:left="280"/>
              <w:spacing w:after="0"/>
              <w:rPr>
                <w:sz w:val="20"/>
                <w:szCs w:val="20"/>
                <w:color w:val="auto"/>
              </w:rPr>
            </w:pPr>
            <w:r>
              <w:rPr>
                <w:rFonts w:ascii="Courier New" w:cs="Courier New" w:eastAsia="Courier New" w:hAnsi="Courier New"/>
                <w:sz w:val="12"/>
                <w:szCs w:val="12"/>
                <w:color w:val="auto"/>
              </w:rPr>
              <w:t>OTHER ASSETS , NET</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1,346</w:t>
            </w:r>
          </w:p>
        </w:tc>
        <w:tc>
          <w:tcPr>
            <w:tcW w:w="6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16,359</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280" w:type="dxa"/>
            <w:vAlign w:val="bottom"/>
          </w:tcPr>
          <w:p>
            <w:pPr>
              <w:ind w:left="900"/>
              <w:spacing w:after="0"/>
              <w:rPr>
                <w:sz w:val="20"/>
                <w:szCs w:val="20"/>
                <w:color w:val="auto"/>
              </w:rPr>
            </w:pPr>
            <w:r>
              <w:rPr>
                <w:rFonts w:ascii="Courier New" w:cs="Courier New" w:eastAsia="Courier New" w:hAnsi="Courier New"/>
                <w:sz w:val="12"/>
                <w:szCs w:val="12"/>
                <w:color w:val="auto"/>
              </w:rPr>
              <w:t>TOTAL ASSETS</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$ 699,718</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$ 678,686</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280" w:type="dxa"/>
            <w:vAlign w:val="bottom"/>
          </w:tcPr>
          <w:p>
            <w:pPr>
              <w:ind w:left="280"/>
              <w:spacing w:after="0"/>
              <w:rPr>
                <w:sz w:val="20"/>
                <w:szCs w:val="20"/>
                <w:color w:val="auto"/>
              </w:rPr>
            </w:pPr>
            <w:r>
              <w:rPr>
                <w:rFonts w:ascii="Courier New" w:cs="Courier New" w:eastAsia="Courier New" w:hAnsi="Courier New"/>
                <w:sz w:val="12"/>
                <w:szCs w:val="12"/>
                <w:color w:val="auto"/>
              </w:rPr>
              <w:t>CURRENT LIABILITIES</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280" w:type="dxa"/>
            <w:vAlign w:val="bottom"/>
          </w:tcPr>
          <w:p>
            <w:pPr>
              <w:ind w:left="480"/>
              <w:spacing w:after="0"/>
              <w:rPr>
                <w:sz w:val="20"/>
                <w:szCs w:val="20"/>
                <w:color w:val="auto"/>
              </w:rPr>
            </w:pPr>
            <w:r>
              <w:rPr>
                <w:rFonts w:ascii="Courier New" w:cs="Courier New" w:eastAsia="Courier New" w:hAnsi="Courier New"/>
                <w:sz w:val="12"/>
                <w:szCs w:val="12"/>
                <w:color w:val="auto"/>
              </w:rPr>
              <w:t>CURRENT MATURITIES OF LONG-TERM DEBT</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8</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21,103</w:t>
            </w:r>
          </w:p>
        </w:tc>
      </w:tr>
      <w:tr>
        <w:trPr>
          <w:trHeight w:val="135"/>
        </w:trPr>
        <w:tc>
          <w:tcPr>
            <w:tcW w:w="4280" w:type="dxa"/>
            <w:vAlign w:val="bottom"/>
          </w:tcPr>
          <w:p>
            <w:pPr>
              <w:ind w:left="48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6,632</w:t>
            </w:r>
          </w:p>
        </w:tc>
        <w:tc>
          <w:tcPr>
            <w:tcW w:w="6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6,453</w:t>
            </w:r>
          </w:p>
        </w:tc>
      </w:tr>
      <w:tr>
        <w:trPr>
          <w:trHeight w:val="135"/>
        </w:trPr>
        <w:tc>
          <w:tcPr>
            <w:tcW w:w="4280" w:type="dxa"/>
            <w:vAlign w:val="bottom"/>
          </w:tcPr>
          <w:p>
            <w:pPr>
              <w:ind w:left="480"/>
              <w:spacing w:after="0"/>
              <w:rPr>
                <w:sz w:val="20"/>
                <w:szCs w:val="20"/>
                <w:color w:val="auto"/>
              </w:rPr>
            </w:pPr>
            <w:r>
              <w:rPr>
                <w:rFonts w:ascii="Courier New" w:cs="Courier New" w:eastAsia="Courier New" w:hAnsi="Courier New"/>
                <w:sz w:val="12"/>
                <w:szCs w:val="12"/>
                <w:color w:val="auto"/>
              </w:rPr>
              <w:t>TRADE ACCOUNTS PAYABLE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55,128</w:t>
            </w:r>
          </w:p>
        </w:tc>
        <w:tc>
          <w:tcPr>
            <w:tcW w:w="6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59,741</w:t>
            </w:r>
          </w:p>
        </w:tc>
      </w:tr>
      <w:tr>
        <w:trPr>
          <w:trHeight w:val="135"/>
        </w:trPr>
        <w:tc>
          <w:tcPr>
            <w:tcW w:w="4280" w:type="dxa"/>
            <w:vAlign w:val="bottom"/>
          </w:tcPr>
          <w:p>
            <w:pPr>
              <w:ind w:left="480"/>
              <w:spacing w:after="0"/>
              <w:rPr>
                <w:sz w:val="20"/>
                <w:szCs w:val="20"/>
                <w:color w:val="auto"/>
              </w:rPr>
            </w:pPr>
            <w:r>
              <w:rPr>
                <w:rFonts w:ascii="Courier New" w:cs="Courier New" w:eastAsia="Courier New" w:hAnsi="Courier New"/>
                <w:sz w:val="12"/>
                <w:szCs w:val="12"/>
                <w:color w:val="auto"/>
              </w:rPr>
              <w:t>OTHER CURRENT LIABILITIES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7</w:t>
            </w: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22,096</w:t>
            </w:r>
          </w:p>
        </w:tc>
        <w:tc>
          <w:tcPr>
            <w:tcW w:w="6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8,972</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280" w:type="dxa"/>
            <w:vAlign w:val="bottom"/>
          </w:tcPr>
          <w:p>
            <w:pPr>
              <w:ind w:left="900"/>
              <w:spacing w:after="0"/>
              <w:rPr>
                <w:sz w:val="20"/>
                <w:szCs w:val="20"/>
                <w:color w:val="auto"/>
              </w:rPr>
            </w:pPr>
            <w:r>
              <w:rPr>
                <w:rFonts w:ascii="Courier New" w:cs="Courier New" w:eastAsia="Courier New" w:hAnsi="Courier New"/>
                <w:sz w:val="12"/>
                <w:szCs w:val="12"/>
                <w:color w:val="auto"/>
              </w:rPr>
              <w:t>TOTAL CURRENT LIABILITIES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83,856</w:t>
            </w:r>
          </w:p>
        </w:tc>
        <w:tc>
          <w:tcPr>
            <w:tcW w:w="6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96,269</w:t>
            </w:r>
          </w:p>
        </w:tc>
      </w:tr>
      <w:tr>
        <w:trPr>
          <w:trHeight w:val="270"/>
        </w:trPr>
        <w:tc>
          <w:tcPr>
            <w:tcW w:w="4280" w:type="dxa"/>
            <w:vAlign w:val="bottom"/>
          </w:tcPr>
          <w:p>
            <w:pPr>
              <w:ind w:left="280"/>
              <w:spacing w:after="0"/>
              <w:rPr>
                <w:sz w:val="20"/>
                <w:szCs w:val="20"/>
                <w:color w:val="auto"/>
              </w:rPr>
            </w:pPr>
            <w:r>
              <w:rPr>
                <w:rFonts w:ascii="Courier New" w:cs="Courier New" w:eastAsia="Courier New" w:hAnsi="Courier New"/>
                <w:sz w:val="12"/>
                <w:szCs w:val="12"/>
                <w:color w:val="auto"/>
              </w:rPr>
              <w:t>LONG-TERM DEBT FROM BANKS</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8</w:t>
            </w:r>
          </w:p>
        </w:tc>
        <w:tc>
          <w:tcPr>
            <w:tcW w:w="5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356,947</w:t>
            </w:r>
          </w:p>
        </w:tc>
        <w:tc>
          <w:tcPr>
            <w:tcW w:w="6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497,000</w:t>
            </w:r>
          </w:p>
        </w:tc>
      </w:tr>
      <w:tr>
        <w:trPr>
          <w:trHeight w:val="270"/>
        </w:trPr>
        <w:tc>
          <w:tcPr>
            <w:tcW w:w="4280" w:type="dxa"/>
            <w:vAlign w:val="bottom"/>
          </w:tcPr>
          <w:p>
            <w:pPr>
              <w:ind w:left="280"/>
              <w:spacing w:after="0"/>
              <w:rPr>
                <w:sz w:val="20"/>
                <w:szCs w:val="20"/>
                <w:color w:val="auto"/>
              </w:rPr>
            </w:pPr>
            <w:r>
              <w:rPr>
                <w:rFonts w:ascii="Courier New" w:cs="Courier New" w:eastAsia="Courier New" w:hAnsi="Courier New"/>
                <w:sz w:val="12"/>
                <w:szCs w:val="12"/>
                <w:color w:val="auto"/>
              </w:rPr>
              <w:t>CONVERTIBLE DEBENTURES</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c>
          <w:tcPr>
            <w:tcW w:w="5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62,175</w:t>
            </w:r>
          </w:p>
        </w:tc>
        <w:tc>
          <w:tcPr>
            <w:tcW w:w="6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19,358</w:t>
            </w:r>
          </w:p>
        </w:tc>
      </w:tr>
      <w:tr>
        <w:trPr>
          <w:trHeight w:val="270"/>
        </w:trPr>
        <w:tc>
          <w:tcPr>
            <w:tcW w:w="4280" w:type="dxa"/>
            <w:vAlign w:val="bottom"/>
          </w:tcPr>
          <w:p>
            <w:pPr>
              <w:ind w:left="280"/>
              <w:spacing w:after="0"/>
              <w:rPr>
                <w:sz w:val="20"/>
                <w:szCs w:val="20"/>
                <w:color w:val="auto"/>
              </w:rPr>
            </w:pPr>
            <w:r>
              <w:rPr>
                <w:rFonts w:ascii="Courier New" w:cs="Courier New" w:eastAsia="Courier New" w:hAnsi="Courier New"/>
                <w:sz w:val="12"/>
                <w:szCs w:val="12"/>
                <w:color w:val="auto"/>
              </w:rPr>
              <w:t>LONG-TERM CUSTOMERS' ADVANCES</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11A</w:t>
            </w:r>
          </w:p>
        </w:tc>
        <w:tc>
          <w:tcPr>
            <w:tcW w:w="5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46,042</w:t>
            </w:r>
          </w:p>
        </w:tc>
        <w:tc>
          <w:tcPr>
            <w:tcW w:w="6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59,621</w:t>
            </w:r>
          </w:p>
        </w:tc>
      </w:tr>
      <w:tr>
        <w:trPr>
          <w:trHeight w:val="270"/>
        </w:trPr>
        <w:tc>
          <w:tcPr>
            <w:tcW w:w="4280" w:type="dxa"/>
            <w:vAlign w:val="bottom"/>
          </w:tcPr>
          <w:p>
            <w:pPr>
              <w:ind w:left="280"/>
              <w:spacing w:after="0"/>
              <w:rPr>
                <w:sz w:val="20"/>
                <w:szCs w:val="20"/>
                <w:color w:val="auto"/>
              </w:rPr>
            </w:pPr>
            <w:r>
              <w:rPr>
                <w:rFonts w:ascii="Courier New" w:cs="Courier New" w:eastAsia="Courier New" w:hAnsi="Courier New"/>
                <w:sz w:val="12"/>
                <w:szCs w:val="12"/>
                <w:color w:val="auto"/>
              </w:rPr>
              <w:t>OTHER LONG-TERM LIABILITIES</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10</w:t>
            </w:r>
          </w:p>
        </w:tc>
        <w:tc>
          <w:tcPr>
            <w:tcW w:w="5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17,708</w:t>
            </w:r>
          </w:p>
        </w:tc>
        <w:tc>
          <w:tcPr>
            <w:tcW w:w="6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11,012</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280" w:type="dxa"/>
            <w:vAlign w:val="bottom"/>
          </w:tcPr>
          <w:p>
            <w:pPr>
              <w:ind w:left="900"/>
              <w:spacing w:after="0"/>
              <w:rPr>
                <w:sz w:val="20"/>
                <w:szCs w:val="20"/>
                <w:color w:val="auto"/>
              </w:rPr>
            </w:pPr>
            <w:r>
              <w:rPr>
                <w:rFonts w:ascii="Courier New" w:cs="Courier New" w:eastAsia="Courier New" w:hAnsi="Courier New"/>
                <w:sz w:val="12"/>
                <w:szCs w:val="12"/>
                <w:color w:val="auto"/>
              </w:rPr>
              <w:t>TOTAL LIABILITIES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566,728</w:t>
            </w:r>
          </w:p>
        </w:tc>
        <w:tc>
          <w:tcPr>
            <w:tcW w:w="6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683,260</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280" w:type="dxa"/>
            <w:vAlign w:val="bottom"/>
          </w:tcPr>
          <w:p>
            <w:pPr>
              <w:ind w:left="280"/>
              <w:spacing w:after="0"/>
              <w:rPr>
                <w:sz w:val="20"/>
                <w:szCs w:val="20"/>
                <w:color w:val="auto"/>
              </w:rPr>
            </w:pPr>
            <w:r>
              <w:rPr>
                <w:rFonts w:ascii="Courier New" w:cs="Courier New" w:eastAsia="Courier New" w:hAnsi="Courier New"/>
                <w:sz w:val="12"/>
                <w:szCs w:val="12"/>
                <w:color w:val="auto"/>
              </w:rPr>
              <w:t>CONVERTIBLE DEBENTURES</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c>
          <w:tcPr>
            <w:tcW w:w="5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25,493</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280" w:type="dxa"/>
            <w:vAlign w:val="bottom"/>
          </w:tcPr>
          <w:p>
            <w:pPr>
              <w:ind w:left="280"/>
              <w:spacing w:after="0"/>
              <w:rPr>
                <w:sz w:val="20"/>
                <w:szCs w:val="20"/>
                <w:color w:val="auto"/>
              </w:rPr>
            </w:pPr>
            <w:r>
              <w:rPr>
                <w:rFonts w:ascii="Courier New" w:cs="Courier New" w:eastAsia="Courier New" w:hAnsi="Courier New"/>
                <w:sz w:val="12"/>
                <w:szCs w:val="12"/>
                <w:color w:val="auto"/>
              </w:rPr>
              <w:t>SHAREHOLDERS' EQUITY (DEFICIT)</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280" w:type="dxa"/>
            <w:vAlign w:val="bottom"/>
          </w:tcPr>
          <w:p>
            <w:pPr>
              <w:ind w:left="480"/>
              <w:spacing w:after="0"/>
              <w:rPr>
                <w:sz w:val="20"/>
                <w:szCs w:val="20"/>
                <w:color w:val="auto"/>
              </w:rPr>
            </w:pPr>
            <w:r>
              <w:rPr>
                <w:rFonts w:ascii="Courier New" w:cs="Courier New" w:eastAsia="Courier New" w:hAnsi="Courier New"/>
                <w:sz w:val="12"/>
                <w:szCs w:val="12"/>
                <w:color w:val="auto"/>
              </w:rPr>
              <w:t>ORDINARY SHARES, NIS 1.00 PAR VALUE - AUTHORIZED</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280" w:type="dxa"/>
            <w:vAlign w:val="bottom"/>
          </w:tcPr>
          <w:p>
            <w:pPr>
              <w:ind w:left="700"/>
              <w:spacing w:after="0"/>
              <w:rPr>
                <w:sz w:val="20"/>
                <w:szCs w:val="20"/>
                <w:color w:val="auto"/>
              </w:rPr>
            </w:pPr>
            <w:r>
              <w:rPr>
                <w:rFonts w:ascii="Courier New" w:cs="Courier New" w:eastAsia="Courier New" w:hAnsi="Courier New"/>
                <w:sz w:val="12"/>
                <w:szCs w:val="12"/>
                <w:color w:val="auto"/>
              </w:rPr>
              <w:t>800,000,000 AND 500,000,000 SHARES, RESPECTIVELY;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5160" w:type="dxa"/>
            <w:vAlign w:val="bottom"/>
            <w:gridSpan w:val="2"/>
          </w:tcPr>
          <w:p>
            <w:pPr>
              <w:ind w:left="700"/>
              <w:spacing w:after="0"/>
              <w:rPr>
                <w:sz w:val="20"/>
                <w:szCs w:val="20"/>
                <w:color w:val="auto"/>
              </w:rPr>
            </w:pPr>
            <w:r>
              <w:rPr>
                <w:rFonts w:ascii="Courier New" w:cs="Courier New" w:eastAsia="Courier New" w:hAnsi="Courier New"/>
                <w:sz w:val="12"/>
                <w:szCs w:val="12"/>
                <w:color w:val="auto"/>
              </w:rPr>
              <w:t>ISSUED 102,052,767 AND 68,232,056 SHARES, RESPECTIVELY</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11A, 12</w:t>
            </w: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24,187</w:t>
            </w:r>
          </w:p>
        </w:tc>
        <w:tc>
          <w:tcPr>
            <w:tcW w:w="6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16,548</w:t>
            </w:r>
          </w:p>
        </w:tc>
      </w:tr>
      <w:tr>
        <w:trPr>
          <w:trHeight w:val="135"/>
        </w:trPr>
        <w:tc>
          <w:tcPr>
            <w:tcW w:w="4280" w:type="dxa"/>
            <w:vAlign w:val="bottom"/>
          </w:tcPr>
          <w:p>
            <w:pPr>
              <w:ind w:left="480"/>
              <w:spacing w:after="0"/>
              <w:rPr>
                <w:sz w:val="20"/>
                <w:szCs w:val="20"/>
                <w:color w:val="auto"/>
              </w:rPr>
            </w:pPr>
            <w:r>
              <w:rPr>
                <w:rFonts w:ascii="Courier New" w:cs="Courier New" w:eastAsia="Courier New" w:hAnsi="Courier New"/>
                <w:sz w:val="12"/>
                <w:szCs w:val="12"/>
                <w:color w:val="auto"/>
              </w:rPr>
              <w:t>ADDITIONAL PAID-IN CAPITAL</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11A, 12</w:t>
            </w: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564,580</w:t>
            </w:r>
          </w:p>
        </w:tc>
        <w:tc>
          <w:tcPr>
            <w:tcW w:w="6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522,237</w:t>
            </w:r>
          </w:p>
        </w:tc>
      </w:tr>
      <w:tr>
        <w:trPr>
          <w:trHeight w:val="135"/>
        </w:trPr>
        <w:tc>
          <w:tcPr>
            <w:tcW w:w="4280" w:type="dxa"/>
            <w:vAlign w:val="bottom"/>
          </w:tcPr>
          <w:p>
            <w:pPr>
              <w:ind w:left="480"/>
              <w:spacing w:after="0"/>
              <w:rPr>
                <w:sz w:val="20"/>
                <w:szCs w:val="20"/>
                <w:color w:val="auto"/>
              </w:rPr>
            </w:pPr>
            <w:r>
              <w:rPr>
                <w:rFonts w:ascii="Courier New" w:cs="Courier New" w:eastAsia="Courier New" w:hAnsi="Courier New"/>
                <w:sz w:val="12"/>
                <w:szCs w:val="12"/>
                <w:color w:val="auto"/>
              </w:rPr>
              <w:t>CAPITAL NOTES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12C</w:t>
            </w: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176,401</w:t>
            </w:r>
          </w:p>
        </w:tc>
        <w:tc>
          <w:tcPr>
            <w:tcW w:w="6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16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EQUITY COMPONENT OF CONVERTIBLE DEBENTURES AND CUMULATIVE</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280" w:type="dxa"/>
            <w:vAlign w:val="bottom"/>
          </w:tcPr>
          <w:p>
            <w:pPr>
              <w:ind w:left="700"/>
              <w:spacing w:after="0"/>
              <w:rPr>
                <w:sz w:val="20"/>
                <w:szCs w:val="20"/>
                <w:color w:val="auto"/>
              </w:rPr>
            </w:pPr>
            <w:r>
              <w:rPr>
                <w:rFonts w:ascii="Courier New" w:cs="Courier New" w:eastAsia="Courier New" w:hAnsi="Courier New"/>
                <w:sz w:val="12"/>
                <w:szCs w:val="12"/>
                <w:color w:val="auto"/>
              </w:rPr>
              <w:t>STOCK BASED COMPENSATION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23,576</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(26)</w:t>
            </w:r>
          </w:p>
        </w:tc>
      </w:tr>
      <w:tr>
        <w:trPr>
          <w:trHeight w:val="135"/>
        </w:trPr>
        <w:tc>
          <w:tcPr>
            <w:tcW w:w="4280" w:type="dxa"/>
            <w:vAlign w:val="bottom"/>
          </w:tcPr>
          <w:p>
            <w:pPr>
              <w:ind w:left="480"/>
              <w:spacing w:after="0"/>
              <w:rPr>
                <w:sz w:val="20"/>
                <w:szCs w:val="20"/>
                <w:color w:val="auto"/>
              </w:rPr>
            </w:pPr>
            <w:r>
              <w:rPr>
                <w:rFonts w:ascii="Courier New" w:cs="Courier New" w:eastAsia="Courier New" w:hAnsi="Courier New"/>
                <w:sz w:val="12"/>
                <w:szCs w:val="12"/>
                <w:color w:val="auto"/>
              </w:rPr>
              <w:t>ACCUMULATED DEFICIT</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w w:val="95"/>
              </w:rPr>
              <w:t>(646,682)</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(559,754)</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142,062</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(20,995)</w:t>
            </w:r>
          </w:p>
        </w:tc>
      </w:tr>
      <w:tr>
        <w:trPr>
          <w:trHeight w:val="135"/>
        </w:trPr>
        <w:tc>
          <w:tcPr>
            <w:tcW w:w="4280" w:type="dxa"/>
            <w:vAlign w:val="bottom"/>
          </w:tcPr>
          <w:p>
            <w:pPr>
              <w:ind w:left="480"/>
              <w:spacing w:after="0"/>
              <w:rPr>
                <w:sz w:val="20"/>
                <w:szCs w:val="20"/>
                <w:color w:val="auto"/>
              </w:rPr>
            </w:pPr>
            <w:r>
              <w:rPr>
                <w:rFonts w:ascii="Courier New" w:cs="Courier New" w:eastAsia="Courier New" w:hAnsi="Courier New"/>
                <w:sz w:val="12"/>
                <w:szCs w:val="12"/>
                <w:color w:val="auto"/>
              </w:rPr>
              <w:t>TREASURY STOCK, AT COST - 1,300,000 SHARES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12D</w:t>
            </w:r>
          </w:p>
        </w:tc>
        <w:tc>
          <w:tcPr>
            <w:tcW w:w="560" w:type="dxa"/>
            <w:vAlign w:val="bottom"/>
          </w:tcPr>
          <w:p>
            <w:pPr>
              <w:spacing w:after="0"/>
              <w:rPr>
                <w:sz w:val="11"/>
                <w:szCs w:val="11"/>
                <w:color w:val="auto"/>
              </w:rPr>
            </w:pPr>
          </w:p>
        </w:tc>
        <w:tc>
          <w:tcPr>
            <w:tcW w:w="120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(9,072)</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(9,072)</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280" w:type="dxa"/>
            <w:vAlign w:val="bottom"/>
          </w:tcPr>
          <w:p>
            <w:pPr>
              <w:ind w:left="900"/>
              <w:spacing w:after="0"/>
              <w:rPr>
                <w:sz w:val="20"/>
                <w:szCs w:val="20"/>
                <w:color w:val="auto"/>
              </w:rPr>
            </w:pPr>
            <w:r>
              <w:rPr>
                <w:rFonts w:ascii="Courier New" w:cs="Courier New" w:eastAsia="Courier New" w:hAnsi="Courier New"/>
                <w:sz w:val="12"/>
                <w:szCs w:val="12"/>
                <w:color w:val="auto"/>
              </w:rPr>
              <w:t>TOTAL SHAREHOLDERS' EQUITY (DEFICIT)</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132,990</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(30,067)</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280" w:type="dxa"/>
            <w:vAlign w:val="bottom"/>
          </w:tcPr>
          <w:p>
            <w:pPr>
              <w:ind w:left="90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$ 699,718</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$ 678,686</w:t>
            </w: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SEE NOTES TO CONSOLIDATED FINANCIAL STATEMENTS.</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405"/>
        </w:trPr>
        <w:tc>
          <w:tcPr>
            <w:tcW w:w="4280" w:type="dxa"/>
            <w:vAlign w:val="bottom"/>
          </w:tcPr>
          <w:p>
            <w:pPr>
              <w:ind w:left="2600"/>
              <w:spacing w:after="0"/>
              <w:rPr>
                <w:sz w:val="20"/>
                <w:szCs w:val="20"/>
                <w:color w:val="auto"/>
              </w:rPr>
            </w:pPr>
            <w:r>
              <w:rPr>
                <w:rFonts w:ascii="Courier New" w:cs="Courier New" w:eastAsia="Courier New" w:hAnsi="Courier New"/>
                <w:sz w:val="12"/>
                <w:szCs w:val="12"/>
                <w:color w:val="auto"/>
              </w:rPr>
              <w:t>F - 2</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87"/>
        </w:trPr>
        <w:tc>
          <w:tcPr>
            <w:tcW w:w="4280" w:type="dxa"/>
            <w:vAlign w:val="bottom"/>
          </w:tcPr>
          <w:p>
            <w:pPr>
              <w:ind w:left="1460"/>
              <w:spacing w:after="0"/>
              <w:rPr>
                <w:sz w:val="20"/>
                <w:szCs w:val="20"/>
                <w:color w:val="auto"/>
              </w:rPr>
            </w:pPr>
            <w:r>
              <w:rPr>
                <w:rFonts w:ascii="Courier New" w:cs="Courier New" w:eastAsia="Courier New" w:hAnsi="Courier New"/>
                <w:sz w:val="12"/>
                <w:szCs w:val="12"/>
                <w:color w:val="auto"/>
                <w:w w:val="99"/>
              </w:rPr>
              <w:t>TOWER SEMICONDUCTOR LTD. AND SUBSIDIARY</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35"/>
        </w:trPr>
        <w:tc>
          <w:tcPr>
            <w:tcW w:w="4280" w:type="dxa"/>
            <w:vAlign w:val="bottom"/>
          </w:tcPr>
          <w:p>
            <w:pPr>
              <w:ind w:left="1540"/>
              <w:spacing w:after="0"/>
              <w:rPr>
                <w:sz w:val="20"/>
                <w:szCs w:val="20"/>
                <w:color w:val="auto"/>
              </w:rPr>
            </w:pPr>
            <w:r>
              <w:rPr>
                <w:rFonts w:ascii="Courier New" w:cs="Courier New" w:eastAsia="Courier New" w:hAnsi="Courier New"/>
                <w:sz w:val="12"/>
                <w:szCs w:val="12"/>
                <w:color w:val="auto"/>
              </w:rPr>
              <w:t>CONSOLIDATED STATEMENTS OF OPERATIONS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5160" w:type="dxa"/>
            <w:vAlign w:val="bottom"/>
            <w:gridSpan w:val="2"/>
          </w:tcPr>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4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4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w w:val="98"/>
              </w:rPr>
              <w:t>YEAR ENDED DECEMBER 31,</w:t>
            </w: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6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88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Note</w:t>
            </w:r>
          </w:p>
        </w:tc>
        <w:tc>
          <w:tcPr>
            <w:tcW w:w="24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2006</w:t>
            </w:r>
          </w:p>
        </w:tc>
        <w:tc>
          <w:tcPr>
            <w:tcW w:w="600" w:type="dxa"/>
            <w:vAlign w:val="bottom"/>
          </w:tcPr>
          <w:p>
            <w:pPr>
              <w:spacing w:after="0"/>
              <w:rPr>
                <w:sz w:val="11"/>
                <w:szCs w:val="11"/>
                <w:color w:val="auto"/>
              </w:rPr>
            </w:pPr>
          </w:p>
        </w:tc>
        <w:tc>
          <w:tcPr>
            <w:tcW w:w="56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0"/>
              </w:rPr>
              <w:t>2005</w:t>
            </w:r>
          </w:p>
        </w:tc>
        <w:tc>
          <w:tcPr>
            <w:tcW w:w="580" w:type="dxa"/>
            <w:vAlign w:val="bottom"/>
          </w:tcPr>
          <w:p>
            <w:pPr>
              <w:spacing w:after="0"/>
              <w:rPr>
                <w:sz w:val="11"/>
                <w:szCs w:val="11"/>
                <w:color w:val="auto"/>
              </w:rPr>
            </w:pPr>
          </w:p>
        </w:tc>
        <w:tc>
          <w:tcPr>
            <w:tcW w:w="6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2004</w:t>
            </w:r>
          </w:p>
        </w:tc>
        <w:tc>
          <w:tcPr>
            <w:tcW w:w="64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spacing w:after="0"/>
              <w:rPr>
                <w:sz w:val="11"/>
                <w:szCs w:val="11"/>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88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13</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SALES</w:t>
            </w:r>
          </w:p>
        </w:tc>
        <w:tc>
          <w:tcPr>
            <w:tcW w:w="880" w:type="dxa"/>
            <w:vAlign w:val="bottom"/>
          </w:tcPr>
          <w:p>
            <w:pPr>
              <w:spacing w:after="0"/>
              <w:rPr>
                <w:sz w:val="11"/>
                <w:szCs w:val="11"/>
                <w:color w:val="auto"/>
              </w:rPr>
            </w:pP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$ 187,438</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93,991</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124,111</w:t>
            </w:r>
          </w:p>
        </w:tc>
        <w:tc>
          <w:tcPr>
            <w:tcW w:w="640" w:type="dxa"/>
            <w:vAlign w:val="bottom"/>
          </w:tcPr>
          <w:p>
            <w:pPr>
              <w:spacing w:after="0"/>
              <w:rPr>
                <w:sz w:val="11"/>
                <w:szCs w:val="11"/>
                <w:color w:val="auto"/>
              </w:rPr>
            </w:pPr>
          </w:p>
        </w:tc>
      </w:tr>
      <w:tr>
        <w:trPr>
          <w:trHeight w:val="135"/>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REVENUES RELATED TO A JOINT DEVELOPMENT AGREEMENT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11B(2)</w:t>
            </w: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8,000</w:t>
            </w:r>
          </w:p>
        </w:tc>
        <w:tc>
          <w:tcPr>
            <w:tcW w:w="5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1,944</w:t>
            </w:r>
          </w:p>
        </w:tc>
        <w:tc>
          <w:tcPr>
            <w:tcW w:w="64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187,438</w:t>
            </w:r>
          </w:p>
        </w:tc>
        <w:tc>
          <w:tcPr>
            <w:tcW w:w="60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101,991</w:t>
            </w:r>
          </w:p>
        </w:tc>
        <w:tc>
          <w:tcPr>
            <w:tcW w:w="5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126,055</w:t>
            </w:r>
          </w:p>
        </w:tc>
        <w:tc>
          <w:tcPr>
            <w:tcW w:w="640" w:type="dxa"/>
            <w:vAlign w:val="bottom"/>
          </w:tcPr>
          <w:p>
            <w:pPr>
              <w:spacing w:after="0"/>
              <w:rPr>
                <w:sz w:val="11"/>
                <w:szCs w:val="11"/>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267,390</w:t>
            </w:r>
          </w:p>
        </w:tc>
        <w:tc>
          <w:tcPr>
            <w:tcW w:w="60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238,358</w:t>
            </w:r>
          </w:p>
        </w:tc>
        <w:tc>
          <w:tcPr>
            <w:tcW w:w="580" w:type="dxa"/>
            <w:vAlign w:val="bottom"/>
          </w:tcPr>
          <w:p>
            <w:pPr>
              <w:spacing w:after="0"/>
              <w:rPr>
                <w:sz w:val="23"/>
                <w:szCs w:val="23"/>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228,410</w:t>
            </w:r>
          </w:p>
        </w:tc>
        <w:tc>
          <w:tcPr>
            <w:tcW w:w="64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spacing w:after="0"/>
              <w:rPr>
                <w:sz w:val="11"/>
                <w:szCs w:val="11"/>
                <w:color w:val="auto"/>
              </w:rPr>
            </w:pPr>
          </w:p>
        </w:tc>
      </w:tr>
      <w:tr>
        <w:trPr>
          <w:trHeight w:val="270"/>
        </w:trPr>
        <w:tc>
          <w:tcPr>
            <w:tcW w:w="4280" w:type="dxa"/>
            <w:vAlign w:val="bottom"/>
          </w:tcPr>
          <w:p>
            <w:pPr>
              <w:ind w:left="560"/>
              <w:spacing w:after="0"/>
              <w:rPr>
                <w:sz w:val="20"/>
                <w:szCs w:val="20"/>
                <w:color w:val="auto"/>
              </w:rPr>
            </w:pPr>
            <w:r>
              <w:rPr>
                <w:rFonts w:ascii="Courier New" w:cs="Courier New" w:eastAsia="Courier New" w:hAnsi="Courier New"/>
                <w:sz w:val="12"/>
                <w:szCs w:val="12"/>
                <w:color w:val="auto"/>
              </w:rPr>
              <w:t>GROSS LOSS</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(79,952)</w:t>
            </w: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(136,367)</w:t>
            </w:r>
          </w:p>
        </w:tc>
        <w:tc>
          <w:tcPr>
            <w:tcW w:w="5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2"/>
              </w:rPr>
              <w:t>(102,355)</w:t>
            </w:r>
          </w:p>
        </w:tc>
        <w:tc>
          <w:tcPr>
            <w:tcW w:w="64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spacing w:after="0"/>
              <w:rPr>
                <w:sz w:val="11"/>
                <w:szCs w:val="11"/>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OPERATING COSTS AND EXPENSES</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RESEARCH AND DEVELOPMENT</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14,984</w:t>
            </w:r>
          </w:p>
        </w:tc>
        <w:tc>
          <w:tcPr>
            <w:tcW w:w="60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16,029</w:t>
            </w:r>
          </w:p>
        </w:tc>
        <w:tc>
          <w:tcPr>
            <w:tcW w:w="580" w:type="dxa"/>
            <w:vAlign w:val="bottom"/>
          </w:tcPr>
          <w:p>
            <w:pPr>
              <w:spacing w:after="0"/>
              <w:rPr>
                <w:sz w:val="23"/>
                <w:szCs w:val="23"/>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17,053</w:t>
            </w:r>
          </w:p>
        </w:tc>
        <w:tc>
          <w:tcPr>
            <w:tcW w:w="640" w:type="dxa"/>
            <w:vAlign w:val="bottom"/>
          </w:tcPr>
          <w:p>
            <w:pPr>
              <w:spacing w:after="0"/>
              <w:rPr>
                <w:sz w:val="23"/>
                <w:szCs w:val="23"/>
                <w:color w:val="auto"/>
              </w:rPr>
            </w:pPr>
          </w:p>
        </w:tc>
      </w:tr>
      <w:tr>
        <w:trPr>
          <w:trHeight w:val="135"/>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MARKETING, GENERAL AND ADMINISTRATIVE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24,512</w:t>
            </w:r>
          </w:p>
        </w:tc>
        <w:tc>
          <w:tcPr>
            <w:tcW w:w="60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17,418</w:t>
            </w:r>
          </w:p>
        </w:tc>
        <w:tc>
          <w:tcPr>
            <w:tcW w:w="5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21,297</w:t>
            </w:r>
          </w:p>
        </w:tc>
        <w:tc>
          <w:tcPr>
            <w:tcW w:w="64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spacing w:after="0"/>
              <w:rPr>
                <w:sz w:val="11"/>
                <w:szCs w:val="11"/>
                <w:color w:val="auto"/>
              </w:rPr>
            </w:pPr>
          </w:p>
        </w:tc>
      </w:tr>
      <w:tr>
        <w:trPr>
          <w:trHeight w:val="270"/>
        </w:trPr>
        <w:tc>
          <w:tcPr>
            <w:tcW w:w="4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39,496</w:t>
            </w:r>
          </w:p>
        </w:tc>
        <w:tc>
          <w:tcPr>
            <w:tcW w:w="60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33,447</w:t>
            </w:r>
          </w:p>
        </w:tc>
        <w:tc>
          <w:tcPr>
            <w:tcW w:w="580" w:type="dxa"/>
            <w:vAlign w:val="bottom"/>
          </w:tcPr>
          <w:p>
            <w:pPr>
              <w:spacing w:after="0"/>
              <w:rPr>
                <w:sz w:val="23"/>
                <w:szCs w:val="23"/>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38,350</w:t>
            </w:r>
          </w:p>
        </w:tc>
        <w:tc>
          <w:tcPr>
            <w:tcW w:w="64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spacing w:after="0"/>
              <w:rPr>
                <w:sz w:val="11"/>
                <w:szCs w:val="11"/>
                <w:color w:val="auto"/>
              </w:rPr>
            </w:pPr>
          </w:p>
        </w:tc>
      </w:tr>
      <w:tr>
        <w:trPr>
          <w:trHeight w:val="270"/>
        </w:trPr>
        <w:tc>
          <w:tcPr>
            <w:tcW w:w="4280" w:type="dxa"/>
            <w:vAlign w:val="bottom"/>
          </w:tcPr>
          <w:p>
            <w:pPr>
              <w:ind w:left="560"/>
              <w:spacing w:after="0"/>
              <w:rPr>
                <w:sz w:val="20"/>
                <w:szCs w:val="20"/>
                <w:color w:val="auto"/>
              </w:rPr>
            </w:pPr>
            <w:r>
              <w:rPr>
                <w:rFonts w:ascii="Courier New" w:cs="Courier New" w:eastAsia="Courier New" w:hAnsi="Courier New"/>
                <w:sz w:val="12"/>
                <w:szCs w:val="12"/>
                <w:color w:val="auto"/>
              </w:rPr>
              <w:t>OPERATING LOSS</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w w:val="95"/>
              </w:rPr>
              <w:t>(119,448)</w:t>
            </w: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(169,814)</w:t>
            </w:r>
          </w:p>
        </w:tc>
        <w:tc>
          <w:tcPr>
            <w:tcW w:w="5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2"/>
              </w:rPr>
              <w:t>(140,705)</w:t>
            </w:r>
          </w:p>
        </w:tc>
        <w:tc>
          <w:tcPr>
            <w:tcW w:w="640" w:type="dxa"/>
            <w:vAlign w:val="bottom"/>
          </w:tcPr>
          <w:p>
            <w:pPr>
              <w:spacing w:after="0"/>
              <w:rPr>
                <w:sz w:val="23"/>
                <w:szCs w:val="23"/>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14</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(48,148)</w:t>
            </w:r>
          </w:p>
        </w:tc>
        <w:tc>
          <w:tcPr>
            <w:tcW w:w="6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(35,651)</w:t>
            </w:r>
          </w:p>
        </w:tc>
        <w:tc>
          <w:tcPr>
            <w:tcW w:w="5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(29,745)</w:t>
            </w:r>
          </w:p>
        </w:tc>
        <w:tc>
          <w:tcPr>
            <w:tcW w:w="640" w:type="dxa"/>
            <w:vAlign w:val="bottom"/>
          </w:tcPr>
          <w:p>
            <w:pPr>
              <w:spacing w:after="0"/>
              <w:rPr>
                <w:sz w:val="23"/>
                <w:szCs w:val="23"/>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GAIN ON DEBT RESTRUCTURING</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11A(6)</w:t>
            </w:r>
          </w:p>
        </w:tc>
        <w:tc>
          <w:tcPr>
            <w:tcW w:w="24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80,071</w:t>
            </w:r>
          </w:p>
        </w:tc>
        <w:tc>
          <w:tcPr>
            <w:tcW w:w="60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spacing w:after="0"/>
              <w:rPr>
                <w:sz w:val="23"/>
                <w:szCs w:val="23"/>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spacing w:after="0"/>
              <w:rPr>
                <w:sz w:val="23"/>
                <w:szCs w:val="23"/>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15</w:t>
            </w:r>
          </w:p>
        </w:tc>
        <w:tc>
          <w:tcPr>
            <w:tcW w:w="24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597</w:t>
            </w:r>
          </w:p>
        </w:tc>
        <w:tc>
          <w:tcPr>
            <w:tcW w:w="60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2,383</w:t>
            </w:r>
          </w:p>
        </w:tc>
        <w:tc>
          <w:tcPr>
            <w:tcW w:w="580" w:type="dxa"/>
            <w:vAlign w:val="bottom"/>
          </w:tcPr>
          <w:p>
            <w:pPr>
              <w:spacing w:after="0"/>
              <w:rPr>
                <w:sz w:val="23"/>
                <w:szCs w:val="23"/>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32,682</w:t>
            </w:r>
          </w:p>
        </w:tc>
        <w:tc>
          <w:tcPr>
            <w:tcW w:w="64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spacing w:after="0"/>
              <w:rPr>
                <w:sz w:val="11"/>
                <w:szCs w:val="11"/>
                <w:color w:val="auto"/>
              </w:rPr>
            </w:pPr>
          </w:p>
        </w:tc>
      </w:tr>
      <w:tr>
        <w:trPr>
          <w:trHeight w:val="270"/>
        </w:trPr>
        <w:tc>
          <w:tcPr>
            <w:tcW w:w="4280" w:type="dxa"/>
            <w:vAlign w:val="bottom"/>
          </w:tcPr>
          <w:p>
            <w:pPr>
              <w:ind w:left="980"/>
              <w:spacing w:after="0"/>
              <w:rPr>
                <w:sz w:val="20"/>
                <w:szCs w:val="20"/>
                <w:color w:val="auto"/>
              </w:rPr>
            </w:pPr>
            <w:r>
              <w:rPr>
                <w:rFonts w:ascii="Courier New" w:cs="Courier New" w:eastAsia="Courier New" w:hAnsi="Courier New"/>
                <w:sz w:val="12"/>
                <w:szCs w:val="12"/>
                <w:color w:val="auto"/>
              </w:rPr>
              <w:t>LOSS FOR THE YEAR</w:t>
            </w:r>
          </w:p>
        </w:tc>
        <w:tc>
          <w:tcPr>
            <w:tcW w:w="88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(86,928)</w:t>
            </w: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$(203,082)</w:t>
            </w:r>
          </w:p>
        </w:tc>
        <w:tc>
          <w:tcPr>
            <w:tcW w:w="12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$(137,768)</w:t>
            </w:r>
          </w:p>
        </w:tc>
        <w:tc>
          <w:tcPr>
            <w:tcW w:w="64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spacing w:after="0"/>
              <w:rPr>
                <w:sz w:val="11"/>
                <w:szCs w:val="11"/>
                <w:color w:val="auto"/>
              </w:rPr>
            </w:pPr>
          </w:p>
        </w:tc>
      </w:tr>
      <w:tr>
        <w:trPr>
          <w:trHeight w:val="270"/>
        </w:trPr>
        <w:tc>
          <w:tcPr>
            <w:tcW w:w="4280" w:type="dxa"/>
            <w:vAlign w:val="bottom"/>
          </w:tcPr>
          <w:p>
            <w:pPr>
              <w:spacing w:after="0"/>
              <w:rPr>
                <w:sz w:val="20"/>
                <w:szCs w:val="20"/>
                <w:color w:val="auto"/>
              </w:rPr>
            </w:pPr>
            <w:r>
              <w:rPr>
                <w:rFonts w:ascii="Courier New" w:cs="Courier New" w:eastAsia="Courier New" w:hAnsi="Courier New"/>
                <w:sz w:val="12"/>
                <w:szCs w:val="12"/>
                <w:color w:val="auto"/>
              </w:rPr>
              <w:t>BASIC LOSS PER ORDINARY SHARE</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LOSS PER SHARE</w:t>
            </w:r>
          </w:p>
        </w:tc>
        <w:tc>
          <w:tcPr>
            <w:tcW w:w="8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(1.05)</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(3.06)</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(2.13)</w:t>
            </w:r>
          </w:p>
        </w:tc>
        <w:tc>
          <w:tcPr>
            <w:tcW w:w="640" w:type="dxa"/>
            <w:vAlign w:val="bottom"/>
          </w:tcPr>
          <w:p>
            <w:pPr>
              <w:spacing w:after="0"/>
              <w:rPr>
                <w:sz w:val="23"/>
                <w:szCs w:val="23"/>
                <w:color w:val="auto"/>
              </w:rPr>
            </w:pP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spacing w:after="0"/>
              <w:rPr>
                <w:sz w:val="11"/>
                <w:szCs w:val="11"/>
                <w:color w:val="auto"/>
              </w:rPr>
            </w:pPr>
          </w:p>
        </w:tc>
      </w:tr>
      <w:tr>
        <w:trPr>
          <w:trHeight w:val="270"/>
        </w:trPr>
        <w:tc>
          <w:tcPr>
            <w:tcW w:w="4280" w:type="dxa"/>
            <w:vAlign w:val="bottom"/>
          </w:tcPr>
          <w:p>
            <w:pPr>
              <w:ind w:left="340"/>
              <w:spacing w:after="0"/>
              <w:rPr>
                <w:sz w:val="20"/>
                <w:szCs w:val="20"/>
                <w:color w:val="auto"/>
              </w:rPr>
            </w:pPr>
            <w:r>
              <w:rPr>
                <w:rFonts w:ascii="Courier New" w:cs="Courier New" w:eastAsia="Courier New" w:hAnsi="Courier New"/>
                <w:sz w:val="12"/>
                <w:szCs w:val="12"/>
                <w:color w:val="auto"/>
              </w:rPr>
              <w:t>WEIGHTED AVERAGE NUMBER OF ORDINARY</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280" w:type="dxa"/>
            <w:vAlign w:val="bottom"/>
          </w:tcPr>
          <w:p>
            <w:pPr>
              <w:ind w:left="560"/>
              <w:spacing w:after="0"/>
              <w:rPr>
                <w:sz w:val="20"/>
                <w:szCs w:val="20"/>
                <w:color w:val="auto"/>
              </w:rPr>
            </w:pPr>
            <w:r>
              <w:rPr>
                <w:rFonts w:ascii="Courier New" w:cs="Courier New" w:eastAsia="Courier New" w:hAnsi="Courier New"/>
                <w:sz w:val="12"/>
                <w:szCs w:val="12"/>
                <w:color w:val="auto"/>
              </w:rPr>
              <w:t>SHARES OUTSTANDING - IN THOUSANDS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82,581</w:t>
            </w:r>
          </w:p>
        </w:tc>
        <w:tc>
          <w:tcPr>
            <w:tcW w:w="60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66,371</w:t>
            </w:r>
          </w:p>
        </w:tc>
        <w:tc>
          <w:tcPr>
            <w:tcW w:w="5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64,717</w:t>
            </w:r>
          </w:p>
        </w:tc>
        <w:tc>
          <w:tcPr>
            <w:tcW w:w="64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spacing w:after="0"/>
              <w:rPr>
                <w:sz w:val="11"/>
                <w:szCs w:val="11"/>
                <w:color w:val="auto"/>
              </w:rPr>
            </w:pP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13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w:t>
      </w:r>
    </w:p>
    <w:p>
      <w:pPr>
        <w:spacing w:after="0" w:line="38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TOWER SEMICONDUCTOR LTD.</w:t>
      </w:r>
    </w:p>
    <w:p>
      <w:pPr>
        <w:ind w:left="900"/>
        <w:spacing w:after="0"/>
        <w:rPr>
          <w:sz w:val="20"/>
          <w:szCs w:val="20"/>
          <w:color w:val="auto"/>
        </w:rPr>
      </w:pPr>
      <w:r>
        <w:rPr>
          <w:rFonts w:ascii="Courier New" w:cs="Courier New" w:eastAsia="Courier New" w:hAnsi="Courier New"/>
          <w:sz w:val="12"/>
          <w:szCs w:val="12"/>
          <w:color w:val="auto"/>
        </w:rPr>
        <w:t>STATEMENTS OF CHANGES IN SHAREHOLDERS' EQUITY (DEFICIT)</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ectPr>
          <w:pgSz w:w="11900" w:h="16838" w:orient="portrait"/>
          <w:cols w:equalWidth="0" w:num="1">
            <w:col w:w="10239"/>
          </w:cols>
          <w:pgMar w:left="220" w:top="137" w:right="1440"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6"/>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EQUITY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COMPONENT</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CONVERTIBLE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PROCEEDS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DEBENTURES</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AND</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ORDINARY SHARES</w:t>
            </w:r>
          </w:p>
        </w:tc>
        <w:tc>
          <w:tcPr>
            <w:tcW w:w="460" w:type="dxa"/>
            <w:vAlign w:val="bottom"/>
          </w:tcPr>
          <w:p>
            <w:pPr>
              <w:spacing w:after="0"/>
              <w:rPr>
                <w:sz w:val="11"/>
                <w:szCs w:val="11"/>
                <w:color w:val="auto"/>
              </w:rPr>
            </w:pPr>
          </w:p>
        </w:tc>
        <w:tc>
          <w:tcPr>
            <w:tcW w:w="116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ADDITIONAL</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ACCOUNT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CUMULATIVE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6"/>
              </w:rPr>
              <w:t>---------------------------</w:t>
            </w:r>
          </w:p>
        </w:tc>
        <w:tc>
          <w:tcPr>
            <w:tcW w:w="11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PAID-IN</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SHARE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CAPITAL</w:t>
            </w:r>
          </w:p>
        </w:tc>
        <w:tc>
          <w:tcPr>
            <w:tcW w:w="14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STOCK BASED</w:t>
            </w:r>
          </w:p>
        </w:tc>
        <w:tc>
          <w:tcPr>
            <w:tcW w:w="120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ACCUMULATED</w:t>
            </w:r>
          </w:p>
        </w:tc>
        <w:tc>
          <w:tcPr>
            <w:tcW w:w="2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4"/>
              </w:rPr>
              <w:t>TREAS</w:t>
            </w:r>
          </w:p>
        </w:tc>
      </w:tr>
      <w:tr>
        <w:trPr>
          <w:trHeight w:val="135"/>
        </w:trPr>
        <w:tc>
          <w:tcPr>
            <w:tcW w:w="3780" w:type="dxa"/>
            <w:vAlign w:val="bottom"/>
          </w:tcPr>
          <w:p>
            <w:pPr>
              <w:spacing w:after="0"/>
              <w:rPr>
                <w:sz w:val="11"/>
                <w:szCs w:val="11"/>
                <w:color w:val="auto"/>
              </w:rPr>
            </w:pPr>
          </w:p>
        </w:tc>
        <w:tc>
          <w:tcPr>
            <w:tcW w:w="102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SHARES</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AMOUNT</w:t>
            </w:r>
          </w:p>
        </w:tc>
        <w:tc>
          <w:tcPr>
            <w:tcW w:w="11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CAPITAL</w:t>
            </w: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CAPITAL</w:t>
            </w: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NOTES</w:t>
            </w:r>
          </w:p>
        </w:tc>
        <w:tc>
          <w:tcPr>
            <w:tcW w:w="14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COMPENSATION</w:t>
            </w:r>
          </w:p>
        </w:tc>
        <w:tc>
          <w:tcPr>
            <w:tcW w:w="220" w:type="dxa"/>
            <w:vAlign w:val="bottom"/>
          </w:tcPr>
          <w:p>
            <w:pPr>
              <w:spacing w:after="0"/>
              <w:rPr>
                <w:sz w:val="11"/>
                <w:szCs w:val="11"/>
                <w:color w:val="auto"/>
              </w:rPr>
            </w:pPr>
          </w:p>
        </w:tc>
        <w:tc>
          <w:tcPr>
            <w:tcW w:w="98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99"/>
              </w:rPr>
              <w:t>DEFICIT</w:t>
            </w:r>
          </w:p>
        </w:tc>
        <w:tc>
          <w:tcPr>
            <w:tcW w:w="2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STO</w:t>
            </w:r>
          </w:p>
        </w:tc>
      </w:tr>
      <w:tr>
        <w:trPr>
          <w:trHeight w:val="135"/>
        </w:trPr>
        <w:tc>
          <w:tcPr>
            <w:tcW w:w="3780" w:type="dxa"/>
            <w:vAlign w:val="bottom"/>
          </w:tcPr>
          <w:p>
            <w:pPr>
              <w:spacing w:after="0"/>
              <w:rPr>
                <w:sz w:val="11"/>
                <w:szCs w:val="11"/>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BALANCE - JANUARY 1, 2004</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52,996,097</w:t>
            </w:r>
          </w:p>
        </w:tc>
        <w:tc>
          <w:tcPr>
            <w:tcW w:w="4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13,150</w:t>
            </w:r>
          </w:p>
        </w:tc>
        <w:tc>
          <w:tcPr>
            <w:tcW w:w="640" w:type="dxa"/>
            <w:vAlign w:val="bottom"/>
          </w:tcPr>
          <w:p>
            <w:pPr>
              <w:ind w:left="360"/>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1"/>
              </w:rPr>
              <w:t>427,881</w:t>
            </w: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$ 16,428</w:t>
            </w:r>
          </w:p>
        </w:tc>
        <w:tc>
          <w:tcPr>
            <w:tcW w:w="8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32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22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(218,904)</w:t>
            </w:r>
          </w:p>
        </w:tc>
        <w:tc>
          <w:tcPr>
            <w:tcW w:w="2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2,463,949</w:t>
            </w:r>
          </w:p>
        </w:tc>
        <w:tc>
          <w:tcPr>
            <w:tcW w:w="4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553</w:t>
            </w:r>
          </w:p>
        </w:tc>
        <w:tc>
          <w:tcPr>
            <w:tcW w:w="6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16,414</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(16,428)</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ISSUANCE OF SHARES, NET OF RELATED COSTS -</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PUBLIC OFFERING</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11,444,500</w:t>
            </w:r>
          </w:p>
        </w:tc>
        <w:tc>
          <w:tcPr>
            <w:tcW w:w="4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2,550</w:t>
            </w:r>
          </w:p>
        </w:tc>
        <w:tc>
          <w:tcPr>
            <w:tcW w:w="6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72,536</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EXERCISE OF SHARE OPTIONS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95,250</w:t>
            </w:r>
          </w:p>
        </w:tc>
        <w:tc>
          <w:tcPr>
            <w:tcW w:w="4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21</w:t>
            </w:r>
          </w:p>
        </w:tc>
        <w:tc>
          <w:tcPr>
            <w:tcW w:w="6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645</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(137,768)</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BALANCE - DECEMBER 31, 2004</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66,999,796</w:t>
            </w:r>
          </w:p>
        </w:tc>
        <w:tc>
          <w:tcPr>
            <w:tcW w:w="4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16,274</w:t>
            </w:r>
          </w:p>
        </w:tc>
        <w:tc>
          <w:tcPr>
            <w:tcW w:w="640" w:type="dxa"/>
            <w:vAlign w:val="bottom"/>
          </w:tcPr>
          <w:p>
            <w:pPr>
              <w:ind w:left="360"/>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1"/>
              </w:rPr>
              <w:t>517,476</w:t>
            </w:r>
          </w:p>
        </w:tc>
        <w:tc>
          <w:tcPr>
            <w:tcW w:w="8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2"/>
              </w:rPr>
              <w:t>-</w:t>
            </w:r>
          </w:p>
        </w:tc>
        <w:tc>
          <w:tcPr>
            <w:tcW w:w="80" w:type="dxa"/>
            <w:vAlign w:val="bottom"/>
          </w:tcPr>
          <w:p>
            <w:pPr>
              <w:spacing w:after="0"/>
              <w:rPr>
                <w:sz w:val="11"/>
                <w:szCs w:val="11"/>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32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22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(356,672)</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1,232,260</w:t>
            </w:r>
          </w:p>
        </w:tc>
        <w:tc>
          <w:tcPr>
            <w:tcW w:w="4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274</w:t>
            </w:r>
          </w:p>
        </w:tc>
        <w:tc>
          <w:tcPr>
            <w:tcW w:w="6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1,520</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THE</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FACILITY AGREEMENT WITH THE BANKS, NOTE 12B(5)</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2,793</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RIGHTS OFFERED</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TO EMPLOYEES, NOTE 12I</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448</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(203,082)</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BALANCE - DECEMBER 31, 2005</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68,232,056</w:t>
            </w:r>
          </w:p>
        </w:tc>
        <w:tc>
          <w:tcPr>
            <w:tcW w:w="4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16,548</w:t>
            </w:r>
          </w:p>
        </w:tc>
        <w:tc>
          <w:tcPr>
            <w:tcW w:w="640" w:type="dxa"/>
            <w:vAlign w:val="bottom"/>
          </w:tcPr>
          <w:p>
            <w:pPr>
              <w:ind w:left="360"/>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1"/>
              </w:rPr>
              <w:t>522,237</w:t>
            </w:r>
          </w:p>
        </w:tc>
        <w:tc>
          <w:tcPr>
            <w:tcW w:w="8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2"/>
              </w:rPr>
              <w:t>-</w:t>
            </w:r>
          </w:p>
        </w:tc>
        <w:tc>
          <w:tcPr>
            <w:tcW w:w="80" w:type="dxa"/>
            <w:vAlign w:val="bottom"/>
          </w:tcPr>
          <w:p>
            <w:pPr>
              <w:spacing w:after="0"/>
              <w:rPr>
                <w:sz w:val="11"/>
                <w:szCs w:val="11"/>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32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22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(559,754)</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16,729,145</w:t>
            </w:r>
          </w:p>
        </w:tc>
        <w:tc>
          <w:tcPr>
            <w:tcW w:w="4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3,860</w:t>
            </w:r>
          </w:p>
        </w:tc>
        <w:tc>
          <w:tcPr>
            <w:tcW w:w="6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21,235</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27,997</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CONVERSION OF CONVERTIBLE DEBENTURES TO SHARES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16,734,316</w:t>
            </w:r>
          </w:p>
        </w:tc>
        <w:tc>
          <w:tcPr>
            <w:tcW w:w="4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3,696</w:t>
            </w:r>
          </w:p>
        </w:tc>
        <w:tc>
          <w:tcPr>
            <w:tcW w:w="6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14,681</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9"/>
              </w:rPr>
              <w:t>(7,758)</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ISSUANCE OF WARRANTS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1,803</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3,363</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EXERCISE OF OPTIONS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7,250</w:t>
            </w:r>
          </w:p>
        </w:tc>
        <w:tc>
          <w:tcPr>
            <w:tcW w:w="4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c>
          <w:tcPr>
            <w:tcW w:w="6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EXERCISE OF WARRANTS</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350,000</w:t>
            </w:r>
          </w:p>
        </w:tc>
        <w:tc>
          <w:tcPr>
            <w:tcW w:w="4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81</w:t>
            </w:r>
          </w:p>
        </w:tc>
        <w:tc>
          <w:tcPr>
            <w:tcW w:w="6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469</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THE FACILITY AGREEMENT WITH THE BANKS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4,146</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CAPITAL NOTES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176,401</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(86,928)</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BALANCE - DECEMBER 31, 2006</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102,052,767</w:t>
            </w:r>
          </w:p>
        </w:tc>
        <w:tc>
          <w:tcPr>
            <w:tcW w:w="4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24,187</w:t>
            </w:r>
          </w:p>
        </w:tc>
        <w:tc>
          <w:tcPr>
            <w:tcW w:w="640" w:type="dxa"/>
            <w:vAlign w:val="bottom"/>
          </w:tcPr>
          <w:p>
            <w:pPr>
              <w:ind w:left="360"/>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1"/>
              </w:rPr>
              <w:t>564,580</w:t>
            </w:r>
          </w:p>
        </w:tc>
        <w:tc>
          <w:tcPr>
            <w:tcW w:w="8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2"/>
              </w:rPr>
              <w:t>-</w:t>
            </w:r>
          </w:p>
        </w:tc>
        <w:tc>
          <w:tcPr>
            <w:tcW w:w="80" w:type="dxa"/>
            <w:vAlign w:val="bottom"/>
          </w:tcPr>
          <w:p>
            <w:pPr>
              <w:spacing w:after="0"/>
              <w:rPr>
                <w:sz w:val="11"/>
                <w:szCs w:val="11"/>
                <w:color w:val="auto"/>
              </w:rPr>
            </w:pP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$176,401</w:t>
            </w: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$ 23,576</w:t>
            </w:r>
          </w:p>
        </w:tc>
        <w:tc>
          <w:tcPr>
            <w:tcW w:w="22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(646,682)</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r>
      <w:tr>
        <w:trPr>
          <w:trHeight w:val="135"/>
        </w:trPr>
        <w:tc>
          <w:tcPr>
            <w:tcW w:w="3780" w:type="dxa"/>
            <w:vAlign w:val="bottom"/>
          </w:tcPr>
          <w:p>
            <w:pPr>
              <w:spacing w:after="0"/>
              <w:rPr>
                <w:sz w:val="11"/>
                <w:szCs w:val="11"/>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SEE NOTES TO CONSOLIDATED FINANCIAL STATEMENTS.</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05"/>
        </w:trPr>
        <w:tc>
          <w:tcPr>
            <w:tcW w:w="3780" w:type="dxa"/>
            <w:vAlign w:val="bottom"/>
          </w:tcPr>
          <w:p>
            <w:pPr>
              <w:ind w:left="2600"/>
              <w:spacing w:after="0"/>
              <w:rPr>
                <w:sz w:val="20"/>
                <w:szCs w:val="20"/>
                <w:color w:val="auto"/>
              </w:rPr>
            </w:pPr>
            <w:r>
              <w:rPr>
                <w:rFonts w:ascii="Courier New" w:cs="Courier New" w:eastAsia="Courier New" w:hAnsi="Courier New"/>
                <w:sz w:val="12"/>
                <w:szCs w:val="12"/>
                <w:color w:val="auto"/>
              </w:rPr>
              <w:t>F - 4</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7"/>
        </w:trPr>
        <w:tc>
          <w:tcPr>
            <w:tcW w:w="4800" w:type="dxa"/>
            <w:vAlign w:val="bottom"/>
            <w:gridSpan w:val="2"/>
          </w:tcPr>
          <w:p>
            <w:pPr>
              <w:ind w:left="1680"/>
              <w:spacing w:after="0"/>
              <w:rPr>
                <w:sz w:val="20"/>
                <w:szCs w:val="20"/>
                <w:color w:val="auto"/>
              </w:rPr>
            </w:pPr>
            <w:r>
              <w:rPr>
                <w:rFonts w:ascii="Courier New" w:cs="Courier New" w:eastAsia="Courier New" w:hAnsi="Courier New"/>
                <w:sz w:val="12"/>
                <w:szCs w:val="12"/>
                <w:color w:val="auto"/>
              </w:rPr>
              <w:t>TOWER SEMICONDUCTOR LTD. AND SUBSIDIARY</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35"/>
        </w:trPr>
        <w:tc>
          <w:tcPr>
            <w:tcW w:w="480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CONSOLIDATED STATEMENTS OF CASH FLOWS</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5220" w:type="dxa"/>
            <w:vAlign w:val="bottom"/>
            <w:gridSpan w:val="3"/>
          </w:tcPr>
          <w:p>
            <w:pPr>
              <w:ind w:left="900"/>
              <w:spacing w:after="0"/>
              <w:rPr>
                <w:sz w:val="20"/>
                <w:szCs w:val="20"/>
                <w:color w:val="auto"/>
              </w:rPr>
            </w:pPr>
            <w:r>
              <w:rPr>
                <w:rFonts w:ascii="Courier New" w:cs="Courier New" w:eastAsia="Courier New" w:hAnsi="Courier New"/>
                <w:sz w:val="12"/>
                <w:szCs w:val="12"/>
                <w:color w:val="auto"/>
                <w:w w:val="99"/>
              </w:rPr>
              <w:t>(dollars in thousands, except share data and per share data)</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18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rPr>
              <w:t>YEAR ENDED DECEMBER 31,</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34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c>
          <w:tcPr>
            <w:tcW w:w="520" w:type="dxa"/>
            <w:vAlign w:val="bottom"/>
          </w:tcPr>
          <w:p>
            <w:pPr>
              <w:spacing w:after="0"/>
              <w:rPr>
                <w:sz w:val="11"/>
                <w:szCs w:val="11"/>
                <w:color w:val="auto"/>
              </w:rPr>
            </w:pPr>
          </w:p>
        </w:tc>
        <w:tc>
          <w:tcPr>
            <w:tcW w:w="8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2"/>
                <w:szCs w:val="12"/>
                <w:color w:val="auto"/>
              </w:rPr>
              <w:t>2004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CASH FLOWS - OPERATING ACTIVITIES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LOSS FOR THE YEAR</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(86,928)</w:t>
            </w:r>
          </w:p>
        </w:tc>
        <w:tc>
          <w:tcPr>
            <w:tcW w:w="13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$(203,082)</w:t>
            </w:r>
          </w:p>
        </w:tc>
        <w:tc>
          <w:tcPr>
            <w:tcW w:w="22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4"/>
              </w:rPr>
              <w:t>$(137,768)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Adjustments to reconcile loss for the year</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340"/>
              <w:spacing w:after="0"/>
              <w:rPr>
                <w:sz w:val="20"/>
                <w:szCs w:val="20"/>
                <w:color w:val="auto"/>
              </w:rPr>
            </w:pPr>
            <w:r>
              <w:rPr>
                <w:rFonts w:ascii="Courier New" w:cs="Courier New" w:eastAsia="Courier New" w:hAnsi="Courier New"/>
                <w:sz w:val="12"/>
                <w:szCs w:val="12"/>
                <w:color w:val="auto"/>
              </w:rPr>
              <w:t>TO NET CASH USED IN OPERATING ACTIVITIES: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480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INCOME AND EXPENSE ITEMS NOT INVOLVING CASH FLOWS:</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620"/>
              <w:spacing w:after="0"/>
              <w:rPr>
                <w:sz w:val="20"/>
                <w:szCs w:val="20"/>
                <w:color w:val="auto"/>
              </w:rPr>
            </w:pPr>
            <w:r>
              <w:rPr>
                <w:rFonts w:ascii="Courier New" w:cs="Courier New" w:eastAsia="Courier New" w:hAnsi="Courier New"/>
                <w:sz w:val="12"/>
                <w:szCs w:val="12"/>
                <w:color w:val="auto"/>
              </w:rPr>
              <w:t>DEPRECIATION AND AMORTIZATION</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154,794</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9"/>
              </w:rPr>
              <w:t>144,852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121,067</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5220" w:type="dxa"/>
            <w:vAlign w:val="bottom"/>
            <w:gridSpan w:val="3"/>
          </w:tcPr>
          <w:p>
            <w:pPr>
              <w:ind w:left="620"/>
              <w:spacing w:after="0"/>
              <w:rPr>
                <w:sz w:val="20"/>
                <w:szCs w:val="20"/>
                <w:color w:val="auto"/>
              </w:rPr>
            </w:pPr>
            <w:r>
              <w:rPr>
                <w:rFonts w:ascii="Courier New" w:cs="Courier New" w:eastAsia="Courier New" w:hAnsi="Courier New"/>
                <w:sz w:val="12"/>
                <w:szCs w:val="12"/>
                <w:color w:val="auto"/>
              </w:rPr>
              <w:t>EFFECT OF INDEXATION AND TRANSLATION ON CONVERTIBLE DEBENTURES</w:t>
            </w: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2,569</w:t>
            </w:r>
          </w:p>
        </w:tc>
        <w:tc>
          <w:tcPr>
            <w:tcW w:w="5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(1,031)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676</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620"/>
              <w:spacing w:after="0"/>
              <w:rPr>
                <w:sz w:val="20"/>
                <w:szCs w:val="20"/>
                <w:color w:val="auto"/>
              </w:rPr>
            </w:pPr>
            <w:r>
              <w:rPr>
                <w:rFonts w:ascii="Courier New" w:cs="Courier New" w:eastAsia="Courier New" w:hAnsi="Courier New"/>
                <w:sz w:val="12"/>
                <w:szCs w:val="12"/>
                <w:color w:val="auto"/>
              </w:rPr>
              <w:t>OTHER INCOME, NET</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(597)</w:t>
            </w:r>
          </w:p>
        </w:tc>
        <w:tc>
          <w:tcPr>
            <w:tcW w:w="5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(2,383)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(32,682)</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480"/>
              <w:spacing w:after="0"/>
              <w:rPr>
                <w:sz w:val="20"/>
                <w:szCs w:val="20"/>
                <w:color w:val="auto"/>
              </w:rPr>
            </w:pPr>
            <w:r>
              <w:rPr>
                <w:rFonts w:ascii="Courier New" w:cs="Courier New" w:eastAsia="Courier New" w:hAnsi="Courier New"/>
                <w:sz w:val="12"/>
                <w:szCs w:val="12"/>
                <w:color w:val="auto"/>
              </w:rPr>
              <w:t>CHANGES IN ASSETS AND LIABILITIES: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480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DECREASE (INCREASE) IN TRADE ACCOUNTS RECEIVABLE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(14,722)</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2,510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(7,655)</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5220" w:type="dxa"/>
            <w:vAlign w:val="bottom"/>
            <w:gridSpan w:val="3"/>
          </w:tcPr>
          <w:p>
            <w:pPr>
              <w:ind w:left="620"/>
              <w:spacing w:after="0"/>
              <w:rPr>
                <w:sz w:val="20"/>
                <w:szCs w:val="20"/>
                <w:color w:val="auto"/>
              </w:rPr>
            </w:pPr>
            <w:r>
              <w:rPr>
                <w:rFonts w:ascii="Courier New" w:cs="Courier New" w:eastAsia="Courier New" w:hAnsi="Courier New"/>
                <w:sz w:val="12"/>
                <w:szCs w:val="12"/>
                <w:color w:val="auto"/>
                <w:w w:val="97"/>
              </w:rPr>
              <w:t>DECREASE (INCREASE) IN OTHER RECEIVABLES AND OTHER CURRENT ASSETS</w:t>
            </w: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(2,662)</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1,988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(413)</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620"/>
              <w:spacing w:after="0"/>
              <w:rPr>
                <w:sz w:val="20"/>
                <w:szCs w:val="20"/>
                <w:color w:val="auto"/>
              </w:rPr>
            </w:pPr>
            <w:r>
              <w:rPr>
                <w:rFonts w:ascii="Courier New" w:cs="Courier New" w:eastAsia="Courier New" w:hAnsi="Courier New"/>
                <w:sz w:val="12"/>
                <w:szCs w:val="12"/>
                <w:color w:val="auto"/>
              </w:rPr>
              <w:t>DECREASE (INCREASE) IN INVENTORIES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(16,725)</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1,293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(6,287)</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620"/>
              <w:spacing w:after="0"/>
              <w:rPr>
                <w:sz w:val="20"/>
                <w:szCs w:val="20"/>
                <w:color w:val="auto"/>
              </w:rPr>
            </w:pPr>
            <w:r>
              <w:rPr>
                <w:rFonts w:ascii="Courier New" w:cs="Courier New" w:eastAsia="Courier New" w:hAnsi="Courier New"/>
                <w:sz w:val="12"/>
                <w:szCs w:val="12"/>
                <w:color w:val="auto"/>
                <w:w w:val="96"/>
              </w:rPr>
              <w:t>INCREASE (DECREASE) IN TRADE ACCOUNTS PAYABLE</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(2,073)</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3,082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404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620"/>
              <w:spacing w:after="0"/>
              <w:rPr>
                <w:sz w:val="20"/>
                <w:szCs w:val="20"/>
                <w:color w:val="auto"/>
              </w:rPr>
            </w:pPr>
            <w:r>
              <w:rPr>
                <w:rFonts w:ascii="Courier New" w:cs="Courier New" w:eastAsia="Courier New" w:hAnsi="Courier New"/>
                <w:sz w:val="12"/>
                <w:szCs w:val="12"/>
                <w:color w:val="auto"/>
              </w:rPr>
              <w:t>GAIN ON DEBT RESTRUCTURING</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(80,071)</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480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INCREASE (DECREASE) IN OTHER CURRENT LIABILITIES</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6,551</w:t>
            </w:r>
          </w:p>
        </w:tc>
        <w:tc>
          <w:tcPr>
            <w:tcW w:w="5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(1,839)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(970)</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480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INCREASE (DECREASE) IN OTHER LONG-TERM LIABILITIES</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(3,285)</w:t>
            </w:r>
          </w:p>
        </w:tc>
        <w:tc>
          <w:tcPr>
            <w:tcW w:w="5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(5,368)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9,344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(43,149)</w:t>
            </w:r>
          </w:p>
        </w:tc>
        <w:tc>
          <w:tcPr>
            <w:tcW w:w="5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(59,978)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(54,284)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480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INCREASE (DECREASE) IN LONG-TERM CUSTOMERS' ADVANCES, NET</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(2,306)</w:t>
            </w:r>
          </w:p>
        </w:tc>
        <w:tc>
          <w:tcPr>
            <w:tcW w:w="5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(760)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19,384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760"/>
              <w:spacing w:after="0"/>
              <w:rPr>
                <w:sz w:val="20"/>
                <w:szCs w:val="20"/>
                <w:color w:val="auto"/>
              </w:rPr>
            </w:pPr>
            <w:r>
              <w:rPr>
                <w:rFonts w:ascii="Courier New" w:cs="Courier New" w:eastAsia="Courier New" w:hAnsi="Courier New"/>
                <w:sz w:val="12"/>
                <w:szCs w:val="12"/>
                <w:color w:val="auto"/>
              </w:rPr>
              <w:t>NET CASH USED IN OPERATING ACTIVITIES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(45,455)</w:t>
            </w:r>
          </w:p>
        </w:tc>
        <w:tc>
          <w:tcPr>
            <w:tcW w:w="5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(60,738)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(34,900)</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CASH FLOWS - INVESTING ACTIVITIES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4800" w:type="dxa"/>
            <w:vAlign w:val="bottom"/>
            <w:gridSpan w:val="2"/>
          </w:tcPr>
          <w:p>
            <w:pPr>
              <w:ind w:left="200"/>
              <w:spacing w:after="0"/>
              <w:rPr>
                <w:sz w:val="20"/>
                <w:szCs w:val="20"/>
                <w:color w:val="auto"/>
              </w:rPr>
            </w:pPr>
            <w:r>
              <w:rPr>
                <w:rFonts w:ascii="Courier New" w:cs="Courier New" w:eastAsia="Courier New" w:hAnsi="Courier New"/>
                <w:sz w:val="12"/>
                <w:szCs w:val="12"/>
                <w:color w:val="auto"/>
                <w:w w:val="99"/>
              </w:rPr>
              <w:t>DECREASE (INCREASE) IN DESIGNATED CASH, SHORT-TERM AND LONG-TERM</w:t>
            </w: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ind w:left="420"/>
              <w:spacing w:after="0"/>
              <w:rPr>
                <w:sz w:val="20"/>
                <w:szCs w:val="20"/>
                <w:color w:val="auto"/>
              </w:rPr>
            </w:pPr>
            <w:r>
              <w:rPr>
                <w:rFonts w:ascii="Courier New" w:cs="Courier New" w:eastAsia="Courier New" w:hAnsi="Courier New"/>
                <w:sz w:val="12"/>
                <w:szCs w:val="12"/>
                <w:color w:val="auto"/>
              </w:rPr>
              <w:t>INTEREST-BEARING DEPOSITS, NET</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31,661</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27,266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(10,037)</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(145,165)</w:t>
            </w:r>
          </w:p>
        </w:tc>
        <w:tc>
          <w:tcPr>
            <w:tcW w:w="5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(38,878)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2"/>
              </w:rPr>
              <w:t>(154,975)</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INVESTMENT GRANTS RECEIVED</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5,219</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7,496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32,636</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48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PROCEEDS RELATED TO SALE AND DISPOSAL OF PROPERTY AND EQUIPMENT</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600</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2,179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2,626</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(5,074)</w:t>
            </w:r>
          </w:p>
        </w:tc>
        <w:tc>
          <w:tcPr>
            <w:tcW w:w="5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(3,841)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(702)</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INCREASE IN SHORT-TERM INTEREST-BEARING DEPOSITS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(1,230)</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PROCEEDS FROM SALE OF LONG-TERM INVESTMENT</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38,677</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760"/>
              <w:spacing w:after="0"/>
              <w:rPr>
                <w:sz w:val="20"/>
                <w:szCs w:val="20"/>
                <w:color w:val="auto"/>
              </w:rPr>
            </w:pPr>
            <w:r>
              <w:rPr>
                <w:rFonts w:ascii="Courier New" w:cs="Courier New" w:eastAsia="Courier New" w:hAnsi="Courier New"/>
                <w:sz w:val="12"/>
                <w:szCs w:val="12"/>
                <w:color w:val="auto"/>
              </w:rPr>
              <w:t>NET CASH USED IN INVESTING ACTIVITIES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(113,989)</w:t>
            </w:r>
          </w:p>
        </w:tc>
        <w:tc>
          <w:tcPr>
            <w:tcW w:w="520" w:type="dxa"/>
            <w:vAlign w:val="bottom"/>
          </w:tcPr>
          <w:p>
            <w:pPr>
              <w:spacing w:after="0"/>
              <w:rPr>
                <w:sz w:val="11"/>
                <w:szCs w:val="11"/>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(5,778)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(91,775)</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CASH FLOWS - FINANCING ACTIVITIES</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480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PROCEEDS FROM ISSUANCE OF CONVERTIBLE DEBENTURES, NET</w:t>
            </w: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58,766</w:t>
            </w:r>
          </w:p>
        </w:tc>
        <w:tc>
          <w:tcPr>
            <w:tcW w:w="520" w:type="dxa"/>
            <w:vAlign w:val="bottom"/>
          </w:tcPr>
          <w:p>
            <w:pPr>
              <w:spacing w:after="0"/>
              <w:rPr>
                <w:sz w:val="23"/>
                <w:szCs w:val="23"/>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25,086</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PROCEEDS FROM LONG-TERM DEBT</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18,295</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21,103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66,000</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PROCEEDS FROM ISSUANCE OF ORDINARY SHARES, NET</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17,483</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75,225</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PROCEEDS ON ACCOUNT OF A WARRANT</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550</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PROCEEDS FROM ISSUANCE OF WARRANTS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3,190</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PROCEEDS ON ACCOUNT OF SHARE CAPITAL</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100,000</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REPAYMENT OF CONVERTIBLE DEBEBNTURE</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(6,476)</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PROCEEDS FROM EXERCISE OF SHARE OPTIONS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w:t>
            </w: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666</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760"/>
              <w:spacing w:after="0"/>
              <w:rPr>
                <w:sz w:val="20"/>
                <w:szCs w:val="20"/>
                <w:color w:val="auto"/>
              </w:rPr>
            </w:pPr>
            <w:r>
              <w:rPr>
                <w:rFonts w:ascii="Courier New" w:cs="Courier New" w:eastAsia="Courier New" w:hAnsi="Courier New"/>
                <w:sz w:val="12"/>
                <w:szCs w:val="12"/>
                <w:color w:val="auto"/>
              </w:rPr>
              <w:t>NET CASH PROVIDED BY FINANCING ACTIVITIES</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191,817</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46,189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141,891</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480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INCREASE (DECREASE) IN CASH AND CASH EQUIVALENTS</w:t>
            </w: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32,373</w:t>
            </w:r>
          </w:p>
        </w:tc>
        <w:tc>
          <w:tcPr>
            <w:tcW w:w="520" w:type="dxa"/>
            <w:vAlign w:val="bottom"/>
          </w:tcPr>
          <w:p>
            <w:pPr>
              <w:spacing w:after="0"/>
              <w:rPr>
                <w:sz w:val="23"/>
                <w:szCs w:val="23"/>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(20,327)</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15,216</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CASH AND CASH EQUIVALENTS - BEGINNING OF YEAR</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7,337</w:t>
            </w:r>
          </w:p>
        </w:tc>
        <w:tc>
          <w:tcPr>
            <w:tcW w:w="52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27,664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12,448</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ind w:left="480"/>
              <w:spacing w:after="0"/>
              <w:rPr>
                <w:sz w:val="20"/>
                <w:szCs w:val="20"/>
                <w:color w:val="auto"/>
              </w:rPr>
            </w:pPr>
            <w:r>
              <w:rPr>
                <w:rFonts w:ascii="Courier New" w:cs="Courier New" w:eastAsia="Courier New" w:hAnsi="Courier New"/>
                <w:sz w:val="12"/>
                <w:szCs w:val="12"/>
                <w:color w:val="auto"/>
              </w:rPr>
              <w:t>CASH AND CASH EQUIVALENTS - END OF YEAR</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39,710</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7,337</w:t>
            </w:r>
          </w:p>
        </w:tc>
        <w:tc>
          <w:tcPr>
            <w:tcW w:w="2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27,664</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NON-CASH ACTIVITIES</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39,913</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12,999</w:t>
            </w:r>
          </w:p>
        </w:tc>
        <w:tc>
          <w:tcPr>
            <w:tcW w:w="2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47,675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35"/>
        </w:trPr>
        <w:tc>
          <w:tcPr>
            <w:tcW w:w="3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5"/>
        </w:trPr>
        <w:tc>
          <w:tcPr>
            <w:tcW w:w="378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RELATED TO</w:t>
            </w: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r>
    </w:tbl>
    <w:p>
      <w:pPr>
        <w:sectPr>
          <w:pgSz w:w="11900" w:h="16838" w:orient="portrait"/>
          <w:cols w:equalWidth="0" w:num="1">
            <w:col w:w="11520"/>
          </w:cols>
          <w:pgMar w:left="220" w:top="137" w:right="15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800" w:type="dxa"/>
            <w:vAlign w:val="bottom"/>
          </w:tcPr>
          <w:p>
            <w:pPr>
              <w:ind w:left="340"/>
              <w:spacing w:after="0"/>
              <w:rPr>
                <w:sz w:val="20"/>
                <w:szCs w:val="20"/>
                <w:color w:val="auto"/>
              </w:rPr>
            </w:pPr>
            <w:r>
              <w:rPr>
                <w:rFonts w:ascii="Courier New" w:cs="Courier New" w:eastAsia="Courier New" w:hAnsi="Courier New"/>
                <w:sz w:val="12"/>
                <w:szCs w:val="12"/>
                <w:color w:val="auto"/>
              </w:rPr>
              <w:t>THE FACILITY AGREEMENT WITH THE BANKS</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4,146</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2,793</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800" w:type="dxa"/>
            <w:vAlign w:val="bottom"/>
          </w:tcPr>
          <w:p>
            <w:pPr>
              <w:spacing w:after="0"/>
              <w:rPr>
                <w:sz w:val="11"/>
                <w:szCs w:val="11"/>
                <w:color w:val="auto"/>
              </w:rPr>
            </w:pPr>
          </w:p>
        </w:tc>
        <w:tc>
          <w:tcPr>
            <w:tcW w:w="17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80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RELATED TO RIGHTS OFFERED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4800" w:type="dxa"/>
            <w:vAlign w:val="bottom"/>
          </w:tcPr>
          <w:p>
            <w:pPr>
              <w:ind w:left="340"/>
              <w:spacing w:after="0"/>
              <w:rPr>
                <w:sz w:val="20"/>
                <w:szCs w:val="20"/>
                <w:color w:val="auto"/>
              </w:rPr>
            </w:pPr>
            <w:r>
              <w:rPr>
                <w:rFonts w:ascii="Courier New" w:cs="Courier New" w:eastAsia="Courier New" w:hAnsi="Courier New"/>
                <w:sz w:val="12"/>
                <w:szCs w:val="12"/>
                <w:color w:val="auto"/>
              </w:rPr>
              <w:t>TO EMPLOYEES, NOTE 12I</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448</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800" w:type="dxa"/>
            <w:vAlign w:val="bottom"/>
          </w:tcPr>
          <w:p>
            <w:pPr>
              <w:spacing w:after="0"/>
              <w:rPr>
                <w:sz w:val="11"/>
                <w:szCs w:val="11"/>
                <w:color w:val="auto"/>
              </w:rPr>
            </w:pPr>
          </w:p>
        </w:tc>
        <w:tc>
          <w:tcPr>
            <w:tcW w:w="17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80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433</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442</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800" w:type="dxa"/>
            <w:vAlign w:val="bottom"/>
          </w:tcPr>
          <w:p>
            <w:pPr>
              <w:spacing w:after="0"/>
              <w:rPr>
                <w:sz w:val="11"/>
                <w:szCs w:val="11"/>
                <w:color w:val="auto"/>
              </w:rPr>
            </w:pPr>
          </w:p>
        </w:tc>
        <w:tc>
          <w:tcPr>
            <w:tcW w:w="17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800" w:type="dxa"/>
            <w:vAlign w:val="bottom"/>
          </w:tcPr>
          <w:p>
            <w:pPr>
              <w:ind w:left="200"/>
              <w:spacing w:after="0"/>
              <w:rPr>
                <w:sz w:val="20"/>
                <w:szCs w:val="20"/>
                <w:color w:val="auto"/>
              </w:rPr>
            </w:pPr>
            <w:r>
              <w:rPr>
                <w:rFonts w:ascii="Courier New" w:cs="Courier New" w:eastAsia="Courier New" w:hAnsi="Courier New"/>
                <w:sz w:val="12"/>
                <w:szCs w:val="12"/>
                <w:color w:val="auto"/>
              </w:rPr>
              <w:t>CONVERSION OF LONG-TERM CUSTOMERS' ADVANCES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4800" w:type="dxa"/>
            <w:vAlign w:val="bottom"/>
          </w:tcPr>
          <w:p>
            <w:pPr>
              <w:ind w:left="340"/>
              <w:spacing w:after="0"/>
              <w:rPr>
                <w:sz w:val="20"/>
                <w:szCs w:val="20"/>
                <w:color w:val="auto"/>
              </w:rPr>
            </w:pPr>
            <w:r>
              <w:rPr>
                <w:rFonts w:ascii="Courier New" w:cs="Courier New" w:eastAsia="Courier New" w:hAnsi="Courier New"/>
                <w:sz w:val="12"/>
                <w:szCs w:val="12"/>
                <w:color w:val="auto"/>
              </w:rPr>
              <w:t>TO SHARE CAPITAL</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7,621</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1,794</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539</w:t>
            </w:r>
          </w:p>
        </w:tc>
      </w:tr>
      <w:tr>
        <w:trPr>
          <w:trHeight w:val="135"/>
        </w:trPr>
        <w:tc>
          <w:tcPr>
            <w:tcW w:w="4800" w:type="dxa"/>
            <w:vAlign w:val="bottom"/>
          </w:tcPr>
          <w:p>
            <w:pPr>
              <w:spacing w:after="0"/>
              <w:rPr>
                <w:sz w:val="11"/>
                <w:szCs w:val="11"/>
                <w:color w:val="auto"/>
              </w:rPr>
            </w:pPr>
          </w:p>
        </w:tc>
        <w:tc>
          <w:tcPr>
            <w:tcW w:w="17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800" w:type="dxa"/>
            <w:vAlign w:val="bottom"/>
          </w:tcPr>
          <w:p>
            <w:pPr>
              <w:ind w:left="200"/>
              <w:spacing w:after="0"/>
              <w:rPr>
                <w:sz w:val="20"/>
                <w:szCs w:val="20"/>
                <w:color w:val="auto"/>
              </w:rPr>
            </w:pPr>
            <w:r>
              <w:rPr>
                <w:rFonts w:ascii="Courier New" w:cs="Courier New" w:eastAsia="Courier New" w:hAnsi="Courier New"/>
                <w:sz w:val="12"/>
                <w:szCs w:val="12"/>
                <w:color w:val="auto"/>
              </w:rPr>
              <w:t>CONVERSION OF CONVERTIBLE DEBENTURES TO SHARES CAPITAL</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10,619</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800" w:type="dxa"/>
            <w:vAlign w:val="bottom"/>
          </w:tcPr>
          <w:p>
            <w:pPr>
              <w:spacing w:after="0"/>
              <w:rPr>
                <w:sz w:val="11"/>
                <w:szCs w:val="11"/>
                <w:color w:val="auto"/>
              </w:rPr>
            </w:pPr>
          </w:p>
        </w:tc>
        <w:tc>
          <w:tcPr>
            <w:tcW w:w="17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800" w:type="dxa"/>
            <w:vAlign w:val="bottom"/>
          </w:tcPr>
          <w:p>
            <w:pPr>
              <w:ind w:left="200"/>
              <w:spacing w:after="0"/>
              <w:rPr>
                <w:sz w:val="20"/>
                <w:szCs w:val="20"/>
                <w:color w:val="auto"/>
              </w:rPr>
            </w:pPr>
            <w:r>
              <w:rPr>
                <w:rFonts w:ascii="Courier New" w:cs="Courier New" w:eastAsia="Courier New" w:hAnsi="Courier New"/>
                <w:sz w:val="12"/>
                <w:szCs w:val="12"/>
                <w:color w:val="auto"/>
              </w:rPr>
              <w:t>CONVERSION OF LONG TERM DEBT TO CAPITAL NOTES</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76,401</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800" w:type="dxa"/>
            <w:vAlign w:val="bottom"/>
          </w:tcPr>
          <w:p>
            <w:pPr>
              <w:spacing w:after="0"/>
              <w:rPr>
                <w:sz w:val="11"/>
                <w:szCs w:val="11"/>
                <w:color w:val="auto"/>
              </w:rPr>
            </w:pPr>
          </w:p>
        </w:tc>
        <w:tc>
          <w:tcPr>
            <w:tcW w:w="17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800" w:type="dxa"/>
            <w:vAlign w:val="bottom"/>
          </w:tcPr>
          <w:p>
            <w:pPr>
              <w:spacing w:after="0"/>
              <w:rPr>
                <w:sz w:val="20"/>
                <w:szCs w:val="20"/>
                <w:color w:val="auto"/>
              </w:rPr>
            </w:pPr>
            <w:r>
              <w:rPr>
                <w:rFonts w:ascii="Courier New" w:cs="Courier New" w:eastAsia="Courier New" w:hAnsi="Courier New"/>
                <w:sz w:val="12"/>
                <w:szCs w:val="12"/>
                <w:color w:val="auto"/>
              </w:rPr>
              <w:t>SUPPLEMENTAL DISCLOSURE OF CASH FLOW INFORMATION</w:t>
            </w: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0"/>
        </w:trPr>
        <w:tc>
          <w:tcPr>
            <w:tcW w:w="480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YEAR FOR INTEREST</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35,008</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32,805</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25,205</w:t>
            </w:r>
          </w:p>
        </w:tc>
      </w:tr>
      <w:tr>
        <w:trPr>
          <w:trHeight w:val="135"/>
        </w:trPr>
        <w:tc>
          <w:tcPr>
            <w:tcW w:w="4800" w:type="dxa"/>
            <w:vAlign w:val="bottom"/>
          </w:tcPr>
          <w:p>
            <w:pPr>
              <w:spacing w:after="0"/>
              <w:rPr>
                <w:sz w:val="11"/>
                <w:szCs w:val="11"/>
                <w:color w:val="auto"/>
              </w:rPr>
            </w:pPr>
          </w:p>
        </w:tc>
        <w:tc>
          <w:tcPr>
            <w:tcW w:w="17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80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YEAR FOR INCOME TAXES</w:t>
            </w: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134</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86</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130</w:t>
            </w:r>
          </w:p>
        </w:tc>
      </w:tr>
      <w:tr>
        <w:trPr>
          <w:trHeight w:val="135"/>
        </w:trPr>
        <w:tc>
          <w:tcPr>
            <w:tcW w:w="4800" w:type="dxa"/>
            <w:vAlign w:val="bottom"/>
          </w:tcPr>
          <w:p>
            <w:pPr>
              <w:spacing w:after="0"/>
              <w:rPr>
                <w:sz w:val="11"/>
                <w:szCs w:val="11"/>
                <w:color w:val="auto"/>
              </w:rPr>
            </w:pPr>
          </w:p>
        </w:tc>
        <w:tc>
          <w:tcPr>
            <w:tcW w:w="17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13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DESCRIPTION OF BUSINESS AND GENERAL</w:t>
      </w:r>
    </w:p>
    <w:p>
      <w:pPr>
        <w:spacing w:after="0" w:line="134" w:lineRule="exact"/>
        <w:rPr>
          <w:sz w:val="20"/>
          <w:szCs w:val="20"/>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DESCRIPTION OF BUSINESS</w:t>
      </w:r>
    </w:p>
    <w:p>
      <w:pPr>
        <w:spacing w:after="0" w:line="138" w:lineRule="exact"/>
        <w:rPr>
          <w:rFonts w:ascii="Courier New" w:cs="Courier New" w:eastAsia="Courier New" w:hAnsi="Courier New"/>
          <w:sz w:val="12"/>
          <w:szCs w:val="12"/>
          <w:color w:val="auto"/>
        </w:rPr>
      </w:pPr>
    </w:p>
    <w:p>
      <w:pPr>
        <w:ind w:left="700" w:right="475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("the Company"), incorporated in Israel, commenced operations in 1993. The Company is an independent wafer foundry dedicated to the manufacture of semiconductor integrated circuits on silicon wafers, strategically focused on complementary metal oxide semiconductor (CMOS) image sensor, embedded non-volatile memory, mixed signal and radio frequency CMOS (RFCMOS) technologies. The Company manufactures integrated circuits in geometries ranging between 1.0 and 0.35 microns at its 150-millimeter fabrication facility ("Fab 1"), and in geometries ranging between 0.18 and 0.13 microns at its 200-millimeter fabrication facility ("Fab 2"). As a foundry, the Company manufactures wafers using its advanced technological capabilities and the proprietary integrated circuit designs of its customers.</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improvements in production technology.</w:t>
      </w:r>
    </w:p>
    <w:p>
      <w:pPr>
        <w:spacing w:after="0" w:line="139" w:lineRule="exact"/>
        <w:rPr>
          <w:rFonts w:ascii="Courier New" w:cs="Courier New" w:eastAsia="Courier New" w:hAnsi="Courier New"/>
          <w:sz w:val="12"/>
          <w:szCs w:val="12"/>
          <w:color w:val="auto"/>
        </w:rPr>
      </w:pPr>
    </w:p>
    <w:p>
      <w:pPr>
        <w:ind w:left="700" w:right="4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Ordinary Shares are traded on the NASDAQ Global Market and on the Tel-Aviv Stock Exchange.</w:t>
      </w:r>
    </w:p>
    <w:p>
      <w:pPr>
        <w:spacing w:after="0" w:line="139" w:lineRule="exact"/>
        <w:rPr>
          <w:rFonts w:ascii="Courier New" w:cs="Courier New" w:eastAsia="Courier New" w:hAnsi="Courier New"/>
          <w:sz w:val="12"/>
          <w:szCs w:val="12"/>
          <w:color w:val="auto"/>
        </w:rPr>
      </w:pPr>
    </w:p>
    <w:p>
      <w:pPr>
        <w:ind w:left="700" w:right="5039" w:hanging="357"/>
        <w:spacing w:after="0" w:line="235" w:lineRule="auto"/>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ESTABLISHMENT AND OPERATIONS OF THE COMPANY'S SECOND FABRICATION FACILITY (FAB 2)</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2001, the Company's Board of Directors approved the establishment of the Company's second wafer fabrication facility in Israel ("Fab 2"). In Fab 2, the Company manufactures semiconductor integrated circuits on silicon wafers in geometries of 0.18 micron and below on 200-millimeter wafers. In connection with the establishment, equipping and financing of Fab 2, the Company has entered into several related agreements and other arrangements and since 2001 has completed public and private financing deals, see Note 11A.</w:t>
      </w:r>
    </w:p>
    <w:p>
      <w:pPr>
        <w:spacing w:after="0" w:line="142"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Fab 2 project is a complex undertaking, which entails substantial risks and uncertainties. For further details concerning the Fab 2 project and related agreements, some of which were amended several times, see Note 11A.</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DESCRIPTION OF BUSINESS AND GENERAL (cont.)</w:t>
      </w:r>
    </w:p>
    <w:p>
      <w:pPr>
        <w:spacing w:after="0" w:line="134" w:lineRule="exact"/>
        <w:rPr>
          <w:sz w:val="20"/>
          <w:szCs w:val="20"/>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FINANCING OF THE COMPANY'S ONGOING OPERATIONS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recent years, the Company has experienced significant recurring losses, recurring negative cash flows from operating activities and an increasing accumulated deficit. The Company is working in various ways to mitigate its financial difficulties and among them are the following:</w:t>
      </w:r>
    </w:p>
    <w:p>
      <w:pPr>
        <w:spacing w:after="0" w:line="139" w:lineRule="exact"/>
        <w:rPr>
          <w:rFonts w:ascii="Courier New" w:cs="Courier New" w:eastAsia="Courier New" w:hAnsi="Courier New"/>
          <w:sz w:val="12"/>
          <w:szCs w:val="12"/>
          <w:color w:val="auto"/>
        </w:rPr>
      </w:pPr>
    </w:p>
    <w:p>
      <w:pPr>
        <w:ind w:left="7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During the second half of 2005 and during 2006, the Company increased its customer base, mainly in Fab 2, modified its organizational structure to better address its customers and its market positioning, improved its sales and its EBITDA, reduced its losses, increased its capacity level and utilization rates, raised funds totaling approximately $209,000 in gross proceeds (see Notes 12C(2); 12I; 12J; and 12K) and restructured its bank debt (see below).</w:t>
      </w:r>
    </w:p>
    <w:p>
      <w:pPr>
        <w:spacing w:after="0" w:line="128"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March 2006, the board of directors of the Company approved a plan to ramp-up Fab 2 in order to meet customer needs and product qualification needs, based on its customer pipeline and reinforced by forecasted market conditions.</w:t>
      </w:r>
    </w:p>
    <w:p>
      <w:pPr>
        <w:spacing w:after="0" w:line="140"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part of the financing efforts for the ramp-up plan, in September 2006, the Company closed a definitive amendment (the "September 2006 amendment") to its facility agreement (the "Facility Agreement") with two leading Israeli banks ("Banks"), for the restructuring of approximately $527,000 in debt. Pursuant to the September 2006 amendment, among other things: (i) $158,000, representing approximately 30% of the outstanding debt under the Facility Agreement, was converted into capital notes of the Company; (ii) the interest rate applicable for the quarterly actual interest payments on the loans was decreased by 1.4%, from LIBOR plus 2.5% per annum to LIBOR plus 1.1% per annum, effective from May 17, 2006; and (iii) the repayment schedule of the outstanding loans was revised such that the loans shall be repaid in 12 equal quarterly installments between September 2009 and June 2012. For additional information, see Note 11A(6).</w:t>
      </w:r>
    </w:p>
    <w:p>
      <w:pPr>
        <w:sectPr>
          <w:pgSz w:w="11900" w:h="16838" w:orient="portrait"/>
          <w:cols w:equalWidth="0" w:num="1">
            <w:col w:w="10239"/>
          </w:cols>
          <w:pgMar w:left="220" w:top="137" w:right="1440" w:bottom="0" w:gutter="0" w:footer="0" w:header="0"/>
        </w:sectPr>
      </w:pPr>
    </w:p>
    <w:bookmarkStart w:id="8" w:name="page9"/>
    <w:bookmarkEnd w:id="8"/>
    <w:p>
      <w:pPr>
        <w:spacing w:after="0" w:line="6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connection with the Company's financing efforts for the ramp-up</w:t>
      </w:r>
    </w:p>
    <w:p>
      <w:pPr>
        <w:ind w:left="700"/>
        <w:spacing w:after="0"/>
        <w:rPr>
          <w:sz w:val="20"/>
          <w:szCs w:val="20"/>
          <w:color w:val="auto"/>
        </w:rPr>
      </w:pPr>
      <w:r>
        <w:rPr>
          <w:rFonts w:ascii="Courier New" w:cs="Courier New" w:eastAsia="Courier New" w:hAnsi="Courier New"/>
          <w:sz w:val="12"/>
          <w:szCs w:val="12"/>
          <w:color w:val="auto"/>
        </w:rPr>
        <w:t>plan and in connection with the September 2006 amendment to the</w:t>
      </w:r>
    </w:p>
    <w:p>
      <w:pPr>
        <w:ind w:left="700"/>
        <w:spacing w:after="0" w:line="237" w:lineRule="auto"/>
        <w:rPr>
          <w:sz w:val="20"/>
          <w:szCs w:val="20"/>
          <w:color w:val="auto"/>
        </w:rPr>
      </w:pPr>
      <w:r>
        <w:rPr>
          <w:rFonts w:ascii="Courier New" w:cs="Courier New" w:eastAsia="Courier New" w:hAnsi="Courier New"/>
          <w:sz w:val="12"/>
          <w:szCs w:val="12"/>
          <w:color w:val="auto"/>
        </w:rPr>
        <w:t>Facility Agreement, the Company entered into a securities purchase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agreement with The Israel Corporation Ltd ("TIC"), according to which</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TIC invested $100,000 in the Company, see Note 11A(4).</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Company is currently examining alternatives for additional funding</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sources in order to further ramp-up the equipping of Fab 2 and to fund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its short-term activities and liabilities.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DESCRIPTION OF BUSINESS AND GENERAL (cont.)</w:t>
      </w:r>
    </w:p>
    <w:p>
      <w:pPr>
        <w:spacing w:after="0" w:line="134" w:lineRule="exact"/>
        <w:rPr>
          <w:sz w:val="20"/>
          <w:szCs w:val="20"/>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USE OF ESTIMATES IN PREPARATION OF FINANCIAL STATEMENTS</w:t>
      </w:r>
    </w:p>
    <w:p>
      <w:pPr>
        <w:spacing w:after="0" w:line="138"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Company's consolidated financial statements are presented in</w:t>
      </w:r>
    </w:p>
    <w:p>
      <w:pPr>
        <w:ind w:left="700"/>
        <w:spacing w:after="0"/>
        <w:rPr>
          <w:sz w:val="20"/>
          <w:szCs w:val="20"/>
          <w:color w:val="auto"/>
        </w:rPr>
      </w:pPr>
      <w:r>
        <w:rPr>
          <w:rFonts w:ascii="Courier New" w:cs="Courier New" w:eastAsia="Courier New" w:hAnsi="Courier New"/>
          <w:sz w:val="12"/>
          <w:szCs w:val="12"/>
          <w:color w:val="auto"/>
        </w:rPr>
        <w:t>accordance with generally accepted accounting principles ("GAAP") in</w:t>
      </w:r>
    </w:p>
    <w:p>
      <w:pPr>
        <w:ind w:left="700"/>
        <w:spacing w:after="0" w:line="237" w:lineRule="auto"/>
        <w:rPr>
          <w:sz w:val="20"/>
          <w:szCs w:val="20"/>
          <w:color w:val="auto"/>
        </w:rPr>
      </w:pPr>
      <w:r>
        <w:rPr>
          <w:rFonts w:ascii="Courier New" w:cs="Courier New" w:eastAsia="Courier New" w:hAnsi="Courier New"/>
          <w:sz w:val="12"/>
          <w:szCs w:val="12"/>
          <w:color w:val="auto"/>
        </w:rPr>
        <w:t>Israel. See Note 19 for the reconciliation of material differences</w:t>
      </w:r>
    </w:p>
    <w:p>
      <w:pPr>
        <w:ind w:left="700"/>
        <w:spacing w:after="0"/>
        <w:rPr>
          <w:sz w:val="20"/>
          <w:szCs w:val="20"/>
          <w:color w:val="auto"/>
        </w:rPr>
      </w:pPr>
      <w:r>
        <w:rPr>
          <w:rFonts w:ascii="Courier New" w:cs="Courier New" w:eastAsia="Courier New" w:hAnsi="Courier New"/>
          <w:sz w:val="12"/>
          <w:szCs w:val="12"/>
          <w:color w:val="auto"/>
        </w:rPr>
        <w:t>between GAAP in Israel and in the United States of America.</w:t>
      </w:r>
    </w:p>
    <w:p>
      <w:pPr>
        <w:spacing w:after="0" w:line="133" w:lineRule="exact"/>
        <w:rPr>
          <w:sz w:val="20"/>
          <w:szCs w:val="20"/>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PRINCIPLES OF CONSOLIDATION</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consolidated financial statements include the financial statements of the Company and its wholly-owned marketing subsidiary in the United States, after elimination of material inter-company transactions and balances. The effect of the subsidiary's operations on the Company's revenues, net loss and total assets was immaterial for the dates and periods presented.</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CASH AND CASH EQUIVALENTS</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Cash and cash equivalents consist of banks deposits and short-term investments (primarily time deposits and certificates of deposit) with original maturities of three months or less.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ALLOWANCE FOR DOUBTFUL ACCOUNTS</w:t>
      </w:r>
    </w:p>
    <w:p>
      <w:pPr>
        <w:spacing w:after="0" w:line="138" w:lineRule="exact"/>
        <w:rPr>
          <w:rFonts w:ascii="Courier New" w:cs="Courier New" w:eastAsia="Courier New" w:hAnsi="Courier New"/>
          <w:sz w:val="12"/>
          <w:szCs w:val="12"/>
          <w:color w:val="auto"/>
        </w:rPr>
      </w:pPr>
    </w:p>
    <w:p>
      <w:pPr>
        <w:ind w:left="700" w:right="51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allowance for doubtful accounts is computed on the specific identification basis for accounts whose collectibility, in management's estimation, is uncertain.</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INVENTORIES</w:t>
      </w:r>
    </w:p>
    <w:p>
      <w:pPr>
        <w:spacing w:after="0" w:line="138" w:lineRule="exact"/>
        <w:rPr>
          <w:rFonts w:ascii="Courier New" w:cs="Courier New" w:eastAsia="Courier New" w:hAnsi="Courier New"/>
          <w:sz w:val="12"/>
          <w:szCs w:val="12"/>
          <w:color w:val="auto"/>
        </w:rPr>
      </w:pPr>
    </w:p>
    <w:p>
      <w:pPr>
        <w:ind w:left="700" w:right="461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Inventories are stated at the lower of cost or market. Cost is determined for raw materials, spare parts and supplies on the basis of the weighted moving average cost per unit. Cost is determined for work in process and finished goods on the basis of actual production costs.</w:t>
      </w: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- 8</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PROPERTY AND EQUIPMENT</w:t>
      </w:r>
    </w:p>
    <w:p>
      <w:pPr>
        <w:spacing w:after="0" w:line="138" w:lineRule="exact"/>
        <w:rPr>
          <w:rFonts w:ascii="Courier New" w:cs="Courier New" w:eastAsia="Courier New" w:hAnsi="Courier New"/>
          <w:sz w:val="12"/>
          <w:szCs w:val="12"/>
          <w:color w:val="auto"/>
        </w:rPr>
      </w:pPr>
    </w:p>
    <w:p>
      <w:pPr>
        <w:ind w:left="1040" w:right="4619" w:hanging="345"/>
        <w:spacing w:after="0" w:line="261" w:lineRule="auto"/>
        <w:tabs>
          <w:tab w:leader="none" w:pos="1040" w:val="left"/>
        </w:tabs>
        <w:numPr>
          <w:ilvl w:val="1"/>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Property and equipment are presented at cost, including interest and other capitalizable costs. Capitalizable costs include only incremental direct costs that are identifiable with, and related to, the property and equipment and are incurred prior to its initial operation. Identifiable incremental direct costs include costs associated with acquiring, constructing, establishing and installing property and equipment (whether performed by others or by the Company), and costs directly related to preproduction test runs of property and equipment that are necessary to get it ready for its intended use. Those costs include payroll and payroll-related costs of employees who devote time and are dedicated solely to the acquiring, constructing, establishing and installing of property and equipment. Allocation, when appropriate, of capitalizable incremental direct costs is based on management's estimates and methodologies including time sheet inputs.</w:t>
      </w:r>
    </w:p>
    <w:p>
      <w:pPr>
        <w:spacing w:after="0" w:line="264" w:lineRule="exact"/>
        <w:rPr>
          <w:rFonts w:ascii="Courier New" w:cs="Courier New" w:eastAsia="Courier New" w:hAnsi="Courier New"/>
          <w:sz w:val="11"/>
          <w:szCs w:val="11"/>
          <w:color w:val="auto"/>
        </w:rPr>
      </w:pPr>
    </w:p>
    <w:p>
      <w:pPr>
        <w:ind w:left="1040" w:right="4699"/>
        <w:spacing w:after="0" w:line="263"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Cost is presented net of investment grants received or receivable, and less accumulated depreciation and amortization. The accrual for grants receivable is determined based on qualified investments made during the reporting period, provided that the primary criteria for entitlement have been met.</w:t>
      </w:r>
    </w:p>
    <w:p>
      <w:pPr>
        <w:spacing w:after="0" w:line="127" w:lineRule="exact"/>
        <w:rPr>
          <w:rFonts w:ascii="Courier New" w:cs="Courier New" w:eastAsia="Courier New" w:hAnsi="Courier New"/>
          <w:sz w:val="11"/>
          <w:szCs w:val="11"/>
          <w:color w:val="auto"/>
        </w:rPr>
      </w:pPr>
    </w:p>
    <w:p>
      <w:pPr>
        <w:jc w:val="both"/>
        <w:ind w:left="1040" w:right="461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Depreciation is calculated based on the straight-line method over the estimated economic lives commonly used in the industry of the assets or terms of the related leases, as follows:</w:t>
      </w:r>
    </w:p>
    <w:p>
      <w:pPr>
        <w:spacing w:after="0" w:line="135" w:lineRule="exact"/>
        <w:rPr>
          <w:sz w:val="20"/>
          <w:szCs w:val="20"/>
          <w:color w:val="auto"/>
        </w:rPr>
      </w:pPr>
    </w:p>
    <w:tbl>
      <w:tblPr>
        <w:tblLayout w:type="fixed"/>
        <w:tblInd w:w="1040" w:type="dxa"/>
        <w:tblCellMar>
          <w:top w:w="0" w:type="dxa"/>
          <w:left w:w="0" w:type="dxa"/>
          <w:bottom w:w="0" w:type="dxa"/>
          <w:right w:w="0" w:type="dxa"/>
        </w:tblCellMar>
      </w:tblPr>
      <w:tr>
        <w:trPr>
          <w:trHeight w:val="136"/>
        </w:trPr>
        <w:tc>
          <w:tcPr>
            <w:tcW w:w="3300" w:type="dxa"/>
            <w:vAlign w:val="bottom"/>
          </w:tcPr>
          <w:p>
            <w:pPr>
              <w:spacing w:after="0"/>
              <w:rPr>
                <w:sz w:val="20"/>
                <w:szCs w:val="20"/>
                <w:color w:val="auto"/>
              </w:rPr>
            </w:pPr>
            <w:r>
              <w:rPr>
                <w:rFonts w:ascii="Courier New" w:cs="Courier New" w:eastAsia="Courier New" w:hAnsi="Courier New"/>
                <w:sz w:val="12"/>
                <w:szCs w:val="12"/>
                <w:color w:val="auto"/>
              </w:rPr>
              <w:t>Prepaid long-term land lease and buildings</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(including facility infrastructure)</w:t>
            </w:r>
          </w:p>
        </w:tc>
        <w:tc>
          <w:tcPr>
            <w:tcW w:w="114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95"/>
              </w:rPr>
              <w:t>14-25 years</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Machinery and equipment</w:t>
            </w:r>
          </w:p>
        </w:tc>
        <w:tc>
          <w:tcPr>
            <w:tcW w:w="460" w:type="dxa"/>
            <w:vAlign w:val="bottom"/>
          </w:tcPr>
          <w:p>
            <w:pPr>
              <w:ind w:left="360"/>
              <w:spacing w:after="0"/>
              <w:rPr>
                <w:sz w:val="20"/>
                <w:szCs w:val="20"/>
                <w:color w:val="auto"/>
              </w:rPr>
            </w:pPr>
            <w:r>
              <w:rPr>
                <w:rFonts w:ascii="Courier New" w:cs="Courier New" w:eastAsia="Courier New" w:hAnsi="Courier New"/>
                <w:sz w:val="12"/>
                <w:szCs w:val="12"/>
                <w:color w:val="auto"/>
              </w:rPr>
              <w:t>5</w:t>
            </w:r>
          </w:p>
        </w:tc>
        <w:tc>
          <w:tcPr>
            <w:tcW w:w="680" w:type="dxa"/>
            <w:vAlign w:val="bottom"/>
          </w:tcPr>
          <w:p>
            <w:pPr>
              <w:ind w:left="40"/>
              <w:spacing w:after="0"/>
              <w:rPr>
                <w:sz w:val="20"/>
                <w:szCs w:val="20"/>
                <w:color w:val="auto"/>
              </w:rPr>
            </w:pPr>
            <w:r>
              <w:rPr>
                <w:rFonts w:ascii="Courier New" w:cs="Courier New" w:eastAsia="Courier New" w:hAnsi="Courier New"/>
                <w:sz w:val="12"/>
                <w:szCs w:val="12"/>
                <w:color w:val="auto"/>
              </w:rPr>
              <w:t>years</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Transportation vehicles</w:t>
            </w:r>
          </w:p>
        </w:tc>
        <w:tc>
          <w:tcPr>
            <w:tcW w:w="460" w:type="dxa"/>
            <w:vAlign w:val="bottom"/>
          </w:tcPr>
          <w:p>
            <w:pPr>
              <w:ind w:left="360"/>
              <w:spacing w:after="0"/>
              <w:rPr>
                <w:sz w:val="20"/>
                <w:szCs w:val="20"/>
                <w:color w:val="auto"/>
              </w:rPr>
            </w:pPr>
            <w:r>
              <w:rPr>
                <w:rFonts w:ascii="Courier New" w:cs="Courier New" w:eastAsia="Courier New" w:hAnsi="Courier New"/>
                <w:sz w:val="12"/>
                <w:szCs w:val="12"/>
                <w:color w:val="auto"/>
              </w:rPr>
              <w:t>7</w:t>
            </w:r>
          </w:p>
        </w:tc>
        <w:tc>
          <w:tcPr>
            <w:tcW w:w="680" w:type="dxa"/>
            <w:vAlign w:val="bottom"/>
          </w:tcPr>
          <w:p>
            <w:pPr>
              <w:ind w:left="40"/>
              <w:spacing w:after="0"/>
              <w:rPr>
                <w:sz w:val="20"/>
                <w:szCs w:val="20"/>
                <w:color w:val="auto"/>
              </w:rPr>
            </w:pPr>
            <w:r>
              <w:rPr>
                <w:rFonts w:ascii="Courier New" w:cs="Courier New" w:eastAsia="Courier New" w:hAnsi="Courier New"/>
                <w:sz w:val="12"/>
                <w:szCs w:val="12"/>
                <w:color w:val="auto"/>
              </w:rPr>
              <w:t>years</w:t>
            </w:r>
          </w:p>
        </w:tc>
      </w:tr>
    </w:tbl>
    <w:p>
      <w:pPr>
        <w:spacing w:after="0" w:line="139" w:lineRule="exact"/>
        <w:rPr>
          <w:sz w:val="20"/>
          <w:szCs w:val="20"/>
          <w:color w:val="auto"/>
        </w:rPr>
      </w:pPr>
    </w:p>
    <w:p>
      <w:pPr>
        <w:ind w:left="1040" w:right="4839" w:hanging="345"/>
        <w:spacing w:after="0" w:line="273" w:lineRule="auto"/>
        <w:tabs>
          <w:tab w:leader="none" w:pos="1040" w:val="left"/>
        </w:tabs>
        <w:numPr>
          <w:ilvl w:val="0"/>
          <w:numId w:val="9"/>
        </w:numPr>
        <w:rPr>
          <w:rFonts w:ascii="Courier New" w:cs="Courier New" w:eastAsia="Courier New" w:hAnsi="Courier New"/>
          <w:sz w:val="11"/>
          <w:szCs w:val="11"/>
          <w:color w:val="auto"/>
        </w:rPr>
      </w:pPr>
      <w:r>
        <w:rPr>
          <w:rFonts w:ascii="Courier New" w:cs="Courier New" w:eastAsia="Courier New" w:hAnsi="Courier New"/>
          <w:sz w:val="11"/>
          <w:szCs w:val="11"/>
          <w:color w:val="auto"/>
        </w:rPr>
        <w:t>Impairment examinations and recognition are performed and determined based on the accounting policy outlined in P below.</w:t>
      </w:r>
    </w:p>
    <w:p>
      <w:pPr>
        <w:spacing w:after="0" w:line="25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- 9</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ectPr>
          <w:pgSz w:w="11900" w:h="16902" w:orient="portrait"/>
          <w:cols w:equalWidth="0" w:num="1">
            <w:col w:w="10239"/>
          </w:cols>
          <w:pgMar w:left="220" w:top="272" w:right="1440" w:bottom="0" w:gutter="0" w:footer="0" w:header="0"/>
        </w:sectPr>
      </w:pPr>
    </w:p>
    <w:bookmarkStart w:id="9" w:name="page10"/>
    <w:bookmarkEnd w:id="9"/>
    <w:p>
      <w:pPr>
        <w:ind w:left="700" w:hanging="357"/>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INTANGIBLE ASSETS</w:t>
      </w:r>
    </w:p>
    <w:p>
      <w:pPr>
        <w:spacing w:after="0" w:line="138" w:lineRule="exact"/>
        <w:rPr>
          <w:rFonts w:ascii="Courier New" w:cs="Courier New" w:eastAsia="Courier New" w:hAnsi="Courier New"/>
          <w:sz w:val="12"/>
          <w:szCs w:val="12"/>
          <w:color w:val="auto"/>
        </w:rPr>
      </w:pPr>
    </w:p>
    <w:p>
      <w:pPr>
        <w:ind w:left="70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TECHNOLOGY - The cost of Fab 2 technologies includes the technology process cost, internal incremental direct costs, mainly payroll-related costs of employees designated for integrating the technologies in Fab 2, and incremental direct costs associated with implementing the technologies until the technologies are ready for their intended use. The costs in relation to Fab 2 technologies are amortized over the expected estimated economic life of the technologies, commonly used in the industry. Amortization phases commence on the dates on which each of the Fab 2 manufacturing lines is ready for its intended use.</w:t>
      </w:r>
    </w:p>
    <w:p>
      <w:pPr>
        <w:spacing w:after="0" w:line="143" w:lineRule="exact"/>
        <w:rPr>
          <w:rFonts w:ascii="Courier New" w:cs="Courier New" w:eastAsia="Courier New" w:hAnsi="Courier New"/>
          <w:sz w:val="12"/>
          <w:szCs w:val="12"/>
          <w:color w:val="auto"/>
        </w:rPr>
      </w:pPr>
    </w:p>
    <w:p>
      <w:pPr>
        <w:ind w:left="700" w:right="4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Impairment examinations and recognition are performed and determined based on the accounting policy outlined in P below.</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ASSETS</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DEFERRED FINANCING CHARGES - Deferred financing charges in relation to funding the establishment of Fab 2 were included, through December 31, 2005, in other assets, as was the practice prior to the effectiveness of Accounting Standard No. 22 "FINANCIAL INSTRUMENTS: DISCLOSURE AND PRESENTATION", and since January 1, 2006, following the effectiveness of the Standard, were offset from the related borrowings. The deferred financing charges were amortized over the lives of the borrowings based on the repayment schedule of such funding. During the establishment period of Fab 2, amortized deferred financing charges were capitalized to property and equipment. During 2003, in which the building and infrastructures of Fab 2 were substantially completed and became ready for their intended use, and in which the initial ramp-up commenced, the deferred financing charges were amortized to financing expenses, net. Pursuant to the September 2006 amendment to the Facility Agreement described in Note 11A(6) the deferred financing charges, as part of the outstanding loans, were considered to be substantially modified and thus treated as debt extinguishment of the outstanding debt and the incurrence of a new debt, and were fully amortized to financing expenses.</w:t>
      </w:r>
    </w:p>
    <w:p>
      <w:pPr>
        <w:spacing w:after="0" w:line="25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CONVERTIBLE DEBENTURES</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2006, the company adopted Accounting Standard No. 22 "FINANCIAL INSTRUMENTS: DISCLOSURE AND PRESENTATION" (the "Standard"), which supersedes Opinion No.53 "ACCOUNTING FOR CONVERTIBLE LIABILITIES" and Opinion No.48 "ACCOUNTING FOR OPTIONS".</w:t>
      </w:r>
    </w:p>
    <w:p>
      <w:pPr>
        <w:spacing w:after="0" w:line="140"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issued three series of convertible debentures that are considered compound instruments under the Standard. According to the Standard, a compound instrument has to be separated to its components, the equity component and the liability component. The equity component is classified as shareholders' equity and is determined as the excess of the proceeds over the fair value of the liability component.</w:t>
      </w:r>
    </w:p>
    <w:p>
      <w:pPr>
        <w:spacing w:after="0" w:line="129" w:lineRule="exact"/>
        <w:rPr>
          <w:rFonts w:ascii="Courier New" w:cs="Courier New" w:eastAsia="Courier New" w:hAnsi="Courier New"/>
          <w:sz w:val="12"/>
          <w:szCs w:val="12"/>
          <w:color w:val="auto"/>
        </w:rPr>
      </w:pPr>
    </w:p>
    <w:p>
      <w:pPr>
        <w:ind w:left="700" w:right="51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19F for the presentation of convertible debentures in accordance with U.S. GAAP.</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INCOME TAXES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records deferred income taxes in accordance with Standard No. 19 "INCOME TAXES" of the Israeli Accounting Standards Board, to reflect the net tax effects of temporary differences between the carrying amounts of assets and liabilities for financial reporting purposes and for tax purposes. Deferred taxes are computed based on the tax rates anticipated (under applicable law as of the balance sheet date) to be in effect when the deferred taxes are expected to be paid or realized.</w:t>
      </w:r>
    </w:p>
    <w:p>
      <w:pPr>
        <w:spacing w:after="0" w:line="142"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Deferred tax liabilities are recognized for temporary differences that will result in taxable amounts in future years. Deferred tax assets are recognized, if it is probable that such assets would be realized, for temporary differences, which will result in deductible amounts in future years and for carryforwards. An allowance against such deferred tax asset is recognized if it is probable that some portion or all of the deferred tax assets will not be realized. Due to the material loss carryforward of the Company as of December 31, 2006 and uncertainties with regard to its utilization in the future, no deferred taxes were recorded in the Company's results of operations.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REVENUE RECOGNITION</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Revenues are recognized upon shipment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140"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RESEARCH AND DEVELOPMENT</w:t>
      </w:r>
    </w:p>
    <w:p>
      <w:pPr>
        <w:spacing w:after="0" w:line="138" w:lineRule="exact"/>
        <w:rPr>
          <w:rFonts w:ascii="Courier New" w:cs="Courier New" w:eastAsia="Courier New" w:hAnsi="Courier New"/>
          <w:sz w:val="12"/>
          <w:szCs w:val="12"/>
          <w:color w:val="auto"/>
        </w:rPr>
      </w:pPr>
    </w:p>
    <w:p>
      <w:pPr>
        <w:ind w:left="7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26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- 11</w:t>
      </w:r>
    </w:p>
    <w:p>
      <w:pPr>
        <w:sectPr>
          <w:pgSz w:w="11900" w:h="16838" w:orient="portrait"/>
          <w:cols w:equalWidth="0" w:num="1">
            <w:col w:w="10239"/>
          </w:cols>
          <w:pgMar w:left="220" w:top="272" w:right="1440" w:bottom="77" w:gutter="0" w:footer="0" w:header="0"/>
        </w:sectPr>
      </w:pPr>
    </w:p>
    <w:bookmarkStart w:id="10" w:name="page11"/>
    <w:bookmarkEnd w:id="10"/>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ORDINARY SHARE</w:t>
      </w:r>
    </w:p>
    <w:p>
      <w:pPr>
        <w:spacing w:after="0" w:line="138" w:lineRule="exact"/>
        <w:rPr>
          <w:rFonts w:ascii="Courier New" w:cs="Courier New" w:eastAsia="Courier New" w:hAnsi="Courier New"/>
          <w:sz w:val="12"/>
          <w:szCs w:val="12"/>
          <w:color w:val="auto"/>
        </w:rPr>
      </w:pPr>
    </w:p>
    <w:p>
      <w:pPr>
        <w:ind w:left="700" w:right="50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2006, the company adopted Accounting Standard No. 21, "Earnings Per Share" (the "Standard").</w:t>
      </w:r>
    </w:p>
    <w:p>
      <w:pPr>
        <w:spacing w:after="0" w:line="139" w:lineRule="exact"/>
        <w:rPr>
          <w:rFonts w:ascii="Courier New" w:cs="Courier New" w:eastAsia="Courier New" w:hAnsi="Courier New"/>
          <w:sz w:val="12"/>
          <w:szCs w:val="12"/>
          <w:color w:val="auto"/>
        </w:rPr>
      </w:pPr>
    </w:p>
    <w:p>
      <w:pPr>
        <w:ind w:left="700" w:right="48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With the initial adoption of the Standard, Opinion No. 55 of the Institute of Certified Public Accountants in Israel - Earnings per share was cancelled.</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Basic earnings per share is calculated by dividing profit or loss attributable to ordinary equity holders of the entity (the numerator) by the weighted average number of Ordinary Shares outstanding (the denominator) during the reported period. Diluted earnings per share is calculated by adjusting profit or loss attributable to ordinary equity holders of the entity, and the weighted average number of shares outstanding, for the effects of all dilutive potential Ordinary Shares.</w:t>
      </w:r>
    </w:p>
    <w:p>
      <w:pPr>
        <w:spacing w:after="0" w:line="142"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19E for disclosure of loss per share data in accordance with U.S. GAAP.</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DERIVATIVE FINANCIAL INSTRUMENTS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from time to time, enters into foreign exchange agreements (primarily forward contracts and options) to hedge non-dollar equipment purchases and other firm commitments. Gains and losses on such agreements through the date that the equipment is received or the commitment is realized are deferred and capitalized to the cost of equipment or the commitment, while gains and losses subsequent thereto, through the date of expiration of the foreign exchange agreement, are included in financing expense, net.</w:t>
      </w:r>
    </w:p>
    <w:p>
      <w:pPr>
        <w:spacing w:after="0" w:line="142"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the Company, from time to time, enters into agreements to hedge interest rate exposure on long-term loans. Gains and losses on such agreements are recognized as adjustment to the original interest expenses, and expensed or capitalized in the same manner as the corresponding interest costs.</w:t>
      </w:r>
    </w:p>
    <w:p>
      <w:pPr>
        <w:spacing w:after="0" w:line="139" w:lineRule="exact"/>
        <w:rPr>
          <w:rFonts w:ascii="Courier New" w:cs="Courier New" w:eastAsia="Courier New" w:hAnsi="Courier New"/>
          <w:sz w:val="12"/>
          <w:szCs w:val="12"/>
          <w:color w:val="auto"/>
        </w:rPr>
      </w:pPr>
    </w:p>
    <w:p>
      <w:pPr>
        <w:ind w:left="700" w:right="461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19D for disclosure of the derivative financial instruments in accordance with U.S. GAAP.</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FUNCTIONAL CURRENCY AND TRANSACTION GAINS AND LOSSES</w:t>
      </w:r>
    </w:p>
    <w:p>
      <w:pPr>
        <w:spacing w:after="0" w:line="138" w:lineRule="exact"/>
        <w:rPr>
          <w:rFonts w:ascii="Courier New" w:cs="Courier New" w:eastAsia="Courier New" w:hAnsi="Courier New"/>
          <w:sz w:val="12"/>
          <w:szCs w:val="12"/>
          <w:color w:val="auto"/>
        </w:rPr>
      </w:pPr>
    </w:p>
    <w:p>
      <w:pPr>
        <w:ind w:left="7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currency of the primary economic environment in which the Company conducts its operations is the U.S. dollar ("dollar"). Accordingly, the Company uses the dollar as its functional and reporting currency. Financing expenses, net in 2006 include net foreign currency transaction losses of $3,659. Financing expenses, net in 2005 include net foreign currency transaction gains of $1,398 and in 2004 include net foreign currency transaction losses of $760.</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- 12</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STOCK-BASED COMPENSATION</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2006, the company adopted Accounting Standard No. 24 "SHARE-BASED COMPENSATION" (the "Standard"), for the recognition in the financial statements of share-based payments for employees and directors. Costs associated with grants of shares and options to employees and directors are expensed over the vesting period of each grant. Said costs are determined based on the fair value of the grants at each grant date.</w:t>
      </w:r>
    </w:p>
    <w:p>
      <w:pPr>
        <w:spacing w:after="0" w:line="141" w:lineRule="exact"/>
        <w:rPr>
          <w:rFonts w:ascii="Courier New" w:cs="Courier New" w:eastAsia="Courier New" w:hAnsi="Courier New"/>
          <w:sz w:val="12"/>
          <w:szCs w:val="12"/>
          <w:color w:val="auto"/>
        </w:rPr>
      </w:pPr>
    </w:p>
    <w:p>
      <w:pPr>
        <w:ind w:left="700" w:right="469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As for the periods before the adoption of the Standard, the Company accounted for employee and director stock-based compensation in accordance with Accounting Principles Board Opinion No. 25, "ACCOUNTING FOR STOCK ISSUED TO EMPLOYEES" ("APB 25") and authoritative interpretations thereof. Accordingly, the Company accounted for share options granted to employees and directors based on the intrinsic value of the options on the measurement date. The compensation cost of options without "fixed terms" was remeasured at each balance sheet date. Deferred compensation in respect of awards with graded vesting terms was amortized to compensation expense over the relevant vesting periods. In a manner consistent with FIN 28, the vesting period over which compensation was expensed, was determined based on the straight-line method, separately for each portion of the award as if the grant were a series of awards.</w:t>
      </w:r>
    </w:p>
    <w:p>
      <w:pPr>
        <w:spacing w:after="0" w:line="264"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2006, the Company accounted for stock-based compensation of non-employees using the fair value method in accordance with the Standard and in previous years in accordance with Financial Accounting Standards Board Statement No. 123, "ACCOUNTING FOR STOCK-BASED COMPENSATION" ("SFAS 123") and EITF 96-18: "Accounting for Equity Instruments That are Issued to Other Than Employees for Acquiring, or in Conjunction with Selling, Goods or Services". The award cost of warrants granted in connection with bank financing was amortized as deferred financing charges over the terms of the loans, in a manner described in G above. The award cost of warrants granted in connection with the construction of Fab 2, is recorded as a depreciation expense over the life of the prepaid perpetual land lease and buildings. The award cost of warrants granted to consultants and a related party in connection with equity transactions is offset against paid-in-capital.</w:t>
      </w:r>
    </w:p>
    <w:p>
      <w:pPr>
        <w:spacing w:after="0" w:line="129" w:lineRule="exact"/>
        <w:rPr>
          <w:rFonts w:ascii="Courier New" w:cs="Courier New" w:eastAsia="Courier New" w:hAnsi="Courier New"/>
          <w:sz w:val="12"/>
          <w:szCs w:val="12"/>
          <w:color w:val="auto"/>
        </w:rPr>
      </w:pPr>
    </w:p>
    <w:p>
      <w:pPr>
        <w:ind w:left="700" w:right="48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12B(6) for pro forma disclosures required by SFAS 123 and SFAS 148.</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IMPAIRMENT OF LONG-LIVED ASSETS</w:t>
      </w:r>
    </w:p>
    <w:p>
      <w:pPr>
        <w:sectPr>
          <w:pgSz w:w="11900" w:h="16838" w:orient="portrait"/>
          <w:cols w:equalWidth="0" w:num="1">
            <w:col w:w="10239"/>
          </w:cols>
          <w:pgMar w:left="220" w:top="137" w:right="1440" w:bottom="0" w:gutter="0" w:footer="0" w:header="0"/>
        </w:sectPr>
      </w:pPr>
    </w:p>
    <w:bookmarkStart w:id="11" w:name="page12"/>
    <w:bookmarkEnd w:id="11"/>
    <w:p>
      <w:pPr>
        <w:ind w:left="700"/>
        <w:spacing w:after="0"/>
        <w:rPr>
          <w:sz w:val="20"/>
          <w:szCs w:val="20"/>
          <w:color w:val="auto"/>
        </w:rPr>
      </w:pPr>
      <w:r>
        <w:rPr>
          <w:rFonts w:ascii="Courier New" w:cs="Courier New" w:eastAsia="Courier New" w:hAnsi="Courier New"/>
          <w:sz w:val="11"/>
          <w:szCs w:val="11"/>
          <w:color w:val="auto"/>
        </w:rPr>
        <w:t>In accordance with Standard No.15, of the Israeli Accounting Standards</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Board "IMPAIRMENT OF ASSETS" (the "Standard"), an asset's recoverable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value is the higher of the asset's net selling price and the asset's</w:t>
      </w:r>
    </w:p>
    <w:p>
      <w:pPr>
        <w:ind w:left="700"/>
        <w:spacing w:after="0"/>
        <w:rPr>
          <w:sz w:val="20"/>
          <w:szCs w:val="20"/>
          <w:color w:val="auto"/>
        </w:rPr>
      </w:pPr>
      <w:r>
        <w:rPr>
          <w:rFonts w:ascii="Courier New" w:cs="Courier New" w:eastAsia="Courier New" w:hAnsi="Courier New"/>
          <w:sz w:val="12"/>
          <w:szCs w:val="12"/>
          <w:color w:val="auto"/>
        </w:rPr>
        <w:t>value in use, the latter being equal to the asset's discounted</w:t>
      </w:r>
    </w:p>
    <w:p>
      <w:pPr>
        <w:ind w:left="700"/>
        <w:spacing w:after="0" w:line="237" w:lineRule="auto"/>
        <w:rPr>
          <w:sz w:val="20"/>
          <w:szCs w:val="20"/>
          <w:color w:val="auto"/>
        </w:rPr>
      </w:pPr>
      <w:r>
        <w:rPr>
          <w:rFonts w:ascii="Courier New" w:cs="Courier New" w:eastAsia="Courier New" w:hAnsi="Courier New"/>
          <w:sz w:val="12"/>
          <w:szCs w:val="12"/>
          <w:color w:val="auto"/>
        </w:rPr>
        <w:t>expected cash flows. Management reviews long-lived assets on a</w:t>
      </w:r>
    </w:p>
    <w:p>
      <w:pPr>
        <w:ind w:left="700"/>
        <w:spacing w:after="0"/>
        <w:rPr>
          <w:sz w:val="20"/>
          <w:szCs w:val="20"/>
          <w:color w:val="auto"/>
        </w:rPr>
      </w:pPr>
      <w:r>
        <w:rPr>
          <w:rFonts w:ascii="Courier New" w:cs="Courier New" w:eastAsia="Courier New" w:hAnsi="Courier New"/>
          <w:sz w:val="12"/>
          <w:szCs w:val="12"/>
          <w:color w:val="auto"/>
        </w:rPr>
        <w:t>periodic basis, as well as when such a review is required based upon</w:t>
      </w:r>
    </w:p>
    <w:p>
      <w:pPr>
        <w:ind w:left="700"/>
        <w:spacing w:after="0" w:line="237" w:lineRule="auto"/>
        <w:rPr>
          <w:sz w:val="20"/>
          <w:szCs w:val="20"/>
          <w:color w:val="auto"/>
        </w:rPr>
      </w:pPr>
      <w:r>
        <w:rPr>
          <w:rFonts w:ascii="Courier New" w:cs="Courier New" w:eastAsia="Courier New" w:hAnsi="Courier New"/>
          <w:sz w:val="12"/>
          <w:szCs w:val="12"/>
          <w:color w:val="auto"/>
        </w:rPr>
        <w:t>relevant circumstances, to determine whether events or changes in</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circumstances indicate that the carrying amount of such assets may not</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be recoverable. Management's review of possible impairment charges for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periods presented, was performed based on management's business</w:t>
      </w:r>
    </w:p>
    <w:p>
      <w:pPr>
        <w:ind w:left="700"/>
        <w:spacing w:after="0"/>
        <w:rPr>
          <w:sz w:val="20"/>
          <w:szCs w:val="20"/>
          <w:color w:val="auto"/>
        </w:rPr>
      </w:pPr>
      <w:r>
        <w:rPr>
          <w:rFonts w:ascii="Courier New" w:cs="Courier New" w:eastAsia="Courier New" w:hAnsi="Courier New"/>
          <w:sz w:val="12"/>
          <w:szCs w:val="12"/>
          <w:color w:val="auto"/>
        </w:rPr>
        <w:t>plan and approved by the board of directors of the Company. The</w:t>
      </w:r>
    </w:p>
    <w:p>
      <w:pPr>
        <w:ind w:left="700"/>
        <w:spacing w:after="0" w:line="237" w:lineRule="auto"/>
        <w:rPr>
          <w:sz w:val="20"/>
          <w:szCs w:val="20"/>
          <w:color w:val="auto"/>
        </w:rPr>
      </w:pPr>
      <w:r>
        <w:rPr>
          <w:rFonts w:ascii="Courier New" w:cs="Courier New" w:eastAsia="Courier New" w:hAnsi="Courier New"/>
          <w:sz w:val="12"/>
          <w:szCs w:val="12"/>
          <w:color w:val="auto"/>
        </w:rPr>
        <w:t>business plan is based, among other things, on the future completion</w:t>
      </w:r>
    </w:p>
    <w:p>
      <w:pPr>
        <w:ind w:left="700"/>
        <w:spacing w:after="0"/>
        <w:rPr>
          <w:sz w:val="20"/>
          <w:szCs w:val="20"/>
          <w:color w:val="auto"/>
        </w:rPr>
      </w:pPr>
      <w:r>
        <w:rPr>
          <w:rFonts w:ascii="Courier New" w:cs="Courier New" w:eastAsia="Courier New" w:hAnsi="Courier New"/>
          <w:sz w:val="12"/>
          <w:szCs w:val="12"/>
          <w:color w:val="auto"/>
        </w:rPr>
        <w:t>of the construction and equipping of Fab 2 to reach full capacity.</w:t>
      </w:r>
    </w:p>
    <w:p>
      <w:pPr>
        <w:ind w:left="700"/>
        <w:spacing w:after="0" w:line="237" w:lineRule="auto"/>
        <w:rPr>
          <w:sz w:val="20"/>
          <w:szCs w:val="20"/>
          <w:color w:val="auto"/>
        </w:rPr>
      </w:pPr>
      <w:r>
        <w:rPr>
          <w:rFonts w:ascii="Courier New" w:cs="Courier New" w:eastAsia="Courier New" w:hAnsi="Courier New"/>
          <w:sz w:val="12"/>
          <w:szCs w:val="12"/>
          <w:color w:val="auto"/>
        </w:rPr>
        <w:t>Application of Standard 15 resulted in no impairment charges for the</w:t>
      </w:r>
    </w:p>
    <w:p>
      <w:pPr>
        <w:ind w:left="700"/>
        <w:spacing w:after="0"/>
        <w:rPr>
          <w:sz w:val="20"/>
          <w:szCs w:val="20"/>
          <w:color w:val="auto"/>
        </w:rPr>
      </w:pPr>
      <w:r>
        <w:rPr>
          <w:rFonts w:ascii="Courier New" w:cs="Courier New" w:eastAsia="Courier New" w:hAnsi="Courier New"/>
          <w:sz w:val="12"/>
          <w:szCs w:val="12"/>
          <w:color w:val="auto"/>
        </w:rPr>
        <w:t>periods presented.</w:t>
      </w:r>
    </w:p>
    <w:p>
      <w:pPr>
        <w:spacing w:after="0" w:line="138" w:lineRule="exact"/>
        <w:rPr>
          <w:sz w:val="20"/>
          <w:szCs w:val="20"/>
          <w:color w:val="auto"/>
        </w:rPr>
      </w:pPr>
    </w:p>
    <w:p>
      <w:pPr>
        <w:ind w:left="700" w:right="4759" w:hanging="357"/>
        <w:spacing w:after="0" w:line="235" w:lineRule="auto"/>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w:t>
      </w:r>
    </w:p>
    <w:p>
      <w:pPr>
        <w:spacing w:after="0" w:line="139" w:lineRule="exact"/>
        <w:rPr>
          <w:rFonts w:ascii="Courier New" w:cs="Courier New" w:eastAsia="Courier New" w:hAnsi="Courier New"/>
          <w:sz w:val="12"/>
          <w:szCs w:val="12"/>
          <w:color w:val="auto"/>
        </w:rPr>
      </w:pPr>
    </w:p>
    <w:p>
      <w:pPr>
        <w:ind w:left="1040" w:right="4759" w:hanging="345"/>
        <w:spacing w:after="0" w:line="235" w:lineRule="auto"/>
        <w:tabs>
          <w:tab w:leader="none" w:pos="1040" w:val="left"/>
        </w:tabs>
        <w:numPr>
          <w:ilvl w:val="1"/>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29 "ADOPTION OF INTERNATIONAL FINANCIAL REPORTING STANDARDS"</w:t>
      </w:r>
    </w:p>
    <w:p>
      <w:pPr>
        <w:spacing w:after="0" w:line="139" w:lineRule="exact"/>
        <w:rPr>
          <w:rFonts w:ascii="Courier New" w:cs="Courier New" w:eastAsia="Courier New" w:hAnsi="Courier New"/>
          <w:sz w:val="12"/>
          <w:szCs w:val="12"/>
          <w:color w:val="auto"/>
        </w:rPr>
      </w:pPr>
    </w:p>
    <w:p>
      <w:pPr>
        <w:ind w:left="104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July 2006, the Israeli Accounting Standards Board published Accounting Standard No. 29 - "Adoption of International Financial Reporting Standards" - IFRS ("the Standard"). According to the Standard, an entity subject to the Israeli Securities Law and authoritative Regulations thereunder (including dual listed companies), excluding foreign corporations, that do not prepare their financial statements in accordance with Israeli GAAP, as defined by this Law, will be required to prepare financial statements in accordance with the IFRS and related interpretations published by the International Accounting Standards Board, for the reporting periods commencing January 1, 2008, including interim periods.</w:t>
      </w:r>
    </w:p>
    <w:p>
      <w:pPr>
        <w:spacing w:after="0" w:line="138" w:lineRule="exact"/>
        <w:rPr>
          <w:rFonts w:ascii="Courier New" w:cs="Courier New" w:eastAsia="Courier New" w:hAnsi="Courier New"/>
          <w:sz w:val="12"/>
          <w:szCs w:val="12"/>
          <w:color w:val="auto"/>
        </w:rPr>
      </w:pPr>
    </w:p>
    <w:p>
      <w:pPr>
        <w:ind w:left="1040" w:right="475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 entity adopting IFRS as of January 1, 2008 and electing to report comparative figures in accordance with the IFRS for only 2007, will be required to prepare opening balance-sheet amounts as of January 1, 2007 based on the IFRS.</w:t>
      </w:r>
    </w:p>
    <w:p>
      <w:pPr>
        <w:spacing w:after="0" w:line="140" w:lineRule="exact"/>
        <w:rPr>
          <w:rFonts w:ascii="Courier New" w:cs="Courier New" w:eastAsia="Courier New" w:hAnsi="Courier New"/>
          <w:sz w:val="12"/>
          <w:szCs w:val="12"/>
          <w:color w:val="auto"/>
        </w:rPr>
      </w:pPr>
    </w:p>
    <w:p>
      <w:pPr>
        <w:ind w:left="104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Reporting in accordance with the IFRS will be carried out based on the provisions of IFRS No. 1, "First-time Adoption of IFRS Standards", which establishes guidance on implementing and transitioning from financial reporting based on domestic national accounting standards to reporting in accordance with IFRS.</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- 14</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9" w:lineRule="exact"/>
        <w:rPr>
          <w:sz w:val="20"/>
          <w:szCs w:val="20"/>
          <w:color w:val="auto"/>
        </w:rPr>
      </w:pPr>
    </w:p>
    <w:p>
      <w:pPr>
        <w:ind w:left="700" w:right="4759" w:hanging="357"/>
        <w:spacing w:after="0" w:line="235" w:lineRule="auto"/>
        <w:tabs>
          <w:tab w:leader="none" w:pos="70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040" w:right="4759" w:hanging="345"/>
        <w:spacing w:after="0" w:line="235" w:lineRule="auto"/>
        <w:tabs>
          <w:tab w:leader="none" w:pos="1040" w:val="left"/>
        </w:tabs>
        <w:numPr>
          <w:ilvl w:val="1"/>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29 "ADOPTION OF INTERNATIONAL FINANCIAL REPORTING STANDARDS" (cont.)</w:t>
      </w:r>
    </w:p>
    <w:p>
      <w:pPr>
        <w:spacing w:after="0" w:line="139" w:lineRule="exact"/>
        <w:rPr>
          <w:rFonts w:ascii="Courier New" w:cs="Courier New" w:eastAsia="Courier New" w:hAnsi="Courier New"/>
          <w:sz w:val="12"/>
          <w:szCs w:val="12"/>
          <w:color w:val="auto"/>
        </w:rPr>
      </w:pPr>
    </w:p>
    <w:p>
      <w:pPr>
        <w:ind w:left="104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IFRS No. 1 supersedes the transitional provisions established in other IFRSs (including those established in former domestic national accounting standards), stating that all IFRSs should be adopted retroactively for the opening balance-sheet amounts. Nevertheless, IFRS No. 1 grants exemptions on certain issues by allowing the alternative of not applying the retroactive application in respect thereof.</w:t>
      </w:r>
    </w:p>
    <w:p>
      <w:pPr>
        <w:spacing w:after="0" w:line="141" w:lineRule="exact"/>
        <w:rPr>
          <w:rFonts w:ascii="Courier New" w:cs="Courier New" w:eastAsia="Courier New" w:hAnsi="Courier New"/>
          <w:sz w:val="12"/>
          <w:szCs w:val="12"/>
          <w:color w:val="auto"/>
        </w:rPr>
      </w:pPr>
    </w:p>
    <w:p>
      <w:pPr>
        <w:ind w:left="104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Management intends to examine the effect of the transition to IFRS, yet at this stage, is unable to estimate the effect of such conversion on the Company's financial position and results of operations.</w:t>
      </w:r>
    </w:p>
    <w:p>
      <w:pPr>
        <w:spacing w:after="0" w:line="140" w:lineRule="exact"/>
        <w:rPr>
          <w:rFonts w:ascii="Courier New" w:cs="Courier New" w:eastAsia="Courier New" w:hAnsi="Courier New"/>
          <w:sz w:val="12"/>
          <w:szCs w:val="12"/>
          <w:color w:val="auto"/>
        </w:rPr>
      </w:pPr>
    </w:p>
    <w:p>
      <w:pPr>
        <w:ind w:left="104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allows for earlier application in a manner by which applicable entities may convert their financial statements published subsequent to July 31, 2006 to the IFRS. Management has not yet decided whether to early-adopt the IFRS.</w:t>
      </w:r>
    </w:p>
    <w:p>
      <w:pPr>
        <w:spacing w:after="0" w:line="136"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26 "INVENTORY"</w:t>
      </w:r>
    </w:p>
    <w:p>
      <w:pPr>
        <w:spacing w:after="0" w:line="138" w:lineRule="exact"/>
        <w:rPr>
          <w:rFonts w:ascii="Courier New" w:cs="Courier New" w:eastAsia="Courier New" w:hAnsi="Courier New"/>
          <w:sz w:val="12"/>
          <w:szCs w:val="12"/>
          <w:color w:val="auto"/>
        </w:rPr>
      </w:pPr>
    </w:p>
    <w:p>
      <w:pPr>
        <w:ind w:left="1040" w:right="469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August 2006 the Israeli Accounting Standards Board published Accounting Standard No. 26 - "Inventory" ("the Standard"), which outlines the accounting treatment for inventory.</w:t>
      </w:r>
    </w:p>
    <w:p>
      <w:pPr>
        <w:spacing w:after="0" w:line="126" w:lineRule="exact"/>
        <w:rPr>
          <w:rFonts w:ascii="Courier New" w:cs="Courier New" w:eastAsia="Courier New" w:hAnsi="Courier New"/>
          <w:sz w:val="12"/>
          <w:szCs w:val="12"/>
          <w:color w:val="auto"/>
        </w:rPr>
      </w:pPr>
    </w:p>
    <w:p>
      <w:pPr>
        <w:ind w:left="104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Standard applies to all types of inventory, other than building earmarked for sale and addressed by Accounting Standard No.2 ("Construction of Buildings for Sale"), inventory of work in progress stemming from performance contracts, addressed by Accounting Standard No.4 ("Work Based on Performance Contract"), financial instruments and biological assets relating to agricultural activity and agricultural production during harvest.</w:t>
      </w:r>
    </w:p>
    <w:p>
      <w:pPr>
        <w:spacing w:after="0" w:line="12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establishes, among other things, that inventory should be stated at the lower of cost and net realizable value. Cost is determined by the first in, first out (FIFO) method or by average weighted cost used consistently for all types of inventory of similar nature and uses. In certain circumstances the standard requires cost determination by a specific identification of cost, which includes all purchase and production costs, as well as any other costs incurred in reaching the inventory's present stage.</w:t>
      </w:r>
    </w:p>
    <w:p>
      <w:pPr>
        <w:spacing w:after="0" w:line="142" w:lineRule="exact"/>
        <w:rPr>
          <w:rFonts w:ascii="Courier New" w:cs="Courier New" w:eastAsia="Courier New" w:hAnsi="Courier New"/>
          <w:sz w:val="12"/>
          <w:szCs w:val="12"/>
          <w:color w:val="auto"/>
        </w:rPr>
      </w:pPr>
    </w:p>
    <w:p>
      <w:pPr>
        <w:ind w:left="1040" w:right="483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When inventory is acquired on credit incorporating a financing component, the inventory should then be presented at cost equaling the purchase cost in cash. The financing component is recognized as a financing expense over the term of the credit period.</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- 15</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w:t>
      </w:r>
    </w:p>
    <w:p>
      <w:pPr>
        <w:sectPr>
          <w:pgSz w:w="11900" w:h="16838" w:orient="portrait"/>
          <w:cols w:equalWidth="0" w:num="1">
            <w:col w:w="10239"/>
          </w:cols>
          <w:pgMar w:left="220" w:top="276" w:right="1440" w:bottom="0" w:gutter="0" w:footer="0" w:header="0"/>
        </w:sectPr>
      </w:pPr>
    </w:p>
    <w:bookmarkStart w:id="12" w:name="page13"/>
    <w:bookmarkEnd w:id="12"/>
    <w:p>
      <w:pPr>
        <w:ind w:left="700"/>
        <w:spacing w:after="0"/>
        <w:rPr>
          <w:sz w:val="20"/>
          <w:szCs w:val="20"/>
          <w:color w:val="auto"/>
        </w:rPr>
      </w:pPr>
      <w:r>
        <w:rPr>
          <w:rFonts w:ascii="Courier New" w:cs="Courier New" w:eastAsia="Courier New" w:hAnsi="Courier New"/>
          <w:sz w:val="12"/>
          <w:szCs w:val="12"/>
          <w:color w:val="auto"/>
        </w:rPr>
        <w:t>BOARD (cont.)</w:t>
      </w:r>
    </w:p>
    <w:p>
      <w:pPr>
        <w:spacing w:after="0" w:line="134" w:lineRule="exact"/>
        <w:rPr>
          <w:sz w:val="20"/>
          <w:szCs w:val="20"/>
          <w:color w:val="auto"/>
        </w:rPr>
      </w:pPr>
    </w:p>
    <w:p>
      <w:pPr>
        <w:ind w:left="1040" w:hanging="345"/>
        <w:spacing w:after="0"/>
        <w:tabs>
          <w:tab w:leader="none" w:pos="104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26 "INVENTORY" (cont.)</w:t>
      </w:r>
    </w:p>
    <w:p>
      <w:pPr>
        <w:spacing w:after="0" w:line="13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Any reduction of inventory to net realizable value following impairment as well as any other inventory loss should be expensed during the current period. Subsequent reversal of an impairment write-down that stems from an increase in net realizable value will be allocated to operations during the period in which the reversal took place.</w:t>
      </w:r>
    </w:p>
    <w:p>
      <w:pPr>
        <w:spacing w:after="0" w:line="140" w:lineRule="exact"/>
        <w:rPr>
          <w:rFonts w:ascii="Courier New" w:cs="Courier New" w:eastAsia="Courier New" w:hAnsi="Courier New"/>
          <w:sz w:val="12"/>
          <w:szCs w:val="12"/>
          <w:color w:val="auto"/>
        </w:rPr>
      </w:pPr>
    </w:p>
    <w:p>
      <w:pPr>
        <w:ind w:left="104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will apply to financial statements covering periods beginning January 1, 2007 and onwards and should be implemented retroactively.</w:t>
      </w:r>
    </w:p>
    <w:p>
      <w:pPr>
        <w:spacing w:after="0" w:line="139" w:lineRule="exact"/>
        <w:rPr>
          <w:rFonts w:ascii="Courier New" w:cs="Courier New" w:eastAsia="Courier New" w:hAnsi="Courier New"/>
          <w:sz w:val="12"/>
          <w:szCs w:val="12"/>
          <w:color w:val="auto"/>
        </w:rPr>
      </w:pPr>
    </w:p>
    <w:p>
      <w:pPr>
        <w:ind w:left="1040" w:right="497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Management believes that the Standard will not affect the Company's financial position, results of operations and cash flows.</w:t>
      </w:r>
    </w:p>
    <w:p>
      <w:pPr>
        <w:spacing w:after="0" w:line="135" w:lineRule="exact"/>
        <w:rPr>
          <w:rFonts w:ascii="Courier New" w:cs="Courier New" w:eastAsia="Courier New" w:hAnsi="Courier New"/>
          <w:sz w:val="12"/>
          <w:szCs w:val="12"/>
          <w:color w:val="auto"/>
        </w:rPr>
      </w:pPr>
    </w:p>
    <w:p>
      <w:pPr>
        <w:ind w:left="1040" w:hanging="345"/>
        <w:spacing w:after="0"/>
        <w:tabs>
          <w:tab w:leader="none" w:pos="104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27 "FIXED ASSETS"</w:t>
      </w:r>
    </w:p>
    <w:p>
      <w:pPr>
        <w:spacing w:after="0" w:line="13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September 2006 the Israeli Accounting Standards Board published Accounting Standard No. 27 (the "standard"), which establishes the accounting treatment for fixed assets, including recognition of assets, determination of their book value, related depreciation, as well as the disclosure required in the financial statements.</w:t>
      </w:r>
    </w:p>
    <w:p>
      <w:pPr>
        <w:spacing w:after="0" w:line="140"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states that a fixed-asset item will be measured at the initial recognition date at cost which includes, in addition to the purchase price, all the related costs incurred for bringing the item to the position enabling it to operate in the manner contemplated by management. The cost also includes the initial estimate of costs required to dismantle and remove the item, along with the expenses for restoration of the site on which the item had been placed and in respect of which the entity incurred that obligation when the item had been acquired or following its use over a given period of time not in the production of inventory during that period.</w:t>
      </w:r>
    </w:p>
    <w:p>
      <w:pPr>
        <w:spacing w:after="0" w:line="144" w:lineRule="exact"/>
        <w:rPr>
          <w:rFonts w:ascii="Courier New" w:cs="Courier New" w:eastAsia="Courier New" w:hAnsi="Courier New"/>
          <w:sz w:val="12"/>
          <w:szCs w:val="12"/>
          <w:color w:val="auto"/>
        </w:rPr>
      </w:pPr>
    </w:p>
    <w:p>
      <w:pPr>
        <w:ind w:left="1040" w:right="469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Standard also states that when acquiring assets in exchange for a non-monetary asset or a combination of monetary as well as non-monetary assets, the cost will be determined at fair value unless (a) the barter transaction has no commercial substance or</w:t>
      </w:r>
    </w:p>
    <w:p>
      <w:pPr>
        <w:ind w:left="1040" w:right="4699" w:firstLine="6"/>
        <w:spacing w:after="0" w:line="236" w:lineRule="auto"/>
        <w:tabs>
          <w:tab w:leader="none" w:pos="1321"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it is impossible to reliably measure the fair value of the asset received and the asset provided. Should the provided asset not be measured at fair value, its cost would equal the book value of the asset provided/transferred.</w:t>
      </w:r>
    </w:p>
    <w:p>
      <w:pPr>
        <w:spacing w:after="0" w:line="13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Following the initial recognition, the Standard permits the</w:t>
      </w:r>
    </w:p>
    <w:p>
      <w:pPr>
        <w:ind w:left="1040"/>
        <w:spacing w:after="0"/>
        <w:rPr>
          <w:sz w:val="20"/>
          <w:szCs w:val="20"/>
          <w:color w:val="auto"/>
        </w:rPr>
      </w:pPr>
      <w:r>
        <w:rPr>
          <w:rFonts w:ascii="Courier New" w:cs="Courier New" w:eastAsia="Courier New" w:hAnsi="Courier New"/>
          <w:sz w:val="12"/>
          <w:szCs w:val="12"/>
          <w:color w:val="auto"/>
        </w:rPr>
        <w:t>entity to implement in its accounting policy the measurement of</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fixed assets by the cost method or by revaluation so long as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this policy is implemented in regard to all the items in that</w:t>
      </w:r>
    </w:p>
    <w:p>
      <w:pPr>
        <w:ind w:left="1040"/>
        <w:spacing w:after="0"/>
        <w:rPr>
          <w:sz w:val="20"/>
          <w:szCs w:val="20"/>
          <w:color w:val="auto"/>
        </w:rPr>
      </w:pPr>
      <w:r>
        <w:rPr>
          <w:rFonts w:ascii="Courier New" w:cs="Courier New" w:eastAsia="Courier New" w:hAnsi="Courier New"/>
          <w:sz w:val="12"/>
          <w:szCs w:val="12"/>
          <w:color w:val="auto"/>
        </w:rPr>
        <w:t>group.</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- 16</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9" w:lineRule="exact"/>
        <w:rPr>
          <w:sz w:val="20"/>
          <w:szCs w:val="20"/>
          <w:color w:val="auto"/>
        </w:rPr>
      </w:pPr>
    </w:p>
    <w:p>
      <w:pPr>
        <w:ind w:left="700" w:right="4759" w:hanging="357"/>
        <w:spacing w:after="0" w:line="235" w:lineRule="auto"/>
        <w:tabs>
          <w:tab w:leader="none" w:pos="700"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27 "FIXED ASSETS" (cont.)</w:t>
      </w:r>
    </w:p>
    <w:p>
      <w:pPr>
        <w:spacing w:after="0" w:line="138" w:lineRule="exact"/>
        <w:rPr>
          <w:rFonts w:ascii="Courier New" w:cs="Courier New" w:eastAsia="Courier New" w:hAnsi="Courier New"/>
          <w:sz w:val="12"/>
          <w:szCs w:val="12"/>
          <w:color w:val="auto"/>
        </w:rPr>
      </w:pPr>
    </w:p>
    <w:p>
      <w:pPr>
        <w:ind w:left="104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Cost method - an item will be presented at cost less accumulated depreciation, less accumulated impairment losses.</w:t>
      </w:r>
    </w:p>
    <w:p>
      <w:pPr>
        <w:spacing w:after="0" w:line="139"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Revaluation method - an item whose fair value can be measured reliably will be presented at its estimated amount, which equals its fair value at the revaluation date, net of depreciation accumulated subsequently and less accumulated impairment losses. Revaluations should take place on a current basis in order to ensure that book value does not materially differ from the fair value that would have been determined on the balance-sheet date. The revaluation of a single item calls for the revaluation of the entire group and if the asset's book value rises following this revaluation, this increase should be allocated directly to shareholders' equity ("revaluation reserve"). Nevertheless, this increase will be recognized as an operating item up to the amount offsetting the decrease from that asset's revaluation recognized previously as income or loss. Should book value decline following revaluation, this decline will be recognized as an operating item yet allocated directly to shareholders' equity ("revaluation reserve") up to the amount leaving any credit balance in that reserve in respect of that asset.</w:t>
      </w:r>
    </w:p>
    <w:p>
      <w:pPr>
        <w:spacing w:after="0" w:line="263"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Any fixed assets with a significant cost in relation to the item's total cost should be depreciated separately. Moreover, the depreciation method used will be reviewed at least once at yearend and, if any meaningful change had taken place in the estimated consumption of future economic benefits inherent in the asset, the method should be modified to reflect such changes. This change will be treated as a change in an accounting estimate.</w:t>
      </w:r>
    </w:p>
    <w:p>
      <w:pPr>
        <w:spacing w:after="0" w:line="142" w:lineRule="exact"/>
        <w:rPr>
          <w:rFonts w:ascii="Courier New" w:cs="Courier New" w:eastAsia="Courier New" w:hAnsi="Courier New"/>
          <w:sz w:val="12"/>
          <w:szCs w:val="12"/>
          <w:color w:val="auto"/>
        </w:rPr>
      </w:pPr>
    </w:p>
    <w:p>
      <w:pPr>
        <w:jc w:val="both"/>
        <w:ind w:left="1040" w:right="48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new standard will apply to financial statements covering periods beginning January 1, 2007 and onwards and implemented retroactively.</w:t>
      </w:r>
    </w:p>
    <w:p>
      <w:pPr>
        <w:spacing w:after="0" w:line="139"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is currently examining this new standard; however, at this stage, it is unable to estimate the standard's effect, if any, on its financial position and results of operations. In January 2007 the Israeli Accounting Standard Board published a proposal for accounting standard no. 28 that amends standard no.27 to allow, at transition, the alternatives allowed under IFRS 1 regarding fixed assets.</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- 17</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ectPr>
          <w:pgSz w:w="11900" w:h="16838" w:orient="portrait"/>
          <w:cols w:equalWidth="0" w:num="1">
            <w:col w:w="10239"/>
          </w:cols>
          <w:pgMar w:left="220" w:top="137" w:right="1440" w:bottom="0" w:gutter="0" w:footer="0" w:header="0"/>
        </w:sectPr>
      </w:pPr>
    </w:p>
    <w:bookmarkStart w:id="13" w:name="page14"/>
    <w:bookmarkEnd w:id="13"/>
    <w:p>
      <w:pPr>
        <w:ind w:left="700" w:right="4759" w:hanging="357"/>
        <w:spacing w:after="0" w:line="235" w:lineRule="auto"/>
        <w:tabs>
          <w:tab w:leader="none" w:pos="700"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040" w:right="4759" w:hanging="345"/>
        <w:spacing w:after="0" w:line="235" w:lineRule="auto"/>
        <w:tabs>
          <w:tab w:leader="none" w:pos="1040" w:val="left"/>
        </w:tabs>
        <w:numPr>
          <w:ilvl w:val="1"/>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STANDARD NO. 23, "ACCOUNTING FOR TRANSACTIONS BETWEEN AN ENTITY AND A CONTROLLING PARTY" (cont.)</w:t>
      </w:r>
    </w:p>
    <w:p>
      <w:pPr>
        <w:spacing w:after="0" w:line="139" w:lineRule="exact"/>
        <w:rPr>
          <w:rFonts w:ascii="Courier New" w:cs="Courier New" w:eastAsia="Courier New" w:hAnsi="Courier New"/>
          <w:sz w:val="12"/>
          <w:szCs w:val="12"/>
          <w:color w:val="auto"/>
        </w:rPr>
      </w:pPr>
    </w:p>
    <w:p>
      <w:pPr>
        <w:ind w:left="104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December 2006 the Israeli Accounting Standards Board published Accounting Standard No. 23, "Accounting for Transactions between an Entity and a controlling party (hereinafter - the Standard).</w:t>
      </w:r>
    </w:p>
    <w:p>
      <w:pPr>
        <w:ind w:left="1040" w:right="53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applies to entities subject to the Israeli Securities Law-1968.</w:t>
      </w:r>
    </w:p>
    <w:p>
      <w:pPr>
        <w:spacing w:after="0" w:line="139"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establishes the requirements for accounting for transactions between an entity and its controlling party which involve the transposition of an asset, the taking on of a liability, reimbursement or debt concession, and the receiving of loans. The Standard does not apply to business combinations under common control.</w:t>
      </w:r>
    </w:p>
    <w:p>
      <w:pPr>
        <w:spacing w:after="0" w:line="140"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Standard stipulates that transactions between an entity and a controlling party will be measured based on fair value; transactions which in nature are owner investment should be reported directly in equity and not be recognized in the controlled entity's profit and loss; the differences between the consideration set in transactions between an entity and a controlling party and their fair value will be allocated directly to the equity; and current and deferred taxes pertaining to the items allocated to equity due to transactions with controlling parties will be allocated directly to equity as well.</w:t>
      </w:r>
    </w:p>
    <w:p>
      <w:pPr>
        <w:spacing w:after="0" w:line="266" w:lineRule="exact"/>
        <w:rPr>
          <w:rFonts w:ascii="Courier New" w:cs="Courier New" w:eastAsia="Courier New" w:hAnsi="Courier New"/>
          <w:sz w:val="12"/>
          <w:szCs w:val="12"/>
          <w:color w:val="auto"/>
        </w:rPr>
      </w:pPr>
    </w:p>
    <w:p>
      <w:pPr>
        <w:ind w:left="104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is effective for transactions between an entity and a controlling party taking place subsequent to January 1, 2007 and for loans granted from or given to a controlling party prior to the Standard's coming into effect, starting on the Standard's effective date.</w:t>
      </w:r>
    </w:p>
    <w:p>
      <w:pPr>
        <w:spacing w:after="0" w:line="139" w:lineRule="exact"/>
        <w:rPr>
          <w:rFonts w:ascii="Courier New" w:cs="Courier New" w:eastAsia="Courier New" w:hAnsi="Courier New"/>
          <w:sz w:val="12"/>
          <w:szCs w:val="12"/>
          <w:color w:val="auto"/>
        </w:rPr>
      </w:pPr>
    </w:p>
    <w:p>
      <w:pPr>
        <w:ind w:left="1040" w:right="489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Company's management believes that the effect of this new standard on the Company's financial position, results of operations and cash flows is not expected to be material.</w:t>
      </w:r>
    </w:p>
    <w:p>
      <w:pPr>
        <w:spacing w:after="0" w:line="121"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RECLASSIFICATION</w:t>
      </w:r>
    </w:p>
    <w:p>
      <w:pPr>
        <w:spacing w:after="0" w:line="138" w:lineRule="exact"/>
        <w:rPr>
          <w:rFonts w:ascii="Courier New" w:cs="Courier New" w:eastAsia="Courier New" w:hAnsi="Courier New"/>
          <w:sz w:val="12"/>
          <w:szCs w:val="12"/>
          <w:color w:val="auto"/>
        </w:rPr>
      </w:pPr>
    </w:p>
    <w:p>
      <w:pPr>
        <w:ind w:left="700" w:right="517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Certain amounts in prior years' financial statements have been reclassified in order to conform to the 2006 presentation.</w:t>
      </w:r>
    </w:p>
    <w:p>
      <w:pPr>
        <w:spacing w:after="0" w:line="25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- 18</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3 - OTHER RECEIVABLES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Other receivables consist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780" w:type="dxa"/>
            <w:vAlign w:val="bottom"/>
          </w:tcPr>
          <w:p>
            <w:pPr>
              <w:spacing w:after="0"/>
              <w:rPr>
                <w:sz w:val="11"/>
                <w:szCs w:val="11"/>
                <w:color w:val="auto"/>
              </w:rPr>
            </w:pPr>
          </w:p>
        </w:tc>
        <w:tc>
          <w:tcPr>
            <w:tcW w:w="1560" w:type="dxa"/>
            <w:vAlign w:val="bottom"/>
            <w:gridSpan w:val="2"/>
          </w:tcPr>
          <w:p>
            <w:pPr>
              <w:ind w:left="280"/>
              <w:spacing w:after="0"/>
              <w:rPr>
                <w:sz w:val="20"/>
                <w:szCs w:val="20"/>
                <w:color w:val="auto"/>
              </w:rPr>
            </w:pPr>
            <w:r>
              <w:rPr>
                <w:rFonts w:ascii="Courier New" w:cs="Courier New" w:eastAsia="Courier New" w:hAnsi="Courier New"/>
                <w:sz w:val="12"/>
                <w:szCs w:val="12"/>
                <w:color w:val="auto"/>
                <w:w w:val="97"/>
              </w:rPr>
              <w:t>As of December 31,</w:t>
            </w:r>
          </w:p>
        </w:tc>
      </w:tr>
      <w:tr>
        <w:trPr>
          <w:trHeight w:val="135"/>
        </w:trPr>
        <w:tc>
          <w:tcPr>
            <w:tcW w:w="3780" w:type="dxa"/>
            <w:vAlign w:val="bottom"/>
          </w:tcPr>
          <w:p>
            <w:pPr>
              <w:spacing w:after="0"/>
              <w:rPr>
                <w:sz w:val="11"/>
                <w:szCs w:val="11"/>
                <w:color w:val="auto"/>
              </w:rPr>
            </w:pPr>
          </w:p>
        </w:tc>
        <w:tc>
          <w:tcPr>
            <w:tcW w:w="15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780" w:type="dxa"/>
            <w:vAlign w:val="bottom"/>
          </w:tcPr>
          <w:p>
            <w:pPr>
              <w:spacing w:after="0"/>
              <w:rPr>
                <w:sz w:val="11"/>
                <w:szCs w:val="11"/>
                <w:color w:val="auto"/>
              </w:rPr>
            </w:pPr>
          </w:p>
        </w:tc>
        <w:tc>
          <w:tcPr>
            <w:tcW w:w="840" w:type="dxa"/>
            <w:vAlign w:val="bottom"/>
          </w:tcPr>
          <w:p>
            <w:pPr>
              <w:ind w:left="280"/>
              <w:spacing w:after="0"/>
              <w:rPr>
                <w:sz w:val="20"/>
                <w:szCs w:val="20"/>
                <w:color w:val="auto"/>
              </w:rPr>
            </w:pPr>
            <w:r>
              <w:rPr>
                <w:rFonts w:ascii="Courier New" w:cs="Courier New" w:eastAsia="Courier New" w:hAnsi="Courier New"/>
                <w:sz w:val="12"/>
                <w:szCs w:val="12"/>
                <w:color w:val="auto"/>
              </w:rPr>
              <w:t>2006</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37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780" w:type="dxa"/>
            <w:vAlign w:val="bottom"/>
          </w:tcPr>
          <w:p>
            <w:pPr>
              <w:spacing w:after="0"/>
              <w:rPr>
                <w:sz w:val="20"/>
                <w:szCs w:val="20"/>
                <w:color w:val="auto"/>
              </w:rPr>
            </w:pPr>
            <w:r>
              <w:rPr>
                <w:rFonts w:ascii="Courier New" w:cs="Courier New" w:eastAsia="Courier New" w:hAnsi="Courier New"/>
                <w:sz w:val="12"/>
                <w:szCs w:val="12"/>
                <w:color w:val="auto"/>
              </w:rPr>
              <w:t>Government of Israel - investment grants receivable</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$1,530</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$7,276</w:t>
            </w: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Other government agencies</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3,847</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1,706</w:t>
            </w:r>
          </w:p>
        </w:tc>
      </w:tr>
      <w:tr>
        <w:trPr>
          <w:trHeight w:val="135"/>
        </w:trPr>
        <w:tc>
          <w:tcPr>
            <w:tcW w:w="3780" w:type="dxa"/>
            <w:vAlign w:val="bottom"/>
          </w:tcPr>
          <w:p>
            <w:pPr>
              <w:spacing w:after="0"/>
              <w:rPr>
                <w:sz w:val="20"/>
                <w:szCs w:val="20"/>
                <w:color w:val="auto"/>
              </w:rPr>
            </w:pPr>
            <w:r>
              <w:rPr>
                <w:rFonts w:ascii="Courier New" w:cs="Courier New" w:eastAsia="Courier New" w:hAnsi="Courier New"/>
                <w:sz w:val="12"/>
                <w:szCs w:val="12"/>
                <w:color w:val="auto"/>
              </w:rPr>
              <w:t>Others</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48</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61</w:t>
            </w:r>
          </w:p>
        </w:tc>
      </w:tr>
      <w:tr>
        <w:trPr>
          <w:trHeight w:val="135"/>
        </w:trPr>
        <w:tc>
          <w:tcPr>
            <w:tcW w:w="37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7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$5,425</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$9,043</w:t>
            </w:r>
          </w:p>
        </w:tc>
      </w:tr>
      <w:tr>
        <w:trPr>
          <w:trHeight w:val="135"/>
        </w:trPr>
        <w:tc>
          <w:tcPr>
            <w:tcW w:w="37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960" w:type="dxa"/>
            <w:vAlign w:val="bottom"/>
          </w:tcPr>
          <w:p>
            <w:pPr>
              <w:spacing w:after="0"/>
              <w:rPr>
                <w:sz w:val="20"/>
                <w:szCs w:val="20"/>
                <w:color w:val="auto"/>
              </w:rPr>
            </w:pPr>
            <w:r>
              <w:rPr>
                <w:rFonts w:ascii="Courier New" w:cs="Courier New" w:eastAsia="Courier New" w:hAnsi="Courier New"/>
                <w:sz w:val="12"/>
                <w:szCs w:val="12"/>
                <w:color w:val="auto"/>
              </w:rPr>
              <w:t>NOTE 4 - INVENTORIES</w:t>
            </w: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32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Inventories consist of the following (*):</w:t>
            </w:r>
          </w:p>
        </w:tc>
        <w:tc>
          <w:tcPr>
            <w:tcW w:w="52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18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1960" w:type="dxa"/>
            <w:vAlign w:val="bottom"/>
          </w:tcPr>
          <w:p>
            <w:pPr>
              <w:spacing w:after="0"/>
              <w:rPr>
                <w:sz w:val="11"/>
                <w:szCs w:val="11"/>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960" w:type="dxa"/>
            <w:vAlign w:val="bottom"/>
          </w:tcPr>
          <w:p>
            <w:pPr>
              <w:spacing w:after="0"/>
              <w:rPr>
                <w:sz w:val="11"/>
                <w:szCs w:val="11"/>
                <w:color w:val="auto"/>
              </w:rPr>
            </w:pPr>
          </w:p>
        </w:tc>
        <w:tc>
          <w:tcPr>
            <w:tcW w:w="1300" w:type="dxa"/>
            <w:vAlign w:val="bottom"/>
          </w:tcPr>
          <w:p>
            <w:pPr>
              <w:jc w:val="right"/>
              <w:ind w:right="601"/>
              <w:spacing w:after="0"/>
              <w:rPr>
                <w:sz w:val="20"/>
                <w:szCs w:val="20"/>
                <w:color w:val="auto"/>
              </w:rPr>
            </w:pPr>
            <w:r>
              <w:rPr>
                <w:rFonts w:ascii="Courier New" w:cs="Courier New" w:eastAsia="Courier New" w:hAnsi="Courier New"/>
                <w:sz w:val="12"/>
                <w:szCs w:val="12"/>
                <w:color w:val="auto"/>
              </w:rPr>
              <w:t>2006</w:t>
            </w:r>
          </w:p>
        </w:tc>
        <w:tc>
          <w:tcPr>
            <w:tcW w:w="5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1960" w:type="dxa"/>
            <w:vAlign w:val="bottom"/>
          </w:tcPr>
          <w:p>
            <w:pPr>
              <w:spacing w:after="0"/>
              <w:rPr>
                <w:sz w:val="11"/>
                <w:szCs w:val="11"/>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Raw materials</w:t>
            </w: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$11,170</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$ 6,777</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Spare parts and supplies</w:t>
            </w: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6,402</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3,738</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Work in process</w:t>
            </w: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22,884</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11,502</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Finished goods</w:t>
            </w: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645</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2,359</w:t>
            </w:r>
          </w:p>
        </w:tc>
      </w:tr>
      <w:tr>
        <w:trPr>
          <w:trHeight w:val="135"/>
        </w:trPr>
        <w:tc>
          <w:tcPr>
            <w:tcW w:w="1960" w:type="dxa"/>
            <w:vAlign w:val="bottom"/>
          </w:tcPr>
          <w:p>
            <w:pPr>
              <w:spacing w:after="0"/>
              <w:rPr>
                <w:sz w:val="11"/>
                <w:szCs w:val="11"/>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1960" w:type="dxa"/>
            <w:vAlign w:val="bottom"/>
          </w:tcPr>
          <w:p>
            <w:pPr>
              <w:spacing w:after="0"/>
              <w:rPr>
                <w:sz w:val="11"/>
                <w:szCs w:val="11"/>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$41,101</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$24,376</w:t>
            </w:r>
          </w:p>
        </w:tc>
      </w:tr>
      <w:tr>
        <w:trPr>
          <w:trHeight w:val="135"/>
        </w:trPr>
        <w:tc>
          <w:tcPr>
            <w:tcW w:w="1960" w:type="dxa"/>
            <w:vAlign w:val="bottom"/>
          </w:tcPr>
          <w:p>
            <w:pPr>
              <w:spacing w:after="0"/>
              <w:rPr>
                <w:sz w:val="11"/>
                <w:szCs w:val="11"/>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bl>
    <w:p>
      <w:pPr>
        <w:spacing w:after="0" w:line="139" w:lineRule="exact"/>
        <w:rPr>
          <w:sz w:val="20"/>
          <w:szCs w:val="20"/>
          <w:color w:val="auto"/>
        </w:rPr>
      </w:pPr>
    </w:p>
    <w:p>
      <w:pPr>
        <w:ind w:left="700" w:right="4899" w:hanging="357"/>
        <w:spacing w:after="0" w:line="235" w:lineRule="auto"/>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of aggregate write-downs to net realizable value of $6,707 and $3,259 as of December 31, 2006 and 2005, respectively.</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PROPERTY AND EQUIPMENT,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2680" w:type="dxa"/>
            <w:vAlign w:val="bottom"/>
          </w:tcPr>
          <w:p>
            <w:pPr>
              <w:ind w:left="120"/>
              <w:spacing w:after="0"/>
              <w:rPr>
                <w:sz w:val="20"/>
                <w:szCs w:val="20"/>
                <w:color w:val="auto"/>
              </w:rPr>
            </w:pPr>
            <w:r>
              <w:rPr>
                <w:rFonts w:ascii="Courier New" w:cs="Courier New" w:eastAsia="Courier New" w:hAnsi="Courier New"/>
                <w:sz w:val="12"/>
                <w:szCs w:val="12"/>
                <w:color w:val="auto"/>
              </w:rPr>
              <w:t>COMPOSITION:</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70"/>
        </w:trPr>
        <w:tc>
          <w:tcPr>
            <w:tcW w:w="5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2006</w:t>
            </w:r>
          </w:p>
        </w:tc>
        <w:tc>
          <w:tcPr>
            <w:tcW w:w="420" w:type="dxa"/>
            <w:vAlign w:val="bottom"/>
          </w:tcPr>
          <w:p>
            <w:pPr>
              <w:spacing w:after="0"/>
              <w:rPr>
                <w:sz w:val="11"/>
                <w:szCs w:val="11"/>
                <w:color w:val="auto"/>
              </w:rPr>
            </w:pPr>
          </w:p>
        </w:tc>
        <w:tc>
          <w:tcPr>
            <w:tcW w:w="5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rPr>
              <w:t>COST:</w:t>
            </w:r>
          </w:p>
        </w:tc>
        <w:tc>
          <w:tcPr>
            <w:tcW w:w="2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Prepaid perpetual land lease and buildings</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(including facility infrastructure)</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239,267</w:t>
            </w:r>
          </w:p>
        </w:tc>
        <w:tc>
          <w:tcPr>
            <w:tcW w:w="4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237,401</w:t>
            </w: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Machinery and equipment</w:t>
            </w: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851,700</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709,862</w:t>
            </w: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Transportation vehicles</w:t>
            </w: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307</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425</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2"/>
              </w:rPr>
              <w:t>1,091,274</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947,688</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ACCUMULATED DEPRECIATION AND AMORTIZATION:</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Prepaid perpetual land lease and buildings</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(including facility infrastructure)</w:t>
            </w: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61,937</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47,841</w:t>
            </w: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Machinery and equipment</w:t>
            </w: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496,116</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388,867</w:t>
            </w:r>
          </w:p>
        </w:tc>
      </w:tr>
      <w:tr>
        <w:trPr>
          <w:trHeight w:val="135"/>
        </w:trPr>
        <w:tc>
          <w:tcPr>
            <w:tcW w:w="3260" w:type="dxa"/>
            <w:vAlign w:val="bottom"/>
            <w:gridSpan w:val="2"/>
          </w:tcPr>
          <w:p>
            <w:pPr>
              <w:spacing w:after="0"/>
              <w:rPr>
                <w:sz w:val="20"/>
                <w:szCs w:val="20"/>
                <w:color w:val="auto"/>
              </w:rPr>
            </w:pPr>
            <w:r>
              <w:rPr>
                <w:rFonts w:ascii="Courier New" w:cs="Courier New" w:eastAsia="Courier New" w:hAnsi="Courier New"/>
                <w:sz w:val="12"/>
                <w:szCs w:val="12"/>
                <w:color w:val="auto"/>
              </w:rPr>
              <w:t>Transportation vehicles</w:t>
            </w: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267</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335</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558,320</w:t>
            </w:r>
          </w:p>
        </w:tc>
        <w:tc>
          <w:tcPr>
            <w:tcW w:w="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437,043</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5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532,954</w:t>
            </w:r>
          </w:p>
        </w:tc>
        <w:tc>
          <w:tcPr>
            <w:tcW w:w="4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510,645</w:t>
            </w:r>
          </w:p>
        </w:tc>
      </w:tr>
      <w:tr>
        <w:trPr>
          <w:trHeight w:val="135"/>
        </w:trPr>
        <w:tc>
          <w:tcPr>
            <w:tcW w:w="5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405"/>
        </w:trPr>
        <w:tc>
          <w:tcPr>
            <w:tcW w:w="580" w:type="dxa"/>
            <w:vAlign w:val="bottom"/>
          </w:tcPr>
          <w:p>
            <w:pPr>
              <w:spacing w:after="0"/>
              <w:rPr>
                <w:sz w:val="24"/>
                <w:szCs w:val="24"/>
                <w:color w:val="auto"/>
              </w:rPr>
            </w:pPr>
          </w:p>
        </w:tc>
        <w:tc>
          <w:tcPr>
            <w:tcW w:w="2680" w:type="dxa"/>
            <w:vAlign w:val="bottom"/>
          </w:tcPr>
          <w:p>
            <w:pPr>
              <w:ind w:left="2020"/>
              <w:spacing w:after="0"/>
              <w:rPr>
                <w:sz w:val="20"/>
                <w:szCs w:val="20"/>
                <w:color w:val="auto"/>
              </w:rPr>
            </w:pPr>
            <w:r>
              <w:rPr>
                <w:rFonts w:ascii="Courier New" w:cs="Courier New" w:eastAsia="Courier New" w:hAnsi="Courier New"/>
                <w:sz w:val="12"/>
                <w:szCs w:val="12"/>
                <w:color w:val="auto"/>
              </w:rPr>
              <w:t>F - 19</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39"/>
          </w:cols>
          <w:pgMar w:left="220" w:top="276" w:right="1440" w:bottom="0" w:gutter="0" w:footer="0" w:header="0"/>
        </w:sectPr>
      </w:pPr>
    </w:p>
    <w:bookmarkStart w:id="14" w:name="page15"/>
    <w:bookmarkEnd w:id="14"/>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PROPERTY AND EQUIPMENT, NET (cont.)</w:t>
      </w:r>
    </w:p>
    <w:p>
      <w:pPr>
        <w:spacing w:after="0" w:line="134" w:lineRule="exact"/>
        <w:rPr>
          <w:sz w:val="20"/>
          <w:szCs w:val="20"/>
          <w:color w:val="auto"/>
        </w:rPr>
      </w:pPr>
    </w:p>
    <w:p>
      <w:pPr>
        <w:ind w:left="700" w:hanging="357"/>
        <w:spacing w:after="0"/>
        <w:tabs>
          <w:tab w:leader="none" w:pos="700"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COMPOSITION (cont.)</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Supplemental disclosure relating to cost of property and equipment:</w:t>
      </w:r>
    </w:p>
    <w:p>
      <w:pPr>
        <w:spacing w:after="0" w:line="139" w:lineRule="exact"/>
        <w:rPr>
          <w:sz w:val="20"/>
          <w:szCs w:val="20"/>
          <w:color w:val="auto"/>
        </w:rPr>
      </w:pPr>
    </w:p>
    <w:p>
      <w:pPr>
        <w:ind w:left="1040" w:right="4979" w:hanging="345"/>
        <w:spacing w:after="0" w:line="264" w:lineRule="auto"/>
        <w:tabs>
          <w:tab w:leader="none" w:pos="1040" w:val="left"/>
        </w:tabs>
        <w:numPr>
          <w:ilvl w:val="1"/>
          <w:numId w:val="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 of December 31, 2006 and 2005, the cost of property and equipment included costs relating to Fab 2 in the amount of $857,461 and $713,837, respectively. Said amounts are net of investment grants of $164,587 and $165,222, respectively.</w:t>
      </w:r>
    </w:p>
    <w:p>
      <w:pPr>
        <w:spacing w:after="0" w:line="127" w:lineRule="exact"/>
        <w:rPr>
          <w:rFonts w:ascii="Courier New" w:cs="Courier New" w:eastAsia="Courier New" w:hAnsi="Courier New"/>
          <w:sz w:val="11"/>
          <w:szCs w:val="11"/>
          <w:color w:val="auto"/>
        </w:rPr>
      </w:pPr>
    </w:p>
    <w:p>
      <w:pPr>
        <w:ind w:left="1040" w:right="4619" w:hanging="345"/>
        <w:spacing w:after="0" w:line="236" w:lineRule="auto"/>
        <w:tabs>
          <w:tab w:leader="none" w:pos="1040"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2006, the cost of buildings, machinery and equipment was reflected net of investment grants in the aggregate of $267,866 (as of December 31, 2005 - $268,688).</w:t>
      </w:r>
    </w:p>
    <w:p>
      <w:pPr>
        <w:spacing w:after="0" w:line="139" w:lineRule="exact"/>
        <w:rPr>
          <w:rFonts w:ascii="Courier New" w:cs="Courier New" w:eastAsia="Courier New" w:hAnsi="Courier New"/>
          <w:sz w:val="12"/>
          <w:szCs w:val="12"/>
          <w:color w:val="auto"/>
        </w:rPr>
      </w:pPr>
    </w:p>
    <w:p>
      <w:pPr>
        <w:ind w:left="1040" w:right="4699" w:hanging="345"/>
        <w:spacing w:after="0" w:line="273" w:lineRule="auto"/>
        <w:tabs>
          <w:tab w:leader="none" w:pos="1040" w:val="left"/>
        </w:tabs>
        <w:numPr>
          <w:ilvl w:val="1"/>
          <w:numId w:val="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Cost of property and equipment as of December 31, 2006 and 2005 includes capitalized interest costs in the aggregate of $18,480.</w:t>
      </w:r>
    </w:p>
    <w:p>
      <w:pPr>
        <w:spacing w:after="0" w:line="121" w:lineRule="exact"/>
        <w:rPr>
          <w:rFonts w:ascii="Courier New" w:cs="Courier New" w:eastAsia="Courier New" w:hAnsi="Courier New"/>
          <w:sz w:val="11"/>
          <w:szCs w:val="11"/>
          <w:color w:val="auto"/>
        </w:rPr>
      </w:pPr>
    </w:p>
    <w:p>
      <w:pPr>
        <w:ind w:left="1040" w:right="4699" w:hanging="345"/>
        <w:spacing w:after="0" w:line="237" w:lineRule="auto"/>
        <w:tabs>
          <w:tab w:leader="none" w:pos="1040"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commencement of Fab 2 operations in 2003, in which the building and infrastructures of Fab 2 were substantially completed and became ready for their intended use, the Company began to depreciate Fab 2 property and equipment, resulting in depreciation expenses of $111,984, $109,283 and $93,457 in 2006, 2005 and 2004, respectively.</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 GRANTS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connection with the formation of the Company, the Investment Center of the Ministry of Industry and Trade of the State of Israel ("Investment Center"), under its "approved enterprise" program, approved an investment program for expenditures on buildings and equipment in Fab 1 in the aggregate amount (as amended) of approximately $96,850. The Company completed its investments under this program, and received final approval from the Investment Center in November 1997.</w:t>
      </w:r>
    </w:p>
    <w:p>
      <w:pPr>
        <w:spacing w:after="0" w:line="142"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1996, an investment program ("1996 program") for expansion of Fab 1 in the aggregate amount (as amended in December 1999 and 2001) of $228,680, entitling the Company to investment grants, was approved by the Investment Center. The Company completed its investments under the 1996 program in December 2001 and invested through such date approximately $207,000. In May 2002, the Company submitted the final report in relation to the 1996 program. As of December 31, 2006, the report has not yet received final approval from the Investment Center.</w:t>
      </w:r>
    </w:p>
    <w:p>
      <w:pPr>
        <w:spacing w:after="0" w:line="142" w:lineRule="exact"/>
        <w:rPr>
          <w:rFonts w:ascii="Courier New" w:cs="Courier New" w:eastAsia="Courier New" w:hAnsi="Courier New"/>
          <w:sz w:val="12"/>
          <w:szCs w:val="12"/>
          <w:color w:val="auto"/>
        </w:rPr>
      </w:pPr>
    </w:p>
    <w:p>
      <w:pPr>
        <w:ind w:left="700" w:right="49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11A(8) with respect to the Fab 2 program approved by the Investment Center in December 2000.</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- 20</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PROPERTY AND EQUIPMENT, NET (cont.)</w:t>
      </w:r>
    </w:p>
    <w:p>
      <w:pPr>
        <w:spacing w:after="0" w:line="134" w:lineRule="exact"/>
        <w:rPr>
          <w:sz w:val="20"/>
          <w:szCs w:val="20"/>
          <w:color w:val="auto"/>
        </w:rPr>
      </w:pPr>
    </w:p>
    <w:p>
      <w:pPr>
        <w:ind w:left="700" w:hanging="357"/>
        <w:spacing w:after="0"/>
        <w:tabs>
          <w:tab w:leader="none" w:pos="70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 GRANTS (cont.)</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Entitlement to the above grants and other tax benefits is subject to various conditions stipulated by the Israeli Law for the Encouragement of Capital Investments - 1959 ("Investments Law") and the regulations promulgated thereunder, as well as the criteria set forth in the certificates of approval.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of the Company's assets. See also Note 16A.</w:t>
      </w:r>
    </w:p>
    <w:p>
      <w:pPr>
        <w:spacing w:after="0" w:line="140"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liens, see Note 11A(6) Notes 11D(2) and (3) and 8F.</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6 - INTANGIBLE ASSETS, NET</w:t>
      </w:r>
    </w:p>
    <w:p>
      <w:pPr>
        <w:spacing w:after="0" w:line="139" w:lineRule="exact"/>
        <w:rPr>
          <w:sz w:val="20"/>
          <w:szCs w:val="20"/>
          <w:color w:val="auto"/>
        </w:rPr>
      </w:pPr>
    </w:p>
    <w:p>
      <w:pPr>
        <w:ind w:left="340" w:right="4619"/>
        <w:spacing w:after="0" w:line="236" w:lineRule="auto"/>
        <w:rPr>
          <w:sz w:val="20"/>
          <w:szCs w:val="20"/>
          <w:color w:val="auto"/>
        </w:rPr>
      </w:pPr>
      <w:r>
        <w:rPr>
          <w:rFonts w:ascii="Courier New" w:cs="Courier New" w:eastAsia="Courier New" w:hAnsi="Courier New"/>
          <w:sz w:val="12"/>
          <w:szCs w:val="12"/>
          <w:color w:val="auto"/>
        </w:rPr>
        <w:t>Intangible assets consist mainly of technologies in relation to Fab 2, see Note 11A(2). The technologies are presented net of accumulated amortization as of December 31, 2006 and 2005 in the amounts of $53,741 and $32,806, respectively. For amortization policy, see Note 2G.</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7 - OTHER CURRENT LIABILITIES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Other current liabilities consist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20" w:type="dxa"/>
            <w:vAlign w:val="bottom"/>
          </w:tcPr>
          <w:p>
            <w:pPr>
              <w:spacing w:after="0"/>
              <w:rPr>
                <w:sz w:val="11"/>
                <w:szCs w:val="11"/>
                <w:color w:val="auto"/>
              </w:rPr>
            </w:pPr>
          </w:p>
        </w:tc>
        <w:tc>
          <w:tcPr>
            <w:tcW w:w="184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3220" w:type="dxa"/>
            <w:vAlign w:val="bottom"/>
          </w:tcPr>
          <w:p>
            <w:pPr>
              <w:spacing w:after="0"/>
              <w:rPr>
                <w:sz w:val="11"/>
                <w:szCs w:val="11"/>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20" w:type="dxa"/>
            <w:vAlign w:val="bottom"/>
          </w:tcPr>
          <w:p>
            <w:pPr>
              <w:spacing w:after="0"/>
              <w:rPr>
                <w:sz w:val="11"/>
                <w:szCs w:val="11"/>
                <w:color w:val="auto"/>
              </w:rPr>
            </w:pPr>
          </w:p>
        </w:tc>
        <w:tc>
          <w:tcPr>
            <w:tcW w:w="10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2006</w:t>
            </w:r>
          </w:p>
        </w:tc>
        <w:tc>
          <w:tcPr>
            <w:tcW w:w="7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3220" w:type="dxa"/>
            <w:vAlign w:val="bottom"/>
          </w:tcPr>
          <w:p>
            <w:pPr>
              <w:spacing w:after="0"/>
              <w:rPr>
                <w:sz w:val="11"/>
                <w:szCs w:val="11"/>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Accrued salaries</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$ 8,730</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$ 3,162</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Vacation accrual</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3,385</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2,322</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Interest payable (primarily in relation to</w:t>
            </w: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220" w:type="dxa"/>
            <w:vAlign w:val="bottom"/>
          </w:tcPr>
          <w:p>
            <w:pPr>
              <w:ind w:left="60"/>
              <w:spacing w:after="0"/>
              <w:rPr>
                <w:sz w:val="20"/>
                <w:szCs w:val="20"/>
                <w:color w:val="auto"/>
              </w:rPr>
            </w:pPr>
            <w:r>
              <w:rPr>
                <w:rFonts w:ascii="Courier New" w:cs="Courier New" w:eastAsia="Courier New" w:hAnsi="Courier New"/>
                <w:sz w:val="12"/>
                <w:szCs w:val="12"/>
                <w:color w:val="auto"/>
              </w:rPr>
              <w:t>convertible debentures)</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1,089</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1,263</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Due to related parties</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5,895</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188</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2,997</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2,037</w:t>
            </w:r>
          </w:p>
        </w:tc>
      </w:tr>
      <w:tr>
        <w:trPr>
          <w:trHeight w:val="135"/>
        </w:trPr>
        <w:tc>
          <w:tcPr>
            <w:tcW w:w="3220" w:type="dxa"/>
            <w:vAlign w:val="bottom"/>
          </w:tcPr>
          <w:p>
            <w:pPr>
              <w:spacing w:after="0"/>
              <w:rPr>
                <w:sz w:val="11"/>
                <w:szCs w:val="11"/>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20" w:type="dxa"/>
            <w:vAlign w:val="bottom"/>
          </w:tcPr>
          <w:p>
            <w:pPr>
              <w:spacing w:after="0"/>
              <w:rPr>
                <w:sz w:val="11"/>
                <w:szCs w:val="11"/>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$22,096</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$ 8,972</w:t>
            </w:r>
          </w:p>
        </w:tc>
      </w:tr>
      <w:tr>
        <w:trPr>
          <w:trHeight w:val="135"/>
        </w:trPr>
        <w:tc>
          <w:tcPr>
            <w:tcW w:w="3220" w:type="dxa"/>
            <w:vAlign w:val="bottom"/>
          </w:tcPr>
          <w:p>
            <w:pPr>
              <w:spacing w:after="0"/>
              <w:rPr>
                <w:sz w:val="11"/>
                <w:szCs w:val="11"/>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- 21</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8 - LONG-TERM DEBT FROM BANKS</w:t>
      </w:r>
    </w:p>
    <w:p>
      <w:pPr>
        <w:spacing w:after="0" w:line="134" w:lineRule="exact"/>
        <w:rPr>
          <w:sz w:val="20"/>
          <w:szCs w:val="20"/>
          <w:color w:val="auto"/>
        </w:rPr>
      </w:pPr>
    </w:p>
    <w:p>
      <w:pPr>
        <w:ind w:left="700" w:hanging="357"/>
        <w:spacing w:after="0"/>
        <w:tabs>
          <w:tab w:leader="none" w:pos="700"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COMPOSITION:</w:t>
      </w:r>
    </w:p>
    <w:p>
      <w:pPr>
        <w:sectPr>
          <w:pgSz w:w="11900" w:h="16838" w:orient="portrait"/>
          <w:cols w:equalWidth="0" w:num="1">
            <w:col w:w="10239"/>
          </w:cols>
          <w:pgMar w:left="220" w:top="272" w:right="1440" w:bottom="0" w:gutter="0" w:footer="0" w:header="0"/>
        </w:sectPr>
      </w:pPr>
    </w:p>
    <w:p>
      <w:pPr>
        <w:spacing w:after="0" w:line="274" w:lineRule="exact"/>
        <w:rPr>
          <w:sz w:val="20"/>
          <w:szCs w:val="20"/>
          <w:color w:val="auto"/>
        </w:rPr>
      </w:pPr>
    </w:p>
    <w:p>
      <w:pPr>
        <w:jc w:val="center"/>
        <w:ind w:left="1600"/>
        <w:spacing w:after="0"/>
        <w:rPr>
          <w:sz w:val="20"/>
          <w:szCs w:val="20"/>
          <w:color w:val="auto"/>
        </w:rPr>
      </w:pPr>
      <w:r>
        <w:rPr>
          <w:rFonts w:ascii="Courier New" w:cs="Courier New" w:eastAsia="Courier New" w:hAnsi="Courier New"/>
          <w:sz w:val="11"/>
          <w:szCs w:val="11"/>
          <w:color w:val="auto"/>
        </w:rPr>
        <w:t>Effective interest rate as of</w:t>
      </w:r>
    </w:p>
    <w:p>
      <w:pPr>
        <w:spacing w:after="0" w:line="6" w:lineRule="exact"/>
        <w:rPr>
          <w:sz w:val="20"/>
          <w:szCs w:val="20"/>
          <w:color w:val="auto"/>
        </w:rPr>
      </w:pPr>
    </w:p>
    <w:p>
      <w:pPr>
        <w:jc w:val="center"/>
        <w:ind w:left="1600"/>
        <w:spacing w:after="0"/>
        <w:rPr>
          <w:sz w:val="20"/>
          <w:szCs w:val="20"/>
          <w:color w:val="auto"/>
        </w:rPr>
      </w:pPr>
      <w:r>
        <w:rPr>
          <w:rFonts w:ascii="Courier New" w:cs="Courier New" w:eastAsia="Courier New" w:hAnsi="Courier New"/>
          <w:sz w:val="12"/>
          <w:szCs w:val="12"/>
          <w:color w:val="auto"/>
        </w:rPr>
        <w:t>December 31, 2006</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As of December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140"/>
        <w:spacing w:after="0"/>
        <w:tabs>
          <w:tab w:leader="none" w:pos="1180" w:val="left"/>
        </w:tabs>
        <w:rPr>
          <w:sz w:val="20"/>
          <w:szCs w:val="20"/>
          <w:color w:val="auto"/>
        </w:rPr>
      </w:pPr>
      <w:r>
        <w:rPr>
          <w:rFonts w:ascii="Courier New" w:cs="Courier New" w:eastAsia="Courier New" w:hAnsi="Courier New"/>
          <w:sz w:val="12"/>
          <w:szCs w:val="12"/>
          <w:color w:val="auto"/>
        </w:rPr>
        <w:t>2006</w:t>
      </w:r>
      <w:r>
        <w:rPr>
          <w:sz w:val="20"/>
          <w:szCs w:val="20"/>
          <w:color w:val="auto"/>
        </w:rPr>
        <w:tab/>
      </w:r>
      <w:r>
        <w:rPr>
          <w:rFonts w:ascii="Courier New" w:cs="Courier New" w:eastAsia="Courier New" w:hAnsi="Courier New"/>
          <w:sz w:val="12"/>
          <w:szCs w:val="12"/>
          <w:color w:val="auto"/>
        </w:rPr>
        <w:t>2005</w:t>
      </w:r>
    </w:p>
    <w:p>
      <w:pPr>
        <w:sectPr>
          <w:pgSz w:w="11900" w:h="16838" w:orient="portrait"/>
          <w:cols w:equalWidth="0" w:num="2">
            <w:col w:w="3640" w:space="360"/>
            <w:col w:w="6239"/>
          </w:cols>
          <w:pgMar w:left="220" w:top="272" w:right="1440"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36"/>
        </w:trPr>
        <w:tc>
          <w:tcPr>
            <w:tcW w:w="3400" w:type="dxa"/>
            <w:vAlign w:val="bottom"/>
            <w:gridSpan w:val="2"/>
          </w:tcPr>
          <w:p>
            <w:pPr>
              <w:ind w:left="1600"/>
              <w:spacing w:after="0"/>
              <w:rPr>
                <w:sz w:val="20"/>
                <w:szCs w:val="20"/>
                <w:color w:val="auto"/>
              </w:rPr>
            </w:pPr>
            <w:r>
              <w:rPr>
                <w:rFonts w:ascii="Courier New" w:cs="Courier New" w:eastAsia="Courier New" w:hAnsi="Courier New"/>
                <w:sz w:val="12"/>
                <w:szCs w:val="12"/>
                <w:color w:val="auto"/>
                <w:w w:val="85"/>
              </w:rPr>
              <w:t>-----------------------------</w:t>
            </w:r>
          </w:p>
        </w:tc>
        <w:tc>
          <w:tcPr>
            <w:tcW w:w="13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2460" w:type="dxa"/>
            <w:vAlign w:val="bottom"/>
          </w:tcPr>
          <w:p>
            <w:pPr>
              <w:spacing w:after="0"/>
              <w:rPr>
                <w:sz w:val="20"/>
                <w:szCs w:val="20"/>
                <w:color w:val="auto"/>
              </w:rPr>
            </w:pPr>
            <w:r>
              <w:rPr>
                <w:rFonts w:ascii="Courier New" w:cs="Courier New" w:eastAsia="Courier New" w:hAnsi="Courier New"/>
                <w:sz w:val="12"/>
                <w:szCs w:val="12"/>
                <w:color w:val="auto"/>
              </w:rPr>
              <w:t>In U.S. Dollar</w:t>
            </w:r>
          </w:p>
        </w:tc>
        <w:tc>
          <w:tcPr>
            <w:tcW w:w="940" w:type="dxa"/>
            <w:vAlign w:val="bottom"/>
          </w:tcPr>
          <w:p>
            <w:pPr>
              <w:jc w:val="right"/>
              <w:ind w:right="541"/>
              <w:spacing w:after="0"/>
              <w:rPr>
                <w:sz w:val="20"/>
                <w:szCs w:val="20"/>
                <w:color w:val="auto"/>
              </w:rPr>
            </w:pPr>
            <w:r>
              <w:rPr>
                <w:rFonts w:ascii="Courier New" w:cs="Courier New" w:eastAsia="Courier New" w:hAnsi="Courier New"/>
                <w:sz w:val="12"/>
                <w:szCs w:val="12"/>
                <w:color w:val="auto"/>
                <w:w w:val="88"/>
              </w:rPr>
              <w:t>6.48%</w:t>
            </w:r>
          </w:p>
        </w:tc>
        <w:tc>
          <w:tcPr>
            <w:tcW w:w="13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$288,693</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$438,103</w:t>
            </w: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In U.S. Dollar</w:t>
            </w:r>
          </w:p>
        </w:tc>
        <w:tc>
          <w:tcPr>
            <w:tcW w:w="940" w:type="dxa"/>
            <w:vAlign w:val="bottom"/>
          </w:tcPr>
          <w:p>
            <w:pPr>
              <w:jc w:val="right"/>
              <w:ind w:right="541"/>
              <w:spacing w:after="0"/>
              <w:rPr>
                <w:sz w:val="20"/>
                <w:szCs w:val="20"/>
                <w:color w:val="auto"/>
              </w:rPr>
            </w:pPr>
            <w:r>
              <w:rPr>
                <w:rFonts w:ascii="Courier New" w:cs="Courier New" w:eastAsia="Courier New" w:hAnsi="Courier New"/>
                <w:sz w:val="12"/>
                <w:szCs w:val="12"/>
                <w:color w:val="auto"/>
                <w:w w:val="88"/>
              </w:rPr>
              <w:t>5.10%</w:t>
            </w:r>
          </w:p>
        </w:tc>
        <w:tc>
          <w:tcPr>
            <w:tcW w:w="13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80,000</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80,000</w:t>
            </w:r>
          </w:p>
        </w:tc>
      </w:tr>
      <w:tr>
        <w:trPr>
          <w:trHeight w:val="135"/>
        </w:trPr>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Total long-term debt from</w:t>
            </w: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Banks</w:t>
            </w:r>
          </w:p>
        </w:tc>
        <w:tc>
          <w:tcPr>
            <w:tcW w:w="940" w:type="dxa"/>
            <w:vAlign w:val="bottom"/>
          </w:tcPr>
          <w:p>
            <w:pPr>
              <w:spacing w:after="0"/>
              <w:rPr>
                <w:sz w:val="11"/>
                <w:szCs w:val="11"/>
                <w:color w:val="auto"/>
              </w:rPr>
            </w:pPr>
          </w:p>
        </w:tc>
        <w:tc>
          <w:tcPr>
            <w:tcW w:w="13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368,693</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518,103</w:t>
            </w: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Less - current maturities</w:t>
            </w:r>
          </w:p>
        </w:tc>
        <w:tc>
          <w:tcPr>
            <w:tcW w:w="940" w:type="dxa"/>
            <w:vAlign w:val="bottom"/>
          </w:tcPr>
          <w:p>
            <w:pPr>
              <w:spacing w:after="0"/>
              <w:rPr>
                <w:sz w:val="11"/>
                <w:szCs w:val="11"/>
                <w:color w:val="auto"/>
              </w:rPr>
            </w:pPr>
          </w:p>
        </w:tc>
        <w:tc>
          <w:tcPr>
            <w:tcW w:w="13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21,103</w:t>
            </w:r>
          </w:p>
        </w:tc>
      </w:tr>
      <w:tr>
        <w:trPr>
          <w:trHeight w:val="135"/>
        </w:trPr>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368,693</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497,000</w:t>
            </w:r>
          </w:p>
        </w:tc>
      </w:tr>
      <w:tr>
        <w:trPr>
          <w:trHeight w:val="270"/>
        </w:trPr>
        <w:tc>
          <w:tcPr>
            <w:tcW w:w="2460" w:type="dxa"/>
            <w:vAlign w:val="bottom"/>
          </w:tcPr>
          <w:p>
            <w:pPr>
              <w:spacing w:after="0"/>
              <w:rPr>
                <w:sz w:val="20"/>
                <w:szCs w:val="20"/>
                <w:color w:val="auto"/>
              </w:rPr>
            </w:pPr>
            <w:r>
              <w:rPr>
                <w:rFonts w:ascii="Courier New" w:cs="Courier New" w:eastAsia="Courier New" w:hAnsi="Courier New"/>
                <w:sz w:val="12"/>
                <w:szCs w:val="12"/>
                <w:color w:val="auto"/>
              </w:rPr>
              <w:t>Discount (see C below)</w:t>
            </w:r>
          </w:p>
        </w:tc>
        <w:tc>
          <w:tcPr>
            <w:tcW w:w="940" w:type="dxa"/>
            <w:vAlign w:val="bottom"/>
          </w:tcPr>
          <w:p>
            <w:pPr>
              <w:spacing w:after="0"/>
              <w:rPr>
                <w:sz w:val="23"/>
                <w:szCs w:val="23"/>
                <w:color w:val="auto"/>
              </w:rPr>
            </w:pPr>
          </w:p>
        </w:tc>
        <w:tc>
          <w:tcPr>
            <w:tcW w:w="13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11,746</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$356,947</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$497,000</w:t>
            </w:r>
          </w:p>
        </w:tc>
      </w:tr>
      <w:tr>
        <w:trPr>
          <w:trHeight w:val="135"/>
        </w:trPr>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right="4619" w:hanging="357"/>
        <w:spacing w:after="0" w:line="238" w:lineRule="auto"/>
        <w:tabs>
          <w:tab w:leader="none" w:pos="700"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loans received under the Facility Agreement bear interest based on the three-month USD LIBOR rate plus 1.1%, effective from May 17, 2006, as revised under the September 2006 amendment to the Facility Agreement (see details in Note 11A(6)). Prior to the closing of the September 2006 amendment, in accordance with the November 2003 amendment to the Facility Agreement, the loans bore interest based on the three-month USD LIBOR rate plus 2.5%, (described in Note 11A(6)), and prior to the November 2003 amendment the loans bore interest based on the three-month USD LIBOR rate plus 1.55%. The effective interest rate as of December 31, 2006 of loans, the amount of which as of such date was $207,000, including the terms of collar agreements with knock-out and knock-in features described in Note 17A. Interest is payable at the end of each quarter.</w:t>
      </w:r>
    </w:p>
    <w:p>
      <w:pPr>
        <w:spacing w:after="0" w:line="139" w:lineRule="exact"/>
        <w:rPr>
          <w:rFonts w:ascii="Courier New" w:cs="Courier New" w:eastAsia="Courier New" w:hAnsi="Courier New"/>
          <w:sz w:val="12"/>
          <w:szCs w:val="12"/>
          <w:color w:val="auto"/>
        </w:rPr>
      </w:pPr>
    </w:p>
    <w:p>
      <w:pPr>
        <w:ind w:left="700" w:right="4699" w:hanging="357"/>
        <w:spacing w:after="0" w:line="263" w:lineRule="auto"/>
        <w:tabs>
          <w:tab w:leader="none" w:pos="700"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Following the September 2006 amendment to the Facility Agreement, the long term debt is presented based on fair value on the refinancing date, in accordance with IAS 39, described in Note 11A(6). The discount resulting from adjustment of the debt to fair value is amortized to financing expenses during the new repayment schedule.</w:t>
      </w:r>
    </w:p>
    <w:p>
      <w:pPr>
        <w:spacing w:after="0" w:line="127" w:lineRule="exact"/>
        <w:rPr>
          <w:rFonts w:ascii="Courier New" w:cs="Courier New" w:eastAsia="Courier New" w:hAnsi="Courier New"/>
          <w:sz w:val="11"/>
          <w:szCs w:val="11"/>
          <w:color w:val="auto"/>
        </w:rPr>
      </w:pPr>
    </w:p>
    <w:p>
      <w:pPr>
        <w:ind w:left="700" w:right="4619" w:hanging="357"/>
        <w:spacing w:after="0" w:line="237" w:lineRule="auto"/>
        <w:tabs>
          <w:tab w:leader="none" w:pos="700"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additional information regarding the Facility Agreement, as amended, between the Company and the Banks for financing the construction and equipping of Fab 2 including the refinancing of the loans under the September 2006 amendment to the Facility Agreement see Note 11A(6).</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REPAYMENT SCHEDULE</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balance of the long-term debt as of December 31, 2006 is repayable</w:t>
      </w:r>
    </w:p>
    <w:p>
      <w:pPr>
        <w:ind w:left="700"/>
        <w:spacing w:after="0"/>
        <w:rPr>
          <w:sz w:val="20"/>
          <w:szCs w:val="20"/>
          <w:color w:val="auto"/>
        </w:rPr>
      </w:pPr>
      <w:r>
        <w:rPr>
          <w:rFonts w:ascii="Courier New" w:cs="Courier New" w:eastAsia="Courier New" w:hAnsi="Courier New"/>
          <w:sz w:val="12"/>
          <w:szCs w:val="12"/>
          <w:color w:val="auto"/>
        </w:rPr>
        <w:t>as follows:</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36"/>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0"/>
              </w:rPr>
              <w:t>2009</w:t>
            </w:r>
          </w:p>
        </w:tc>
        <w:tc>
          <w:tcPr>
            <w:tcW w:w="2280" w:type="dxa"/>
            <w:vAlign w:val="bottom"/>
          </w:tcPr>
          <w:p>
            <w:pPr>
              <w:spacing w:after="0"/>
              <w:rPr>
                <w:sz w:val="11"/>
                <w:szCs w:val="11"/>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2"/>
                <w:szCs w:val="12"/>
                <w:color w:val="auto"/>
              </w:rPr>
              <w:t>61,449</w:t>
            </w:r>
          </w:p>
        </w:tc>
      </w:tr>
      <w:tr>
        <w:trPr>
          <w:trHeight w:val="135"/>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0"/>
              </w:rPr>
              <w:t>2010</w:t>
            </w:r>
          </w:p>
        </w:tc>
        <w:tc>
          <w:tcPr>
            <w:tcW w:w="2280" w:type="dxa"/>
            <w:vAlign w:val="bottom"/>
          </w:tcPr>
          <w:p>
            <w:pPr>
              <w:spacing w:after="0"/>
              <w:rPr>
                <w:sz w:val="11"/>
                <w:szCs w:val="11"/>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2"/>
                <w:szCs w:val="12"/>
                <w:color w:val="auto"/>
              </w:rPr>
              <w:t>122,898</w:t>
            </w:r>
          </w:p>
        </w:tc>
      </w:tr>
      <w:tr>
        <w:trPr>
          <w:trHeight w:val="135"/>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0"/>
              </w:rPr>
              <w:t>2011</w:t>
            </w:r>
          </w:p>
        </w:tc>
        <w:tc>
          <w:tcPr>
            <w:tcW w:w="2280" w:type="dxa"/>
            <w:vAlign w:val="bottom"/>
          </w:tcPr>
          <w:p>
            <w:pPr>
              <w:ind w:left="20"/>
              <w:spacing w:after="0"/>
              <w:rPr>
                <w:sz w:val="20"/>
                <w:szCs w:val="20"/>
                <w:color w:val="auto"/>
              </w:rPr>
            </w:pPr>
            <w:r>
              <w:rPr>
                <w:rFonts w:ascii="Courier New" w:cs="Courier New" w:eastAsia="Courier New" w:hAnsi="Courier New"/>
                <w:sz w:val="12"/>
                <w:szCs w:val="12"/>
                <w:color w:val="auto"/>
              </w:rPr>
              <w:t>and thereafter</w:t>
            </w:r>
          </w:p>
        </w:tc>
        <w:tc>
          <w:tcPr>
            <w:tcW w:w="1760" w:type="dxa"/>
            <w:vAlign w:val="bottom"/>
          </w:tcPr>
          <w:p>
            <w:pPr>
              <w:jc w:val="right"/>
              <w:spacing w:after="0"/>
              <w:rPr>
                <w:sz w:val="20"/>
                <w:szCs w:val="20"/>
                <w:color w:val="auto"/>
              </w:rPr>
            </w:pPr>
            <w:r>
              <w:rPr>
                <w:rFonts w:ascii="Courier New" w:cs="Courier New" w:eastAsia="Courier New" w:hAnsi="Courier New"/>
                <w:sz w:val="12"/>
                <w:szCs w:val="12"/>
                <w:color w:val="auto"/>
              </w:rPr>
              <w:t>184,346</w:t>
            </w:r>
          </w:p>
        </w:tc>
      </w:tr>
    </w:tbl>
    <w:p>
      <w:pPr>
        <w:ind w:left="4420"/>
        <w:spacing w:after="0"/>
        <w:rPr>
          <w:sz w:val="20"/>
          <w:szCs w:val="20"/>
          <w:color w:val="auto"/>
        </w:rPr>
      </w:pPr>
      <w:r>
        <w:rPr>
          <w:rFonts w:ascii="Courier New" w:cs="Courier New" w:eastAsia="Courier New" w:hAnsi="Courier New"/>
          <w:sz w:val="12"/>
          <w:szCs w:val="12"/>
          <w:color w:val="auto"/>
        </w:rPr>
        <w:t>---------</w:t>
      </w:r>
    </w:p>
    <w:p>
      <w:pPr>
        <w:ind w:left="4420"/>
        <w:spacing w:after="0" w:line="237" w:lineRule="auto"/>
        <w:rPr>
          <w:sz w:val="20"/>
          <w:szCs w:val="20"/>
          <w:color w:val="auto"/>
        </w:rPr>
      </w:pPr>
      <w:r>
        <w:rPr>
          <w:rFonts w:ascii="Courier New" w:cs="Courier New" w:eastAsia="Courier New" w:hAnsi="Courier New"/>
          <w:sz w:val="12"/>
          <w:szCs w:val="12"/>
          <w:color w:val="auto"/>
        </w:rPr>
        <w:t>$ 368,693</w:t>
      </w:r>
    </w:p>
    <w:p>
      <w:pPr>
        <w:ind w:left="4420"/>
        <w:spacing w:after="0"/>
        <w:rPr>
          <w:sz w:val="20"/>
          <w:szCs w:val="20"/>
          <w:color w:val="auto"/>
        </w:rPr>
      </w:pPr>
      <w:r>
        <w:rPr>
          <w:rFonts w:ascii="Courier New" w:cs="Courier New" w:eastAsia="Courier New" w:hAnsi="Courier New"/>
          <w:sz w:val="12"/>
          <w:szCs w:val="12"/>
          <w:color w:val="auto"/>
        </w:rPr>
        <w:t>=========</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8 - LONG-TERM DEBT FROM BANKS (Cont.)</w:t>
      </w:r>
    </w:p>
    <w:p>
      <w:pPr>
        <w:spacing w:after="0" w:line="139" w:lineRule="exact"/>
        <w:rPr>
          <w:sz w:val="20"/>
          <w:szCs w:val="20"/>
          <w:color w:val="auto"/>
        </w:rPr>
      </w:pPr>
    </w:p>
    <w:p>
      <w:pPr>
        <w:ind w:left="700" w:right="4619" w:hanging="357"/>
        <w:spacing w:after="0" w:line="262" w:lineRule="auto"/>
        <w:tabs>
          <w:tab w:leader="none" w:pos="700"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agreement with the Company's Banks restricts the Company's ability to place liens on its assets (other than to the State of Israel in respect of investment grants - see Note 11A(8), to Siliconix - see Note 11D(2) and to SanDisk see Note 11D(3)), without the prior consent of the Banks. Furthermore, the agreements contain certain restrictive financial ratios and covenants. For further details concerning the Facility Agreement and its amendments, see Note 11A(6).</w:t>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CONVERTIBLE DEBENTURES</w:t>
      </w:r>
    </w:p>
    <w:p>
      <w:pPr>
        <w:spacing w:after="0" w:line="134" w:lineRule="exact"/>
        <w:rPr>
          <w:sz w:val="20"/>
          <w:szCs w:val="20"/>
          <w:color w:val="auto"/>
        </w:rPr>
      </w:pPr>
    </w:p>
    <w:p>
      <w:pPr>
        <w:ind w:left="700" w:hanging="357"/>
        <w:spacing w:after="0"/>
        <w:tabs>
          <w:tab w:leader="none" w:pos="700"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COMPOSITION: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7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jc w:val="center"/>
              <w:ind w:right="41"/>
              <w:spacing w:after="0"/>
              <w:rPr>
                <w:sz w:val="20"/>
                <w:szCs w:val="20"/>
                <w:color w:val="auto"/>
              </w:rPr>
            </w:pPr>
            <w:r>
              <w:rPr>
                <w:rFonts w:ascii="Courier New" w:cs="Courier New" w:eastAsia="Courier New" w:hAnsi="Courier New"/>
                <w:sz w:val="12"/>
                <w:szCs w:val="12"/>
                <w:color w:val="auto"/>
                <w:w w:val="97"/>
              </w:rPr>
              <w:t>Interest rate as of</w:t>
            </w:r>
          </w:p>
        </w:tc>
        <w:tc>
          <w:tcPr>
            <w:tcW w:w="17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jc w:val="center"/>
              <w:ind w:right="41"/>
              <w:spacing w:after="0"/>
              <w:rPr>
                <w:sz w:val="20"/>
                <w:szCs w:val="20"/>
                <w:color w:val="auto"/>
              </w:rPr>
            </w:pPr>
            <w:r>
              <w:rPr>
                <w:rFonts w:ascii="Courier New" w:cs="Courier New" w:eastAsia="Courier New" w:hAnsi="Courier New"/>
                <w:sz w:val="12"/>
                <w:szCs w:val="12"/>
                <w:color w:val="auto"/>
                <w:w w:val="96"/>
              </w:rPr>
              <w:t>December 31, 2006</w:t>
            </w:r>
          </w:p>
        </w:tc>
        <w:tc>
          <w:tcPr>
            <w:tcW w:w="12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2006</w:t>
            </w:r>
          </w:p>
        </w:tc>
        <w:tc>
          <w:tcPr>
            <w:tcW w:w="4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jc w:val="center"/>
              <w:ind w:right="41"/>
              <w:spacing w:after="0"/>
              <w:rPr>
                <w:sz w:val="20"/>
                <w:szCs w:val="20"/>
                <w:color w:val="auto"/>
              </w:rPr>
            </w:pPr>
            <w:r>
              <w:rPr>
                <w:rFonts w:ascii="Courier New" w:cs="Courier New" w:eastAsia="Courier New" w:hAnsi="Courier New"/>
                <w:sz w:val="12"/>
                <w:szCs w:val="12"/>
                <w:color w:val="auto"/>
                <w:w w:val="97"/>
              </w:rPr>
              <w:t>-----------------------</w:t>
            </w: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w:t>
            </w: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2002</w:t>
            </w:r>
          </w:p>
        </w:tc>
        <w:tc>
          <w:tcPr>
            <w:tcW w:w="2220" w:type="dxa"/>
            <w:vAlign w:val="bottom"/>
          </w:tcPr>
          <w:p>
            <w:pPr>
              <w:ind w:left="40"/>
              <w:spacing w:after="0"/>
              <w:rPr>
                <w:sz w:val="20"/>
                <w:szCs w:val="20"/>
                <w:color w:val="auto"/>
              </w:rPr>
            </w:pPr>
            <w:r>
              <w:rPr>
                <w:rFonts w:ascii="Courier New" w:cs="Courier New" w:eastAsia="Courier New" w:hAnsi="Courier New"/>
                <w:sz w:val="12"/>
                <w:szCs w:val="12"/>
                <w:color w:val="auto"/>
                <w:w w:val="96"/>
              </w:rPr>
              <w:t>Convertible debentures series A</w:t>
            </w:r>
          </w:p>
        </w:tc>
        <w:tc>
          <w:tcPr>
            <w:tcW w:w="172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4.7%</w:t>
            </w: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$19,894</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$25,811</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2005</w:t>
            </w:r>
          </w:p>
        </w:tc>
        <w:tc>
          <w:tcPr>
            <w:tcW w:w="2220" w:type="dxa"/>
            <w:vAlign w:val="bottom"/>
          </w:tcPr>
          <w:p>
            <w:pPr>
              <w:ind w:left="40"/>
              <w:spacing w:after="0"/>
              <w:rPr>
                <w:sz w:val="20"/>
                <w:szCs w:val="20"/>
                <w:color w:val="auto"/>
              </w:rPr>
            </w:pPr>
            <w:r>
              <w:rPr>
                <w:rFonts w:ascii="Courier New" w:cs="Courier New" w:eastAsia="Courier New" w:hAnsi="Courier New"/>
                <w:sz w:val="12"/>
                <w:szCs w:val="12"/>
                <w:color w:val="auto"/>
                <w:w w:val="96"/>
              </w:rPr>
              <w:t>Convertible debentures series B</w:t>
            </w:r>
          </w:p>
        </w:tc>
        <w:tc>
          <w:tcPr>
            <w:tcW w:w="1720" w:type="dxa"/>
            <w:vAlign w:val="bottom"/>
          </w:tcPr>
          <w:p>
            <w:pPr>
              <w:jc w:val="right"/>
              <w:ind w:right="881"/>
              <w:spacing w:after="0"/>
              <w:rPr>
                <w:sz w:val="20"/>
                <w:szCs w:val="20"/>
                <w:color w:val="auto"/>
              </w:rPr>
            </w:pPr>
            <w:r>
              <w:rPr>
                <w:rFonts w:ascii="Courier New" w:cs="Courier New" w:eastAsia="Courier New" w:hAnsi="Courier New"/>
                <w:sz w:val="12"/>
                <w:szCs w:val="12"/>
                <w:color w:val="auto"/>
              </w:rPr>
              <w:t>5%</w:t>
            </w: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17,321</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2006</w:t>
            </w:r>
          </w:p>
        </w:tc>
        <w:tc>
          <w:tcPr>
            <w:tcW w:w="2220" w:type="dxa"/>
            <w:vAlign w:val="bottom"/>
          </w:tcPr>
          <w:p>
            <w:pPr>
              <w:ind w:left="40"/>
              <w:spacing w:after="0"/>
              <w:rPr>
                <w:sz w:val="20"/>
                <w:szCs w:val="20"/>
                <w:color w:val="auto"/>
              </w:rPr>
            </w:pPr>
            <w:r>
              <w:rPr>
                <w:rFonts w:ascii="Courier New" w:cs="Courier New" w:eastAsia="Courier New" w:hAnsi="Courier New"/>
                <w:sz w:val="12"/>
                <w:szCs w:val="12"/>
                <w:color w:val="auto"/>
                <w:w w:val="96"/>
              </w:rPr>
              <w:t>Convertible debentures series C</w:t>
            </w:r>
          </w:p>
        </w:tc>
        <w:tc>
          <w:tcPr>
            <w:tcW w:w="1720" w:type="dxa"/>
            <w:vAlign w:val="bottom"/>
          </w:tcPr>
          <w:p>
            <w:pPr>
              <w:jc w:val="right"/>
              <w:ind w:right="88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31,592</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68,807</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25,811</w:t>
            </w:r>
          </w:p>
        </w:tc>
      </w:tr>
      <w:tr>
        <w:trPr>
          <w:trHeight w:val="135"/>
        </w:trPr>
        <w:tc>
          <w:tcPr>
            <w:tcW w:w="2520" w:type="dxa"/>
            <w:vAlign w:val="bottom"/>
            <w:gridSpan w:val="2"/>
          </w:tcPr>
          <w:p>
            <w:pPr>
              <w:spacing w:after="0"/>
              <w:rPr>
                <w:sz w:val="20"/>
                <w:szCs w:val="20"/>
                <w:color w:val="auto"/>
              </w:rPr>
            </w:pPr>
            <w:r>
              <w:rPr>
                <w:rFonts w:ascii="Courier New" w:cs="Courier New" w:eastAsia="Courier New" w:hAnsi="Courier New"/>
                <w:sz w:val="12"/>
                <w:szCs w:val="12"/>
                <w:color w:val="auto"/>
              </w:rPr>
              <w:t>Less - current maturities</w:t>
            </w:r>
          </w:p>
        </w:tc>
        <w:tc>
          <w:tcPr>
            <w:tcW w:w="1720" w:type="dxa"/>
            <w:vAlign w:val="bottom"/>
          </w:tcPr>
          <w:p>
            <w:pPr>
              <w:spacing w:after="0"/>
              <w:rPr>
                <w:sz w:val="11"/>
                <w:szCs w:val="11"/>
                <w:color w:val="auto"/>
              </w:rPr>
            </w:pP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6,632</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6,453</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$62,175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$19,358</w:t>
            </w:r>
          </w:p>
        </w:tc>
      </w:tr>
      <w:tr>
        <w:trPr>
          <w:trHeight w:val="135"/>
        </w:trPr>
        <w:tc>
          <w:tcPr>
            <w:tcW w:w="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w:t>
            </w:r>
          </w:p>
        </w:tc>
      </w:tr>
    </w:tbl>
    <w:p>
      <w:pPr>
        <w:spacing w:after="0" w:line="134" w:lineRule="exact"/>
        <w:rPr>
          <w:sz w:val="20"/>
          <w:szCs w:val="20"/>
          <w:color w:val="auto"/>
        </w:rPr>
      </w:pPr>
    </w:p>
    <w:p>
      <w:pPr>
        <w:ind w:left="1040" w:hanging="345"/>
        <w:spacing w:after="0"/>
        <w:tabs>
          <w:tab w:leader="none" w:pos="1040" w:val="left"/>
        </w:tabs>
        <w:numPr>
          <w:ilvl w:val="1"/>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See D below</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2002 CONVERTIBLE DEBENTURES SERIES A</w:t>
      </w:r>
    </w:p>
    <w:p>
      <w:pPr>
        <w:spacing w:after="0" w:line="138" w:lineRule="exact"/>
        <w:rPr>
          <w:rFonts w:ascii="Courier New" w:cs="Courier New" w:eastAsia="Courier New" w:hAnsi="Courier New"/>
          <w:sz w:val="12"/>
          <w:szCs w:val="12"/>
          <w:color w:val="auto"/>
        </w:rPr>
      </w:pPr>
    </w:p>
    <w:p>
      <w:pPr>
        <w:ind w:left="700" w:right="469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connection with the sale of securities described in Note 12F, in January 2002, the Company issued on the Tel-Aviv Stock Exchange, NIS 110,579,800 principal amount of convertible debentures, linked to the Israeli Consumer Price Index ("CPI"). The debentures were issued at</w:t>
      </w: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96% of their par value, and bear annual interest at the rate of 4.7%, payable in January of each year commencing in January 2003, see also Note 12F. The principal amount is payable in four equal installments in January of each year between 2006 and 2009. The outstanding principal amount of convertible debentures as of December 31, 2006, adjusted to the CPI was NIS 89,708,778, $21,233. The debentures may be converted until December 31, 2008 into Ordinary Shares, at a conversion rate of one Ordinary Share per each NIS 41.00 principal amount of the debentures, linked to the CPI (subject to customary adjustments) (adjusted to the CPI as of December 31, 2006 - NIS 44.35, $10.50). The effective rate of interest on the convertible debentures, taking into account the initial proceeds, net of the discount and the related costs of issuance, is 7.26%.</w:t>
      </w:r>
    </w:p>
    <w:p>
      <w:pPr>
        <w:spacing w:after="0" w:line="265"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U.S. GAAP purposes, which require taking into account, in addition to the discount and the related issuance costs, amounts attributed to the options described in Note 19F, the effective rate of interest on the convertible debentures is 9.88%. Subject to certain conditions and the Company's Facility Agreement, the Company may announce the early redemption of the debentures or part thereof, provided that the sum of the last payment on account of the principal shall be no less than approximately $700.</w:t>
      </w:r>
    </w:p>
    <w:p>
      <w:pPr>
        <w:sectPr>
          <w:pgSz w:w="11900" w:h="16838" w:orient="portrait"/>
          <w:cols w:equalWidth="0" w:num="1">
            <w:col w:w="10239"/>
          </w:cols>
          <w:pgMar w:left="220" w:top="137" w:right="1440" w:bottom="0" w:gutter="0" w:footer="0" w:header="0"/>
        </w:sectPr>
      </w:pPr>
    </w:p>
    <w:bookmarkStart w:id="16" w:name="page17"/>
    <w:bookmarkEnd w:id="16"/>
    <w:p>
      <w:pPr>
        <w:ind w:left="2600"/>
        <w:spacing w:after="0"/>
        <w:rPr>
          <w:sz w:val="20"/>
          <w:szCs w:val="20"/>
          <w:color w:val="auto"/>
        </w:rPr>
      </w:pPr>
      <w:r>
        <w:rPr>
          <w:rFonts w:ascii="Courier New" w:cs="Courier New" w:eastAsia="Courier New" w:hAnsi="Courier New"/>
          <w:sz w:val="12"/>
          <w:szCs w:val="12"/>
          <w:color w:val="auto"/>
        </w:rPr>
        <w:t>F - 23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CONVERTIBLE DEBENTURES (cont.)</w:t>
      </w:r>
    </w:p>
    <w:p>
      <w:pPr>
        <w:spacing w:after="0" w:line="134" w:lineRule="exact"/>
        <w:rPr>
          <w:sz w:val="20"/>
          <w:szCs w:val="20"/>
          <w:color w:val="auto"/>
        </w:rPr>
      </w:pPr>
    </w:p>
    <w:p>
      <w:pPr>
        <w:ind w:left="700" w:hanging="357"/>
        <w:spacing w:after="0"/>
        <w:tabs>
          <w:tab w:leader="none" w:pos="700"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2002 CONVERTIBLE DEBENTURES SERIES A (cont.)</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w:t>
      </w:r>
    </w:p>
    <w:p>
      <w:pPr>
        <w:spacing w:after="0" w:line="140" w:lineRule="exact"/>
        <w:rPr>
          <w:rFonts w:ascii="Courier New" w:cs="Courier New" w:eastAsia="Courier New" w:hAnsi="Courier New"/>
          <w:sz w:val="12"/>
          <w:szCs w:val="12"/>
          <w:color w:val="auto"/>
        </w:rPr>
      </w:pPr>
    </w:p>
    <w:p>
      <w:pPr>
        <w:ind w:left="700" w:right="469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debentures and interest thereon are unsecured and rank behind the Company's existing and future secured indebtedness, including indebtedness to the Banks under the Facility Agreement, to the government of Israel in connection with grants the Company received under its approved enterprise programs, and to Siliconix and SanDisk.</w:t>
      </w:r>
    </w:p>
    <w:p>
      <w:pPr>
        <w:spacing w:after="0" w:line="127" w:lineRule="exact"/>
        <w:rPr>
          <w:rFonts w:ascii="Courier New" w:cs="Courier New" w:eastAsia="Courier New" w:hAnsi="Courier New"/>
          <w:sz w:val="12"/>
          <w:szCs w:val="12"/>
          <w:color w:val="auto"/>
        </w:rPr>
      </w:pPr>
    </w:p>
    <w:p>
      <w:pPr>
        <w:ind w:left="700" w:right="51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19F for disclosure of the accounting treatment of the convertible debentures in accordance with U.S. GAAP.</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2005 CONVERTIBLE DEBENTURES SERIES B</w:t>
      </w:r>
    </w:p>
    <w:p>
      <w:pPr>
        <w:spacing w:after="0" w:line="138"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connection with the rights offering described in Note 12I, the Company issued $48,169 principal amount of convertible debentures. The debentures are listed for trade on the Tel-Aviv Stock Exchange and on the NASDAQ Capital Market. The debentures bear annual interest at the rate of 5%. The principal of the debentures, together with accrued interest, will be payable in one installment on January 12, 2012. The effective interest rate on the convertible debentures, taking into account the proceeds and related costs of issuance is 5.6%.</w:t>
      </w:r>
    </w:p>
    <w:p>
      <w:pPr>
        <w:spacing w:after="0" w:line="127"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debentures are convertible into the Company's Ordinary Shares at a conversion price of $1.10 per share. The conversion price was subject to downward adjustment under certain circumstances if the Company had sold securities in future financings at a price per share which was lower than the conversion price, provided that such financings closed, or agreements for such financings were signed, through December 2006. As of the balance sheet date, no such adjustment was or will be required and the downward adjustment mechanism has expired.</w:t>
      </w:r>
    </w:p>
    <w:p>
      <w:pPr>
        <w:spacing w:after="0" w:line="127"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During the year ended December 31, 2006, $18,408 in aggregate principal amount of debentures was converted into 16,734,316 Ordinary Shares of the Company.</w:t>
      </w:r>
    </w:p>
    <w:p>
      <w:pPr>
        <w:spacing w:after="0" w:line="139"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the terms of the Facility Agreement, the Company may, at its option, announce the early redemption of the debentures, provided that the outstanding aggregate balance of principal on account of the debentures is equal to or less than $500.</w:t>
      </w:r>
    </w:p>
    <w:p>
      <w:pPr>
        <w:spacing w:after="0" w:line="140"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Certain of the Company's Equity Investors and Wafer Partners invested $27,811 in the framework of the rights offering.</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- 24</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CONVERTIBLE DEBENTURES (cont.)</w:t>
      </w:r>
    </w:p>
    <w:p>
      <w:pPr>
        <w:spacing w:after="0" w:line="134" w:lineRule="exact"/>
        <w:rPr>
          <w:sz w:val="20"/>
          <w:szCs w:val="20"/>
          <w:color w:val="auto"/>
        </w:rPr>
      </w:pPr>
    </w:p>
    <w:p>
      <w:pPr>
        <w:ind w:left="700" w:hanging="357"/>
        <w:spacing w:after="0"/>
        <w:tabs>
          <w:tab w:leader="none" w:pos="700"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2005 CONVERTIBLE DEBENTURES SERIES B (cont.)</w:t>
      </w:r>
    </w:p>
    <w:p>
      <w:pPr>
        <w:spacing w:after="0" w:line="138" w:lineRule="exact"/>
        <w:rPr>
          <w:rFonts w:ascii="Courier New" w:cs="Courier New" w:eastAsia="Courier New" w:hAnsi="Courier New"/>
          <w:sz w:val="12"/>
          <w:szCs w:val="12"/>
          <w:color w:val="auto"/>
        </w:rPr>
      </w:pPr>
    </w:p>
    <w:p>
      <w:pPr>
        <w:ind w:left="700" w:right="469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debentures and interest thereon are unsecured and rank behind the Company's existing and future secured indebtedness, including indebtedness to the Banks under the Facility Agreement, to the government of Israel in connection with grants the Company received under its approved enterprise programs and to Siliconix and SanDisk.</w:t>
      </w:r>
    </w:p>
    <w:p>
      <w:pPr>
        <w:spacing w:after="0" w:line="127"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on the payment date of the principal and interest on the debentures, there exists an infringement of the covenants and conditions under the Facility Agreement, the date for payment of the interest and principal on the debentures may be postponed, depending on various scenarios under the Facility Agreement until such covenant or condition is settled.</w:t>
      </w:r>
    </w:p>
    <w:p>
      <w:pPr>
        <w:spacing w:after="0" w:line="140"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19F for the accounting for the rights offering in accordance with U.S. GAAP.</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2006 CONVERTIBLE DEBENTURES SERIES C</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connection with the public offering described in Note 12J the Company issued NIS 164,430,000 principal amount of convertible debentures linked to the Israeli Consumer Price Index ("CPI"), for gross proceeds of NIS 139,765,500 (approximately $31,219), and 391,500 options each exercisable for three months ending on September 27, 2006 for NIS 100 principal amount of convertible debentures at an exercise price equal to 85% of their face amount, linked to the CPI. The convertible debentures are convertible into the Company's Ordinary Shares at a conversion rate of one ordinary share per NIS 8.40 (approximately $ 0.00199) principal amount of convertible debentures. The convertible debentures carry a zero coupon with principal payable at maturity in December 2011, at a premium of 37% over principal value, linked to the CPI. The conversion price is subject to reduction in certain limited circumstances.</w:t>
      </w:r>
    </w:p>
    <w:p>
      <w:pPr>
        <w:spacing w:after="0" w:line="264" w:lineRule="exact"/>
        <w:rPr>
          <w:rFonts w:ascii="Courier New" w:cs="Courier New" w:eastAsia="Courier New" w:hAnsi="Courier New"/>
          <w:sz w:val="12"/>
          <w:szCs w:val="12"/>
          <w:color w:val="auto"/>
        </w:rPr>
      </w:pPr>
    </w:p>
    <w:p>
      <w:pPr>
        <w:ind w:left="700" w:right="475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proceeds were allocated in accordance with Standard No. 22 based on relative fair values in the first 2 days of trading. After allocation, each of the components is classified as either equity or liability based on the criteria prescribed in Standard No. 22.</w:t>
      </w:r>
    </w:p>
    <w:p>
      <w:pPr>
        <w:spacing w:after="0" w:line="127" w:lineRule="exact"/>
        <w:rPr>
          <w:rFonts w:ascii="Courier New" w:cs="Courier New" w:eastAsia="Courier New" w:hAnsi="Courier New"/>
          <w:sz w:val="12"/>
          <w:szCs w:val="12"/>
          <w:color w:val="auto"/>
        </w:rPr>
      </w:pPr>
    </w:p>
    <w:p>
      <w:pPr>
        <w:jc w:val="both"/>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September 2006, 391,500 options to purchase convertible debentures described above were exercised resulting in proceeds of approximately $7,700.</w:t>
      </w:r>
    </w:p>
    <w:p>
      <w:pPr>
        <w:spacing w:after="0" w:line="139"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19F for the accounting for the public offering in accordance with U.S. GAAP.</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- 25</w:t>
      </w:r>
    </w:p>
    <w:p>
      <w:pPr>
        <w:sectPr>
          <w:pgSz w:w="11900" w:h="16838" w:orient="portrait"/>
          <w:cols w:equalWidth="0" w:num="1">
            <w:col w:w="10239"/>
          </w:cols>
          <w:pgMar w:left="220" w:top="407" w:right="1440" w:bottom="0" w:gutter="0" w:footer="0" w:header="0"/>
        </w:sectPr>
      </w:pPr>
    </w:p>
    <w:bookmarkStart w:id="17" w:name="page18"/>
    <w:bookmarkEnd w:id="17"/>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NOTE 10 - OTHER LONG-TERM LIABILITIES</w:t>
            </w: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70"/>
        </w:trPr>
        <w:tc>
          <w:tcPr>
            <w:tcW w:w="58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3980" w:type="dxa"/>
            <w:vAlign w:val="bottom"/>
          </w:tcPr>
          <w:p>
            <w:pPr>
              <w:ind w:left="120"/>
              <w:spacing w:after="0"/>
              <w:rPr>
                <w:sz w:val="20"/>
                <w:szCs w:val="20"/>
                <w:color w:val="auto"/>
              </w:rPr>
            </w:pPr>
            <w:r>
              <w:rPr>
                <w:rFonts w:ascii="Courier New" w:cs="Courier New" w:eastAsia="Courier New" w:hAnsi="Courier New"/>
                <w:sz w:val="12"/>
                <w:szCs w:val="12"/>
                <w:color w:val="auto"/>
              </w:rPr>
              <w:t>COMPOSITION:</w:t>
            </w:r>
          </w:p>
        </w:tc>
        <w:tc>
          <w:tcPr>
            <w:tcW w:w="12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405"/>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10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1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2006</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Net liability for employee</w:t>
            </w: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termination benefits (see B below):</w:t>
            </w: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Gross obligation</w:t>
            </w: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$ 16,816</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$ 18,445</w:t>
            </w: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rPr>
              <w:t>Amounts</w:t>
            </w:r>
          </w:p>
        </w:tc>
        <w:tc>
          <w:tcPr>
            <w:tcW w:w="3980" w:type="dxa"/>
            <w:vAlign w:val="bottom"/>
          </w:tcPr>
          <w:p>
            <w:pPr>
              <w:ind w:left="40"/>
              <w:spacing w:after="0"/>
              <w:rPr>
                <w:sz w:val="20"/>
                <w:szCs w:val="20"/>
                <w:color w:val="auto"/>
              </w:rPr>
            </w:pPr>
            <w:r>
              <w:rPr>
                <w:rFonts w:ascii="Courier New" w:cs="Courier New" w:eastAsia="Courier New" w:hAnsi="Courier New"/>
                <w:sz w:val="12"/>
                <w:szCs w:val="12"/>
                <w:color w:val="auto"/>
              </w:rPr>
              <w:t>funded  through  deposits to severance pay funds and</w:t>
            </w: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purchase of insurance policies</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(13,535)</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(13,658)</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3,281</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4,787</w:t>
            </w:r>
          </w:p>
        </w:tc>
      </w:tr>
      <w:tr>
        <w:trPr>
          <w:trHeight w:val="270"/>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Long-term liabilities in respect of license agreements</w:t>
            </w: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1,804</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5,123</w:t>
            </w: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Long-term loans from related  parties,  net of current</w:t>
            </w: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maturity</w:t>
            </w: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8,096</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1,102</w:t>
            </w: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Series 5 Warrants</w:t>
            </w: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3,088</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4560" w:type="dxa"/>
            <w:vAlign w:val="bottom"/>
            <w:gridSpan w:val="2"/>
          </w:tcPr>
          <w:p>
            <w:pPr>
              <w:spacing w:after="0"/>
              <w:rPr>
                <w:sz w:val="20"/>
                <w:szCs w:val="20"/>
                <w:color w:val="auto"/>
              </w:rPr>
            </w:pPr>
            <w:r>
              <w:rPr>
                <w:rFonts w:ascii="Courier New" w:cs="Courier New" w:eastAsia="Courier New" w:hAnsi="Courier New"/>
                <w:sz w:val="12"/>
                <w:szCs w:val="12"/>
                <w:color w:val="auto"/>
              </w:rPr>
              <w:t>Other, including $1,183 in respect of related parties</w:t>
            </w: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1,439</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$ 17,708</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$ 11,012</w:t>
            </w:r>
          </w:p>
        </w:tc>
      </w:tr>
      <w:tr>
        <w:trPr>
          <w:trHeight w:val="135"/>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hanging="357"/>
        <w:spacing w:after="0"/>
        <w:tabs>
          <w:tab w:leader="none" w:pos="700" w:val="left"/>
        </w:tabs>
        <w:numPr>
          <w:ilvl w:val="0"/>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TERMINATION BENEFITS</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Israeli law and labor agreements determine the obligations of the Company to make severance payments to dismissed employees and to employees leaving employment under certain other circumstances. The liability for severance pay benefits, as determined by Israeli Law, is generally based upon length of service and the employee's monthly salary. This liability is primarily covered by regular deposits made each month by the Company into recognized severance and pension funds and by insurance policies purchased by the Company, based on the employee's salary for the relevant month. The amounts so funded are not reflected separately on the balance sheets, since they are controlled by the fund trustees and insurance companies and are not under the control and management of the Company. For presentation of employee termination benefits in accordance with U.S. GAAP, see Note 19C.</w:t>
      </w:r>
    </w:p>
    <w:p>
      <w:pPr>
        <w:spacing w:after="0" w:line="139" w:lineRule="exact"/>
        <w:rPr>
          <w:rFonts w:ascii="Courier New" w:cs="Courier New" w:eastAsia="Courier New" w:hAnsi="Courier New"/>
          <w:sz w:val="12"/>
          <w:szCs w:val="12"/>
          <w:color w:val="auto"/>
        </w:rPr>
      </w:pPr>
    </w:p>
    <w:p>
      <w:pPr>
        <w:ind w:left="700" w:right="489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Costs relating to employee termination benefits were approximately $2,807, $2,631 and $3,836 for 2006, 2005 and 2004, respectively.</w:t>
      </w:r>
    </w:p>
    <w:p>
      <w:pPr>
        <w:spacing w:after="0" w:line="25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- 26</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w:t>
      </w:r>
    </w:p>
    <w:p>
      <w:pPr>
        <w:spacing w:after="0" w:line="134" w:lineRule="exact"/>
        <w:rPr>
          <w:sz w:val="20"/>
          <w:szCs w:val="20"/>
          <w:color w:val="auto"/>
        </w:rPr>
      </w:pPr>
    </w:p>
    <w:p>
      <w:pPr>
        <w:ind w:left="700" w:hanging="357"/>
        <w:spacing w:after="0"/>
        <w:tabs>
          <w:tab w:leader="none" w:pos="700"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OVERVIEW</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2001, the Company's Board of Directors approved the establishment of the Company's second wafer fabrication facility in Israel ("Fab 2"). In Fab 2, the Company manufactures semiconductor integrated circuits on silicon wafers in geometries of 0.18 micron and below on 200-millimeter wafers. In connection with the establishment, equipping and financing of Fab 2, the Company has entered into several related agreements and other arrangements and has completed public and private financing deals. The agreements and arrangements include those with technology partners, Wafer Partners, Equity Investors, the Company's Banks, the Government of Israel through the Investment Center and others. The agreements with the Banks and the Investment Center are subject to certain conditions, including the achievement of performance and financing milestones, and the securing of additional required financing. The Company has also entered into agreements for the design and construction of Fab 2, for equipping Fab 2 and for the transfer to the Company of process technologies to produce wafers in Fab 2.</w:t>
      </w:r>
    </w:p>
    <w:p>
      <w:pPr>
        <w:spacing w:after="0" w:line="263" w:lineRule="exact"/>
        <w:rPr>
          <w:rFonts w:ascii="Courier New" w:cs="Courier New" w:eastAsia="Courier New" w:hAnsi="Courier New"/>
          <w:sz w:val="12"/>
          <w:szCs w:val="12"/>
          <w:color w:val="auto"/>
        </w:rPr>
      </w:pPr>
    </w:p>
    <w:p>
      <w:pPr>
        <w:ind w:left="104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During 2003, in which Fab 2's construction was substantially completed, the Company began commercial shipment of wafers to its customers utilizing 0.18 micron process technology.</w:t>
      </w:r>
    </w:p>
    <w:p>
      <w:pPr>
        <w:spacing w:after="0" w:line="139"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construction and equipping of Fab 2 is a substantial project, which requires extensive management involvement as well as timely coordination of the activities of many participants. In addition, this project is a complex undertaking which entails substantial risks and uncertainties, including but not limited to those associated with the following: obtaining additional commitments to finance the equipping of Fab 2 and its ongoing operations (see also Note 1C); achieving certain operational milestones and complying with various significant conditions and financial ratios and covenants provided by the Facility Agreement with the Banks; compliance with the conditions under the Approval Certificate for Fab 2 provided by the Investment Center; obtaining approval of the Investment Center for a new expansion program and the development and purchase of new technologies.</w:t>
      </w:r>
    </w:p>
    <w:p>
      <w:pPr>
        <w:spacing w:after="0" w:line="129"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According to the Facility Agreement with the Banks complying with all the conditions and financial ratios and covenants stipulated in that agreement and in the Approval Certificate from the Investment Center, are material provisions for the financing provided.</w:t>
      </w:r>
    </w:p>
    <w:p>
      <w:pPr>
        <w:spacing w:after="0" w:line="200" w:lineRule="exact"/>
        <w:rPr>
          <w:sz w:val="20"/>
          <w:szCs w:val="20"/>
          <w:color w:val="auto"/>
        </w:rPr>
      </w:pPr>
    </w:p>
    <w:p>
      <w:pPr>
        <w:spacing w:after="0" w:line="20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340"/>
        <w:spacing w:after="0"/>
        <w:tabs>
          <w:tab w:leader="none" w:pos="680" w:val="left"/>
        </w:tabs>
        <w:rPr>
          <w:sz w:val="20"/>
          <w:szCs w:val="20"/>
          <w:color w:val="auto"/>
        </w:rPr>
      </w:pPr>
      <w:r>
        <w:rPr>
          <w:rFonts w:ascii="Courier New" w:cs="Courier New" w:eastAsia="Courier New" w:hAnsi="Courier New"/>
          <w:sz w:val="12"/>
          <w:szCs w:val="12"/>
          <w:color w:val="auto"/>
        </w:rPr>
        <w:t>A.</w:t>
      </w:r>
      <w:r>
        <w:rPr>
          <w:sz w:val="20"/>
          <w:szCs w:val="20"/>
          <w:color w:val="auto"/>
        </w:rPr>
        <w:tab/>
      </w:r>
      <w:r>
        <w:rPr>
          <w:rFonts w:ascii="Courier New" w:cs="Courier New" w:eastAsia="Courier New" w:hAnsi="Courier New"/>
          <w:sz w:val="12"/>
          <w:szCs w:val="12"/>
          <w:color w:val="auto"/>
        </w:rPr>
        <w:t>COMMITMENTS AND CONTINGENCIES RELATING TO FAB 2 (cont.)</w:t>
      </w:r>
    </w:p>
    <w:p>
      <w:pPr>
        <w:sectPr>
          <w:pgSz w:w="11900" w:h="16838" w:orient="portrait"/>
          <w:cols w:equalWidth="0" w:num="1">
            <w:col w:w="10239"/>
          </w:cols>
          <w:pgMar w:left="220" w:top="272" w:right="1440" w:bottom="0" w:gutter="0" w:footer="0" w:header="0"/>
        </w:sectPr>
      </w:pPr>
    </w:p>
    <w:bookmarkStart w:id="18" w:name="page19"/>
    <w:bookmarkEnd w:id="18"/>
    <w:p>
      <w:pPr>
        <w:ind w:left="1040" w:hanging="345"/>
        <w:spacing w:after="0"/>
        <w:tabs>
          <w:tab w:leader="none" w:pos="104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TECHNOLOGY TRANSFER AGREEMENTS</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TOSHIBA - In 2000, the Company entered into a technology transfer agreement with Toshiba Corporation ("Toshiba"), a Japanese corporation. This agreement provided for the transfer by Toshiba to the Company of advanced semiconductor manufacturing process technologies to be installed in Fab 2 including related technology transfer assistance in exchange for certain fees for patent licenses, technology transfer and technical assistance. The transfer of the technology was substantially completed during 2003. The Company's commitment under the Toshiba agreement to reserve for Toshiba a certain portion of Fab 2 wafer manufacturing capacity expired in December 2005.</w:t>
      </w:r>
    </w:p>
    <w:p>
      <w:pPr>
        <w:spacing w:after="0" w:line="130"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FREESCALE - In 2002, the Company entered into a non-exclusive technology transfer, development and licensing agreement with Freescale. This agreement provides for the transfer by Freescale to the Company of existing and newly developed versions of advanced semiconductor manufacturing process technologies to be installed in Fab 2, and for the provision by Freescale of related technology transfer assistance, in exchange for certain fees for patent and other licenses, technology transfer and development, and technical assistance. Subject to prior termination for cause by Freescale, the licenses under the agreement are perpetual.</w:t>
      </w:r>
    </w:p>
    <w:p>
      <w:pPr>
        <w:spacing w:after="0" w:line="126" w:lineRule="exact"/>
        <w:rPr>
          <w:rFonts w:ascii="Courier New" w:cs="Courier New" w:eastAsia="Courier New" w:hAnsi="Courier New"/>
          <w:sz w:val="12"/>
          <w:szCs w:val="12"/>
          <w:color w:val="auto"/>
        </w:rPr>
      </w:pPr>
    </w:p>
    <w:p>
      <w:pPr>
        <w:ind w:left="1040" w:hanging="345"/>
        <w:spacing w:after="0"/>
        <w:tabs>
          <w:tab w:leader="none" w:pos="104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WAFER PARTNER AGREEMENTS</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During 2000, the Company entered into various share purchase agreements ("Wafer Partner Agreements") with SanDisk Corporation, Alliance Semiconductor Corporation, Macronix International Co., Ltd. and QuickLogic Corporation (collectively, the "Wafer Partners"; excluding QuickLogic, the "primary Wafer Partners") to partially finance the construction and equipping of Fab 2. Pursuant to the Wafer Partner Agreements, the Wafer Partners agreed to invest an aggregate of $250,000 to purchase Ordinary Shares of the Company. According to the Wafer Partner Agreements, the Company agreed, subject to certain conditions, to reserve for each Wafer Partner a certain portion, and collectively approximately 50%, of Fab 2 wafer manufacturing capacity for a period of 10 years ending January 2011.</w:t>
      </w:r>
    </w:p>
    <w:p>
      <w:pPr>
        <w:spacing w:after="0" w:line="200" w:lineRule="exact"/>
        <w:rPr>
          <w:sz w:val="20"/>
          <w:szCs w:val="20"/>
          <w:color w:val="auto"/>
        </w:rPr>
      </w:pPr>
    </w:p>
    <w:p>
      <w:pPr>
        <w:spacing w:after="0" w:line="33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- 28</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WAFER PARTNER AGREEMENTS (cont.)</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Through December 31, 2004, the Wafer Partners completed their commitment to invest under the Wafer Partner Agreements an aggregate of $246,823. Of such amount, $201,059, was credited as paid in capital and $45,764, was established as long-term customers' advances which may be, subject to the terms and conditions stipulated in the Wafer Partner Agreements, as amended, utilized as credit against purchases to be made by the Wafer Partners, or converted into paid-in-capital. Through December 31, 2006, the Wafer Partners were issued an aggregate of 32,589,280 Ordinary Shares at an average price per share of $7.57, which was determined based on the average closing sale price of the Company's Ordinary Shares for the 15-30 trading days prior to making any capital investment: see also (5) below.</w:t>
      </w:r>
    </w:p>
    <w:p>
      <w:pPr>
        <w:spacing w:after="0" w:line="265" w:lineRule="exact"/>
        <w:rPr>
          <w:rFonts w:ascii="Courier New" w:cs="Courier New" w:eastAsia="Courier New" w:hAnsi="Courier New"/>
          <w:sz w:val="12"/>
          <w:szCs w:val="12"/>
          <w:color w:val="auto"/>
        </w:rPr>
      </w:pPr>
    </w:p>
    <w:p>
      <w:pPr>
        <w:ind w:left="1040" w:right="469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For additional investments made by the primary Wafer Partners in the aggregate amount of $19,089 in connection with the 2002 and 2005 rights offerings, see Notes 12G and 12I, respectively, and</w:t>
      </w:r>
    </w:p>
    <w:p>
      <w:pPr>
        <w:ind w:left="1320" w:hanging="274"/>
        <w:spacing w:after="0"/>
        <w:tabs>
          <w:tab w:leader="none" w:pos="1320" w:val="left"/>
        </w:tabs>
        <w:numPr>
          <w:ilvl w:val="2"/>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below.</w:t>
      </w:r>
    </w:p>
    <w:p>
      <w:pPr>
        <w:spacing w:after="0" w:line="133"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EQUITY INVESTOR AGREEMENTS</w:t>
      </w:r>
    </w:p>
    <w:p>
      <w:pPr>
        <w:spacing w:after="0" w:line="13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TIC, the principal shareholder of the Company, invested in the Company, $50,000 for the purchase of an aggregate of 6,749,669 Ordinary Shares of the Company at an average price per share of $7.41, which was determined based on the average closing sale price of the Company's Ordinary Shares for the 15-30 trading days prior to making any investment. The investment of TIC was made in accordance with share purchase agreement the Company entered into in December 2000.</w:t>
      </w:r>
    </w:p>
    <w:p>
      <w:pPr>
        <w:spacing w:after="0" w:line="142" w:lineRule="exact"/>
        <w:rPr>
          <w:rFonts w:ascii="Courier New" w:cs="Courier New" w:eastAsia="Courier New" w:hAnsi="Courier New"/>
          <w:sz w:val="12"/>
          <w:szCs w:val="12"/>
          <w:color w:val="auto"/>
        </w:rPr>
      </w:pPr>
    </w:p>
    <w:p>
      <w:pPr>
        <w:ind w:left="104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a description of an undertaking and additional investments made by TIC in the aggregate amount of $29,152 in connection with the 2002 and 2005 rights offerings, see Notes 12G and 12I, respectively, and (6) below.</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EQUITY INVESTOR AGREEMENTS (cont.)</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regard to the Company's financing efforts for the ramp-up plan and in connection with the September 2006 amendment to the Facility Agreement, following TIC's commitment to invest $100,000, the Company entered into a securities purchase agreement with TIC (the "Securities Purchase Agreement"). The Securities Purchase Agreement was approved by the Company's Audit Committee, Board of Directors and the Company's shareholders. The principal terms of the Securities Purchase Agreement were: (i) in consideration for its $100,000 investment, the Company agreed to issue to TIC capital notes convertible into 65,789,474 of the Company's Ordinary Shares at a conversion price per share of $1.52 (which equals the average closing price during the 10 consecutive trading days prior to signing the May 2006 Memorandum of Understanding with the banks); (ii) the Company would be deemed to have exercised the Call Option under the Equipment</w:t>
      </w:r>
    </w:p>
    <w:p>
      <w:pPr>
        <w:sectPr>
          <w:pgSz w:w="11900" w:h="16838" w:orient="portrait"/>
          <w:cols w:equalWidth="0" w:num="1">
            <w:col w:w="10239"/>
          </w:cols>
          <w:pgMar w:left="220" w:top="272" w:right="1440" w:bottom="0" w:gutter="0" w:footer="0" w:header="0"/>
        </w:sectPr>
      </w:pPr>
    </w:p>
    <w:bookmarkStart w:id="19" w:name="page20"/>
    <w:bookmarkEnd w:id="19"/>
    <w:p>
      <w:pPr>
        <w:ind w:left="1040"/>
        <w:spacing w:after="0"/>
        <w:rPr>
          <w:sz w:val="20"/>
          <w:szCs w:val="20"/>
          <w:color w:val="auto"/>
        </w:rPr>
      </w:pPr>
      <w:r>
        <w:rPr>
          <w:rFonts w:ascii="Courier New" w:cs="Courier New" w:eastAsia="Courier New" w:hAnsi="Courier New"/>
          <w:sz w:val="11"/>
          <w:szCs w:val="11"/>
          <w:color w:val="auto"/>
        </w:rPr>
        <w:t>Purchase Agreement described below; and (iii) the Company and TIC</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would settle the amounts payable by TIC under the Securities</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Purchase Agreement with the amounts payable by the Company under</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Equipment Purchase Agreement. The Securities Purchase</w:t>
      </w:r>
    </w:p>
    <w:p>
      <w:pPr>
        <w:ind w:left="1040"/>
        <w:spacing w:after="0"/>
        <w:rPr>
          <w:sz w:val="20"/>
          <w:szCs w:val="20"/>
          <w:color w:val="auto"/>
        </w:rPr>
      </w:pPr>
      <w:r>
        <w:rPr>
          <w:rFonts w:ascii="Courier New" w:cs="Courier New" w:eastAsia="Courier New" w:hAnsi="Courier New"/>
          <w:sz w:val="12"/>
          <w:szCs w:val="12"/>
          <w:color w:val="auto"/>
        </w:rPr>
        <w:t>Agreement closed contemporaneously with the closing of the</w:t>
      </w:r>
    </w:p>
    <w:p>
      <w:pPr>
        <w:ind w:left="1040"/>
        <w:spacing w:after="0" w:line="237" w:lineRule="auto"/>
        <w:rPr>
          <w:sz w:val="20"/>
          <w:szCs w:val="20"/>
          <w:color w:val="auto"/>
        </w:rPr>
      </w:pPr>
      <w:r>
        <w:rPr>
          <w:rFonts w:ascii="Courier New" w:cs="Courier New" w:eastAsia="Courier New" w:hAnsi="Courier New"/>
          <w:sz w:val="12"/>
          <w:szCs w:val="12"/>
          <w:color w:val="auto"/>
        </w:rPr>
        <w:t>September 2006 amendment.</w:t>
      </w:r>
    </w:p>
    <w:p>
      <w:pPr>
        <w:spacing w:after="0" w:line="139"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In order to implement the ramp-up plan in a timely manner, in May</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2006, the Company entered into an Equipment Purchase Agreement</w:t>
      </w:r>
    </w:p>
    <w:p>
      <w:pPr>
        <w:ind w:left="1040"/>
        <w:spacing w:after="0"/>
        <w:rPr>
          <w:sz w:val="20"/>
          <w:szCs w:val="20"/>
          <w:color w:val="auto"/>
        </w:rPr>
      </w:pPr>
      <w:r>
        <w:rPr>
          <w:rFonts w:ascii="Courier New" w:cs="Courier New" w:eastAsia="Courier New" w:hAnsi="Courier New"/>
          <w:sz w:val="12"/>
          <w:szCs w:val="12"/>
          <w:color w:val="auto"/>
        </w:rPr>
        <w:t>with TIC according to which TIC will order up to approximately</w:t>
      </w:r>
    </w:p>
    <w:p>
      <w:pPr>
        <w:ind w:left="1040"/>
        <w:spacing w:after="0" w:line="237" w:lineRule="auto"/>
        <w:rPr>
          <w:sz w:val="20"/>
          <w:szCs w:val="20"/>
          <w:color w:val="auto"/>
        </w:rPr>
      </w:pPr>
      <w:r>
        <w:rPr>
          <w:rFonts w:ascii="Courier New" w:cs="Courier New" w:eastAsia="Courier New" w:hAnsi="Courier New"/>
          <w:sz w:val="12"/>
          <w:szCs w:val="12"/>
          <w:color w:val="auto"/>
        </w:rPr>
        <w:t>$100,000 worth of equipment for Fab 2. Under the terms of the</w:t>
      </w:r>
    </w:p>
    <w:p>
      <w:pPr>
        <w:ind w:left="1040"/>
        <w:spacing w:after="0"/>
        <w:rPr>
          <w:sz w:val="20"/>
          <w:szCs w:val="20"/>
          <w:color w:val="auto"/>
        </w:rPr>
      </w:pPr>
      <w:r>
        <w:rPr>
          <w:rFonts w:ascii="Courier New" w:cs="Courier New" w:eastAsia="Courier New" w:hAnsi="Courier New"/>
          <w:sz w:val="12"/>
          <w:szCs w:val="12"/>
          <w:color w:val="auto"/>
        </w:rPr>
        <w:t>Equipment Purchase Agreement: (i) TIC had the right to sell to</w:t>
      </w:r>
    </w:p>
    <w:p>
      <w:pPr>
        <w:ind w:left="1040"/>
        <w:spacing w:after="0" w:line="237" w:lineRule="auto"/>
        <w:rPr>
          <w:sz w:val="20"/>
          <w:szCs w:val="20"/>
          <w:color w:val="auto"/>
        </w:rPr>
      </w:pPr>
      <w:r>
        <w:rPr>
          <w:rFonts w:ascii="Courier New" w:cs="Courier New" w:eastAsia="Courier New" w:hAnsi="Courier New"/>
          <w:sz w:val="12"/>
          <w:szCs w:val="12"/>
          <w:color w:val="auto"/>
        </w:rPr>
        <w:t>the Company the equipment at cost, plus related expenses; (ii)</w:t>
      </w:r>
    </w:p>
    <w:p>
      <w:pPr>
        <w:ind w:left="1040"/>
        <w:spacing w:after="0"/>
        <w:rPr>
          <w:sz w:val="20"/>
          <w:szCs w:val="20"/>
          <w:color w:val="auto"/>
        </w:rPr>
      </w:pPr>
      <w:r>
        <w:rPr>
          <w:rFonts w:ascii="Courier New" w:cs="Courier New" w:eastAsia="Courier New" w:hAnsi="Courier New"/>
          <w:sz w:val="12"/>
          <w:szCs w:val="12"/>
          <w:color w:val="auto"/>
        </w:rPr>
        <w:t>the Company had the right to purchase the equipment from TIC at</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cost, plus related expenses, subject to the Company having raised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$100,000; and (iii) upon the purchase of the equipment from TIC</w:t>
      </w:r>
    </w:p>
    <w:p>
      <w:pPr>
        <w:ind w:left="1040"/>
        <w:spacing w:after="0"/>
        <w:rPr>
          <w:sz w:val="20"/>
          <w:szCs w:val="20"/>
          <w:color w:val="auto"/>
        </w:rPr>
      </w:pPr>
      <w:r>
        <w:rPr>
          <w:rFonts w:ascii="Courier New" w:cs="Courier New" w:eastAsia="Courier New" w:hAnsi="Courier New"/>
          <w:sz w:val="12"/>
          <w:szCs w:val="12"/>
          <w:color w:val="auto"/>
        </w:rPr>
        <w:t>the Company would assume TIC's obligations to the equipment</w:t>
      </w:r>
    </w:p>
    <w:p>
      <w:pPr>
        <w:ind w:left="1040"/>
        <w:spacing w:after="0" w:line="237" w:lineRule="auto"/>
        <w:rPr>
          <w:sz w:val="20"/>
          <w:szCs w:val="20"/>
          <w:color w:val="auto"/>
        </w:rPr>
      </w:pPr>
      <w:r>
        <w:rPr>
          <w:rFonts w:ascii="Courier New" w:cs="Courier New" w:eastAsia="Courier New" w:hAnsi="Courier New"/>
          <w:sz w:val="12"/>
          <w:szCs w:val="12"/>
          <w:color w:val="auto"/>
        </w:rPr>
        <w:t>suppliers.</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Upon the closing of the September 2006 amendment and the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Securities Purchase Agreement, TIC transferred ownership over the</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purchased equipment to the Company and the Company assumed TIC's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obligations to the equipment suppliers.</w:t>
      </w:r>
    </w:p>
    <w:p>
      <w:pPr>
        <w:spacing w:after="0" w:line="139" w:lineRule="exact"/>
        <w:rPr>
          <w:sz w:val="20"/>
          <w:szCs w:val="20"/>
          <w:color w:val="auto"/>
        </w:rPr>
      </w:pPr>
    </w:p>
    <w:p>
      <w:pPr>
        <w:ind w:left="1040" w:right="5039" w:hanging="345"/>
        <w:spacing w:after="0" w:line="235" w:lineRule="auto"/>
        <w:tabs>
          <w:tab w:leader="none" w:pos="1040"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 TO THE PRIMARY WAFER PARTNER AND EQUITY INVESTOR AGREEMENTS</w:t>
      </w:r>
    </w:p>
    <w:p>
      <w:pPr>
        <w:spacing w:after="0" w:line="139"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Pursuant to the primary Wafer Partner Agreements, as amended, the primary Wafer Partners had an option to convert an aggregate of up to $7,507 of the unutilized long-term customers' advances, which they had as of December 31, 2005, into fully-paid Ordinary Shares of the Company. In 2006, one of the primary Wafer Partners converted $3,880 of its advances into paid-in equity entitling it to 2,455,905 Ordinary Shares of the Company. The number of shares was determined based on $1.58 per share, which was the average closing sale price of the Company's Ordinary Shares for the 15 trading days prior to December 31, 2005.</w:t>
      </w:r>
    </w:p>
    <w:p>
      <w:pPr>
        <w:spacing w:after="0" w:line="26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- 30</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40" w:right="5039" w:hanging="345"/>
        <w:spacing w:after="0" w:line="235" w:lineRule="auto"/>
        <w:tabs>
          <w:tab w:leader="none" w:pos="1040" w:val="left"/>
        </w:tabs>
        <w:numPr>
          <w:ilvl w:val="1"/>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 TO THE PRIMARY WAFER PARTNER AND EQUITY INVESTOR AGREEMENTS (cont.)</w:t>
      </w:r>
    </w:p>
    <w:p>
      <w:pPr>
        <w:spacing w:after="0" w:line="139"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Pursuant to the primary Wafer Partner Agreements, as amended, each of the primary Wafer Partners has an option to convert, at the end of each calendar quarter commencing 2004, that portion of the long-term customers' advances which it is entitled to utilize, based upon payments made by such primary Wafer Partner and purchase orders received from the Wafer Partners through December 31, 2006, (subject to the below amendment with one of the Wafer Partners), into fully-paid Ordinary Shares of the Company. The number of shares is to be determined based on the average closing sale price of the Company's Ordinary Shares for the 15 trading days preceding the end of the relevant quarter. Accordingly, through December 31, 2006, two of the primary Wafer Partners had converted an aggregate of $6,073 of long-term customer advances into 4,007,663 fully-paid Ordinary Shares of the Company, at an average share price of $1.52 per share.</w:t>
      </w:r>
    </w:p>
    <w:p>
      <w:pPr>
        <w:spacing w:after="0" w:line="264" w:lineRule="exact"/>
        <w:rPr>
          <w:rFonts w:ascii="Courier New" w:cs="Courier New" w:eastAsia="Courier New" w:hAnsi="Courier New"/>
          <w:sz w:val="12"/>
          <w:szCs w:val="12"/>
          <w:color w:val="auto"/>
        </w:rPr>
      </w:pPr>
    </w:p>
    <w:p>
      <w:pPr>
        <w:ind w:left="1040" w:right="469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Any quarterly amount, which the primary Wafer Partners have elected not to so convert, will not be utilizable against purchases made subsequent to that quarter, and shall bear interest, payable at the end of each quarter, at an annual rate equal to three-month LIBOR plus 2.5% through December 31, 2007, subject to the below amendment with one of the Wafer Partners. The aggregate principal of the unconverted long-term customers' advances, which could have been utilized against purchases and which the primary Wafer Partners elected not to convert into fully-paid Ordinary Shares of the Company and shall be repaid on December 31, 2007, is $1,691. Other than as described above in this paragraph and the preceding paragraph, each of the primary Wafer Partners agreed that long-term customer's advances could not be utilized before December 31, 2006. Following December 31, 2006, the remaining long-term customer advances may be utilized as credits against new purchase orders to be placed.</w:t>
      </w:r>
    </w:p>
    <w:p>
      <w:pPr>
        <w:spacing w:after="0" w:line="12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2006, the Company and one of the primary Wafer Partners, entered into an agreement to extend the period in which long-term customer's advances could not be utilized against purchases, to December 31, 2009. According to the agreement, with respect to certain orders placed until July 2006, and all orders placed thereafter through December 2009, such unutilized advances will bear interest at an annual rate equal to three-month LIBOR plus 1.1%, payable at the end of each quarter, through December 31, 2009. As of the balance sheet date an amount of $2,234 will be repaid on December 31, 2009.</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- 31</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38" w:lineRule="exact"/>
        <w:rPr>
          <w:rFonts w:ascii="Courier New" w:cs="Courier New" w:eastAsia="Courier New" w:hAnsi="Courier New"/>
          <w:sz w:val="12"/>
          <w:szCs w:val="12"/>
          <w:color w:val="auto"/>
        </w:rPr>
      </w:pPr>
    </w:p>
    <w:p>
      <w:pPr>
        <w:ind w:left="1040" w:right="469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OVERVIEW - In January 2001, the Company entered into a Facility Agreement with two leading Israeli banks ("Banks") entitling the Company to borrow an aggregate, as amended in January 2002, of $500,000 to finance the construction and equipping of Fab 2 ("Facility Agreement"). Of that amount, the Company withdrew an aggregate of $497,000. Under the original terms of the Facility Agreement the loans bore interest at a rate of LIBOR plus 1.55% per annum payable at the end of each quarter. The loans were originally to be paid in 12 quarterly installments 3 years from date of each loan drawn down. The loans were subject to certain prepayment provisions. Unused amounts under the Facility</w:t>
      </w:r>
    </w:p>
    <w:p>
      <w:pPr>
        <w:sectPr>
          <w:pgSz w:w="11900" w:h="16838" w:orient="portrait"/>
          <w:cols w:equalWidth="0" w:num="1">
            <w:col w:w="10239"/>
          </w:cols>
          <w:pgMar w:left="220" w:top="141" w:right="1440" w:bottom="0" w:gutter="0" w:footer="0" w:header="0"/>
        </w:sectPr>
      </w:pPr>
    </w:p>
    <w:bookmarkStart w:id="20" w:name="page21"/>
    <w:bookmarkEnd w:id="20"/>
    <w:p>
      <w:pPr>
        <w:ind w:left="1040"/>
        <w:spacing w:after="0"/>
        <w:rPr>
          <w:sz w:val="20"/>
          <w:szCs w:val="20"/>
          <w:color w:val="auto"/>
        </w:rPr>
      </w:pPr>
      <w:r>
        <w:rPr>
          <w:rFonts w:ascii="Courier New" w:cs="Courier New" w:eastAsia="Courier New" w:hAnsi="Courier New"/>
          <w:sz w:val="11"/>
          <w:szCs w:val="11"/>
          <w:color w:val="auto"/>
        </w:rPr>
        <w:t>Agreement were subject to a quarterly commitment fee of 0.25% per</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annum.</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NOVEMBER 2003 AMENDMENT - In November 2003, the Company and its</w:t>
      </w:r>
    </w:p>
    <w:p>
      <w:pPr>
        <w:ind w:left="1040"/>
        <w:spacing w:after="0"/>
        <w:rPr>
          <w:sz w:val="20"/>
          <w:szCs w:val="20"/>
          <w:color w:val="auto"/>
        </w:rPr>
      </w:pPr>
      <w:r>
        <w:rPr>
          <w:rFonts w:ascii="Courier New" w:cs="Courier New" w:eastAsia="Courier New" w:hAnsi="Courier New"/>
          <w:sz w:val="12"/>
          <w:szCs w:val="12"/>
          <w:color w:val="auto"/>
        </w:rPr>
        <w:t>Banks entered into an amendment to the Facility Agreement. The</w:t>
      </w:r>
    </w:p>
    <w:p>
      <w:pPr>
        <w:ind w:left="1040"/>
        <w:spacing w:after="0" w:line="237" w:lineRule="auto"/>
        <w:rPr>
          <w:sz w:val="20"/>
          <w:szCs w:val="20"/>
          <w:color w:val="auto"/>
        </w:rPr>
      </w:pPr>
      <w:r>
        <w:rPr>
          <w:rFonts w:ascii="Courier New" w:cs="Courier New" w:eastAsia="Courier New" w:hAnsi="Courier New"/>
          <w:sz w:val="12"/>
          <w:szCs w:val="12"/>
          <w:color w:val="auto"/>
        </w:rPr>
        <w:t>amendment was based, among other things, on an updated plan for</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construction and equipping Fab 2 submitted to the Banks, and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was approved by the Company's shareholders' meeting held in</w:t>
      </w:r>
    </w:p>
    <w:p>
      <w:pPr>
        <w:ind w:left="1040"/>
        <w:spacing w:after="0"/>
        <w:rPr>
          <w:sz w:val="20"/>
          <w:szCs w:val="20"/>
          <w:color w:val="auto"/>
        </w:rPr>
      </w:pPr>
      <w:r>
        <w:rPr>
          <w:rFonts w:ascii="Courier New" w:cs="Courier New" w:eastAsia="Courier New" w:hAnsi="Courier New"/>
          <w:sz w:val="12"/>
          <w:szCs w:val="12"/>
          <w:color w:val="auto"/>
        </w:rPr>
        <w:t>December 2003. Pursuant to the amendment, the Banks waived all</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noncompliance or breach of covenants by the Company prior to the</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date of amendment. The amendment further revised and updated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covenants under the Facility Agreement according to which the</w:t>
      </w:r>
    </w:p>
    <w:p>
      <w:pPr>
        <w:ind w:left="1040"/>
        <w:spacing w:after="0"/>
        <w:rPr>
          <w:sz w:val="20"/>
          <w:szCs w:val="20"/>
          <w:color w:val="auto"/>
        </w:rPr>
      </w:pPr>
      <w:r>
        <w:rPr>
          <w:rFonts w:ascii="Courier New" w:cs="Courier New" w:eastAsia="Courier New" w:hAnsi="Courier New"/>
          <w:sz w:val="12"/>
          <w:szCs w:val="12"/>
          <w:color w:val="auto"/>
        </w:rPr>
        <w:t>Company was obligated to comply with certain operational and</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financial ratios. The interest rate of LIBOR plus 1.55% per annum</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payable at the end of each quarter was increased to a rate of</w:t>
      </w:r>
    </w:p>
    <w:p>
      <w:pPr>
        <w:ind w:left="1040"/>
        <w:spacing w:after="0"/>
        <w:rPr>
          <w:sz w:val="20"/>
          <w:szCs w:val="20"/>
          <w:color w:val="auto"/>
        </w:rPr>
      </w:pPr>
      <w:r>
        <w:rPr>
          <w:rFonts w:ascii="Courier New" w:cs="Courier New" w:eastAsia="Courier New" w:hAnsi="Courier New"/>
          <w:sz w:val="12"/>
          <w:szCs w:val="12"/>
          <w:color w:val="auto"/>
        </w:rPr>
        <w:t>LIBOR plus 2.5% per annum payable at the end of each quarter.</w:t>
      </w:r>
    </w:p>
    <w:p>
      <w:pPr>
        <w:ind w:left="1040"/>
        <w:spacing w:after="0" w:line="237" w:lineRule="auto"/>
        <w:rPr>
          <w:sz w:val="20"/>
          <w:szCs w:val="20"/>
          <w:color w:val="auto"/>
        </w:rPr>
      </w:pPr>
      <w:r>
        <w:rPr>
          <w:rFonts w:ascii="Courier New" w:cs="Courier New" w:eastAsia="Courier New" w:hAnsi="Courier New"/>
          <w:sz w:val="12"/>
          <w:szCs w:val="12"/>
          <w:color w:val="auto"/>
        </w:rPr>
        <w:t>According to the amendment, the Company was to raise from</w:t>
      </w:r>
    </w:p>
    <w:p>
      <w:pPr>
        <w:ind w:left="1040"/>
        <w:spacing w:after="0"/>
        <w:rPr>
          <w:sz w:val="20"/>
          <w:szCs w:val="20"/>
          <w:color w:val="auto"/>
        </w:rPr>
      </w:pPr>
      <w:r>
        <w:rPr>
          <w:rFonts w:ascii="Courier New" w:cs="Courier New" w:eastAsia="Courier New" w:hAnsi="Courier New"/>
          <w:sz w:val="12"/>
          <w:szCs w:val="12"/>
          <w:color w:val="auto"/>
        </w:rPr>
        <w:t>specified financial sources an aggregate of $152,000 through</w:t>
      </w:r>
    </w:p>
    <w:p>
      <w:pPr>
        <w:ind w:left="1040"/>
        <w:spacing w:after="0" w:line="237" w:lineRule="auto"/>
        <w:rPr>
          <w:sz w:val="20"/>
          <w:szCs w:val="20"/>
          <w:color w:val="auto"/>
        </w:rPr>
      </w:pPr>
      <w:r>
        <w:rPr>
          <w:rFonts w:ascii="Courier New" w:cs="Courier New" w:eastAsia="Courier New" w:hAnsi="Courier New"/>
          <w:sz w:val="12"/>
          <w:szCs w:val="12"/>
          <w:color w:val="auto"/>
        </w:rPr>
        <w:t>December 2005.</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JANUARY 2005 AMENDMENT - In January 2005, the Company and its</w:t>
      </w:r>
    </w:p>
    <w:p>
      <w:pPr>
        <w:ind w:left="1040"/>
        <w:spacing w:after="0"/>
        <w:rPr>
          <w:sz w:val="20"/>
          <w:szCs w:val="20"/>
          <w:color w:val="auto"/>
        </w:rPr>
      </w:pPr>
      <w:r>
        <w:rPr>
          <w:rFonts w:ascii="Courier New" w:cs="Courier New" w:eastAsia="Courier New" w:hAnsi="Courier New"/>
          <w:sz w:val="12"/>
          <w:szCs w:val="12"/>
          <w:color w:val="auto"/>
        </w:rPr>
        <w:t>Banks signed a waiver letter agreement according to which the</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Banks waived the Company's non-compliance with certain financial</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ratios and covenants for the fourth quarter of 2004. The</w:t>
      </w:r>
    </w:p>
    <w:p>
      <w:pPr>
        <w:ind w:left="1040"/>
        <w:spacing w:after="0"/>
        <w:rPr>
          <w:sz w:val="20"/>
          <w:szCs w:val="20"/>
          <w:color w:val="auto"/>
        </w:rPr>
      </w:pPr>
      <w:r>
        <w:rPr>
          <w:rFonts w:ascii="Courier New" w:cs="Courier New" w:eastAsia="Courier New" w:hAnsi="Courier New"/>
          <w:sz w:val="12"/>
          <w:szCs w:val="12"/>
          <w:color w:val="auto"/>
        </w:rPr>
        <w:t>agreement also amended certain of the financial ratios and</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covenants with which the Company was to comply with during 2005,</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and which were further revised in the framework of the July 2005</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amendment to the Facility Agreement described below.</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JULY 2005 AMENDMENT - In July 2005, the Company and its Banks</w:t>
      </w:r>
    </w:p>
    <w:p>
      <w:pPr>
        <w:ind w:left="1040"/>
        <w:spacing w:after="0"/>
        <w:rPr>
          <w:sz w:val="20"/>
          <w:szCs w:val="20"/>
          <w:color w:val="auto"/>
        </w:rPr>
      </w:pPr>
      <w:r>
        <w:rPr>
          <w:rFonts w:ascii="Courier New" w:cs="Courier New" w:eastAsia="Courier New" w:hAnsi="Courier New"/>
          <w:sz w:val="12"/>
          <w:szCs w:val="12"/>
          <w:color w:val="auto"/>
        </w:rPr>
        <w:t>entered into a definitive amendment to the Facility Agreement,</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which closed in August 2005. The amendment provided, among other</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things, for the Banks to provide additional financing of up to</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approximately $30,000, subject to the Company raising through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issuance of shares or convertible debentures $23,500 by October</w:t>
      </w:r>
    </w:p>
    <w:p>
      <w:pPr>
        <w:ind w:left="1040"/>
        <w:spacing w:after="0"/>
        <w:rPr>
          <w:sz w:val="20"/>
          <w:szCs w:val="20"/>
          <w:color w:val="auto"/>
        </w:rPr>
      </w:pPr>
      <w:r>
        <w:rPr>
          <w:rFonts w:ascii="Courier New" w:cs="Courier New" w:eastAsia="Courier New" w:hAnsi="Courier New"/>
          <w:sz w:val="12"/>
          <w:szCs w:val="12"/>
          <w:color w:val="auto"/>
        </w:rPr>
        <w:t>31, 2005 (which was subsequently extended to December 31, 2005)</w:t>
      </w:r>
    </w:p>
    <w:p>
      <w:pPr>
        <w:ind w:left="1040"/>
        <w:spacing w:after="0" w:line="237" w:lineRule="auto"/>
        <w:rPr>
          <w:sz w:val="20"/>
          <w:szCs w:val="20"/>
          <w:color w:val="auto"/>
        </w:rPr>
      </w:pPr>
      <w:r>
        <w:rPr>
          <w:rFonts w:ascii="Courier New" w:cs="Courier New" w:eastAsia="Courier New" w:hAnsi="Courier New"/>
          <w:sz w:val="12"/>
          <w:szCs w:val="12"/>
          <w:color w:val="auto"/>
        </w:rPr>
        <w:t>and an additional $6,500 by March 31, 2006. In connection with</w:t>
      </w:r>
    </w:p>
    <w:p>
      <w:pPr>
        <w:ind w:left="1040"/>
        <w:spacing w:after="0"/>
        <w:rPr>
          <w:sz w:val="20"/>
          <w:szCs w:val="20"/>
          <w:color w:val="auto"/>
        </w:rPr>
      </w:pPr>
      <w:r>
        <w:rPr>
          <w:rFonts w:ascii="Courier New" w:cs="Courier New" w:eastAsia="Courier New" w:hAnsi="Courier New"/>
          <w:sz w:val="12"/>
          <w:szCs w:val="12"/>
          <w:color w:val="auto"/>
        </w:rPr>
        <w:t>the amendment, certain of the Company's Equity Investors and</w:t>
      </w:r>
    </w:p>
    <w:p>
      <w:pPr>
        <w:ind w:left="1040"/>
        <w:spacing w:after="0" w:line="237" w:lineRule="auto"/>
        <w:rPr>
          <w:sz w:val="20"/>
          <w:szCs w:val="20"/>
          <w:color w:val="auto"/>
        </w:rPr>
      </w:pPr>
      <w:r>
        <w:rPr>
          <w:rFonts w:ascii="Courier New" w:cs="Courier New" w:eastAsia="Courier New" w:hAnsi="Courier New"/>
          <w:sz w:val="12"/>
          <w:szCs w:val="12"/>
          <w:color w:val="auto"/>
        </w:rPr>
        <w:t>Wafer Partners committed to invest an aggregate of $23,500</w:t>
      </w:r>
    </w:p>
    <w:p>
      <w:pPr>
        <w:ind w:left="1040"/>
        <w:spacing w:after="0"/>
        <w:rPr>
          <w:sz w:val="20"/>
          <w:szCs w:val="20"/>
          <w:color w:val="auto"/>
        </w:rPr>
      </w:pPr>
      <w:r>
        <w:rPr>
          <w:rFonts w:ascii="Courier New" w:cs="Courier New" w:eastAsia="Courier New" w:hAnsi="Courier New"/>
          <w:sz w:val="12"/>
          <w:szCs w:val="12"/>
          <w:color w:val="auto"/>
        </w:rPr>
        <w:t>towards such funding in the context of a rights offering.</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- 32</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40" w:right="7299" w:hanging="345"/>
        <w:spacing w:after="0" w:line="520" w:lineRule="auto"/>
        <w:tabs>
          <w:tab w:leader="none" w:pos="1040" w:val="left"/>
        </w:tabs>
        <w:numPr>
          <w:ilvl w:val="1"/>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FACILITY AGREEMENT (cont.) JULY 2005 AMENDMENT (CONT.)</w:t>
      </w:r>
    </w:p>
    <w:p>
      <w:pPr>
        <w:ind w:left="1040" w:right="461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July 2005 amendment further provided that: (i) any amounts raised in equity or in convertible debentures through March 31, 2006, up to $30,000, would not constitute financing from other sources towards the $152,000 fundraising milestone; (ii) the last date in which the Company was to comply with the $152,000 fundraising milestone was postponed from December 31, 2005 to June 30, 2006; and (iii) certain of the financial ratios and covenants through the third quarter of 2006 were revised.</w:t>
      </w:r>
    </w:p>
    <w:p>
      <w:pPr>
        <w:spacing w:after="0" w:line="142" w:lineRule="exact"/>
        <w:rPr>
          <w:rFonts w:ascii="Courier New" w:cs="Courier New" w:eastAsia="Courier New" w:hAnsi="Courier New"/>
          <w:sz w:val="11"/>
          <w:szCs w:val="11"/>
          <w:color w:val="auto"/>
        </w:rPr>
      </w:pPr>
    </w:p>
    <w:p>
      <w:pPr>
        <w:ind w:left="1040" w:right="4619"/>
        <w:spacing w:after="0" w:line="262"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As described in Note 12I, the Company raised through January 2006 $48,169 in a rights offering, thereby satisfying its obligations to raise $23,500 and $6,500 by December 31, 2005 and March 31, 2006, respectively. Following the satisfaction of all the Company's commitments under the July 2005 amendment, the Banks provided the Company with $29,693 in additional loans.</w:t>
      </w:r>
    </w:p>
    <w:p>
      <w:pPr>
        <w:spacing w:after="0" w:line="129" w:lineRule="exact"/>
        <w:rPr>
          <w:rFonts w:ascii="Courier New" w:cs="Courier New" w:eastAsia="Courier New" w:hAnsi="Courier New"/>
          <w:sz w:val="11"/>
          <w:szCs w:val="11"/>
          <w:color w:val="auto"/>
        </w:rPr>
      </w:pPr>
    </w:p>
    <w:p>
      <w:pPr>
        <w:ind w:left="1040" w:right="461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MAY 2006 AMENDMENTS - In May 2006, the Company and its Banks entered into amendments to the Facility Agreement, according to which (i) repayments of long-term loans in the amount of approximately $100,000, originally scheduled to be paid between October 2006 and June 2007, were deferred to July 2007 and (ii) the date on which the Company was required to raise an additional approximately $8,000 on account of the $152,000 fund raising milestone, was deferred from June 30, 2006 to September 30, 2006, such fundraising requirement was satisfied with the completion of the 2006 public offering described in Note 12J.</w:t>
      </w:r>
    </w:p>
    <w:p>
      <w:pPr>
        <w:spacing w:after="0" w:line="200" w:lineRule="exact"/>
        <w:rPr>
          <w:sz w:val="20"/>
          <w:szCs w:val="20"/>
          <w:color w:val="auto"/>
        </w:rPr>
      </w:pPr>
    </w:p>
    <w:p>
      <w:pPr>
        <w:spacing w:after="0" w:line="21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- 33</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40" w:right="6939" w:hanging="345"/>
        <w:spacing w:after="0" w:line="520" w:lineRule="auto"/>
        <w:tabs>
          <w:tab w:leader="none" w:pos="1040" w:val="left"/>
        </w:tabs>
        <w:numPr>
          <w:ilvl w:val="1"/>
          <w:numId w:val="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FACILITY AGREEMENT (cont.) SEPTEMBER 2006 AMENDMENT (CONT.)</w:t>
      </w:r>
    </w:p>
    <w:p>
      <w:pPr>
        <w:ind w:left="1040" w:right="461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SEPTEMBER 2006 AMENDMENT - As part of the financing for the ramp-up plan, in September 2006, the Company closed a definitive amendment to the Facility Agreement with its banks for the refinancing of the approximately $527,000 of long-term debt under its Facility Agreement. Pursuant to the amendment, among other things: (i) $158,000, representing approximately 30% of the outstanding debt under the Facility Agreement, was converted into capital notes of the Company, which notes are convertible into 51,973,684 of the Company's Ordinary Shares, representing twice the average closing price per share during the ten days prior to signing the MOU; (ii) the interest rate applicable for the quarterly actual interest payment on the loans was decreased by 1.4%, from LIBOR plus 2.5% per annum to LIBOR plus 1.1% per annum, effective from May 17, 2006 (the "Decreased Amount"); subject to adjustment, in January 2011, the Banks will be issued such number of shares (or equity equivalent capital notes or convertible debentures) that equals the Decreased Amount divided by the average closing price of the Company's Ordinary Shares during the fourth quarter of 2010 (the "Fourth Quarter 2010 Price"). If during the second half of 2010, the closing price of Company's Ordinary Shares on every trading day during this period</w:t>
      </w:r>
    </w:p>
    <w:p>
      <w:pPr>
        <w:sectPr>
          <w:pgSz w:w="11900" w:h="16838" w:orient="portrait"/>
          <w:cols w:equalWidth="0" w:num="1">
            <w:col w:w="10239"/>
          </w:cols>
          <w:pgMar w:left="220" w:top="141" w:right="1440" w:bottom="0" w:gutter="0" w:footer="0" w:header="0"/>
        </w:sectPr>
      </w:pPr>
    </w:p>
    <w:bookmarkStart w:id="21" w:name="page22"/>
    <w:bookmarkEnd w:id="21"/>
    <w:p>
      <w:pPr>
        <w:ind w:left="1040"/>
        <w:spacing w:after="0"/>
        <w:rPr>
          <w:sz w:val="20"/>
          <w:szCs w:val="20"/>
          <w:color w:val="auto"/>
        </w:rPr>
      </w:pPr>
      <w:r>
        <w:rPr>
          <w:rFonts w:ascii="Courier New" w:cs="Courier New" w:eastAsia="Courier New" w:hAnsi="Courier New"/>
          <w:sz w:val="11"/>
          <w:szCs w:val="11"/>
          <w:color w:val="auto"/>
        </w:rPr>
        <w:t>exceeds $3.49, then the Banks will only be granted such number of</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shares (or equity equivalent capital notes or convertible</w:t>
      </w:r>
    </w:p>
    <w:p>
      <w:pPr>
        <w:ind w:left="1040"/>
        <w:spacing w:after="0"/>
        <w:rPr>
          <w:sz w:val="20"/>
          <w:szCs w:val="20"/>
          <w:color w:val="auto"/>
        </w:rPr>
      </w:pPr>
      <w:r>
        <w:rPr>
          <w:rFonts w:ascii="Courier New" w:cs="Courier New" w:eastAsia="Courier New" w:hAnsi="Courier New"/>
          <w:sz w:val="12"/>
          <w:szCs w:val="12"/>
          <w:color w:val="auto"/>
        </w:rPr>
        <w:t>debentures) that equals half of the Decreased Amount divided by</w:t>
      </w:r>
    </w:p>
    <w:p>
      <w:pPr>
        <w:ind w:left="1040"/>
        <w:spacing w:after="0" w:line="237" w:lineRule="auto"/>
        <w:rPr>
          <w:sz w:val="20"/>
          <w:szCs w:val="20"/>
          <w:color w:val="auto"/>
        </w:rPr>
      </w:pPr>
      <w:r>
        <w:rPr>
          <w:rFonts w:ascii="Courier New" w:cs="Courier New" w:eastAsia="Courier New" w:hAnsi="Courier New"/>
          <w:sz w:val="12"/>
          <w:szCs w:val="12"/>
          <w:color w:val="auto"/>
        </w:rPr>
        <w:t>the Fourth Quarter2010 Price. If during the period ending</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December 31, 2010, the Banks sell a portion of the capital notes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or shares issuable upon the conversion of the capital notes</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described in (i) above, at a price per share in excess of $3.49,</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then the consideration payable for the interest rate reduction</w:t>
      </w:r>
    </w:p>
    <w:p>
      <w:pPr>
        <w:ind w:left="1040"/>
        <w:spacing w:after="0"/>
        <w:rPr>
          <w:sz w:val="20"/>
          <w:szCs w:val="20"/>
          <w:color w:val="auto"/>
        </w:rPr>
      </w:pPr>
      <w:r>
        <w:rPr>
          <w:rFonts w:ascii="Courier New" w:cs="Courier New" w:eastAsia="Courier New" w:hAnsi="Courier New"/>
          <w:sz w:val="12"/>
          <w:szCs w:val="12"/>
          <w:color w:val="auto"/>
        </w:rPr>
        <w:t>will be reduced proportionately. The amounts payable in</w:t>
      </w:r>
    </w:p>
    <w:p>
      <w:pPr>
        <w:ind w:left="1040"/>
        <w:spacing w:after="0" w:line="237" w:lineRule="auto"/>
        <w:rPr>
          <w:sz w:val="20"/>
          <w:szCs w:val="20"/>
          <w:color w:val="auto"/>
        </w:rPr>
      </w:pPr>
      <w:r>
        <w:rPr>
          <w:rFonts w:ascii="Courier New" w:cs="Courier New" w:eastAsia="Courier New" w:hAnsi="Courier New"/>
          <w:sz w:val="12"/>
          <w:szCs w:val="12"/>
          <w:color w:val="auto"/>
        </w:rPr>
        <w:t>securities of the Company may be payable in cash under certain</w:t>
      </w:r>
    </w:p>
    <w:p>
      <w:pPr>
        <w:ind w:left="1040"/>
        <w:spacing w:after="0"/>
        <w:rPr>
          <w:sz w:val="20"/>
          <w:szCs w:val="20"/>
          <w:color w:val="auto"/>
        </w:rPr>
      </w:pPr>
      <w:r>
        <w:rPr>
          <w:rFonts w:ascii="Courier New" w:cs="Courier New" w:eastAsia="Courier New" w:hAnsi="Courier New"/>
          <w:sz w:val="12"/>
          <w:szCs w:val="12"/>
          <w:color w:val="auto"/>
        </w:rPr>
        <w:t>circumstances and the Decreased Amount may be reduced in the</w:t>
      </w:r>
    </w:p>
    <w:p>
      <w:pPr>
        <w:ind w:left="1040"/>
        <w:spacing w:after="0" w:line="237" w:lineRule="auto"/>
        <w:rPr>
          <w:sz w:val="20"/>
          <w:szCs w:val="20"/>
          <w:color w:val="auto"/>
        </w:rPr>
      </w:pPr>
      <w:r>
        <w:rPr>
          <w:rFonts w:ascii="Courier New" w:cs="Courier New" w:eastAsia="Courier New" w:hAnsi="Courier New"/>
          <w:sz w:val="12"/>
          <w:szCs w:val="12"/>
          <w:color w:val="auto"/>
        </w:rPr>
        <w:t>event the Company prepays any part of the outstanding loans;</w:t>
      </w:r>
    </w:p>
    <w:p>
      <w:pPr>
        <w:spacing w:after="0" w:line="4" w:lineRule="exact"/>
        <w:rPr>
          <w:sz w:val="20"/>
          <w:szCs w:val="20"/>
          <w:color w:val="auto"/>
        </w:rPr>
      </w:pPr>
    </w:p>
    <w:p>
      <w:pPr>
        <w:ind w:left="1040" w:right="4619" w:firstLine="6"/>
        <w:spacing w:after="0" w:line="261" w:lineRule="auto"/>
        <w:tabs>
          <w:tab w:leader="none" w:pos="1462" w:val="left"/>
        </w:tabs>
        <w:numPr>
          <w:ilvl w:val="0"/>
          <w:numId w:val="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commencement date for the repayment of the outstanding loans, which following the conversion are approximately $369,000, was postponed from July 2007 to September 2009, such that the outstanding loans shall be repaid in 12 quarterly installments between September 2009 and June 2012, for further details see Note 8; (iv) the exercise periods of the warrants held by the Banks immediately prior to the signing of the September 2006 amendment, were extended such that they are exercisable until five years from the closing of the September 2006 amendment, for further details see Note 12B(5)(a) ; and (v) the financial ratios and covenants that the Company is to satisfy were revised to be inline with the Company's May 2006 working plan.</w:t>
      </w:r>
    </w:p>
    <w:p>
      <w:pPr>
        <w:spacing w:after="0" w:line="261"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Company accounted for the September 2006 amendment in</w:t>
      </w:r>
    </w:p>
    <w:p>
      <w:pPr>
        <w:ind w:left="1040"/>
        <w:spacing w:after="0"/>
        <w:rPr>
          <w:sz w:val="20"/>
          <w:szCs w:val="20"/>
          <w:color w:val="auto"/>
        </w:rPr>
      </w:pPr>
      <w:r>
        <w:rPr>
          <w:rFonts w:ascii="Courier New" w:cs="Courier New" w:eastAsia="Courier New" w:hAnsi="Courier New"/>
          <w:sz w:val="12"/>
          <w:szCs w:val="12"/>
          <w:color w:val="auto"/>
        </w:rPr>
        <w:t>accordance with provisions set forth in IAS 39 FINANCIAL</w:t>
      </w:r>
    </w:p>
    <w:p>
      <w:pPr>
        <w:ind w:left="1040"/>
        <w:spacing w:after="0" w:line="237" w:lineRule="auto"/>
        <w:rPr>
          <w:sz w:val="20"/>
          <w:szCs w:val="20"/>
          <w:color w:val="auto"/>
        </w:rPr>
      </w:pPr>
      <w:r>
        <w:rPr>
          <w:rFonts w:ascii="Courier New" w:cs="Courier New" w:eastAsia="Courier New" w:hAnsi="Courier New"/>
          <w:sz w:val="12"/>
          <w:szCs w:val="12"/>
          <w:color w:val="auto"/>
        </w:rPr>
        <w:t>INSTRUMENTS: RECOGNITION AND MEASUREMENT Generally Accepted</w:t>
      </w:r>
    </w:p>
    <w:p>
      <w:pPr>
        <w:ind w:left="1040"/>
        <w:spacing w:after="0"/>
        <w:rPr>
          <w:sz w:val="20"/>
          <w:szCs w:val="20"/>
          <w:color w:val="auto"/>
        </w:rPr>
      </w:pPr>
      <w:r>
        <w:rPr>
          <w:rFonts w:ascii="Courier New" w:cs="Courier New" w:eastAsia="Courier New" w:hAnsi="Courier New"/>
          <w:sz w:val="12"/>
          <w:szCs w:val="12"/>
          <w:color w:val="auto"/>
        </w:rPr>
        <w:t>Accounting Standards in Israel are silent in regards to the</w:t>
      </w:r>
    </w:p>
    <w:p>
      <w:pPr>
        <w:ind w:left="1040"/>
        <w:spacing w:after="0" w:line="237" w:lineRule="auto"/>
        <w:rPr>
          <w:sz w:val="20"/>
          <w:szCs w:val="20"/>
          <w:color w:val="auto"/>
        </w:rPr>
      </w:pPr>
      <w:r>
        <w:rPr>
          <w:rFonts w:ascii="Courier New" w:cs="Courier New" w:eastAsia="Courier New" w:hAnsi="Courier New"/>
          <w:sz w:val="12"/>
          <w:szCs w:val="12"/>
          <w:color w:val="auto"/>
        </w:rPr>
        <w:t>accounting for debt modification. In addition, diversity in</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practice was observed across companies such that no one approach</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has been consistently applied to create practice in Israel for</w:t>
      </w:r>
    </w:p>
    <w:p>
      <w:pPr>
        <w:ind w:left="1040"/>
        <w:spacing w:after="0"/>
        <w:rPr>
          <w:sz w:val="20"/>
          <w:szCs w:val="20"/>
          <w:color w:val="auto"/>
        </w:rPr>
      </w:pPr>
      <w:r>
        <w:rPr>
          <w:rFonts w:ascii="Courier New" w:cs="Courier New" w:eastAsia="Courier New" w:hAnsi="Courier New"/>
          <w:sz w:val="12"/>
          <w:szCs w:val="12"/>
          <w:color w:val="auto"/>
        </w:rPr>
        <w:t>the accounting for debt modification. In light of the lack of</w:t>
      </w:r>
    </w:p>
    <w:p>
      <w:pPr>
        <w:ind w:left="1040"/>
        <w:spacing w:after="0" w:line="237" w:lineRule="auto"/>
        <w:rPr>
          <w:sz w:val="20"/>
          <w:szCs w:val="20"/>
          <w:color w:val="auto"/>
        </w:rPr>
      </w:pPr>
      <w:r>
        <w:rPr>
          <w:rFonts w:ascii="Courier New" w:cs="Courier New" w:eastAsia="Courier New" w:hAnsi="Courier New"/>
          <w:sz w:val="12"/>
          <w:szCs w:val="12"/>
          <w:color w:val="auto"/>
        </w:rPr>
        <w:t>guidance and considering that the Company has not previously</w:t>
      </w:r>
    </w:p>
    <w:p>
      <w:pPr>
        <w:ind w:left="1040"/>
        <w:spacing w:after="0"/>
        <w:rPr>
          <w:sz w:val="20"/>
          <w:szCs w:val="20"/>
          <w:color w:val="auto"/>
        </w:rPr>
      </w:pPr>
      <w:r>
        <w:rPr>
          <w:rFonts w:ascii="Courier New" w:cs="Courier New" w:eastAsia="Courier New" w:hAnsi="Courier New"/>
          <w:sz w:val="12"/>
          <w:szCs w:val="12"/>
          <w:color w:val="auto"/>
        </w:rPr>
        <w:t>accounted for debt modification in the past the Company decided</w:t>
      </w:r>
    </w:p>
    <w:p>
      <w:pPr>
        <w:ind w:left="1040"/>
        <w:spacing w:after="0" w:line="237" w:lineRule="auto"/>
        <w:rPr>
          <w:sz w:val="20"/>
          <w:szCs w:val="20"/>
          <w:color w:val="auto"/>
        </w:rPr>
      </w:pPr>
      <w:r>
        <w:rPr>
          <w:rFonts w:ascii="Courier New" w:cs="Courier New" w:eastAsia="Courier New" w:hAnsi="Courier New"/>
          <w:sz w:val="12"/>
          <w:szCs w:val="12"/>
          <w:color w:val="auto"/>
        </w:rPr>
        <w:t>to apply the guidance in IAS 39 regarding debt modification</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mainly for the following reasons: (i) Israeli GAAP requires that</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when there is no standard in Israel and no practice has evolved</w:t>
      </w:r>
    </w:p>
    <w:p>
      <w:pPr>
        <w:ind w:left="1040"/>
        <w:spacing w:after="0"/>
        <w:rPr>
          <w:sz w:val="20"/>
          <w:szCs w:val="20"/>
          <w:color w:val="auto"/>
        </w:rPr>
      </w:pPr>
      <w:r>
        <w:rPr>
          <w:rFonts w:ascii="Courier New" w:cs="Courier New" w:eastAsia="Courier New" w:hAnsi="Courier New"/>
          <w:sz w:val="12"/>
          <w:szCs w:val="12"/>
          <w:color w:val="auto"/>
        </w:rPr>
        <w:t>IFRS has to be applied, (ii) the Israeli Accounting Standards</w:t>
      </w:r>
    </w:p>
    <w:p>
      <w:pPr>
        <w:ind w:left="1040"/>
        <w:spacing w:after="0" w:line="237" w:lineRule="auto"/>
        <w:rPr>
          <w:sz w:val="20"/>
          <w:szCs w:val="20"/>
          <w:color w:val="auto"/>
        </w:rPr>
      </w:pPr>
      <w:r>
        <w:rPr>
          <w:rFonts w:ascii="Courier New" w:cs="Courier New" w:eastAsia="Courier New" w:hAnsi="Courier New"/>
          <w:sz w:val="12"/>
          <w:szCs w:val="12"/>
          <w:color w:val="auto"/>
        </w:rPr>
        <w:t>Board decided to adopt in full the IFRS starting in fiscal year</w:t>
      </w:r>
    </w:p>
    <w:p>
      <w:pPr>
        <w:ind w:left="1040"/>
        <w:spacing w:after="0"/>
        <w:rPr>
          <w:sz w:val="20"/>
          <w:szCs w:val="20"/>
          <w:color w:val="auto"/>
        </w:rPr>
      </w:pPr>
      <w:r>
        <w:rPr>
          <w:rFonts w:ascii="Courier New" w:cs="Courier New" w:eastAsia="Courier New" w:hAnsi="Courier New"/>
          <w:sz w:val="12"/>
          <w:szCs w:val="12"/>
          <w:color w:val="auto"/>
        </w:rPr>
        <w:t>2008 with early adoption recommended, and the Israel Securities</w:t>
      </w:r>
    </w:p>
    <w:p>
      <w:pPr>
        <w:ind w:left="1040"/>
        <w:spacing w:after="0" w:line="237" w:lineRule="auto"/>
        <w:rPr>
          <w:sz w:val="20"/>
          <w:szCs w:val="20"/>
          <w:color w:val="auto"/>
        </w:rPr>
      </w:pPr>
      <w:r>
        <w:rPr>
          <w:rFonts w:ascii="Courier New" w:cs="Courier New" w:eastAsia="Courier New" w:hAnsi="Courier New"/>
          <w:sz w:val="12"/>
          <w:szCs w:val="12"/>
          <w:color w:val="auto"/>
        </w:rPr>
        <w:t>Authority ("ISA") decided that, commencing from the second</w:t>
      </w:r>
    </w:p>
    <w:p>
      <w:pPr>
        <w:ind w:left="1040"/>
        <w:spacing w:after="0"/>
        <w:rPr>
          <w:sz w:val="20"/>
          <w:szCs w:val="20"/>
          <w:color w:val="auto"/>
        </w:rPr>
      </w:pPr>
      <w:r>
        <w:rPr>
          <w:rFonts w:ascii="Courier New" w:cs="Courier New" w:eastAsia="Courier New" w:hAnsi="Courier New"/>
          <w:sz w:val="12"/>
          <w:szCs w:val="12"/>
          <w:color w:val="auto"/>
        </w:rPr>
        <w:t>quarter of 2007, Notes to financial statements shall state the</w:t>
      </w:r>
    </w:p>
    <w:p>
      <w:pPr>
        <w:ind w:left="1040"/>
        <w:spacing w:after="0" w:line="237" w:lineRule="auto"/>
        <w:rPr>
          <w:sz w:val="20"/>
          <w:szCs w:val="20"/>
          <w:color w:val="auto"/>
        </w:rPr>
      </w:pPr>
      <w:r>
        <w:rPr>
          <w:rFonts w:ascii="Courier New" w:cs="Courier New" w:eastAsia="Courier New" w:hAnsi="Courier New"/>
          <w:sz w:val="12"/>
          <w:szCs w:val="12"/>
          <w:color w:val="auto"/>
        </w:rPr>
        <w:t>IFRS financial effect on such financial statements, (iii)</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Standard No. 22, which is based on IAS 32 FINANCIAL INSTRUMENTS: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DISCLOSURE AND PRESENTATION, refers preparers of financial</w:t>
      </w:r>
    </w:p>
    <w:p>
      <w:pPr>
        <w:ind w:left="1040"/>
        <w:spacing w:after="0"/>
        <w:rPr>
          <w:sz w:val="20"/>
          <w:szCs w:val="20"/>
          <w:color w:val="auto"/>
        </w:rPr>
      </w:pPr>
      <w:r>
        <w:rPr>
          <w:rFonts w:ascii="Courier New" w:cs="Courier New" w:eastAsia="Courier New" w:hAnsi="Courier New"/>
          <w:sz w:val="12"/>
          <w:szCs w:val="12"/>
          <w:color w:val="auto"/>
        </w:rPr>
        <w:t>statements to the guidance in IAS 39 for the purposes of</w:t>
      </w:r>
    </w:p>
    <w:p>
      <w:pPr>
        <w:ind w:left="1040"/>
        <w:spacing w:after="0" w:line="237" w:lineRule="auto"/>
        <w:rPr>
          <w:sz w:val="20"/>
          <w:szCs w:val="20"/>
          <w:color w:val="auto"/>
        </w:rPr>
      </w:pPr>
      <w:r>
        <w:rPr>
          <w:rFonts w:ascii="Courier New" w:cs="Courier New" w:eastAsia="Courier New" w:hAnsi="Courier New"/>
          <w:sz w:val="12"/>
          <w:szCs w:val="12"/>
          <w:color w:val="auto"/>
        </w:rPr>
        <w:t>recognition and measurement of financial instruments (including</w:t>
      </w:r>
    </w:p>
    <w:p>
      <w:pPr>
        <w:ind w:left="1040"/>
        <w:spacing w:after="0"/>
        <w:rPr>
          <w:sz w:val="20"/>
          <w:szCs w:val="20"/>
          <w:color w:val="auto"/>
        </w:rPr>
      </w:pPr>
      <w:r>
        <w:rPr>
          <w:rFonts w:ascii="Courier New" w:cs="Courier New" w:eastAsia="Courier New" w:hAnsi="Courier New"/>
          <w:sz w:val="12"/>
          <w:szCs w:val="12"/>
          <w:color w:val="auto"/>
        </w:rPr>
        <w:t>measurement of debt modification), (iv) the adoption of IAS 39</w:t>
      </w:r>
    </w:p>
    <w:p>
      <w:pPr>
        <w:ind w:left="1040"/>
        <w:spacing w:after="0" w:line="237" w:lineRule="auto"/>
        <w:rPr>
          <w:sz w:val="20"/>
          <w:szCs w:val="20"/>
          <w:color w:val="auto"/>
        </w:rPr>
      </w:pPr>
      <w:r>
        <w:rPr>
          <w:rFonts w:ascii="Courier New" w:cs="Courier New" w:eastAsia="Courier New" w:hAnsi="Courier New"/>
          <w:sz w:val="12"/>
          <w:szCs w:val="12"/>
          <w:color w:val="auto"/>
        </w:rPr>
        <w:t>does not create inconsistencies with prior periods and (v)</w:t>
      </w:r>
    </w:p>
    <w:p>
      <w:pPr>
        <w:ind w:left="1040"/>
        <w:spacing w:after="0"/>
        <w:rPr>
          <w:sz w:val="20"/>
          <w:szCs w:val="20"/>
          <w:color w:val="auto"/>
        </w:rPr>
      </w:pPr>
      <w:r>
        <w:rPr>
          <w:rFonts w:ascii="Courier New" w:cs="Courier New" w:eastAsia="Courier New" w:hAnsi="Courier New"/>
          <w:sz w:val="12"/>
          <w:szCs w:val="12"/>
          <w:color w:val="auto"/>
        </w:rPr>
        <w:t>recently adopted Israeli standards are all based on IFRS.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40" w:right="6939" w:hanging="345"/>
        <w:spacing w:after="0" w:line="520" w:lineRule="auto"/>
        <w:tabs>
          <w:tab w:leader="none" w:pos="1040" w:val="left"/>
        </w:tabs>
        <w:numPr>
          <w:ilvl w:val="1"/>
          <w:numId w:val="44"/>
        </w:numPr>
        <w:rPr>
          <w:rFonts w:ascii="Courier New" w:cs="Courier New" w:eastAsia="Courier New" w:hAnsi="Courier New"/>
          <w:sz w:val="11"/>
          <w:szCs w:val="11"/>
          <w:color w:val="auto"/>
        </w:rPr>
      </w:pPr>
      <w:r>
        <w:rPr>
          <w:rFonts w:ascii="Courier New" w:cs="Courier New" w:eastAsia="Courier New" w:hAnsi="Courier New"/>
          <w:sz w:val="11"/>
          <w:szCs w:val="11"/>
          <w:color w:val="auto"/>
        </w:rPr>
        <w:t>FACILITY AGREEMENT (cont.) SEPTEMBER 2006 AMENDMENT (CONT.)</w:t>
      </w:r>
    </w:p>
    <w:p>
      <w:pPr>
        <w:ind w:left="1040" w:right="489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Under IAS 39, the Company accounted for the debt modification under the September 2006 amendment as follows:</w:t>
      </w:r>
    </w:p>
    <w:p>
      <w:pPr>
        <w:spacing w:after="0" w:line="139" w:lineRule="exact"/>
        <w:rPr>
          <w:rFonts w:ascii="Courier New" w:cs="Courier New" w:eastAsia="Courier New" w:hAnsi="Courier New"/>
          <w:sz w:val="11"/>
          <w:szCs w:val="11"/>
          <w:color w:val="auto"/>
        </w:rPr>
      </w:pPr>
    </w:p>
    <w:p>
      <w:pPr>
        <w:ind w:left="1740" w:right="4619" w:hanging="343"/>
        <w:spacing w:after="0" w:line="266" w:lineRule="auto"/>
        <w:tabs>
          <w:tab w:leader="none" w:pos="1740" w:val="left"/>
        </w:tabs>
        <w:numPr>
          <w:ilvl w:val="2"/>
          <w:numId w:val="4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amount considered settled for shares and classified to equity is based on the per share price as quoted at the closing date; such amount totaled to $76,401.</w:t>
      </w:r>
    </w:p>
    <w:p>
      <w:pPr>
        <w:spacing w:after="0" w:line="126" w:lineRule="exact"/>
        <w:rPr>
          <w:rFonts w:ascii="Courier New" w:cs="Courier New" w:eastAsia="Courier New" w:hAnsi="Courier New"/>
          <w:sz w:val="11"/>
          <w:szCs w:val="11"/>
          <w:color w:val="auto"/>
        </w:rPr>
      </w:pPr>
    </w:p>
    <w:p>
      <w:pPr>
        <w:ind w:left="1740" w:right="4619" w:hanging="343"/>
        <w:spacing w:after="0" w:line="236" w:lineRule="auto"/>
        <w:tabs>
          <w:tab w:leader="none" w:pos="1740" w:val="left"/>
        </w:tabs>
        <w:numPr>
          <w:ilvl w:val="2"/>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remaining balance, totaling $435,209, is considered to be substantially modified and thus treated as debt extinguishment of the outstanding debt and the incurrence of a new debt.</w:t>
      </w:r>
    </w:p>
    <w:p>
      <w:pPr>
        <w:spacing w:after="0" w:line="140" w:lineRule="exact"/>
        <w:rPr>
          <w:rFonts w:ascii="Courier New" w:cs="Courier New" w:eastAsia="Courier New" w:hAnsi="Courier New"/>
          <w:sz w:val="12"/>
          <w:szCs w:val="12"/>
          <w:color w:val="auto"/>
        </w:rPr>
      </w:pPr>
    </w:p>
    <w:p>
      <w:pPr>
        <w:ind w:left="1740" w:right="5039" w:hanging="343"/>
        <w:spacing w:after="0" w:line="235" w:lineRule="auto"/>
        <w:tabs>
          <w:tab w:leader="none" w:pos="1740" w:val="left"/>
        </w:tabs>
        <w:numPr>
          <w:ilvl w:val="2"/>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debt incurred is initially recognized at fair value, totaling $355,138.</w:t>
      </w:r>
    </w:p>
    <w:p>
      <w:pPr>
        <w:spacing w:after="0" w:line="139" w:lineRule="exact"/>
        <w:rPr>
          <w:rFonts w:ascii="Courier New" w:cs="Courier New" w:eastAsia="Courier New" w:hAnsi="Courier New"/>
          <w:sz w:val="12"/>
          <w:szCs w:val="12"/>
          <w:color w:val="auto"/>
        </w:rPr>
      </w:pPr>
    </w:p>
    <w:p>
      <w:pPr>
        <w:ind w:left="1740" w:right="4699" w:hanging="343"/>
        <w:spacing w:after="0" w:line="237" w:lineRule="auto"/>
        <w:tabs>
          <w:tab w:leader="none" w:pos="1740" w:val="left"/>
        </w:tabs>
        <w:numPr>
          <w:ilvl w:val="2"/>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difference between the fair value of the debt incurred and the outstanding debt (exclusive of the amount used as proceeds for the share issuance in 1 above), totaling $80,071, is recognized in the consolidated statement of operations as a gain on debt restructuring in the current period.</w:t>
      </w:r>
    </w:p>
    <w:p>
      <w:pPr>
        <w:spacing w:after="0" w:line="14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As described above the Banks will be issued such number of shares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(or equity equivalent capital notes or convertible debentures)</w:t>
      </w:r>
    </w:p>
    <w:p>
      <w:pPr>
        <w:ind w:left="1040"/>
        <w:spacing w:after="0"/>
        <w:rPr>
          <w:sz w:val="20"/>
          <w:szCs w:val="20"/>
          <w:color w:val="auto"/>
        </w:rPr>
      </w:pPr>
      <w:r>
        <w:rPr>
          <w:rFonts w:ascii="Courier New" w:cs="Courier New" w:eastAsia="Courier New" w:hAnsi="Courier New"/>
          <w:sz w:val="12"/>
          <w:szCs w:val="12"/>
          <w:color w:val="auto"/>
        </w:rPr>
        <w:t>that equals the Decreased Amount divided by the Fourth Quarter</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2010 Price. If during the second half of 2010, the closing price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of Company's Ordinary Shares on every trading day during this</w:t>
      </w:r>
    </w:p>
    <w:p>
      <w:pPr>
        <w:ind w:left="1040"/>
        <w:spacing w:after="0"/>
        <w:rPr>
          <w:sz w:val="20"/>
          <w:szCs w:val="20"/>
          <w:color w:val="auto"/>
        </w:rPr>
      </w:pPr>
      <w:r>
        <w:rPr>
          <w:rFonts w:ascii="Courier New" w:cs="Courier New" w:eastAsia="Courier New" w:hAnsi="Courier New"/>
          <w:sz w:val="12"/>
          <w:szCs w:val="12"/>
          <w:color w:val="auto"/>
        </w:rPr>
        <w:t>period exceeds $3.49, then the Banks will only be granted such</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number of shares that equals half of the Decreased Amount divided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by the Fourth Quarter 2010 Price. The Company accounted for its</w:t>
      </w:r>
    </w:p>
    <w:p>
      <w:pPr>
        <w:ind w:left="1040"/>
        <w:spacing w:after="0"/>
        <w:rPr>
          <w:sz w:val="20"/>
          <w:szCs w:val="20"/>
          <w:color w:val="auto"/>
        </w:rPr>
      </w:pPr>
      <w:r>
        <w:rPr>
          <w:rFonts w:ascii="Courier New" w:cs="Courier New" w:eastAsia="Courier New" w:hAnsi="Courier New"/>
          <w:sz w:val="12"/>
          <w:szCs w:val="12"/>
          <w:color w:val="auto"/>
        </w:rPr>
        <w:t>obligation to issue shares initially, as an additional interest</w:t>
      </w:r>
    </w:p>
    <w:p>
      <w:pPr>
        <w:ind w:left="1040"/>
        <w:spacing w:after="0" w:line="237" w:lineRule="auto"/>
        <w:rPr>
          <w:sz w:val="20"/>
          <w:szCs w:val="20"/>
          <w:color w:val="auto"/>
        </w:rPr>
      </w:pPr>
      <w:r>
        <w:rPr>
          <w:rFonts w:ascii="Courier New" w:cs="Courier New" w:eastAsia="Courier New" w:hAnsi="Courier New"/>
          <w:sz w:val="12"/>
          <w:szCs w:val="12"/>
          <w:color w:val="auto"/>
        </w:rPr>
        <w:t>expense and adjusted the effective interest rate on the debt to</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Banks. The Company will evaluate and, if required, adjust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effective interest rate based on the per share price at the end</w:t>
      </w:r>
    </w:p>
    <w:p>
      <w:pPr>
        <w:ind w:left="1040"/>
        <w:spacing w:after="0"/>
        <w:rPr>
          <w:sz w:val="20"/>
          <w:szCs w:val="20"/>
          <w:color w:val="auto"/>
        </w:rPr>
      </w:pPr>
      <w:r>
        <w:rPr>
          <w:rFonts w:ascii="Courier New" w:cs="Courier New" w:eastAsia="Courier New" w:hAnsi="Courier New"/>
          <w:sz w:val="12"/>
          <w:szCs w:val="12"/>
          <w:color w:val="auto"/>
        </w:rPr>
        <w:t>of each reporting period. As of the balance sheet date no such</w:t>
      </w:r>
    </w:p>
    <w:p>
      <w:pPr>
        <w:ind w:left="1040"/>
        <w:spacing w:after="0" w:line="237" w:lineRule="auto"/>
        <w:rPr>
          <w:sz w:val="20"/>
          <w:szCs w:val="20"/>
          <w:color w:val="auto"/>
        </w:rPr>
      </w:pPr>
      <w:r>
        <w:rPr>
          <w:rFonts w:ascii="Courier New" w:cs="Courier New" w:eastAsia="Courier New" w:hAnsi="Courier New"/>
          <w:sz w:val="12"/>
          <w:szCs w:val="12"/>
          <w:color w:val="auto"/>
        </w:rPr>
        <w:t>adjustment was required. See Note 19I for the accounting of the</w:t>
      </w:r>
    </w:p>
    <w:p>
      <w:pPr>
        <w:ind w:left="1040"/>
        <w:spacing w:after="0"/>
        <w:rPr>
          <w:sz w:val="20"/>
          <w:szCs w:val="20"/>
          <w:color w:val="auto"/>
        </w:rPr>
      </w:pPr>
      <w:r>
        <w:rPr>
          <w:rFonts w:ascii="Courier New" w:cs="Courier New" w:eastAsia="Courier New" w:hAnsi="Courier New"/>
          <w:sz w:val="12"/>
          <w:szCs w:val="12"/>
          <w:color w:val="auto"/>
        </w:rPr>
        <w:t>debt modification and the accounting of the Decreased Amount in</w:t>
      </w:r>
    </w:p>
    <w:p>
      <w:pPr>
        <w:ind w:left="1040"/>
        <w:spacing w:after="0" w:line="237" w:lineRule="auto"/>
        <w:rPr>
          <w:sz w:val="20"/>
          <w:szCs w:val="20"/>
          <w:color w:val="auto"/>
        </w:rPr>
      </w:pPr>
      <w:r>
        <w:rPr>
          <w:rFonts w:ascii="Courier New" w:cs="Courier New" w:eastAsia="Courier New" w:hAnsi="Courier New"/>
          <w:sz w:val="12"/>
          <w:szCs w:val="12"/>
          <w:color w:val="auto"/>
        </w:rPr>
        <w:t>accordance with U.S. GAAP</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- 35</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ectPr>
          <w:pgSz w:w="11900" w:h="16838" w:orient="portrait"/>
          <w:cols w:equalWidth="0" w:num="1">
            <w:col w:w="10239"/>
          </w:cols>
          <w:pgMar w:left="220" w:top="141" w:right="1440" w:bottom="0" w:gutter="0" w:footer="0" w:header="0"/>
        </w:sectPr>
      </w:pPr>
    </w:p>
    <w:bookmarkStart w:id="22" w:name="page23"/>
    <w:bookmarkEnd w:id="22"/>
    <w:p>
      <w:pPr>
        <w:ind w:left="1040"/>
        <w:spacing w:after="0"/>
        <w:rPr>
          <w:sz w:val="20"/>
          <w:szCs w:val="20"/>
          <w:color w:val="auto"/>
        </w:rPr>
      </w:pPr>
      <w:r>
        <w:rPr>
          <w:rFonts w:ascii="Courier New" w:cs="Courier New" w:eastAsia="Courier New" w:hAnsi="Courier New"/>
          <w:sz w:val="12"/>
          <w:szCs w:val="12"/>
          <w:color w:val="auto"/>
        </w:rPr>
        <w:t>TIC'S UNDERTAKING - In connection with the November 2003</w:t>
      </w:r>
    </w:p>
    <w:p>
      <w:pPr>
        <w:ind w:left="1040"/>
        <w:spacing w:after="0"/>
        <w:rPr>
          <w:sz w:val="20"/>
          <w:szCs w:val="20"/>
          <w:color w:val="auto"/>
        </w:rPr>
      </w:pPr>
      <w:r>
        <w:rPr>
          <w:rFonts w:ascii="Courier New" w:cs="Courier New" w:eastAsia="Courier New" w:hAnsi="Courier New"/>
          <w:sz w:val="12"/>
          <w:szCs w:val="12"/>
          <w:color w:val="auto"/>
        </w:rPr>
        <w:t>amendment to the Facility Agreement, TIC undertook to the Banks</w:t>
      </w:r>
    </w:p>
    <w:p>
      <w:pPr>
        <w:ind w:left="1040"/>
        <w:spacing w:after="0" w:line="237" w:lineRule="auto"/>
        <w:rPr>
          <w:sz w:val="20"/>
          <w:szCs w:val="20"/>
          <w:color w:val="auto"/>
        </w:rPr>
      </w:pPr>
      <w:r>
        <w:rPr>
          <w:rFonts w:ascii="Courier New" w:cs="Courier New" w:eastAsia="Courier New" w:hAnsi="Courier New"/>
          <w:sz w:val="12"/>
          <w:szCs w:val="12"/>
          <w:color w:val="auto"/>
        </w:rPr>
        <w:t>to exercise all of the rights it received in a rights offering</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through June 2006. In addition, as part of TIC's undertaking, it</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agreed to purchase from the Company additional securities in a</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private placement on the same terms as the rights offering, in an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amount equal to 50/93 of the difference between the amount the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Company was to raise in the rights offering and the amount raised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from shareholders other than TIC, less any amounts actually</w:t>
      </w:r>
    </w:p>
    <w:p>
      <w:pPr>
        <w:ind w:left="1040"/>
        <w:spacing w:after="0"/>
        <w:rPr>
          <w:sz w:val="20"/>
          <w:szCs w:val="20"/>
          <w:color w:val="auto"/>
        </w:rPr>
      </w:pPr>
      <w:r>
        <w:rPr>
          <w:rFonts w:ascii="Courier New" w:cs="Courier New" w:eastAsia="Courier New" w:hAnsi="Courier New"/>
          <w:sz w:val="12"/>
          <w:szCs w:val="12"/>
          <w:color w:val="auto"/>
        </w:rPr>
        <w:t>invested in the rights offering by TIC in connection with the</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exercise of its own rights. The July 2005 amendment provided that</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TIC's undertaking shall be extended from June 30, 2006 to</w:t>
      </w:r>
    </w:p>
    <w:p>
      <w:pPr>
        <w:ind w:left="1040"/>
        <w:spacing w:after="0"/>
        <w:rPr>
          <w:sz w:val="20"/>
          <w:szCs w:val="20"/>
          <w:color w:val="auto"/>
        </w:rPr>
      </w:pPr>
      <w:r>
        <w:rPr>
          <w:rFonts w:ascii="Courier New" w:cs="Courier New" w:eastAsia="Courier New" w:hAnsi="Courier New"/>
          <w:sz w:val="12"/>
          <w:szCs w:val="12"/>
          <w:color w:val="auto"/>
        </w:rPr>
        <w:t>December 31, 2006; (ii) such undertaking will be deemed to have</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been fulfilled if TIC invests at least $14,000 in the context of</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a rights offering. This undertaking was fulfilled following TIC's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$20,000 investment in the Company in the context of the 2005</w:t>
      </w:r>
    </w:p>
    <w:p>
      <w:pPr>
        <w:ind w:left="1040"/>
        <w:spacing w:after="0"/>
        <w:rPr>
          <w:sz w:val="20"/>
          <w:szCs w:val="20"/>
          <w:color w:val="auto"/>
        </w:rPr>
      </w:pPr>
      <w:r>
        <w:rPr>
          <w:rFonts w:ascii="Courier New" w:cs="Courier New" w:eastAsia="Courier New" w:hAnsi="Courier New"/>
          <w:sz w:val="12"/>
          <w:szCs w:val="12"/>
          <w:color w:val="auto"/>
        </w:rPr>
        <w:t>rights offering (see Note 12I).</w:t>
      </w:r>
    </w:p>
    <w:p>
      <w:pPr>
        <w:spacing w:after="0" w:line="138"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For details regarding 58,906 warrants issued to TIC in connection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with its undertaking described above, see Note 12B(5)(b).</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Company has agreed to indemnify TIC for any liabilities it</w:t>
      </w:r>
    </w:p>
    <w:p>
      <w:pPr>
        <w:ind w:left="1040"/>
        <w:spacing w:after="0"/>
        <w:rPr>
          <w:sz w:val="20"/>
          <w:szCs w:val="20"/>
          <w:color w:val="auto"/>
        </w:rPr>
      </w:pPr>
      <w:r>
        <w:rPr>
          <w:rFonts w:ascii="Courier New" w:cs="Courier New" w:eastAsia="Courier New" w:hAnsi="Courier New"/>
          <w:sz w:val="12"/>
          <w:szCs w:val="12"/>
          <w:color w:val="auto"/>
        </w:rPr>
        <w:t>incurs with respect to these arrangements, up to a maximum of</w:t>
      </w:r>
    </w:p>
    <w:p>
      <w:pPr>
        <w:ind w:left="1040"/>
        <w:spacing w:after="0" w:line="237" w:lineRule="auto"/>
        <w:rPr>
          <w:sz w:val="20"/>
          <w:szCs w:val="20"/>
          <w:color w:val="auto"/>
        </w:rPr>
      </w:pPr>
      <w:r>
        <w:rPr>
          <w:rFonts w:ascii="Courier New" w:cs="Courier New" w:eastAsia="Courier New" w:hAnsi="Courier New"/>
          <w:sz w:val="12"/>
          <w:szCs w:val="12"/>
          <w:color w:val="auto"/>
        </w:rPr>
        <w:t>$100,000 as follows: up to $25,000 in cash and any amount</w:t>
      </w:r>
    </w:p>
    <w:p>
      <w:pPr>
        <w:ind w:left="1040"/>
        <w:spacing w:after="0"/>
        <w:rPr>
          <w:sz w:val="20"/>
          <w:szCs w:val="20"/>
          <w:color w:val="auto"/>
        </w:rPr>
      </w:pPr>
      <w:r>
        <w:rPr>
          <w:rFonts w:ascii="Courier New" w:cs="Courier New" w:eastAsia="Courier New" w:hAnsi="Courier New"/>
          <w:sz w:val="12"/>
          <w:szCs w:val="12"/>
          <w:color w:val="auto"/>
        </w:rPr>
        <w:t>exceeding such $25,000 limit will earn interest at LIBOR plus</w:t>
      </w:r>
    </w:p>
    <w:p>
      <w:pPr>
        <w:ind w:left="1040"/>
        <w:spacing w:after="0" w:line="237" w:lineRule="auto"/>
        <w:rPr>
          <w:sz w:val="20"/>
          <w:szCs w:val="20"/>
          <w:color w:val="auto"/>
        </w:rPr>
      </w:pPr>
      <w:r>
        <w:rPr>
          <w:rFonts w:ascii="Courier New" w:cs="Courier New" w:eastAsia="Courier New" w:hAnsi="Courier New"/>
          <w:sz w:val="12"/>
          <w:szCs w:val="12"/>
          <w:color w:val="auto"/>
        </w:rPr>
        <w:t>2.5% and will be paid on the same terms that the Company repays</w:t>
      </w:r>
    </w:p>
    <w:p>
      <w:pPr>
        <w:ind w:left="1040"/>
        <w:spacing w:after="0"/>
        <w:rPr>
          <w:sz w:val="20"/>
          <w:szCs w:val="20"/>
          <w:color w:val="auto"/>
        </w:rPr>
      </w:pPr>
      <w:r>
        <w:rPr>
          <w:rFonts w:ascii="Courier New" w:cs="Courier New" w:eastAsia="Courier New" w:hAnsi="Courier New"/>
          <w:sz w:val="12"/>
          <w:szCs w:val="12"/>
          <w:color w:val="auto"/>
        </w:rPr>
        <w:t>its loans to the Banks. As of the balance sheet date, no such</w:t>
      </w:r>
    </w:p>
    <w:p>
      <w:pPr>
        <w:ind w:left="1040"/>
        <w:spacing w:after="0" w:line="237" w:lineRule="auto"/>
        <w:rPr>
          <w:sz w:val="20"/>
          <w:szCs w:val="20"/>
          <w:color w:val="auto"/>
        </w:rPr>
      </w:pPr>
      <w:r>
        <w:rPr>
          <w:rFonts w:ascii="Courier New" w:cs="Courier New" w:eastAsia="Courier New" w:hAnsi="Courier New"/>
          <w:sz w:val="12"/>
          <w:szCs w:val="12"/>
          <w:color w:val="auto"/>
        </w:rPr>
        <w:t>indemnification has been required.</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WARRANTS ISSUED TO THE BANKS - For details regarding 9,161,060</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outstanding warrants granted to the Banks in connection with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Facility Agreement, see Note 12B(5)(a).</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COMPLIANCE WITH FINANCIAL RATIOS AND COVENANTS - As of the</w:t>
      </w:r>
    </w:p>
    <w:p>
      <w:pPr>
        <w:ind w:left="1040"/>
        <w:spacing w:after="0"/>
        <w:rPr>
          <w:sz w:val="20"/>
          <w:szCs w:val="20"/>
          <w:color w:val="auto"/>
        </w:rPr>
      </w:pPr>
      <w:r>
        <w:rPr>
          <w:rFonts w:ascii="Courier New" w:cs="Courier New" w:eastAsia="Courier New" w:hAnsi="Courier New"/>
          <w:sz w:val="12"/>
          <w:szCs w:val="12"/>
          <w:color w:val="auto"/>
        </w:rPr>
        <w:t>balance sheet date, the Company was in full compliance with all</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of the financial ratios and covenants under the amended Facility</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Agreement According to the Facility Agreement, satisfying the</w:t>
      </w:r>
    </w:p>
    <w:p>
      <w:pPr>
        <w:ind w:left="1040"/>
        <w:spacing w:after="0"/>
        <w:rPr>
          <w:sz w:val="20"/>
          <w:szCs w:val="20"/>
          <w:color w:val="auto"/>
        </w:rPr>
      </w:pPr>
      <w:r>
        <w:rPr>
          <w:rFonts w:ascii="Courier New" w:cs="Courier New" w:eastAsia="Courier New" w:hAnsi="Courier New"/>
          <w:sz w:val="12"/>
          <w:szCs w:val="12"/>
          <w:color w:val="auto"/>
        </w:rPr>
        <w:t>financial ratios and covenants is a material provision. The</w:t>
      </w:r>
    </w:p>
    <w:p>
      <w:pPr>
        <w:ind w:left="1040"/>
        <w:spacing w:after="0" w:line="237" w:lineRule="auto"/>
        <w:rPr>
          <w:sz w:val="20"/>
          <w:szCs w:val="20"/>
          <w:color w:val="auto"/>
        </w:rPr>
      </w:pPr>
      <w:r>
        <w:rPr>
          <w:rFonts w:ascii="Courier New" w:cs="Courier New" w:eastAsia="Courier New" w:hAnsi="Courier New"/>
          <w:sz w:val="12"/>
          <w:szCs w:val="12"/>
          <w:color w:val="auto"/>
        </w:rPr>
        <w:t>amended Facility Agreement provides that if, as a result of any</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default, the Banks were to accelerate the Company's obligations,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Company would be obligated, among other matters, to</w:t>
      </w:r>
    </w:p>
    <w:p>
      <w:pPr>
        <w:ind w:left="1040"/>
        <w:spacing w:after="0"/>
        <w:rPr>
          <w:sz w:val="20"/>
          <w:szCs w:val="20"/>
          <w:color w:val="auto"/>
        </w:rPr>
      </w:pPr>
      <w:r>
        <w:rPr>
          <w:rFonts w:ascii="Courier New" w:cs="Courier New" w:eastAsia="Courier New" w:hAnsi="Courier New"/>
          <w:sz w:val="12"/>
          <w:szCs w:val="12"/>
          <w:color w:val="auto"/>
        </w:rPr>
        <w:t>immediately repay all loans made by the Banks (which as of the</w:t>
      </w:r>
    </w:p>
    <w:p>
      <w:pPr>
        <w:ind w:left="1040"/>
        <w:spacing w:after="0" w:line="237" w:lineRule="auto"/>
        <w:rPr>
          <w:sz w:val="20"/>
          <w:szCs w:val="20"/>
          <w:color w:val="auto"/>
        </w:rPr>
      </w:pPr>
      <w:r>
        <w:rPr>
          <w:rFonts w:ascii="Courier New" w:cs="Courier New" w:eastAsia="Courier New" w:hAnsi="Courier New"/>
          <w:sz w:val="12"/>
          <w:szCs w:val="12"/>
          <w:color w:val="auto"/>
        </w:rPr>
        <w:t>balance sheet date amounted to approximately $369,000) plus</w:t>
      </w:r>
    </w:p>
    <w:p>
      <w:pPr>
        <w:ind w:left="1040"/>
        <w:spacing w:after="0"/>
        <w:rPr>
          <w:sz w:val="20"/>
          <w:szCs w:val="20"/>
          <w:color w:val="auto"/>
        </w:rPr>
      </w:pPr>
      <w:r>
        <w:rPr>
          <w:rFonts w:ascii="Courier New" w:cs="Courier New" w:eastAsia="Courier New" w:hAnsi="Courier New"/>
          <w:sz w:val="12"/>
          <w:szCs w:val="12"/>
          <w:color w:val="auto"/>
        </w:rPr>
        <w:t>penalties, and the Banks would be entitled to exercise the</w:t>
      </w:r>
    </w:p>
    <w:p>
      <w:pPr>
        <w:ind w:left="1040"/>
        <w:spacing w:after="0" w:line="237" w:lineRule="auto"/>
        <w:rPr>
          <w:sz w:val="20"/>
          <w:szCs w:val="20"/>
          <w:color w:val="auto"/>
        </w:rPr>
      </w:pPr>
      <w:r>
        <w:rPr>
          <w:rFonts w:ascii="Courier New" w:cs="Courier New" w:eastAsia="Courier New" w:hAnsi="Courier New"/>
          <w:sz w:val="12"/>
          <w:szCs w:val="12"/>
          <w:color w:val="auto"/>
        </w:rPr>
        <w:t>remedies available to them under the Facility Agreement,</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including enforcement of their liens against all of the Company's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assets.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38" w:lineRule="exact"/>
        <w:rPr>
          <w:rFonts w:ascii="Courier New" w:cs="Courier New" w:eastAsia="Courier New" w:hAnsi="Courier New"/>
          <w:sz w:val="12"/>
          <w:szCs w:val="12"/>
          <w:color w:val="auto"/>
        </w:rPr>
      </w:pPr>
    </w:p>
    <w:p>
      <w:pPr>
        <w:ind w:left="104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LIENS - Under the Facility Agreement, the Company agreed to register liens in favor of the Banks on substantially all its present and future assets. If, as a result of any default under the Facility Agreement, the Banks were to accelerate the Company's obligations, the Company would be obligated to immediately repay all loans made by the Banks (which as of the approval date of the financial statements amounted to approximately $369,000), plus penalties, and the Banks would be entitled to exercise the remedies available to them under the Facility Agreement, including enforcement of the liens against the Company's assets.</w:t>
      </w:r>
    </w:p>
    <w:p>
      <w:pPr>
        <w:spacing w:after="0" w:line="144"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OFFEROR BY THE BANKS - If one or more certain bankruptcy related events occur, the Banks are entitled to bring a firm offer made by a potential investor to purchase the Company's Ordinary Shares ("the Offer") at a price provided in the Offer. In such case, the Company shall be required thereafter to procure a rights offering to invest up to 60% of the amount of the Offer on the same terms. If the Offer is conditioned on the offeror purchasing a majority of the Company's outstanding share capital, the rights offering will be limited to allow for this, unless TIC and the primary Wafer Partners agree to exercise in a rights offering rights applicable to their shareholdings and agree to purchase in a private placement enough shares to ensure that the full amount of the Offer is invested.</w:t>
      </w:r>
    </w:p>
    <w:p>
      <w:pPr>
        <w:spacing w:after="0" w:line="260"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FAB 2 CONSTRUCTION AGREEMENT</w:t>
      </w:r>
    </w:p>
    <w:p>
      <w:pPr>
        <w:spacing w:after="0" w:line="138" w:lineRule="exact"/>
        <w:rPr>
          <w:rFonts w:ascii="Courier New" w:cs="Courier New" w:eastAsia="Courier New" w:hAnsi="Courier New"/>
          <w:sz w:val="12"/>
          <w:szCs w:val="12"/>
          <w:color w:val="auto"/>
        </w:rPr>
      </w:pPr>
    </w:p>
    <w:p>
      <w:pPr>
        <w:ind w:left="104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August 2000, the Company entered into a fixed price turn-key agreement with a contractor for the design and construction of Fab 2 in consideration of approximately $200,000 subject to the satisfaction of certain performance milestones stipulated in the agreement. As of December 31, 2006, the Company has paid approximately all the amounts payable to the contractor.</w:t>
      </w:r>
    </w:p>
    <w:p>
      <w:pPr>
        <w:spacing w:after="0" w:line="26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- 37</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APPROVED ENTERPRISE STATUS</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December 2000, the Investment Center approved an investment program in connection with Fab 2 for expansion of the Company's plant. The approval certificate for the program provided for a benefit track entitling the Company to investment grants at a rate of 20% of qualified investments of up to $1,250,000, or an aggregate of up to $250,000, of which as of the balance sheet date, an aggregate of $163,362 has been received from the Investment Center. Under the terms of the program, investments in respect of Fab 2 were to be completed by December 31, 2005, five years from the date the approval certificate was obtained. Due to</w:t>
      </w:r>
    </w:p>
    <w:p>
      <w:pPr>
        <w:sectPr>
          <w:pgSz w:w="11900" w:h="16838" w:orient="portrait"/>
          <w:cols w:equalWidth="0" w:num="1">
            <w:col w:w="10239"/>
          </w:cols>
          <w:pgMar w:left="220" w:top="137" w:right="1440" w:bottom="0" w:gutter="0" w:footer="0" w:header="0"/>
        </w:sectPr>
      </w:pPr>
    </w:p>
    <w:bookmarkStart w:id="23" w:name="page24"/>
    <w:bookmarkEnd w:id="23"/>
    <w:p>
      <w:pPr>
        <w:ind w:left="1040"/>
        <w:spacing w:after="0"/>
        <w:rPr>
          <w:sz w:val="20"/>
          <w:szCs w:val="20"/>
          <w:color w:val="auto"/>
        </w:rPr>
      </w:pPr>
      <w:r>
        <w:rPr>
          <w:rFonts w:ascii="Courier New" w:cs="Courier New" w:eastAsia="Courier New" w:hAnsi="Courier New"/>
          <w:sz w:val="12"/>
          <w:szCs w:val="12"/>
          <w:color w:val="auto"/>
        </w:rPr>
        <w:t>the later than planned construction of Fab 2, market conditions</w:t>
      </w:r>
    </w:p>
    <w:p>
      <w:pPr>
        <w:ind w:left="1040"/>
        <w:spacing w:after="0"/>
        <w:rPr>
          <w:sz w:val="20"/>
          <w:szCs w:val="20"/>
          <w:color w:val="auto"/>
        </w:rPr>
      </w:pPr>
      <w:r>
        <w:rPr>
          <w:rFonts w:ascii="Courier New" w:cs="Courier New" w:eastAsia="Courier New" w:hAnsi="Courier New"/>
          <w:sz w:val="12"/>
          <w:szCs w:val="12"/>
          <w:color w:val="auto"/>
        </w:rPr>
        <w:t>and slower than planned ramp-up, the Company completed</w:t>
      </w:r>
    </w:p>
    <w:p>
      <w:pPr>
        <w:ind w:left="1040"/>
        <w:spacing w:after="0" w:line="237" w:lineRule="auto"/>
        <w:rPr>
          <w:sz w:val="20"/>
          <w:szCs w:val="20"/>
          <w:color w:val="auto"/>
        </w:rPr>
      </w:pPr>
      <w:r>
        <w:rPr>
          <w:rFonts w:ascii="Courier New" w:cs="Courier New" w:eastAsia="Courier New" w:hAnsi="Courier New"/>
          <w:sz w:val="12"/>
          <w:szCs w:val="12"/>
          <w:color w:val="auto"/>
        </w:rPr>
        <w:t>approximately 72% of the investments under the approved</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enterprise program. The Company has been holding discussions with</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Investment Center to achieve satisfactory arrangements to</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approve a new expansion program commencing as of January 1, 2006.</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As of the approval date of the financial statements, the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Company's management cannot estimate when, if at all, the Company</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will receive approval of its request for a new expansion program.</w:t>
      </w:r>
    </w:p>
    <w:p>
      <w:pPr>
        <w:spacing w:after="0" w:line="141"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Any failure by the Company to meet the conditions of the 2000</w:t>
      </w:r>
    </w:p>
    <w:p>
      <w:pPr>
        <w:ind w:left="1040"/>
        <w:spacing w:after="0"/>
        <w:rPr>
          <w:sz w:val="20"/>
          <w:szCs w:val="20"/>
          <w:color w:val="auto"/>
        </w:rPr>
      </w:pPr>
      <w:r>
        <w:rPr>
          <w:rFonts w:ascii="Courier New" w:cs="Courier New" w:eastAsia="Courier New" w:hAnsi="Courier New"/>
          <w:sz w:val="12"/>
          <w:szCs w:val="12"/>
          <w:color w:val="auto"/>
        </w:rPr>
        <w:t>approval certificate may result in the cancellation of all or a</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portion of the grants to be received and tax benefits and in the</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Investment Center requiring the Company to repay all or a portion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of grants already received. Under Israeli law, the Company's</w:t>
      </w:r>
    </w:p>
    <w:p>
      <w:pPr>
        <w:ind w:left="1040"/>
        <w:spacing w:after="0"/>
        <w:rPr>
          <w:sz w:val="20"/>
          <w:szCs w:val="20"/>
          <w:color w:val="auto"/>
        </w:rPr>
      </w:pPr>
      <w:r>
        <w:rPr>
          <w:rFonts w:ascii="Courier New" w:cs="Courier New" w:eastAsia="Courier New" w:hAnsi="Courier New"/>
          <w:sz w:val="12"/>
          <w:szCs w:val="12"/>
          <w:color w:val="auto"/>
        </w:rPr>
        <w:t>non-completion of investments in an amount of $1,250,000 by</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December 31, 2005 may permit the Investment Center to require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Company to repay all or a portion of grants already received.</w:t>
      </w:r>
    </w:p>
    <w:p>
      <w:pPr>
        <w:ind w:left="1040"/>
        <w:spacing w:after="0"/>
        <w:rPr>
          <w:sz w:val="20"/>
          <w:szCs w:val="20"/>
          <w:color w:val="auto"/>
        </w:rPr>
      </w:pPr>
      <w:r>
        <w:rPr>
          <w:rFonts w:ascii="Courier New" w:cs="Courier New" w:eastAsia="Courier New" w:hAnsi="Courier New"/>
          <w:sz w:val="12"/>
          <w:szCs w:val="12"/>
          <w:color w:val="auto"/>
        </w:rPr>
        <w:t>Management believes that it is improbable that the Investment</w:t>
      </w:r>
    </w:p>
    <w:p>
      <w:pPr>
        <w:ind w:left="1040"/>
        <w:spacing w:after="0" w:line="237" w:lineRule="auto"/>
        <w:rPr>
          <w:sz w:val="20"/>
          <w:szCs w:val="20"/>
          <w:color w:val="auto"/>
        </w:rPr>
      </w:pPr>
      <w:r>
        <w:rPr>
          <w:rFonts w:ascii="Courier New" w:cs="Courier New" w:eastAsia="Courier New" w:hAnsi="Courier New"/>
          <w:sz w:val="12"/>
          <w:szCs w:val="12"/>
          <w:color w:val="auto"/>
        </w:rPr>
        <w:t>Center would demand the Company to repay all or a portion of</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grants already received, or deny investment grants receivable as</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of December 31, 2005, due to its non-completion of investments in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amount of $1,250,000 by December 31, 2005 - see also Note</w:t>
      </w:r>
    </w:p>
    <w:p>
      <w:pPr>
        <w:ind w:left="1040"/>
        <w:spacing w:after="0"/>
        <w:rPr>
          <w:sz w:val="20"/>
          <w:szCs w:val="20"/>
          <w:color w:val="auto"/>
        </w:rPr>
      </w:pPr>
      <w:r>
        <w:rPr>
          <w:rFonts w:ascii="Courier New" w:cs="Courier New" w:eastAsia="Courier New" w:hAnsi="Courier New"/>
          <w:sz w:val="12"/>
          <w:szCs w:val="12"/>
          <w:color w:val="auto"/>
        </w:rPr>
        <w:t>16A.</w:t>
      </w:r>
    </w:p>
    <w:p>
      <w:pPr>
        <w:spacing w:after="0" w:line="133" w:lineRule="exact"/>
        <w:rPr>
          <w:sz w:val="20"/>
          <w:szCs w:val="20"/>
          <w:color w:val="auto"/>
        </w:rPr>
      </w:pPr>
    </w:p>
    <w:p>
      <w:pPr>
        <w:ind w:left="1040" w:hanging="345"/>
        <w:spacing w:after="0"/>
        <w:tabs>
          <w:tab w:leader="none" w:pos="1040"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AGREEMENT WITH THE ILA</w:t>
      </w:r>
    </w:p>
    <w:p>
      <w:pPr>
        <w:spacing w:after="0" w:line="138" w:lineRule="exact"/>
        <w:rPr>
          <w:rFonts w:ascii="Courier New" w:cs="Courier New" w:eastAsia="Courier New" w:hAnsi="Courier New"/>
          <w:sz w:val="12"/>
          <w:szCs w:val="12"/>
          <w:color w:val="auto"/>
        </w:rPr>
      </w:pPr>
    </w:p>
    <w:p>
      <w:pPr>
        <w:ind w:left="1040" w:right="483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November 2000, the Company entered into a development agreement with the Israel Land Administration ("ILA") with respect to a parcel of land on which Fab 2 was constructed. Following the completion of the construction of Fab 2 on the land, in June 2003, the Company entered into a long-term lease agreement with the ILA for a period ending in 2049. The lease payments through 2049 relating to this lease have been paid in advance.</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w:t>
      </w:r>
    </w:p>
    <w:p>
      <w:pPr>
        <w:spacing w:after="0" w:line="138" w:lineRule="exact"/>
        <w:rPr>
          <w:rFonts w:ascii="Courier New" w:cs="Courier New" w:eastAsia="Courier New" w:hAnsi="Courier New"/>
          <w:sz w:val="12"/>
          <w:szCs w:val="12"/>
          <w:color w:val="auto"/>
        </w:rPr>
      </w:pPr>
    </w:p>
    <w:p>
      <w:pPr>
        <w:ind w:left="104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hedging transactions and agreements of the Company, see Note 18C.</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AGREEMENTS</w:t>
      </w:r>
    </w:p>
    <w:p>
      <w:pPr>
        <w:spacing w:after="0" w:line="138" w:lineRule="exact"/>
        <w:rPr>
          <w:rFonts w:ascii="Courier New" w:cs="Courier New" w:eastAsia="Courier New" w:hAnsi="Courier New"/>
          <w:sz w:val="12"/>
          <w:szCs w:val="12"/>
          <w:color w:val="auto"/>
        </w:rPr>
      </w:pPr>
    </w:p>
    <w:p>
      <w:pPr>
        <w:ind w:left="104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December 31, 2006, the Company had entered into several additional agreements related mainly to the construction, equipping and transfer of technology for Fab 2. The Company's aggregate commitment in connection with these agreements which were not supplied or rendered as of such date amounted to approximately $20,000.</w:t>
      </w:r>
    </w:p>
    <w:p>
      <w:pPr>
        <w:spacing w:after="0" w:line="136" w:lineRule="exact"/>
        <w:rPr>
          <w:sz w:val="20"/>
          <w:szCs w:val="20"/>
          <w:color w:val="auto"/>
        </w:rPr>
      </w:pPr>
    </w:p>
    <w:p>
      <w:pPr>
        <w:ind w:left="1040" w:hanging="345"/>
        <w:spacing w:after="0"/>
        <w:tabs>
          <w:tab w:leader="none" w:pos="1040" w:val="left"/>
        </w:tabs>
        <w:numPr>
          <w:ilvl w:val="0"/>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LICENSE AGREEMENTS</w:t>
      </w:r>
    </w:p>
    <w:p>
      <w:pPr>
        <w:spacing w:after="0" w:line="138" w:lineRule="exact"/>
        <w:rPr>
          <w:rFonts w:ascii="Courier New" w:cs="Courier New" w:eastAsia="Courier New" w:hAnsi="Courier New"/>
          <w:sz w:val="12"/>
          <w:szCs w:val="12"/>
          <w:color w:val="auto"/>
        </w:rPr>
      </w:pPr>
    </w:p>
    <w:p>
      <w:pPr>
        <w:ind w:left="1400" w:right="4619" w:hanging="354"/>
        <w:spacing w:after="0" w:line="237" w:lineRule="auto"/>
        <w:tabs>
          <w:tab w:leader="none" w:pos="1400" w:val="left"/>
        </w:tabs>
        <w:numPr>
          <w:ilvl w:val="1"/>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June 2000, the Company entered into a cross license agreement with a major technology company. According to the agreement, each party acquired a non-exclusive license to certain of the other's patents. The Company agreed to pay an annual royalty through July 2005. In July 2006, the Company extended its cross license agreement with the major technology company until December 2010. According to terms of the new agreement, each party acquired a non-exclusive license to certain of the other's patents, and the Company agreed to pay an annual royalty through 2010.</w:t>
      </w:r>
    </w:p>
    <w:p>
      <w:pPr>
        <w:spacing w:after="0" w:line="143" w:lineRule="exact"/>
        <w:rPr>
          <w:rFonts w:ascii="Courier New" w:cs="Courier New" w:eastAsia="Courier New" w:hAnsi="Courier New"/>
          <w:sz w:val="12"/>
          <w:szCs w:val="12"/>
          <w:color w:val="auto"/>
        </w:rPr>
      </w:pPr>
    </w:p>
    <w:p>
      <w:pPr>
        <w:ind w:left="1400" w:right="4619" w:hanging="354"/>
        <w:spacing w:after="0" w:line="261" w:lineRule="auto"/>
        <w:tabs>
          <w:tab w:leader="none" w:pos="1400" w:val="left"/>
        </w:tabs>
        <w:numPr>
          <w:ilvl w:val="1"/>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In April 2005, the Japanese semiconductor manufacturer corporation elected, and the Company agreed, to cease the joint development of certain technology and to terminate the agreement. However, the license rights granted to the parties continue pursuant to the terms of the May 2002 agreement. According to the terms of the termination agreement, the Japanese manufacturer paid the Company an amount of $2,500 in 2005. In addition, each party expressly released the other party from any obligations or liabilities of any nature in connection with the original agreement. Revenues for 2005 and 2004 include $8,000 and $1,944, respectively, in relation to this agreement.</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- 39</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LICENSE AGREEMENTS (cont.)</w:t>
      </w:r>
    </w:p>
    <w:p>
      <w:pPr>
        <w:spacing w:after="0" w:line="138" w:lineRule="exact"/>
        <w:rPr>
          <w:rFonts w:ascii="Courier New" w:cs="Courier New" w:eastAsia="Courier New" w:hAnsi="Courier New"/>
          <w:sz w:val="12"/>
          <w:szCs w:val="12"/>
          <w:color w:val="auto"/>
        </w:rPr>
      </w:pPr>
    </w:p>
    <w:p>
      <w:pPr>
        <w:ind w:left="1040" w:right="4699" w:hanging="345"/>
        <w:spacing w:after="0" w:line="261" w:lineRule="auto"/>
        <w:tabs>
          <w:tab w:leader="none" w:pos="1040" w:val="left"/>
        </w:tabs>
        <w:numPr>
          <w:ilvl w:val="1"/>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October 1997 the Company and Saifun Semiconductors Ltd ("Saifun") entered into an agreement for certain exclusive semiconductor manufacturing rights on certain licensed technology. The agreement set certain limitations on Saifun regarding future licensing of such technology. Pursuant to certain provisions of the agreement, the Company and Saifun were obligated to pay each other royalties. The agreement was terminated in 2006, with the signing of a new agreement, according to which, among other things, Saifun extended the term of the license granted to the Company for certain licensed technology. Pursuant to certain provisions of the agreement, the Company and Saifun are obligated to pay each other royalties.</w:t>
      </w:r>
    </w:p>
    <w:p>
      <w:pPr>
        <w:spacing w:after="0" w:line="265" w:lineRule="exact"/>
        <w:rPr>
          <w:rFonts w:ascii="Courier New" w:cs="Courier New" w:eastAsia="Courier New" w:hAnsi="Courier New"/>
          <w:sz w:val="11"/>
          <w:szCs w:val="11"/>
          <w:color w:val="auto"/>
        </w:rPr>
      </w:pPr>
    </w:p>
    <w:p>
      <w:pPr>
        <w:jc w:val="both"/>
        <w:ind w:left="1040" w:right="4759" w:hanging="345"/>
        <w:spacing w:after="0" w:line="266" w:lineRule="auto"/>
        <w:tabs>
          <w:tab w:leader="none" w:pos="1040" w:val="left"/>
        </w:tabs>
        <w:numPr>
          <w:ilvl w:val="1"/>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Company from time to time enters into intellectual property and licensing agreements with third parties. The effect of each of them on the Company's total assets and results of operations</w:t>
      </w:r>
    </w:p>
    <w:p>
      <w:pPr>
        <w:sectPr>
          <w:pgSz w:w="11900" w:h="16838" w:orient="portrait"/>
          <w:cols w:equalWidth="0" w:num="1">
            <w:col w:w="10239"/>
          </w:cols>
          <w:pgMar w:left="220" w:top="137" w:right="1440" w:bottom="0" w:gutter="0" w:footer="0" w:header="0"/>
        </w:sectPr>
      </w:pPr>
    </w:p>
    <w:bookmarkStart w:id="24" w:name="page25"/>
    <w:bookmarkEnd w:id="24"/>
    <w:p>
      <w:pPr>
        <w:ind w:left="1040"/>
        <w:spacing w:after="0"/>
        <w:rPr>
          <w:sz w:val="20"/>
          <w:szCs w:val="20"/>
          <w:color w:val="auto"/>
        </w:rPr>
      </w:pPr>
      <w:r>
        <w:rPr>
          <w:rFonts w:ascii="Courier New" w:cs="Courier New" w:eastAsia="Courier New" w:hAnsi="Courier New"/>
          <w:sz w:val="11"/>
          <w:szCs w:val="11"/>
          <w:color w:val="auto"/>
        </w:rPr>
        <w:t>is immaterial. Certain of these agreements call for royalties to</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be paid by the Company to these third parties. See also Note 10A.</w:t>
      </w:r>
    </w:p>
    <w:p>
      <w:pPr>
        <w:spacing w:after="0" w:line="141" w:lineRule="exact"/>
        <w:rPr>
          <w:sz w:val="20"/>
          <w:szCs w:val="20"/>
          <w:color w:val="auto"/>
        </w:rPr>
      </w:pPr>
    </w:p>
    <w:p>
      <w:pPr>
        <w:ind w:left="700" w:hanging="357"/>
        <w:spacing w:after="0"/>
        <w:tabs>
          <w:tab w:leader="none" w:pos="700"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LEASES</w:t>
      </w:r>
    </w:p>
    <w:p>
      <w:pPr>
        <w:spacing w:after="0" w:line="138" w:lineRule="exact"/>
        <w:rPr>
          <w:rFonts w:ascii="Courier New" w:cs="Courier New" w:eastAsia="Courier New" w:hAnsi="Courier New"/>
          <w:sz w:val="12"/>
          <w:szCs w:val="12"/>
          <w:color w:val="auto"/>
        </w:rPr>
      </w:pPr>
    </w:p>
    <w:p>
      <w:pPr>
        <w:ind w:left="1040" w:right="4619" w:hanging="345"/>
        <w:spacing w:after="0" w:line="237" w:lineRule="auto"/>
        <w:tabs>
          <w:tab w:leader="none" w:pos="1040"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offices and engineering and manufacturing operations are located in a building complex situated in an industrial park in Migdal Ha'emek, in the northern part of Israel. These premises are currently occupied under a long-term lease from the Israel Lands Authority, which expires in 2032. The Company has no obligation for lease payments related to this lease through the year 2032.</w:t>
      </w:r>
    </w:p>
    <w:p>
      <w:pPr>
        <w:spacing w:after="0" w:line="141" w:lineRule="exact"/>
        <w:rPr>
          <w:rFonts w:ascii="Courier New" w:cs="Courier New" w:eastAsia="Courier New" w:hAnsi="Courier New"/>
          <w:sz w:val="12"/>
          <w:szCs w:val="12"/>
          <w:color w:val="auto"/>
        </w:rPr>
      </w:pPr>
    </w:p>
    <w:p>
      <w:pPr>
        <w:ind w:left="1040" w:right="4699" w:hanging="345"/>
        <w:spacing w:after="0" w:line="235" w:lineRule="auto"/>
        <w:tabs>
          <w:tab w:leader="none" w:pos="1040"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a long-term lease agreement of land on which Fab 2 was constructed, see paragraph A(9) above.</w:t>
      </w:r>
    </w:p>
    <w:p>
      <w:pPr>
        <w:spacing w:after="0" w:line="139" w:lineRule="exact"/>
        <w:rPr>
          <w:rFonts w:ascii="Courier New" w:cs="Courier New" w:eastAsia="Courier New" w:hAnsi="Courier New"/>
          <w:sz w:val="12"/>
          <w:szCs w:val="12"/>
          <w:color w:val="auto"/>
        </w:rPr>
      </w:pPr>
    </w:p>
    <w:p>
      <w:pPr>
        <w:ind w:left="1040" w:right="4979" w:hanging="345"/>
        <w:spacing w:after="0" w:line="236" w:lineRule="auto"/>
        <w:tabs>
          <w:tab w:leader="none" w:pos="1040"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occupies certain other premises under various operating leases. The obligations under such leases were not material as of December 31, 2006.</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PRINCIPAL AGREEMENTS</w:t>
      </w:r>
    </w:p>
    <w:p>
      <w:pPr>
        <w:spacing w:after="0" w:line="138" w:lineRule="exact"/>
        <w:rPr>
          <w:rFonts w:ascii="Courier New" w:cs="Courier New" w:eastAsia="Courier New" w:hAnsi="Courier New"/>
          <w:sz w:val="12"/>
          <w:szCs w:val="12"/>
          <w:color w:val="auto"/>
        </w:rPr>
      </w:pPr>
    </w:p>
    <w:p>
      <w:pPr>
        <w:ind w:left="1040" w:right="4699" w:hanging="345"/>
        <w:spacing w:after="0" w:line="264" w:lineRule="auto"/>
        <w:tabs>
          <w:tab w:leader="none" w:pos="1040" w:val="left"/>
        </w:tabs>
        <w:numPr>
          <w:ilvl w:val="1"/>
          <w:numId w:val="5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Company, from time to time in the ordinary course of business, enters into long-term agreements with various entities for the joint development of products and processes utilizing technologies owned by both the other entities and the Company.</w:t>
      </w: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- 40</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PRINCIPAL AGREEMENTS (cont.)</w:t>
      </w:r>
    </w:p>
    <w:p>
      <w:pPr>
        <w:spacing w:after="0" w:line="138" w:lineRule="exact"/>
        <w:rPr>
          <w:rFonts w:ascii="Courier New" w:cs="Courier New" w:eastAsia="Courier New" w:hAnsi="Courier New"/>
          <w:sz w:val="12"/>
          <w:szCs w:val="12"/>
          <w:color w:val="auto"/>
        </w:rPr>
      </w:pPr>
    </w:p>
    <w:p>
      <w:pPr>
        <w:ind w:left="1040" w:right="4619" w:hanging="345"/>
        <w:spacing w:after="0" w:line="260" w:lineRule="auto"/>
        <w:tabs>
          <w:tab w:leader="none" w:pos="1040" w:val="left"/>
        </w:tabs>
        <w:numPr>
          <w:ilvl w:val="1"/>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SILICONIX - In May 2004, the Company and chip maker Siliconix incorporated ("Siliconix"), a wholly-owned subsidiary of Vishay Intertechnology Inc., entered into a definitive long-term foundry agreement for semiconductor manufacturing. Pursuant to the agreement, Siliconix will place with the Company orders valued at approximately $200,000 for the purchase of wafers to be manufactured in the Company's Fab 1 over a seven to ten year period. Approximately $53,000 of that amount will be delivered over an initial three-year period commencing the second quarter of 2005 (the date on which the transfer of Siliconix's technology to Fab 1 was completed). According to the agreement, in August 2004 Siliconix advanced the Company $20,000 to be used primarily for the purchase of additional equipment required to satisfy Siliconix's orders. The advanced amount is credited towards the purchase price of wafers. The unused remaining balance of the $20,000 ($9,631 as of December 31, 2005, none as of December 31, 2006) was included as of December 31, 2005 in designated cash and short-term interest-bearing deposits in the balance sheet. The Company registered liens in favor of Siliconix on the bank account in which the $20,000 was deposited and over the equipment purchased in connection with the transaction.</w:t>
      </w:r>
    </w:p>
    <w:p>
      <w:pPr>
        <w:spacing w:after="0" w:line="272" w:lineRule="exact"/>
        <w:rPr>
          <w:rFonts w:ascii="Courier New" w:cs="Courier New" w:eastAsia="Courier New" w:hAnsi="Courier New"/>
          <w:sz w:val="11"/>
          <w:szCs w:val="11"/>
          <w:color w:val="auto"/>
        </w:rPr>
      </w:pPr>
    </w:p>
    <w:p>
      <w:pPr>
        <w:ind w:left="1040" w:right="4619" w:hanging="345"/>
        <w:spacing w:after="0" w:line="261" w:lineRule="auto"/>
        <w:tabs>
          <w:tab w:leader="none" w:pos="1040" w:val="left"/>
        </w:tabs>
        <w:numPr>
          <w:ilvl w:val="1"/>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SANDISK CORPORATION - In August 2006, the Company signed an agreement with SanDisk Corporation ("SanDisk"), one of its wafer partners, to invest in the expansion of its 0.13 micron manufacturing capacity. SanDisk committed to purchase, upon such expansion, volume quantities of 0.13 micron wafers during 2007 and 2008 and will have a right of first refusal on the use of this extra capacity in 2009. The Company and SanDisk also signed a Loan Agreement under which the Company was entitled to borrow funds not to exceed, in the aggregate, the principal amount of approximately $10,000 from SanDisk for the purpose of financing the purchase of the equipment needed for said expansion. The loan will be repaid with interest on the amounts outstanding at any time under the loan at LIBOR plus 1.1% over eight consecutive quarters. Pursuant to the agreement, in order to secure the repayment of the loan, SanDisk has been granted a first ranking charge on the equipment purchased therewith. As of the balance sheet date the entire approximately $10,000 loan was received.</w:t>
      </w:r>
    </w:p>
    <w:p>
      <w:pPr>
        <w:spacing w:after="0" w:line="259" w:lineRule="exact"/>
        <w:rPr>
          <w:rFonts w:ascii="Courier New" w:cs="Courier New" w:eastAsia="Courier New" w:hAnsi="Courier New"/>
          <w:sz w:val="11"/>
          <w:szCs w:val="11"/>
          <w:color w:val="auto"/>
        </w:rPr>
      </w:pPr>
    </w:p>
    <w:p>
      <w:pPr>
        <w:ind w:left="700" w:hanging="357"/>
        <w:spacing w:after="0"/>
        <w:tabs>
          <w:tab w:leader="none" w:pos="700" w:val="left"/>
        </w:tabs>
        <w:numPr>
          <w:ilvl w:val="0"/>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ENVIRONMENTAL AFFAIRS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operations are subject to a variety of laws and governmental regulations in Israel relating to the use, discharge and disposal of toxic or otherwise hazardous materials used in the production processes. Operating permits and licenses are required for the operations of the Company's facilities and these permits and licenses are subject to revocation, modification and renewal. Government authorities have the power to enforce compliance with these regulations, permits and licenses. As of the approval date of the financial statements, the Company was in compliance with the terms of the permits and licenses.</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- 41</w:t>
      </w:r>
    </w:p>
    <w:p>
      <w:pPr>
        <w:spacing w:after="0" w:line="25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4" w:lineRule="exact"/>
        <w:rPr>
          <w:sz w:val="20"/>
          <w:szCs w:val="20"/>
          <w:color w:val="auto"/>
        </w:rPr>
      </w:pPr>
    </w:p>
    <w:p>
      <w:pPr>
        <w:ind w:left="700" w:hanging="357"/>
        <w:spacing w:after="0"/>
        <w:tabs>
          <w:tab w:leader="none" w:pos="700"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CLASS ACTION</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June 2006, the United States Court of Appeals for the Second Circuit affirmed the August 2004 decision of the United States District Court for the Southern District of New York to dismiss the class action suit filed in July 2003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District Court accepted the motion to dismiss filed on behalf of the defendants and noted that the Company's status as a foreign private issuer exempts the Company, its directors and controlling shareholders, from liability under the proxy rules of Section 14(a) of the Securities Exchange Act.</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 TO ISRAELI BANKING REGULATIONS</w:t>
      </w:r>
    </w:p>
    <w:p>
      <w:pPr>
        <w:sectPr>
          <w:pgSz w:w="11900" w:h="16838" w:orient="portrait"/>
          <w:cols w:equalWidth="0" w:num="1">
            <w:col w:w="10239"/>
          </w:cols>
          <w:pgMar w:left="220" w:top="141" w:right="1440" w:bottom="0" w:gutter="0" w:footer="0" w:header="0"/>
        </w:sectPr>
      </w:pPr>
    </w:p>
    <w:bookmarkStart w:id="25" w:name="page26"/>
    <w:bookmarkEnd w:id="25"/>
    <w:p>
      <w:pPr>
        <w:ind w:left="700"/>
        <w:spacing w:after="0"/>
        <w:rPr>
          <w:sz w:val="20"/>
          <w:szCs w:val="20"/>
          <w:color w:val="auto"/>
        </w:rPr>
      </w:pPr>
      <w:r>
        <w:rPr>
          <w:rFonts w:ascii="Courier New" w:cs="Courier New" w:eastAsia="Courier New" w:hAnsi="Courier New"/>
          <w:sz w:val="12"/>
          <w:szCs w:val="12"/>
          <w:color w:val="auto"/>
        </w:rPr>
        <w:t>Pursuant to an amendment to a directive published by the Israel</w:t>
      </w:r>
    </w:p>
    <w:p>
      <w:pPr>
        <w:ind w:left="700"/>
        <w:spacing w:after="0"/>
        <w:rPr>
          <w:sz w:val="20"/>
          <w:szCs w:val="20"/>
          <w:color w:val="auto"/>
        </w:rPr>
      </w:pPr>
      <w:r>
        <w:rPr>
          <w:rFonts w:ascii="Courier New" w:cs="Courier New" w:eastAsia="Courier New" w:hAnsi="Courier New"/>
          <w:sz w:val="12"/>
          <w:szCs w:val="12"/>
          <w:color w:val="auto"/>
        </w:rPr>
        <w:t>Supervisor of Banks, effective March 31, 2004, the Company may be</w:t>
      </w:r>
    </w:p>
    <w:p>
      <w:pPr>
        <w:ind w:left="700"/>
        <w:spacing w:after="0" w:line="237" w:lineRule="auto"/>
        <w:rPr>
          <w:sz w:val="20"/>
          <w:szCs w:val="20"/>
          <w:color w:val="auto"/>
        </w:rPr>
      </w:pPr>
      <w:r>
        <w:rPr>
          <w:rFonts w:ascii="Courier New" w:cs="Courier New" w:eastAsia="Courier New" w:hAnsi="Courier New"/>
          <w:sz w:val="12"/>
          <w:szCs w:val="12"/>
          <w:color w:val="auto"/>
        </w:rPr>
        <w:t>deemed part of a group of borrowers comprised of the Ofer Brothers</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Group, TIC, and other companies which are also included in such group</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of borrowers pursuant to the directive, including companies under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control or deemed control of these entities. The directive provides</w:t>
      </w:r>
    </w:p>
    <w:p>
      <w:pPr>
        <w:ind w:left="700"/>
        <w:spacing w:after="0"/>
        <w:rPr>
          <w:sz w:val="20"/>
          <w:szCs w:val="20"/>
          <w:color w:val="auto"/>
        </w:rPr>
      </w:pPr>
      <w:r>
        <w:rPr>
          <w:rFonts w:ascii="Courier New" w:cs="Courier New" w:eastAsia="Courier New" w:hAnsi="Courier New"/>
          <w:sz w:val="12"/>
          <w:szCs w:val="12"/>
          <w:color w:val="auto"/>
        </w:rPr>
        <w:t>for limits on amounts that banks may lend to borrowers or groups of</w:t>
      </w:r>
    </w:p>
    <w:p>
      <w:pPr>
        <w:ind w:left="700"/>
        <w:spacing w:after="0" w:line="237" w:lineRule="auto"/>
        <w:rPr>
          <w:sz w:val="20"/>
          <w:szCs w:val="20"/>
          <w:color w:val="auto"/>
        </w:rPr>
      </w:pPr>
      <w:r>
        <w:rPr>
          <w:rFonts w:ascii="Courier New" w:cs="Courier New" w:eastAsia="Courier New" w:hAnsi="Courier New"/>
          <w:sz w:val="12"/>
          <w:szCs w:val="12"/>
          <w:color w:val="auto"/>
        </w:rPr>
        <w:t>borrowers. Should the Company's Banks exceed these limitations, they</w:t>
      </w:r>
    </w:p>
    <w:p>
      <w:pPr>
        <w:ind w:left="700"/>
        <w:spacing w:after="0"/>
        <w:rPr>
          <w:sz w:val="20"/>
          <w:szCs w:val="20"/>
          <w:color w:val="auto"/>
        </w:rPr>
      </w:pPr>
      <w:r>
        <w:rPr>
          <w:rFonts w:ascii="Courier New" w:cs="Courier New" w:eastAsia="Courier New" w:hAnsi="Courier New"/>
          <w:sz w:val="12"/>
          <w:szCs w:val="12"/>
          <w:color w:val="auto"/>
        </w:rPr>
        <w:t>may limit the Company's ability to borrow other money in the future</w:t>
      </w:r>
    </w:p>
    <w:p>
      <w:pPr>
        <w:ind w:left="700"/>
        <w:spacing w:after="0" w:line="237" w:lineRule="auto"/>
        <w:rPr>
          <w:sz w:val="20"/>
          <w:szCs w:val="20"/>
          <w:color w:val="auto"/>
        </w:rPr>
      </w:pPr>
      <w:r>
        <w:rPr>
          <w:rFonts w:ascii="Courier New" w:cs="Courier New" w:eastAsia="Courier New" w:hAnsi="Courier New"/>
          <w:sz w:val="12"/>
          <w:szCs w:val="12"/>
          <w:color w:val="auto"/>
        </w:rPr>
        <w:t>and may require the Company to return some or all of the outstanding</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borrowings (which were approximately $369,000 as of the approval date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of the financial statements). As of the approval date of the financial</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statements, the Company had received no such request.</w:t>
      </w:r>
    </w:p>
    <w:p>
      <w:pPr>
        <w:spacing w:after="0" w:line="134" w:lineRule="exact"/>
        <w:rPr>
          <w:sz w:val="20"/>
          <w:szCs w:val="20"/>
          <w:color w:val="auto"/>
        </w:rPr>
      </w:pPr>
    </w:p>
    <w:p>
      <w:pPr>
        <w:ind w:left="700" w:hanging="357"/>
        <w:spacing w:after="0"/>
        <w:tabs>
          <w:tab w:leader="none" w:pos="700"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COMMITMENTS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2006. In regard to investment center grants see Note 11A(8).</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w:t>
      </w:r>
    </w:p>
    <w:p>
      <w:pPr>
        <w:spacing w:after="0" w:line="134" w:lineRule="exact"/>
        <w:rPr>
          <w:sz w:val="20"/>
          <w:szCs w:val="20"/>
          <w:color w:val="auto"/>
        </w:rPr>
      </w:pPr>
    </w:p>
    <w:p>
      <w:pPr>
        <w:ind w:left="700" w:hanging="357"/>
        <w:spacing w:after="0"/>
        <w:tabs>
          <w:tab w:leader="none" w:pos="700"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DESCRIPTION OF ORDINARY SHARES</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As of December 31, 2006 and 2005, the Company had 800,000,000 and 500,000,000 authorized Ordinary Shares, respectively, par value NIS 1.00 each, of which 100,752,767 and 66,932,056, respectively, were issued and outstanding (net of 1,300,000 Ordinary Shares held by the Company as of such dates). As of the balance sheet date, there were 214,920,136 Ordinary Shares of the Company contingently issuable. This amount includes Ordinary Shares to be issued under various agreements according to their provisions related certain Wafer Partners, see Note 11A(3), Equity Investor warrants, see B(5)(b) below the exercise of outstanding warrants, see J and K below, or options granted to employees and non-employees, see B(1) below, the conversion of all outstanding convertible debentures, see Note 9 above and the exercise of all capital notes, see C below. 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25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w:t>
      </w:r>
    </w:p>
    <w:p>
      <w:pPr>
        <w:spacing w:after="0" w:line="139" w:lineRule="exact"/>
        <w:rPr>
          <w:rFonts w:ascii="Courier New" w:cs="Courier New" w:eastAsia="Courier New" w:hAnsi="Courier New"/>
          <w:sz w:val="12"/>
          <w:szCs w:val="12"/>
          <w:color w:val="auto"/>
        </w:rPr>
      </w:pPr>
    </w:p>
    <w:p>
      <w:pPr>
        <w:ind w:left="1400" w:right="4619" w:hanging="354"/>
        <w:spacing w:after="0" w:line="237" w:lineRule="auto"/>
        <w:tabs>
          <w:tab w:leader="none" w:pos="1400" w:val="left"/>
        </w:tabs>
        <w:numPr>
          <w:ilvl w:val="2"/>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 The Company has granted to its employees options to purchase its Ordinary Shares under several option plans adopted by the Company since 1995. The particular provisions of each plan and grant vary as to vesting period, exercise price, exercise period and other terms. Generally, the options are granted at an exercise price which equals the market value of the Ordinary Shares at the date of grant; vest over a three to four-year period according to various vesting schedules; and are not exercisable beyond ten years from the grant date.</w:t>
      </w:r>
    </w:p>
    <w:p>
      <w:pPr>
        <w:spacing w:after="0" w:line="143" w:lineRule="exact"/>
        <w:rPr>
          <w:rFonts w:ascii="Courier New" w:cs="Courier New" w:eastAsia="Courier New" w:hAnsi="Courier New"/>
          <w:sz w:val="12"/>
          <w:szCs w:val="12"/>
          <w:color w:val="auto"/>
        </w:rPr>
      </w:pPr>
    </w:p>
    <w:p>
      <w:pPr>
        <w:ind w:left="1400" w:right="4619" w:hanging="354"/>
        <w:spacing w:after="0" w:line="260" w:lineRule="auto"/>
        <w:tabs>
          <w:tab w:leader="none" w:pos="1400" w:val="left"/>
        </w:tabs>
        <w:numPr>
          <w:ilvl w:val="2"/>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OPTIONS TO THE NEW CHAIRMAN OF THE COMPANY'S BOARD OF DIRECTORS - In December 2006, the Audit Committee and Board of Directors of the Company approved the appointment of a new Chairman to the Board of Directors of the Company and approved to grant him options to purchase 3,158,090 Ordinary Shares of the Company, which constituted one per cent (1.0%) of the Company's issued and outstanding share capital on a fully diluted basis as of December 20, 2006, the date the Board of Directors approved the grant. The exercise price is $1.88, which was the closing price of the Company's Ordinary Shares on the NASDAQ Global Market on the trading day immediately prior to the date of approval of the grant by the Shareholders of the Company. The options shall vest over 4 years as follows: 25% will vest on the 12 month anniversary of the shareholders approval date and 6.25% will vest on each 3 month anniversary of the first vesting date until fully vested. The options grant to the new chairman of the Board of Directors was approved by the Shareholders of the Company in January 2007. As of December 31, 2006, no compensation expense was incurred by the Company in connection with the option grant.</w:t>
      </w: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9" w:lineRule="exact"/>
        <w:rPr>
          <w:rFonts w:ascii="Courier New" w:cs="Courier New" w:eastAsia="Courier New" w:hAnsi="Courier New"/>
          <w:sz w:val="12"/>
          <w:szCs w:val="12"/>
          <w:color w:val="auto"/>
        </w:rPr>
      </w:pPr>
    </w:p>
    <w:p>
      <w:pPr>
        <w:ind w:left="1400" w:right="4619" w:hanging="354"/>
        <w:spacing w:after="0" w:line="261" w:lineRule="auto"/>
        <w:tabs>
          <w:tab w:leader="none" w:pos="1400" w:val="left"/>
        </w:tabs>
        <w:numPr>
          <w:ilvl w:val="2"/>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OPTIONS TO THE COMPANY'S CHIEF EXECUTIVE OFFICER AND DIRECTOR - In April 2005, the Company's Board of Directors approved the grant of options to purchase up to 1,325,724 Ordinary Shares to the Company's Chief Executive Officer ("CEO"), who also serves as a director, which was further approved by the Company's shareholders in October 2005. These options are exercisable at an exercise price of $1.56, which was the closing market price of the Company's shares on the last trading day prior to the board approval of the grant. These options will vest over a four-year period, with 25% vesting over each year of employment. The options granted are exercisable for a period of ten years from the</w:t>
      </w:r>
    </w:p>
    <w:p>
      <w:pPr>
        <w:sectPr>
          <w:pgSz w:w="11900" w:h="16838" w:orient="portrait"/>
          <w:cols w:equalWidth="0" w:num="1">
            <w:col w:w="10239"/>
          </w:cols>
          <w:pgMar w:left="220" w:top="137" w:right="1440" w:bottom="0" w:gutter="0" w:footer="0" w:header="0"/>
        </w:sectPr>
      </w:pPr>
    </w:p>
    <w:bookmarkStart w:id="26" w:name="page27"/>
    <w:bookmarkEnd w:id="26"/>
    <w:p>
      <w:pPr>
        <w:ind w:left="1400"/>
        <w:spacing w:after="0"/>
        <w:rPr>
          <w:sz w:val="20"/>
          <w:szCs w:val="20"/>
          <w:color w:val="auto"/>
        </w:rPr>
      </w:pPr>
      <w:r>
        <w:rPr>
          <w:rFonts w:ascii="Courier New" w:cs="Courier New" w:eastAsia="Courier New" w:hAnsi="Courier New"/>
          <w:sz w:val="12"/>
          <w:szCs w:val="12"/>
          <w:color w:val="auto"/>
        </w:rPr>
        <w:t>date of grant.</w:t>
      </w:r>
    </w:p>
    <w:p>
      <w:pPr>
        <w:spacing w:after="0" w:line="134"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In May 2006, the Company's Audit Committee and Board of</w:t>
      </w:r>
    </w:p>
    <w:p>
      <w:pPr>
        <w:ind w:left="1400"/>
        <w:spacing w:after="0"/>
        <w:rPr>
          <w:sz w:val="20"/>
          <w:szCs w:val="20"/>
          <w:color w:val="auto"/>
        </w:rPr>
      </w:pPr>
      <w:r>
        <w:rPr>
          <w:rFonts w:ascii="Courier New" w:cs="Courier New" w:eastAsia="Courier New" w:hAnsi="Courier New"/>
          <w:sz w:val="12"/>
          <w:szCs w:val="12"/>
          <w:color w:val="auto"/>
        </w:rPr>
        <w:t>Directors approved the grant of options to the CEO, in</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addition to the options granted to him in 2005, such that in</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total, the CEO will hold options to purchase shares that</w:t>
      </w:r>
    </w:p>
    <w:p>
      <w:pPr>
        <w:ind w:left="1400"/>
        <w:spacing w:after="0"/>
        <w:rPr>
          <w:sz w:val="20"/>
          <w:szCs w:val="20"/>
          <w:color w:val="auto"/>
        </w:rPr>
      </w:pPr>
      <w:r>
        <w:rPr>
          <w:rFonts w:ascii="Courier New" w:cs="Courier New" w:eastAsia="Courier New" w:hAnsi="Courier New"/>
          <w:sz w:val="12"/>
          <w:szCs w:val="12"/>
          <w:color w:val="auto"/>
        </w:rPr>
        <w:t>represent 4% of the Company's shares on a fully diluted</w:t>
      </w:r>
    </w:p>
    <w:p>
      <w:pPr>
        <w:ind w:left="1400"/>
        <w:spacing w:after="0" w:line="237" w:lineRule="auto"/>
        <w:rPr>
          <w:sz w:val="20"/>
          <w:szCs w:val="20"/>
          <w:color w:val="auto"/>
        </w:rPr>
      </w:pPr>
      <w:r>
        <w:rPr>
          <w:rFonts w:ascii="Courier New" w:cs="Courier New" w:eastAsia="Courier New" w:hAnsi="Courier New"/>
          <w:sz w:val="12"/>
          <w:szCs w:val="12"/>
          <w:color w:val="auto"/>
        </w:rPr>
        <w:t>basis during the two-year period from the approval of the</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Audit Committee. The exercise price of the initial grant of</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the additional options was $1.45, the 90-day average closing</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price of the Company's shares prior to the Board of</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Directors' approval. In future dilutive events following May</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2006, additional options will be granted to the CEO with an</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exercise price equal to the price per share of the newly</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issued securities. Under certain circumstances, the exercise</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price will equal the 30-day average closing price of the</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Company's shares prior to the dilutive event. The additional</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options granted during the two-year period, will vest in</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equal amounts over 4 years of employment commencing from May</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2006. Any decrease in the Company's shares on a fully</w:t>
      </w:r>
    </w:p>
    <w:p>
      <w:pPr>
        <w:ind w:left="1400"/>
        <w:spacing w:after="0"/>
        <w:rPr>
          <w:sz w:val="20"/>
          <w:szCs w:val="20"/>
          <w:color w:val="auto"/>
        </w:rPr>
      </w:pPr>
      <w:r>
        <w:rPr>
          <w:rFonts w:ascii="Courier New" w:cs="Courier New" w:eastAsia="Courier New" w:hAnsi="Courier New"/>
          <w:sz w:val="12"/>
          <w:szCs w:val="12"/>
          <w:color w:val="auto"/>
        </w:rPr>
        <w:t>diluted basis during the two-year period from the approval</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of the Audit Committee will be followed by the cancellation</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of the corresponding options granted to the CEO. The options</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will be exercisable for a period of 10 years from the date</w:t>
      </w:r>
    </w:p>
    <w:p>
      <w:pPr>
        <w:ind w:left="1400"/>
        <w:spacing w:after="0"/>
        <w:rPr>
          <w:sz w:val="20"/>
          <w:szCs w:val="20"/>
          <w:color w:val="auto"/>
        </w:rPr>
      </w:pPr>
      <w:r>
        <w:rPr>
          <w:rFonts w:ascii="Courier New" w:cs="Courier New" w:eastAsia="Courier New" w:hAnsi="Courier New"/>
          <w:sz w:val="12"/>
          <w:szCs w:val="12"/>
          <w:color w:val="auto"/>
        </w:rPr>
        <w:t>of grant. No additional options will be granted under the</w:t>
      </w:r>
    </w:p>
    <w:p>
      <w:pPr>
        <w:ind w:left="1400"/>
        <w:spacing w:after="0" w:line="237" w:lineRule="auto"/>
        <w:rPr>
          <w:sz w:val="20"/>
          <w:szCs w:val="20"/>
          <w:color w:val="auto"/>
        </w:rPr>
      </w:pPr>
      <w:r>
        <w:rPr>
          <w:rFonts w:ascii="Courier New" w:cs="Courier New" w:eastAsia="Courier New" w:hAnsi="Courier New"/>
          <w:sz w:val="12"/>
          <w:szCs w:val="12"/>
          <w:color w:val="auto"/>
        </w:rPr>
        <w:t>CEO's 2005 option arrangement, which was approved by the</w:t>
      </w:r>
    </w:p>
    <w:p>
      <w:pPr>
        <w:ind w:left="1400"/>
        <w:spacing w:after="0"/>
        <w:rPr>
          <w:sz w:val="20"/>
          <w:szCs w:val="20"/>
          <w:color w:val="auto"/>
        </w:rPr>
      </w:pPr>
      <w:r>
        <w:rPr>
          <w:rFonts w:ascii="Courier New" w:cs="Courier New" w:eastAsia="Courier New" w:hAnsi="Courier New"/>
          <w:sz w:val="12"/>
          <w:szCs w:val="12"/>
          <w:color w:val="auto"/>
        </w:rPr>
        <w:t>Company's shareholders in October 2005. The new grant of</w:t>
      </w:r>
    </w:p>
    <w:p>
      <w:pPr>
        <w:ind w:left="1400"/>
        <w:spacing w:after="0" w:line="237" w:lineRule="auto"/>
        <w:rPr>
          <w:sz w:val="20"/>
          <w:szCs w:val="20"/>
          <w:color w:val="auto"/>
        </w:rPr>
      </w:pPr>
      <w:r>
        <w:rPr>
          <w:rFonts w:ascii="Courier New" w:cs="Courier New" w:eastAsia="Courier New" w:hAnsi="Courier New"/>
          <w:sz w:val="12"/>
          <w:szCs w:val="12"/>
          <w:color w:val="auto"/>
        </w:rPr>
        <w:t>options and its terms were approved by the Company's</w:t>
      </w:r>
    </w:p>
    <w:p>
      <w:pPr>
        <w:ind w:left="1400"/>
        <w:spacing w:after="0"/>
        <w:rPr>
          <w:sz w:val="20"/>
          <w:szCs w:val="20"/>
          <w:color w:val="auto"/>
        </w:rPr>
      </w:pPr>
      <w:r>
        <w:rPr>
          <w:rFonts w:ascii="Courier New" w:cs="Courier New" w:eastAsia="Courier New" w:hAnsi="Courier New"/>
          <w:sz w:val="12"/>
          <w:szCs w:val="12"/>
          <w:color w:val="auto"/>
        </w:rPr>
        <w:t>shareholders in September 2006. As of the balance sheet</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date, a total of 12,714,657 options were outstanding to the</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CEO. The cost of the total options granted to the CEO was</w:t>
      </w:r>
    </w:p>
    <w:p>
      <w:pPr>
        <w:ind w:left="1400"/>
        <w:spacing w:after="0"/>
        <w:rPr>
          <w:sz w:val="20"/>
          <w:szCs w:val="20"/>
          <w:color w:val="auto"/>
        </w:rPr>
      </w:pPr>
      <w:r>
        <w:rPr>
          <w:rFonts w:ascii="Courier New" w:cs="Courier New" w:eastAsia="Courier New" w:hAnsi="Courier New"/>
          <w:sz w:val="12"/>
          <w:szCs w:val="12"/>
          <w:color w:val="auto"/>
        </w:rPr>
        <w:t>determined based on the fair value at the grant dates in</w:t>
      </w:r>
    </w:p>
    <w:p>
      <w:pPr>
        <w:ind w:left="1400"/>
        <w:spacing w:after="0" w:line="237" w:lineRule="auto"/>
        <w:rPr>
          <w:sz w:val="20"/>
          <w:szCs w:val="20"/>
          <w:color w:val="auto"/>
        </w:rPr>
      </w:pPr>
      <w:r>
        <w:rPr>
          <w:rFonts w:ascii="Courier New" w:cs="Courier New" w:eastAsia="Courier New" w:hAnsi="Courier New"/>
          <w:sz w:val="12"/>
          <w:szCs w:val="12"/>
          <w:color w:val="auto"/>
        </w:rPr>
        <w:t>accordance with Standard No. 24 and amounted to $10,309.</w:t>
      </w:r>
    </w:p>
    <w:p>
      <w:pPr>
        <w:ind w:left="1400"/>
        <w:spacing w:after="0"/>
        <w:rPr>
          <w:sz w:val="20"/>
          <w:szCs w:val="20"/>
          <w:color w:val="auto"/>
        </w:rPr>
      </w:pPr>
      <w:r>
        <w:rPr>
          <w:rFonts w:ascii="Courier New" w:cs="Courier New" w:eastAsia="Courier New" w:hAnsi="Courier New"/>
          <w:sz w:val="12"/>
          <w:szCs w:val="12"/>
          <w:color w:val="auto"/>
        </w:rPr>
        <w:t>Such amount is expensed on an accelerated basis over the</w:t>
      </w:r>
    </w:p>
    <w:p>
      <w:pPr>
        <w:ind w:left="1400"/>
        <w:spacing w:after="0" w:line="237" w:lineRule="auto"/>
        <w:rPr>
          <w:sz w:val="20"/>
          <w:szCs w:val="20"/>
          <w:color w:val="auto"/>
        </w:rPr>
      </w:pPr>
      <w:r>
        <w:rPr>
          <w:rFonts w:ascii="Courier New" w:cs="Courier New" w:eastAsia="Courier New" w:hAnsi="Courier New"/>
          <w:sz w:val="12"/>
          <w:szCs w:val="12"/>
          <w:color w:val="auto"/>
        </w:rPr>
        <w:t>vesting periods of the options.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9" w:lineRule="exact"/>
        <w:rPr>
          <w:rFonts w:ascii="Courier New" w:cs="Courier New" w:eastAsia="Courier New" w:hAnsi="Courier New"/>
          <w:sz w:val="12"/>
          <w:szCs w:val="12"/>
          <w:color w:val="auto"/>
        </w:rPr>
      </w:pPr>
    </w:p>
    <w:p>
      <w:pPr>
        <w:ind w:left="1400" w:right="4619" w:hanging="354"/>
        <w:spacing w:after="0" w:line="238" w:lineRule="auto"/>
        <w:tabs>
          <w:tab w:leader="none" w:pos="1400" w:val="left"/>
        </w:tabs>
        <w:numPr>
          <w:ilvl w:val="2"/>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OPTIONS - In May 2006, the Company's board of directors approved a plan to offer each of the Company's employees the opportunity to exchange their existing options to purchase Ordinary Shares for new options with an exercise price of $1.45, which is the average closing price of the Company's shares on the NASDAQ during the 90 consecutive trading days prior to the board of directors' approval. Accordingly 4,299,250 options were exchanged. The new options were granted based on terms similar to the existing employee option plan with new vesting periods, starting May 2006. The cost of the new options was determined based on the fair value at the grant dates in accordance with Standard No. 24 and amounted to $1,726. Such amount is amortized as an expense on an accelerated basis over the vesting periods of the new options.</w:t>
      </w:r>
    </w:p>
    <w:p>
      <w:pPr>
        <w:spacing w:after="0" w:line="139"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Board of Directors further approved that if the total number of employee options, including the options to the CEO, during the two-year period from May 2006 will represent less than 8% of the Company's shares on a fully diluted basis, additional options will be allocated for grants to the Company's employees. As of the balance sheet date, approximately 2,195,000 options are reserved for future grant of options to employees.</w:t>
      </w:r>
    </w:p>
    <w:p>
      <w:pPr>
        <w:spacing w:after="0" w:line="142" w:lineRule="exact"/>
        <w:rPr>
          <w:rFonts w:ascii="Courier New" w:cs="Courier New" w:eastAsia="Courier New" w:hAnsi="Courier New"/>
          <w:sz w:val="12"/>
          <w:szCs w:val="12"/>
          <w:color w:val="auto"/>
        </w:rPr>
      </w:pPr>
    </w:p>
    <w:p>
      <w:pPr>
        <w:ind w:left="1400" w:right="4619" w:hanging="354"/>
        <w:spacing w:after="0" w:line="261" w:lineRule="auto"/>
        <w:tabs>
          <w:tab w:leader="none" w:pos="1400" w:val="left"/>
        </w:tabs>
        <w:numPr>
          <w:ilvl w:val="2"/>
          <w:numId w:val="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OPTIONS GRANTED TO DIRECTORS - During 2001, the Audit Committee, the Board of Directors of the Company and the shareholders of the Company approved a stock option plan pursuant to which certain of the Company's directors will be granted options to purchase up to 400,000 Ordinary Shares of the Company (40,000 to each eligible director appointed to the Board of Directors) at an exercise price equal to the market price of the Company's shares on the grant dates. In accordance with this option plan, 40,000 options were granted in 2006 to one director who was appointed in 2006 at exercise prices of $1.47, which equals the market price of the Company's shares on the grant date. As of both December 31, 2006 and December 31, 2005, 280,000 options were outstanding under the plan with a weighted average exercise price of $4.33 and $5.39, respectively.</w:t>
      </w:r>
    </w:p>
    <w:p>
      <w:pPr>
        <w:spacing w:after="0" w:line="128" w:lineRule="exact"/>
        <w:rPr>
          <w:rFonts w:ascii="Courier New" w:cs="Courier New" w:eastAsia="Courier New" w:hAnsi="Courier New"/>
          <w:sz w:val="11"/>
          <w:szCs w:val="11"/>
          <w:color w:val="auto"/>
        </w:rPr>
      </w:pPr>
    </w:p>
    <w:p>
      <w:pPr>
        <w:ind w:left="1400" w:right="469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Options granted under the plan vest over a four-year period according to various vesting schedules, and generally may not be exercised beyond five years from the date they first become exercisable. So long as the Independent Directors Option Plan described below remains in effect, no new independent director, following January 2007, will be entitled to receive options under the 2001 director options plan.</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4" w:lineRule="exact"/>
        <w:rPr>
          <w:rFonts w:ascii="Courier New" w:cs="Courier New" w:eastAsia="Courier New" w:hAnsi="Courier New"/>
          <w:sz w:val="12"/>
          <w:szCs w:val="12"/>
          <w:color w:val="auto"/>
        </w:rPr>
      </w:pPr>
    </w:p>
    <w:p>
      <w:pPr>
        <w:ind w:left="1400" w:hanging="354"/>
        <w:spacing w:after="0"/>
        <w:tabs>
          <w:tab w:leader="none" w:pos="1400" w:val="left"/>
        </w:tabs>
        <w:numPr>
          <w:ilvl w:val="2"/>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GRANTED TO DIRECTORS (CONT.)</w:t>
      </w:r>
    </w:p>
    <w:p>
      <w:pPr>
        <w:spacing w:after="0" w:line="138" w:lineRule="exact"/>
        <w:rPr>
          <w:rFonts w:ascii="Courier New" w:cs="Courier New" w:eastAsia="Courier New" w:hAnsi="Courier New"/>
          <w:sz w:val="12"/>
          <w:szCs w:val="12"/>
          <w:color w:val="auto"/>
        </w:rPr>
      </w:pPr>
    </w:p>
    <w:p>
      <w:pPr>
        <w:ind w:left="1400" w:right="469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addition, during 2000 and 2001, the Audit Committee, the Board of Directors of the Company and the shareholders of</w:t>
      </w:r>
    </w:p>
    <w:p>
      <w:pPr>
        <w:sectPr>
          <w:pgSz w:w="11900" w:h="16838" w:orient="portrait"/>
          <w:cols w:equalWidth="0" w:num="1">
            <w:col w:w="10239"/>
          </w:cols>
          <w:pgMar w:left="220" w:top="137" w:right="1440" w:bottom="0" w:gutter="0" w:footer="0" w:header="0"/>
        </w:sectPr>
      </w:pPr>
    </w:p>
    <w:bookmarkStart w:id="27" w:name="page28"/>
    <w:bookmarkEnd w:id="27"/>
    <w:p>
      <w:pPr>
        <w:ind w:left="1400"/>
        <w:spacing w:after="0"/>
        <w:rPr>
          <w:sz w:val="20"/>
          <w:szCs w:val="20"/>
          <w:color w:val="auto"/>
        </w:rPr>
      </w:pPr>
      <w:r>
        <w:rPr>
          <w:rFonts w:ascii="Courier New" w:cs="Courier New" w:eastAsia="Courier New" w:hAnsi="Courier New"/>
          <w:sz w:val="12"/>
          <w:szCs w:val="12"/>
          <w:color w:val="auto"/>
        </w:rPr>
        <w:t>the Company approved the grant to a director of the Company</w:t>
      </w:r>
    </w:p>
    <w:p>
      <w:pPr>
        <w:ind w:left="1400"/>
        <w:spacing w:after="0"/>
        <w:rPr>
          <w:sz w:val="20"/>
          <w:szCs w:val="20"/>
          <w:color w:val="auto"/>
        </w:rPr>
      </w:pPr>
      <w:r>
        <w:rPr>
          <w:rFonts w:ascii="Courier New" w:cs="Courier New" w:eastAsia="Courier New" w:hAnsi="Courier New"/>
          <w:sz w:val="12"/>
          <w:szCs w:val="12"/>
          <w:color w:val="auto"/>
        </w:rPr>
        <w:t>options to purchase up to 50,000 and 21,500 Ordinary Shares,</w:t>
      </w:r>
    </w:p>
    <w:p>
      <w:pPr>
        <w:ind w:left="1400"/>
        <w:spacing w:after="0" w:line="237" w:lineRule="auto"/>
        <w:rPr>
          <w:sz w:val="20"/>
          <w:szCs w:val="20"/>
          <w:color w:val="auto"/>
        </w:rPr>
      </w:pPr>
      <w:r>
        <w:rPr>
          <w:rFonts w:ascii="Courier New" w:cs="Courier New" w:eastAsia="Courier New" w:hAnsi="Courier New"/>
          <w:sz w:val="12"/>
          <w:szCs w:val="12"/>
          <w:color w:val="auto"/>
        </w:rPr>
        <w:t>respectively, of the Company at an exercise price of $20.00</w:t>
      </w:r>
    </w:p>
    <w:p>
      <w:pPr>
        <w:ind w:left="1400"/>
        <w:spacing w:after="0"/>
        <w:rPr>
          <w:sz w:val="20"/>
          <w:szCs w:val="20"/>
          <w:color w:val="auto"/>
        </w:rPr>
      </w:pPr>
      <w:r>
        <w:rPr>
          <w:rFonts w:ascii="Courier New" w:cs="Courier New" w:eastAsia="Courier New" w:hAnsi="Courier New"/>
          <w:sz w:val="12"/>
          <w:szCs w:val="12"/>
          <w:color w:val="auto"/>
        </w:rPr>
        <w:t>and $10.75, respectively, per share, the market price of the</w:t>
      </w:r>
    </w:p>
    <w:p>
      <w:pPr>
        <w:ind w:left="1400"/>
        <w:spacing w:after="0" w:line="237" w:lineRule="auto"/>
        <w:rPr>
          <w:sz w:val="20"/>
          <w:szCs w:val="20"/>
          <w:color w:val="auto"/>
        </w:rPr>
      </w:pPr>
      <w:r>
        <w:rPr>
          <w:rFonts w:ascii="Courier New" w:cs="Courier New" w:eastAsia="Courier New" w:hAnsi="Courier New"/>
          <w:sz w:val="12"/>
          <w:szCs w:val="12"/>
          <w:color w:val="auto"/>
        </w:rPr>
        <w:t>Company's shares on the dates of grant. The options were</w:t>
      </w:r>
    </w:p>
    <w:p>
      <w:pPr>
        <w:ind w:left="1400"/>
        <w:spacing w:after="0"/>
        <w:rPr>
          <w:sz w:val="20"/>
          <w:szCs w:val="20"/>
          <w:color w:val="auto"/>
        </w:rPr>
      </w:pPr>
      <w:r>
        <w:rPr>
          <w:rFonts w:ascii="Courier New" w:cs="Courier New" w:eastAsia="Courier New" w:hAnsi="Courier New"/>
          <w:sz w:val="12"/>
          <w:szCs w:val="12"/>
          <w:color w:val="auto"/>
        </w:rPr>
        <w:t>exercisable for a period of three years from the date on</w:t>
      </w:r>
    </w:p>
    <w:p>
      <w:pPr>
        <w:ind w:left="1400"/>
        <w:spacing w:after="0" w:line="237" w:lineRule="auto"/>
        <w:rPr>
          <w:sz w:val="20"/>
          <w:szCs w:val="20"/>
          <w:color w:val="auto"/>
        </w:rPr>
      </w:pPr>
      <w:r>
        <w:rPr>
          <w:rFonts w:ascii="Courier New" w:cs="Courier New" w:eastAsia="Courier New" w:hAnsi="Courier New"/>
          <w:sz w:val="12"/>
          <w:szCs w:val="12"/>
          <w:color w:val="auto"/>
        </w:rPr>
        <w:t>which they have become vested. As of December 31, 2006, all</w:t>
      </w:r>
    </w:p>
    <w:p>
      <w:pPr>
        <w:ind w:left="1400"/>
        <w:spacing w:after="0"/>
        <w:rPr>
          <w:sz w:val="20"/>
          <w:szCs w:val="20"/>
          <w:color w:val="auto"/>
        </w:rPr>
      </w:pPr>
      <w:r>
        <w:rPr>
          <w:rFonts w:ascii="Courier New" w:cs="Courier New" w:eastAsia="Courier New" w:hAnsi="Courier New"/>
          <w:sz w:val="12"/>
          <w:szCs w:val="12"/>
          <w:color w:val="auto"/>
        </w:rPr>
        <w:t>the options expired.</w:t>
      </w:r>
    </w:p>
    <w:p>
      <w:pPr>
        <w:spacing w:after="0" w:line="138" w:lineRule="exact"/>
        <w:rPr>
          <w:sz w:val="20"/>
          <w:szCs w:val="20"/>
          <w:color w:val="auto"/>
        </w:rPr>
      </w:pPr>
    </w:p>
    <w:p>
      <w:pPr>
        <w:ind w:left="1400" w:right="4619" w:hanging="354"/>
        <w:spacing w:after="0" w:line="238" w:lineRule="auto"/>
        <w:tabs>
          <w:tab w:leader="none" w:pos="1400"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INDEPENDENT DIRECTORS OPTION PLAN - In November 2006, the Company's Board of Directors approved, following the approval by the Audit Committee, the grant to each independent director options to purchase Ordinary Shares ("Initial Options") that shall equal 150,000 less the number of options to purchase Ordinary Shares held by such independent director as of January 31, 2007, the date the shareholders approved the grant (the "Initial Grant Date") and which, as of the Initial Grant Date, have not vested. The Initial Options shall vest over 3 years, one third will vest on the 12 month anniversary of the Initial Grant Date, and thereafter, the remaining two thirds will vest on a monthly basis until fully vested. The exercise price per Initial Option is $1.88, which was the closing price of the Company's Ordinary Shares on the NASDAQ on the trading day immediately prior to the Initial Grant Date. As of December 31, 2006 no compensation expense was incurred by the Company.</w:t>
      </w:r>
    </w:p>
    <w:p>
      <w:pPr>
        <w:spacing w:after="0" w:line="140"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Each new independent director appointed after the Initial Grant Date shall be granted 150,000 options to purchase Ordinary Shares ("Subsequent Options"), which, shall vest over 3 years, one third on the 12 month anniversary of the date on which such independent director shall have served on the Board of Directors of the Company, the remaining two thirds will vest on a monthly basis until fully vested. The exercise price per Subsequent Option shall be the closing price of the Company's Ordinary Shares on the NASDAQ on the trading day immediately prior to the relevant date of appointment.</w:t>
      </w:r>
    </w:p>
    <w:p>
      <w:pPr>
        <w:spacing w:after="0" w:line="144"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Upon each 36 month anniversary of a previous grant of options to an independent director (each a "Tenure Grant Date"), each such independent director shall be granted an additional 150,000 options to purchase Ordinary Shares ("Tenure Options"), which will vest over 3 years on a monthly basis until fully vested. The exercise price per Tenure Option shall be the closing price of the Company's Ordinary Shares on the NASDAQ on the trading day immediately prior to the relevant Tenure Grant Date.</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4" w:lineRule="exact"/>
        <w:rPr>
          <w:rFonts w:ascii="Courier New" w:cs="Courier New" w:eastAsia="Courier New" w:hAnsi="Courier New"/>
          <w:sz w:val="12"/>
          <w:szCs w:val="12"/>
          <w:color w:val="auto"/>
        </w:rPr>
      </w:pPr>
    </w:p>
    <w:p>
      <w:pPr>
        <w:ind w:left="1400" w:hanging="354"/>
        <w:spacing w:after="0"/>
        <w:tabs>
          <w:tab w:leader="none" w:pos="1400" w:val="left"/>
        </w:tabs>
        <w:numPr>
          <w:ilvl w:val="2"/>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INDEPENDENT DIRECTORS OPTION PLAN (CONT.)</w:t>
      </w:r>
    </w:p>
    <w:p>
      <w:pPr>
        <w:spacing w:after="0" w:line="138"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certain conditions, the Initial Options, Subsequent Options and Tenure Options that have vested shall be exercisable by an Independent Director for a period of ten years following the date on which the Initial Options, Subsequent Options or Tenure Options, as the case may be, first vested.</w:t>
      </w:r>
    </w:p>
    <w:p>
      <w:pPr>
        <w:spacing w:after="0" w:line="140" w:lineRule="exact"/>
        <w:rPr>
          <w:rFonts w:ascii="Courier New" w:cs="Courier New" w:eastAsia="Courier New" w:hAnsi="Courier New"/>
          <w:sz w:val="12"/>
          <w:szCs w:val="12"/>
          <w:color w:val="auto"/>
        </w:rPr>
      </w:pPr>
    </w:p>
    <w:p>
      <w:pPr>
        <w:ind w:left="14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So long as this option plan remains in effect, no future grants will be made to independent directors under the plan described in (1)(e) above.</w:t>
      </w:r>
    </w:p>
    <w:p>
      <w:pPr>
        <w:spacing w:after="0" w:line="139" w:lineRule="exact"/>
        <w:rPr>
          <w:rFonts w:ascii="Courier New" w:cs="Courier New" w:eastAsia="Courier New" w:hAnsi="Courier New"/>
          <w:sz w:val="12"/>
          <w:szCs w:val="12"/>
          <w:color w:val="auto"/>
        </w:rPr>
      </w:pPr>
    </w:p>
    <w:p>
      <w:pPr>
        <w:ind w:left="1400" w:right="4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independent directors' option plan was approved by the shareholders of the Company in January 2007.</w:t>
      </w:r>
    </w:p>
    <w:p>
      <w:pPr>
        <w:spacing w:after="0" w:line="139" w:lineRule="exact"/>
        <w:rPr>
          <w:rFonts w:ascii="Courier New" w:cs="Courier New" w:eastAsia="Courier New" w:hAnsi="Courier New"/>
          <w:sz w:val="12"/>
          <w:szCs w:val="12"/>
          <w:color w:val="auto"/>
        </w:rPr>
      </w:pPr>
    </w:p>
    <w:p>
      <w:pPr>
        <w:ind w:left="1400" w:right="4619" w:hanging="354"/>
        <w:spacing w:after="0" w:line="238" w:lineRule="auto"/>
        <w:tabs>
          <w:tab w:leader="none" w:pos="1400" w:val="left"/>
        </w:tabs>
        <w:numPr>
          <w:ilvl w:val="2"/>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EXPIRATION OF OPTIONS GRANTED TO THE COMPANY'S FORMER CHAIRMAN OF THE BOARD OF DIRECTORS AND CHIEF EXECUTIVE OFFICER - In March 2003, the Board of Directors of the Company approved a share option plan, which was approved by the Company's shareholders in May 2003, pursuant to which the Company's former Chairman of the Board of Directors and CEO was granted options to purchase up to 1,043,000 Ordinary Shares of the Company at an exercise price of $2.98, the average closing trading price for the Company's Ordinary Shares during the 30 consecutive trading days preceding the date of board approval of an amendment to the Fab 2 investment agreements. Due to his resignation in May 2005, 625,800 options granted to him were fully forfeited and 417,200 options were exercisable until May 2006. None were exercised.</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699" w:hanging="345"/>
        <w:spacing w:after="0" w:line="235" w:lineRule="auto"/>
        <w:tabs>
          <w:tab w:leader="none" w:pos="1040" w:val="left"/>
        </w:tabs>
        <w:numPr>
          <w:ilvl w:val="1"/>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SUMMARY OF THE STATUS OF ALL THE COMPANY'S EMPLOYEE AND DIRECTOR SHARE OPTIONS</w:t>
      </w:r>
    </w:p>
    <w:p>
      <w:pPr>
        <w:spacing w:after="0" w:line="139" w:lineRule="exact"/>
        <w:rPr>
          <w:rFonts w:ascii="Courier New" w:cs="Courier New" w:eastAsia="Courier New" w:hAnsi="Courier New"/>
          <w:sz w:val="12"/>
          <w:szCs w:val="12"/>
          <w:color w:val="auto"/>
        </w:rPr>
      </w:pPr>
    </w:p>
    <w:p>
      <w:pPr>
        <w:ind w:left="104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 summary of the status of all the Company's employee and director share option plans as of December 31, 2006, 2005 and 2004, as well as changes during each of the years then ended, is presented below (for options granted to the Banks, a related party and a consultant, see B(5) below):</w:t>
      </w:r>
    </w:p>
    <w:p>
      <w:pPr>
        <w:spacing w:after="0" w:line="135" w:lineRule="exact"/>
        <w:rPr>
          <w:sz w:val="20"/>
          <w:szCs w:val="20"/>
          <w:color w:val="auto"/>
        </w:rPr>
      </w:pPr>
    </w:p>
    <w:tbl>
      <w:tblPr>
        <w:tblLayout w:type="fixed"/>
        <w:tblInd w:w="1960" w:type="dxa"/>
        <w:tblCellMar>
          <w:top w:w="0" w:type="dxa"/>
          <w:left w:w="0" w:type="dxa"/>
          <w:bottom w:w="0" w:type="dxa"/>
          <w:right w:w="0" w:type="dxa"/>
        </w:tblCellMar>
      </w:tblPr>
      <w:tr>
        <w:trPr>
          <w:trHeight w:val="136"/>
        </w:trPr>
        <w:tc>
          <w:tcPr>
            <w:tcW w:w="2360" w:type="dxa"/>
            <w:vAlign w:val="bottom"/>
          </w:tcPr>
          <w:p>
            <w:pPr>
              <w:jc w:val="right"/>
              <w:ind w:right="1101"/>
              <w:spacing w:after="0"/>
              <w:rPr>
                <w:sz w:val="20"/>
                <w:szCs w:val="20"/>
                <w:color w:val="auto"/>
              </w:rPr>
            </w:pPr>
            <w:r>
              <w:rPr>
                <w:rFonts w:ascii="Courier New" w:cs="Courier New" w:eastAsia="Courier New" w:hAnsi="Courier New"/>
                <w:sz w:val="12"/>
                <w:szCs w:val="12"/>
                <w:color w:val="auto"/>
              </w:rPr>
              <w:t>2006</w:t>
            </w:r>
          </w:p>
        </w:tc>
        <w:tc>
          <w:tcPr>
            <w:tcW w:w="2600" w:type="dxa"/>
            <w:vAlign w:val="bottom"/>
          </w:tcPr>
          <w:p>
            <w:pPr>
              <w:jc w:val="right"/>
              <w:ind w:right="1101"/>
              <w:spacing w:after="0"/>
              <w:rPr>
                <w:sz w:val="20"/>
                <w:szCs w:val="20"/>
                <w:color w:val="auto"/>
              </w:rPr>
            </w:pPr>
            <w:r>
              <w:rPr>
                <w:rFonts w:ascii="Courier New" w:cs="Courier New" w:eastAsia="Courier New" w:hAnsi="Courier New"/>
                <w:sz w:val="12"/>
                <w:szCs w:val="12"/>
                <w:color w:val="auto"/>
              </w:rPr>
              <w:t>2005</w:t>
            </w:r>
          </w:p>
        </w:tc>
        <w:tc>
          <w:tcPr>
            <w:tcW w:w="2340" w:type="dxa"/>
            <w:vAlign w:val="bottom"/>
          </w:tcPr>
          <w:p>
            <w:pPr>
              <w:jc w:val="right"/>
              <w:ind w:right="92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236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6"/>
              </w:rPr>
              <w:t>------------------------------</w:t>
            </w:r>
          </w:p>
        </w:tc>
        <w:tc>
          <w:tcPr>
            <w:tcW w:w="26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0239"/>
          </w:cols>
          <w:pgMar w:left="220" w:top="137" w:right="1440"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3"/>
              </w:rPr>
              <w:t>Weighted</w:t>
            </w:r>
          </w:p>
        </w:tc>
        <w:tc>
          <w:tcPr>
            <w:tcW w:w="1340" w:type="dxa"/>
            <w:vAlign w:val="bottom"/>
          </w:tcPr>
          <w:p>
            <w:pPr>
              <w:spacing w:after="0"/>
              <w:rPr>
                <w:sz w:val="11"/>
                <w:szCs w:val="11"/>
                <w:color w:val="auto"/>
              </w:rPr>
            </w:pPr>
          </w:p>
        </w:tc>
        <w:tc>
          <w:tcPr>
            <w:tcW w:w="122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Weighted</w:t>
            </w:r>
          </w:p>
        </w:tc>
        <w:tc>
          <w:tcPr>
            <w:tcW w:w="1380" w:type="dxa"/>
            <w:vAlign w:val="bottom"/>
          </w:tcPr>
          <w:p>
            <w:pPr>
              <w:spacing w:after="0"/>
              <w:rPr>
                <w:sz w:val="11"/>
                <w:szCs w:val="11"/>
                <w:color w:val="auto"/>
              </w:rPr>
            </w:pPr>
          </w:p>
        </w:tc>
        <w:tc>
          <w:tcPr>
            <w:tcW w:w="112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Weighted</w:t>
            </w:r>
          </w:p>
        </w:tc>
      </w:tr>
      <w:tr>
        <w:trPr>
          <w:trHeight w:val="135"/>
        </w:trPr>
        <w:tc>
          <w:tcPr>
            <w:tcW w:w="1640" w:type="dxa"/>
            <w:vAlign w:val="bottom"/>
          </w:tcPr>
          <w:p>
            <w:pPr>
              <w:spacing w:after="0"/>
              <w:rPr>
                <w:sz w:val="11"/>
                <w:szCs w:val="11"/>
                <w:color w:val="auto"/>
              </w:rPr>
            </w:pPr>
          </w:p>
        </w:tc>
        <w:tc>
          <w:tcPr>
            <w:tcW w:w="148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Number</w:t>
            </w:r>
          </w:p>
        </w:tc>
        <w:tc>
          <w:tcPr>
            <w:tcW w:w="24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average</w:t>
            </w:r>
          </w:p>
        </w:tc>
        <w:tc>
          <w:tcPr>
            <w:tcW w:w="134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Number</w:t>
            </w:r>
          </w:p>
        </w:tc>
        <w:tc>
          <w:tcPr>
            <w:tcW w:w="340" w:type="dxa"/>
            <w:vAlign w:val="bottom"/>
          </w:tcPr>
          <w:p>
            <w:pPr>
              <w:spacing w:after="0"/>
              <w:rPr>
                <w:sz w:val="11"/>
                <w:szCs w:val="11"/>
                <w:color w:val="auto"/>
              </w:rPr>
            </w:pPr>
          </w:p>
        </w:tc>
        <w:tc>
          <w:tcPr>
            <w:tcW w:w="880" w:type="dxa"/>
            <w:vAlign w:val="bottom"/>
          </w:tcPr>
          <w:p>
            <w:pPr>
              <w:jc w:val="right"/>
              <w:ind w:right="321"/>
              <w:spacing w:after="0"/>
              <w:rPr>
                <w:sz w:val="20"/>
                <w:szCs w:val="20"/>
                <w:color w:val="auto"/>
              </w:rPr>
            </w:pPr>
            <w:r>
              <w:rPr>
                <w:rFonts w:ascii="Courier New" w:cs="Courier New" w:eastAsia="Courier New" w:hAnsi="Courier New"/>
                <w:sz w:val="12"/>
                <w:szCs w:val="12"/>
                <w:color w:val="auto"/>
                <w:w w:val="95"/>
              </w:rPr>
              <w:t>average</w:t>
            </w:r>
          </w:p>
        </w:tc>
        <w:tc>
          <w:tcPr>
            <w:tcW w:w="138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Number</w:t>
            </w:r>
          </w:p>
        </w:tc>
        <w:tc>
          <w:tcPr>
            <w:tcW w:w="340" w:type="dxa"/>
            <w:vAlign w:val="bottom"/>
          </w:tcPr>
          <w:p>
            <w:pPr>
              <w:spacing w:after="0"/>
              <w:rPr>
                <w:sz w:val="11"/>
                <w:szCs w:val="11"/>
                <w:color w:val="auto"/>
              </w:rPr>
            </w:pP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5"/>
              </w:rPr>
              <w:t>average</w:t>
            </w:r>
          </w:p>
        </w:tc>
      </w:tr>
      <w:tr>
        <w:trPr>
          <w:trHeight w:val="135"/>
        </w:trPr>
        <w:tc>
          <w:tcPr>
            <w:tcW w:w="1640" w:type="dxa"/>
            <w:vAlign w:val="bottom"/>
          </w:tcPr>
          <w:p>
            <w:pPr>
              <w:spacing w:after="0"/>
              <w:rPr>
                <w:sz w:val="11"/>
                <w:szCs w:val="11"/>
                <w:color w:val="auto"/>
              </w:rPr>
            </w:pPr>
          </w:p>
        </w:tc>
        <w:tc>
          <w:tcPr>
            <w:tcW w:w="14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of share options</w:t>
            </w:r>
          </w:p>
        </w:tc>
        <w:tc>
          <w:tcPr>
            <w:tcW w:w="11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exercise price</w:t>
            </w:r>
          </w:p>
        </w:tc>
        <w:tc>
          <w:tcPr>
            <w:tcW w:w="13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of share options</w:t>
            </w:r>
          </w:p>
        </w:tc>
        <w:tc>
          <w:tcPr>
            <w:tcW w:w="122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exercise price</w:t>
            </w:r>
          </w:p>
        </w:tc>
        <w:tc>
          <w:tcPr>
            <w:tcW w:w="13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of share options</w:t>
            </w:r>
          </w:p>
        </w:tc>
        <w:tc>
          <w:tcPr>
            <w:tcW w:w="11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exercise price</w:t>
            </w:r>
          </w:p>
        </w:tc>
      </w:tr>
      <w:tr>
        <w:trPr>
          <w:trHeight w:val="270"/>
        </w:trPr>
        <w:tc>
          <w:tcPr>
            <w:tcW w:w="1640" w:type="dxa"/>
            <w:vAlign w:val="bottom"/>
          </w:tcPr>
          <w:p>
            <w:pPr>
              <w:ind w:left="60"/>
              <w:spacing w:after="0"/>
              <w:rPr>
                <w:sz w:val="20"/>
                <w:szCs w:val="20"/>
                <w:color w:val="auto"/>
              </w:rPr>
            </w:pPr>
            <w:r>
              <w:rPr>
                <w:rFonts w:ascii="Courier New" w:cs="Courier New" w:eastAsia="Courier New" w:hAnsi="Courier New"/>
                <w:sz w:val="12"/>
                <w:szCs w:val="12"/>
                <w:color w:val="auto"/>
              </w:rPr>
              <w:t>Outstanding as of</w:t>
            </w: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5"/>
        </w:trPr>
        <w:tc>
          <w:tcPr>
            <w:tcW w:w="1640" w:type="dxa"/>
            <w:vAlign w:val="bottom"/>
          </w:tcPr>
          <w:p>
            <w:pPr>
              <w:ind w:left="60"/>
              <w:spacing w:after="0"/>
              <w:rPr>
                <w:sz w:val="20"/>
                <w:szCs w:val="20"/>
                <w:color w:val="auto"/>
              </w:rPr>
            </w:pPr>
            <w:r>
              <w:rPr>
                <w:rFonts w:ascii="Courier New" w:cs="Courier New" w:eastAsia="Courier New" w:hAnsi="Courier New"/>
                <w:sz w:val="12"/>
                <w:szCs w:val="12"/>
                <w:color w:val="auto"/>
              </w:rPr>
              <w:t>beginning of year</w:t>
            </w: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13,011,575</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4.19</w:t>
            </w:r>
          </w:p>
        </w:tc>
        <w:tc>
          <w:tcPr>
            <w:tcW w:w="13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10,212,920</w:t>
            </w:r>
          </w:p>
        </w:tc>
        <w:tc>
          <w:tcPr>
            <w:tcW w:w="340" w:type="dxa"/>
            <w:vAlign w:val="bottom"/>
          </w:tcPr>
          <w:p>
            <w:pPr>
              <w:ind w:left="280"/>
              <w:spacing w:after="0"/>
              <w:rPr>
                <w:sz w:val="20"/>
                <w:szCs w:val="20"/>
                <w:color w:val="auto"/>
              </w:rPr>
            </w:pPr>
            <w:r>
              <w:rPr>
                <w:rFonts w:ascii="Courier New" w:cs="Courier New" w:eastAsia="Courier New" w:hAnsi="Courier New"/>
                <w:sz w:val="9"/>
                <w:szCs w:val="9"/>
                <w:color w:val="auto"/>
                <w:w w:val="73"/>
              </w:rPr>
              <w:t>$</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5.71</w:t>
            </w:r>
          </w:p>
        </w:tc>
        <w:tc>
          <w:tcPr>
            <w:tcW w:w="13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6,842,442</w:t>
            </w:r>
          </w:p>
        </w:tc>
        <w:tc>
          <w:tcPr>
            <w:tcW w:w="340" w:type="dxa"/>
            <w:vAlign w:val="bottom"/>
          </w:tcPr>
          <w:p>
            <w:pPr>
              <w:ind w:left="280"/>
              <w:spacing w:after="0"/>
              <w:rPr>
                <w:sz w:val="20"/>
                <w:szCs w:val="20"/>
                <w:color w:val="auto"/>
              </w:rPr>
            </w:pPr>
            <w:r>
              <w:rPr>
                <w:rFonts w:ascii="Courier New" w:cs="Courier New" w:eastAsia="Courier New" w:hAnsi="Courier New"/>
                <w:sz w:val="9"/>
                <w:szCs w:val="9"/>
                <w:color w:val="auto"/>
                <w:w w:val="73"/>
              </w:rPr>
              <w:t>$</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7.93</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Granted</w:t>
            </w: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17,414,268</w:t>
            </w:r>
          </w:p>
        </w:tc>
        <w:tc>
          <w:tcPr>
            <w:tcW w:w="24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1.52</w:t>
            </w:r>
          </w:p>
        </w:tc>
        <w:tc>
          <w:tcPr>
            <w:tcW w:w="13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5,000,224</w:t>
            </w:r>
          </w:p>
        </w:tc>
        <w:tc>
          <w:tcPr>
            <w:tcW w:w="34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1.54</w:t>
            </w:r>
          </w:p>
        </w:tc>
        <w:tc>
          <w:tcPr>
            <w:tcW w:w="13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4,364,954</w:t>
            </w:r>
          </w:p>
        </w:tc>
        <w:tc>
          <w:tcPr>
            <w:tcW w:w="34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2.69</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Exercised</w:t>
            </w:r>
          </w:p>
        </w:tc>
        <w:tc>
          <w:tcPr>
            <w:tcW w:w="14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(7,250)</w:t>
            </w:r>
          </w:p>
        </w:tc>
        <w:tc>
          <w:tcPr>
            <w:tcW w:w="24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1.58</w:t>
            </w:r>
          </w:p>
        </w:tc>
        <w:tc>
          <w:tcPr>
            <w:tcW w:w="13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(95,250)</w:t>
            </w:r>
          </w:p>
        </w:tc>
        <w:tc>
          <w:tcPr>
            <w:tcW w:w="34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7.00</w:t>
            </w: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Terminated</w:t>
            </w:r>
          </w:p>
        </w:tc>
        <w:tc>
          <w:tcPr>
            <w:tcW w:w="14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(132,176)</w:t>
            </w:r>
          </w:p>
        </w:tc>
        <w:tc>
          <w:tcPr>
            <w:tcW w:w="24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10.95</w:t>
            </w:r>
          </w:p>
        </w:tc>
        <w:tc>
          <w:tcPr>
            <w:tcW w:w="13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(77,214)</w:t>
            </w:r>
          </w:p>
        </w:tc>
        <w:tc>
          <w:tcPr>
            <w:tcW w:w="34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12.45</w:t>
            </w:r>
          </w:p>
        </w:tc>
        <w:tc>
          <w:tcPr>
            <w:tcW w:w="13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Forfeited</w:t>
            </w:r>
          </w:p>
        </w:tc>
        <w:tc>
          <w:tcPr>
            <w:tcW w:w="14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(6,772,375)</w:t>
            </w:r>
          </w:p>
        </w:tc>
        <w:tc>
          <w:tcPr>
            <w:tcW w:w="24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5.23</w:t>
            </w:r>
          </w:p>
        </w:tc>
        <w:tc>
          <w:tcPr>
            <w:tcW w:w="13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(2,124,355)</w:t>
            </w:r>
          </w:p>
        </w:tc>
        <w:tc>
          <w:tcPr>
            <w:tcW w:w="34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4.99</w:t>
            </w:r>
          </w:p>
        </w:tc>
        <w:tc>
          <w:tcPr>
            <w:tcW w:w="13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(899,226)</w:t>
            </w:r>
          </w:p>
        </w:tc>
        <w:tc>
          <w:tcPr>
            <w:tcW w:w="34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7.89</w:t>
            </w:r>
          </w:p>
        </w:tc>
      </w:tr>
      <w:tr>
        <w:trPr>
          <w:trHeight w:val="135"/>
        </w:trPr>
        <w:tc>
          <w:tcPr>
            <w:tcW w:w="1640" w:type="dxa"/>
            <w:vAlign w:val="bottom"/>
          </w:tcPr>
          <w:p>
            <w:pPr>
              <w:spacing w:after="0"/>
              <w:rPr>
                <w:sz w:val="11"/>
                <w:szCs w:val="11"/>
                <w:color w:val="auto"/>
              </w:rPr>
            </w:pP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Outstanding as of end</w:t>
            </w: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of year</w:t>
            </w: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23,514,042</w:t>
            </w:r>
          </w:p>
        </w:tc>
        <w:tc>
          <w:tcPr>
            <w:tcW w:w="24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1.87</w:t>
            </w:r>
          </w:p>
        </w:tc>
        <w:tc>
          <w:tcPr>
            <w:tcW w:w="13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13,011,575</w:t>
            </w:r>
          </w:p>
        </w:tc>
        <w:tc>
          <w:tcPr>
            <w:tcW w:w="34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4.19</w:t>
            </w:r>
          </w:p>
        </w:tc>
        <w:tc>
          <w:tcPr>
            <w:tcW w:w="13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10,212,920</w:t>
            </w:r>
          </w:p>
        </w:tc>
        <w:tc>
          <w:tcPr>
            <w:tcW w:w="34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5.71</w:t>
            </w:r>
          </w:p>
        </w:tc>
      </w:tr>
      <w:tr>
        <w:trPr>
          <w:trHeight w:val="135"/>
        </w:trPr>
        <w:tc>
          <w:tcPr>
            <w:tcW w:w="1640" w:type="dxa"/>
            <w:vAlign w:val="bottom"/>
          </w:tcPr>
          <w:p>
            <w:pPr>
              <w:spacing w:after="0"/>
              <w:rPr>
                <w:sz w:val="11"/>
                <w:szCs w:val="11"/>
                <w:color w:val="auto"/>
              </w:rPr>
            </w:pP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70"/>
        </w:trPr>
        <w:tc>
          <w:tcPr>
            <w:tcW w:w="1640" w:type="dxa"/>
            <w:vAlign w:val="bottom"/>
          </w:tcPr>
          <w:p>
            <w:pPr>
              <w:spacing w:after="0"/>
              <w:rPr>
                <w:sz w:val="20"/>
                <w:szCs w:val="20"/>
                <w:color w:val="auto"/>
              </w:rPr>
            </w:pPr>
            <w:r>
              <w:rPr>
                <w:rFonts w:ascii="Courier New" w:cs="Courier New" w:eastAsia="Courier New" w:hAnsi="Courier New"/>
                <w:sz w:val="12"/>
                <w:szCs w:val="12"/>
                <w:color w:val="auto"/>
              </w:rPr>
              <w:t>Options exercisable</w:t>
            </w: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5"/>
        </w:trPr>
        <w:tc>
          <w:tcPr>
            <w:tcW w:w="1640" w:type="dxa"/>
            <w:vAlign w:val="bottom"/>
          </w:tcPr>
          <w:p>
            <w:pPr>
              <w:spacing w:after="0"/>
              <w:rPr>
                <w:sz w:val="20"/>
                <w:szCs w:val="20"/>
                <w:color w:val="auto"/>
              </w:rPr>
            </w:pPr>
            <w:r>
              <w:rPr>
                <w:rFonts w:ascii="Courier New" w:cs="Courier New" w:eastAsia="Courier New" w:hAnsi="Courier New"/>
                <w:sz w:val="12"/>
                <w:szCs w:val="12"/>
                <w:color w:val="auto"/>
              </w:rPr>
              <w:t>as of end of year</w:t>
            </w: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2,849,132</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4.25</w:t>
            </w:r>
          </w:p>
        </w:tc>
        <w:tc>
          <w:tcPr>
            <w:tcW w:w="13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4,602,447</w:t>
            </w:r>
          </w:p>
        </w:tc>
        <w:tc>
          <w:tcPr>
            <w:tcW w:w="340" w:type="dxa"/>
            <w:vAlign w:val="bottom"/>
          </w:tcPr>
          <w:p>
            <w:pPr>
              <w:ind w:left="280"/>
              <w:spacing w:after="0"/>
              <w:rPr>
                <w:sz w:val="20"/>
                <w:szCs w:val="20"/>
                <w:color w:val="auto"/>
              </w:rPr>
            </w:pPr>
            <w:r>
              <w:rPr>
                <w:rFonts w:ascii="Courier New" w:cs="Courier New" w:eastAsia="Courier New" w:hAnsi="Courier New"/>
                <w:sz w:val="9"/>
                <w:szCs w:val="9"/>
                <w:color w:val="auto"/>
                <w:w w:val="73"/>
              </w:rPr>
              <w:t>$</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7.77</w:t>
            </w:r>
          </w:p>
        </w:tc>
        <w:tc>
          <w:tcPr>
            <w:tcW w:w="13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3,010,870</w:t>
            </w:r>
          </w:p>
        </w:tc>
        <w:tc>
          <w:tcPr>
            <w:tcW w:w="340" w:type="dxa"/>
            <w:vAlign w:val="bottom"/>
          </w:tcPr>
          <w:p>
            <w:pPr>
              <w:ind w:left="280"/>
              <w:spacing w:after="0"/>
              <w:rPr>
                <w:sz w:val="20"/>
                <w:szCs w:val="20"/>
                <w:color w:val="auto"/>
              </w:rPr>
            </w:pPr>
            <w:r>
              <w:rPr>
                <w:rFonts w:ascii="Courier New" w:cs="Courier New" w:eastAsia="Courier New" w:hAnsi="Courier New"/>
                <w:sz w:val="9"/>
                <w:szCs w:val="9"/>
                <w:color w:val="auto"/>
                <w:w w:val="73"/>
              </w:rPr>
              <w:t>$</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10.78</w:t>
            </w:r>
          </w:p>
        </w:tc>
      </w:tr>
      <w:tr>
        <w:trPr>
          <w:trHeight w:val="135"/>
        </w:trPr>
        <w:tc>
          <w:tcPr>
            <w:tcW w:w="1640" w:type="dxa"/>
            <w:vAlign w:val="bottom"/>
          </w:tcPr>
          <w:p>
            <w:pPr>
              <w:spacing w:after="0"/>
              <w:rPr>
                <w:sz w:val="11"/>
                <w:szCs w:val="11"/>
                <w:color w:val="auto"/>
              </w:rPr>
            </w:pPr>
          </w:p>
        </w:tc>
        <w:tc>
          <w:tcPr>
            <w:tcW w:w="14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405"/>
        </w:trPr>
        <w:tc>
          <w:tcPr>
            <w:tcW w:w="1640" w:type="dxa"/>
            <w:vAlign w:val="bottom"/>
          </w:tcPr>
          <w:p>
            <w:pPr>
              <w:spacing w:after="0"/>
              <w:rPr>
                <w:sz w:val="24"/>
                <w:szCs w:val="24"/>
                <w:color w:val="auto"/>
              </w:rPr>
            </w:pPr>
          </w:p>
        </w:tc>
        <w:tc>
          <w:tcPr>
            <w:tcW w:w="14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F - 48</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SUMMARY OF INFORMATION ABOUT EMPLOYEE SHARE OPTIONS OUTSTANDING</w:t>
      </w:r>
    </w:p>
    <w:p>
      <w:pPr>
        <w:spacing w:after="0" w:line="138" w:lineRule="exact"/>
        <w:rPr>
          <w:rFonts w:ascii="Courier New" w:cs="Courier New" w:eastAsia="Courier New" w:hAnsi="Courier New"/>
          <w:sz w:val="12"/>
          <w:szCs w:val="12"/>
          <w:color w:val="auto"/>
        </w:rPr>
      </w:pPr>
    </w:p>
    <w:p>
      <w:pPr>
        <w:ind w:left="1040" w:right="4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table summarizes information about employee share options outstanding as of December 31, 2006: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80" w:type="dxa"/>
            <w:vAlign w:val="bottom"/>
            <w:gridSpan w:val="2"/>
          </w:tcPr>
          <w:p>
            <w:pPr>
              <w:ind w:left="500"/>
              <w:spacing w:after="0"/>
              <w:rPr>
                <w:sz w:val="20"/>
                <w:szCs w:val="20"/>
                <w:color w:val="auto"/>
              </w:rPr>
            </w:pPr>
            <w:r>
              <w:rPr>
                <w:rFonts w:ascii="Courier New" w:cs="Courier New" w:eastAsia="Courier New" w:hAnsi="Courier New"/>
                <w:sz w:val="12"/>
                <w:szCs w:val="12"/>
                <w:color w:val="auto"/>
                <w:w w:val="94"/>
              </w:rPr>
              <w:t>Exercisable as of</w:t>
            </w:r>
          </w:p>
        </w:tc>
        <w:tc>
          <w:tcPr>
            <w:tcW w:w="640" w:type="dxa"/>
            <w:vAlign w:val="bottom"/>
          </w:tcPr>
          <w:p>
            <w:pPr>
              <w:spacing w:after="0"/>
              <w:rPr>
                <w:sz w:val="11"/>
                <w:szCs w:val="11"/>
                <w:color w:val="auto"/>
              </w:rPr>
            </w:pPr>
          </w:p>
        </w:tc>
      </w:tr>
      <w:tr>
        <w:trPr>
          <w:trHeight w:val="135"/>
        </w:trPr>
        <w:tc>
          <w:tcPr>
            <w:tcW w:w="3640" w:type="dxa"/>
            <w:vAlign w:val="bottom"/>
            <w:gridSpan w:val="3"/>
          </w:tcPr>
          <w:p>
            <w:pPr>
              <w:jc w:val="right"/>
              <w:ind w:right="1"/>
              <w:spacing w:after="0"/>
              <w:rPr>
                <w:sz w:val="20"/>
                <w:szCs w:val="20"/>
                <w:color w:val="auto"/>
              </w:rPr>
            </w:pPr>
            <w:r>
              <w:rPr>
                <w:rFonts w:ascii="Courier New" w:cs="Courier New" w:eastAsia="Courier New" w:hAnsi="Courier New"/>
                <w:sz w:val="12"/>
                <w:szCs w:val="12"/>
                <w:color w:val="auto"/>
              </w:rPr>
              <w:t>Outstanding as of December 31, 2006</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80" w:type="dxa"/>
            <w:vAlign w:val="bottom"/>
            <w:gridSpan w:val="2"/>
          </w:tcPr>
          <w:p>
            <w:pPr>
              <w:ind w:left="500"/>
              <w:spacing w:after="0"/>
              <w:rPr>
                <w:sz w:val="20"/>
                <w:szCs w:val="20"/>
                <w:color w:val="auto"/>
              </w:rPr>
            </w:pPr>
            <w:r>
              <w:rPr>
                <w:rFonts w:ascii="Courier New" w:cs="Courier New" w:eastAsia="Courier New" w:hAnsi="Courier New"/>
                <w:sz w:val="12"/>
                <w:szCs w:val="12"/>
                <w:color w:val="auto"/>
                <w:w w:val="94"/>
              </w:rPr>
              <w:t>December 31, 2006</w:t>
            </w:r>
          </w:p>
        </w:tc>
        <w:tc>
          <w:tcPr>
            <w:tcW w:w="640" w:type="dxa"/>
            <w:vAlign w:val="bottom"/>
          </w:tcPr>
          <w:p>
            <w:pPr>
              <w:spacing w:after="0"/>
              <w:rPr>
                <w:sz w:val="11"/>
                <w:szCs w:val="11"/>
                <w:color w:val="auto"/>
              </w:rPr>
            </w:pPr>
          </w:p>
        </w:tc>
      </w:tr>
      <w:tr>
        <w:trPr>
          <w:trHeight w:val="135"/>
        </w:trPr>
        <w:tc>
          <w:tcPr>
            <w:tcW w:w="23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w:t>
            </w: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32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135"/>
        </w:trPr>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Weighted average</w:t>
            </w:r>
          </w:p>
        </w:tc>
        <w:tc>
          <w:tcPr>
            <w:tcW w:w="220" w:type="dxa"/>
            <w:vAlign w:val="bottom"/>
          </w:tcPr>
          <w:p>
            <w:pPr>
              <w:spacing w:after="0"/>
              <w:rPr>
                <w:sz w:val="11"/>
                <w:szCs w:val="11"/>
                <w:color w:val="auto"/>
              </w:rPr>
            </w:pPr>
          </w:p>
        </w:tc>
        <w:tc>
          <w:tcPr>
            <w:tcW w:w="980" w:type="dxa"/>
            <w:vAlign w:val="bottom"/>
          </w:tcPr>
          <w:p>
            <w:pPr>
              <w:jc w:val="right"/>
              <w:ind w:right="361"/>
              <w:spacing w:after="0"/>
              <w:rPr>
                <w:sz w:val="20"/>
                <w:szCs w:val="20"/>
                <w:color w:val="auto"/>
              </w:rPr>
            </w:pPr>
            <w:r>
              <w:rPr>
                <w:rFonts w:ascii="Courier New" w:cs="Courier New" w:eastAsia="Courier New" w:hAnsi="Courier New"/>
                <w:sz w:val="12"/>
                <w:szCs w:val="12"/>
                <w:color w:val="auto"/>
                <w:w w:val="93"/>
              </w:rPr>
              <w:t>Weighted</w:t>
            </w: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400" w:type="dxa"/>
            <w:vAlign w:val="bottom"/>
          </w:tcPr>
          <w:p>
            <w:pPr>
              <w:jc w:val="right"/>
              <w:ind w:right="162"/>
              <w:spacing w:after="0"/>
              <w:rPr>
                <w:sz w:val="20"/>
                <w:szCs w:val="20"/>
                <w:color w:val="auto"/>
              </w:rPr>
            </w:pPr>
            <w:r>
              <w:rPr>
                <w:rFonts w:ascii="Courier New" w:cs="Courier New" w:eastAsia="Courier New" w:hAnsi="Courier New"/>
                <w:sz w:val="12"/>
                <w:szCs w:val="12"/>
                <w:color w:val="auto"/>
                <w:w w:val="94"/>
              </w:rPr>
              <w:t>Range of exercise</w:t>
            </w: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Number</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remaining</w:t>
            </w:r>
          </w:p>
        </w:tc>
        <w:tc>
          <w:tcPr>
            <w:tcW w:w="220" w:type="dxa"/>
            <w:vAlign w:val="bottom"/>
          </w:tcPr>
          <w:p>
            <w:pPr>
              <w:spacing w:after="0"/>
              <w:rPr>
                <w:sz w:val="11"/>
                <w:szCs w:val="11"/>
                <w:color w:val="auto"/>
              </w:rPr>
            </w:pPr>
          </w:p>
        </w:tc>
        <w:tc>
          <w:tcPr>
            <w:tcW w:w="9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average</w:t>
            </w:r>
          </w:p>
        </w:tc>
        <w:tc>
          <w:tcPr>
            <w:tcW w:w="10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Number</w:t>
            </w:r>
          </w:p>
        </w:tc>
        <w:tc>
          <w:tcPr>
            <w:tcW w:w="12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Weighted average</w:t>
            </w:r>
          </w:p>
        </w:tc>
      </w:tr>
      <w:tr>
        <w:trPr>
          <w:trHeight w:val="135"/>
        </w:trPr>
        <w:tc>
          <w:tcPr>
            <w:tcW w:w="1400" w:type="dxa"/>
            <w:vAlign w:val="bottom"/>
          </w:tcPr>
          <w:p>
            <w:pPr>
              <w:jc w:val="right"/>
              <w:ind w:right="582"/>
              <w:spacing w:after="0"/>
              <w:rPr>
                <w:sz w:val="20"/>
                <w:szCs w:val="20"/>
                <w:color w:val="auto"/>
              </w:rPr>
            </w:pPr>
            <w:r>
              <w:rPr>
                <w:rFonts w:ascii="Courier New" w:cs="Courier New" w:eastAsia="Courier New" w:hAnsi="Courier New"/>
                <w:sz w:val="12"/>
                <w:szCs w:val="12"/>
                <w:color w:val="auto"/>
              </w:rPr>
              <w:t>prices</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outstanding</w:t>
            </w:r>
          </w:p>
        </w:tc>
        <w:tc>
          <w:tcPr>
            <w:tcW w:w="1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contractual life</w:t>
            </w:r>
          </w:p>
        </w:tc>
        <w:tc>
          <w:tcPr>
            <w:tcW w:w="12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exercise price</w:t>
            </w:r>
          </w:p>
        </w:tc>
        <w:tc>
          <w:tcPr>
            <w:tcW w:w="10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exercisable</w:t>
            </w:r>
          </w:p>
        </w:tc>
        <w:tc>
          <w:tcPr>
            <w:tcW w:w="12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exercise price</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4"/>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2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135"/>
        </w:trPr>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(in years)</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$ 1.00-1.99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4"/>
              </w:rPr>
              <w:t>20,741,671</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9.19</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1.50</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1,066,253</w:t>
            </w:r>
          </w:p>
        </w:tc>
        <w:tc>
          <w:tcPr>
            <w:tcW w:w="6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1.53</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2.00-2.99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1,427,683</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8.56</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2.19</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562,781</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2.22</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3.00-3.99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265,013</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7.57</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3.26</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173,690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3.25</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4.42-4.92</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114,551</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6.50</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4.45</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87,784</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4.45</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5.00-5.96</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27,000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6.44</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5.06</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20,750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5.08</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6.00-6.99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80,050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3.67</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6.05</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79,800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6.05</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7.00-7.99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505,000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0.25</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7.00</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505,000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7.00</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8.00-8.99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90,918</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1.55</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8.78</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90,918</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8.78</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10.00-10.89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33,806</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4.07</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10.42</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33,806</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4"/>
              </w:rPr>
              <w:t>10.42</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11.81-11.81</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200,000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4.41</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11.81</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200,000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4"/>
              </w:rPr>
              <w:t>11.81</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14.25-17.19</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3,000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3.81</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16.50</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3,000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4"/>
              </w:rPr>
              <w:t>16.50</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18.75-18.75</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5,000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3.26</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18.75</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5,000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4"/>
              </w:rPr>
              <w:t>18.75</w:t>
            </w:r>
          </w:p>
        </w:tc>
      </w:tr>
      <w:tr>
        <w:trPr>
          <w:trHeight w:val="135"/>
        </w:trPr>
        <w:tc>
          <w:tcPr>
            <w:tcW w:w="140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20.00-15.00</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20,350</w:t>
            </w:r>
          </w:p>
        </w:tc>
        <w:tc>
          <w:tcPr>
            <w:tcW w:w="13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3.40</w:t>
            </w:r>
          </w:p>
        </w:tc>
        <w:tc>
          <w:tcPr>
            <w:tcW w:w="2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24.65</w:t>
            </w: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20,350</w:t>
            </w:r>
          </w:p>
        </w:tc>
        <w:tc>
          <w:tcPr>
            <w:tcW w:w="62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4"/>
              </w:rPr>
              <w:t>24.65</w:t>
            </w:r>
          </w:p>
        </w:tc>
      </w:tr>
      <w:tr>
        <w:trPr>
          <w:trHeight w:val="135"/>
        </w:trPr>
        <w:tc>
          <w:tcPr>
            <w:tcW w:w="140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4"/>
              </w:rPr>
              <w:t>----------</w:t>
            </w: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40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4"/>
              </w:rPr>
              <w:t>23,514,042</w:t>
            </w: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2,849,132</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40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4"/>
              </w:rPr>
              <w:t>==========</w:t>
            </w: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bl>
    <w:p>
      <w:pPr>
        <w:spacing w:after="0" w:line="139" w:lineRule="exact"/>
        <w:rPr>
          <w:sz w:val="20"/>
          <w:szCs w:val="20"/>
          <w:color w:val="auto"/>
        </w:rPr>
      </w:pPr>
    </w:p>
    <w:p>
      <w:pPr>
        <w:ind w:left="1040" w:right="4979" w:hanging="345"/>
        <w:spacing w:after="0" w:line="235" w:lineRule="auto"/>
        <w:tabs>
          <w:tab w:leader="none" w:pos="1040"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WEIGHTED AVERAGE GRANT-DATE FAIR VALUE OF OPTIONS GRANTED TO EMPLOYEES</w:t>
      </w:r>
    </w:p>
    <w:p>
      <w:pPr>
        <w:spacing w:after="0" w:line="139" w:lineRule="exact"/>
        <w:rPr>
          <w:rFonts w:ascii="Courier New" w:cs="Courier New" w:eastAsia="Courier New" w:hAnsi="Courier New"/>
          <w:sz w:val="12"/>
          <w:szCs w:val="12"/>
          <w:color w:val="auto"/>
        </w:rPr>
      </w:pPr>
    </w:p>
    <w:p>
      <w:pPr>
        <w:ind w:left="104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weighted average grant-date fair value of the options granted during 2006, 2005 and 2004 to employees and directors amounted to $0.81, $0.83 and $1.53 per option, respectively. The Company utilized the Binomial lattice model in 2006 and the Black-Scholes option-pricing model in 2005 and 2004. The Company estimated the fair value, utilizing the following assumptions for the years 2006, 2005 and 2004 (all in weighted averages):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60" w:type="dxa"/>
            <w:vAlign w:val="bottom"/>
          </w:tcPr>
          <w:p>
            <w:pPr>
              <w:spacing w:after="0"/>
              <w:rPr>
                <w:sz w:val="11"/>
                <w:szCs w:val="11"/>
                <w:color w:val="auto"/>
              </w:rPr>
            </w:pPr>
          </w:p>
        </w:tc>
        <w:tc>
          <w:tcPr>
            <w:tcW w:w="126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7"/>
              </w:rPr>
              <w:t>2006</w:t>
            </w:r>
          </w:p>
        </w:tc>
        <w:tc>
          <w:tcPr>
            <w:tcW w:w="1280" w:type="dxa"/>
            <w:vAlign w:val="bottom"/>
          </w:tcPr>
          <w:p>
            <w:pPr>
              <w:jc w:val="center"/>
              <w:ind w:right="21"/>
              <w:spacing w:after="0"/>
              <w:rPr>
                <w:sz w:val="20"/>
                <w:szCs w:val="20"/>
                <w:color w:val="auto"/>
              </w:rPr>
            </w:pPr>
            <w:r>
              <w:rPr>
                <w:rFonts w:ascii="Courier New" w:cs="Courier New" w:eastAsia="Courier New" w:hAnsi="Courier New"/>
                <w:sz w:val="12"/>
                <w:szCs w:val="12"/>
                <w:color w:val="auto"/>
                <w:w w:val="97"/>
              </w:rPr>
              <w:t>2005</w:t>
            </w:r>
          </w:p>
        </w:tc>
        <w:tc>
          <w:tcPr>
            <w:tcW w:w="1020" w:type="dxa"/>
            <w:vAlign w:val="bottom"/>
          </w:tcPr>
          <w:p>
            <w:pPr>
              <w:ind w:left="460"/>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2060" w:type="dxa"/>
            <w:vAlign w:val="bottom"/>
          </w:tcPr>
          <w:p>
            <w:pPr>
              <w:spacing w:after="0"/>
              <w:rPr>
                <w:sz w:val="11"/>
                <w:szCs w:val="11"/>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2"/>
                <w:szCs w:val="12"/>
                <w:color w:val="auto"/>
                <w:w w:val="95"/>
              </w:rPr>
              <w:t>-----------</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w w:val="95"/>
              </w:rPr>
              <w:t>-----------</w:t>
            </w:r>
          </w:p>
        </w:tc>
        <w:tc>
          <w:tcPr>
            <w:tcW w:w="1020" w:type="dxa"/>
            <w:vAlign w:val="bottom"/>
          </w:tcPr>
          <w:p>
            <w:pPr>
              <w:jc w:val="center"/>
              <w:ind w:left="181"/>
              <w:spacing w:after="0"/>
              <w:rPr>
                <w:sz w:val="20"/>
                <w:szCs w:val="20"/>
                <w:color w:val="auto"/>
              </w:rPr>
            </w:pPr>
            <w:r>
              <w:rPr>
                <w:rFonts w:ascii="Courier New" w:cs="Courier New" w:eastAsia="Courier New" w:hAnsi="Courier New"/>
                <w:sz w:val="12"/>
                <w:szCs w:val="12"/>
                <w:color w:val="auto"/>
                <w:w w:val="98"/>
              </w:rPr>
              <w:t>-----------</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Risk-free interest rate</w:t>
            </w:r>
          </w:p>
        </w:tc>
        <w:tc>
          <w:tcPr>
            <w:tcW w:w="1260" w:type="dxa"/>
            <w:vAlign w:val="bottom"/>
          </w:tcPr>
          <w:p>
            <w:pPr>
              <w:jc w:val="center"/>
              <w:spacing w:after="0"/>
              <w:rPr>
                <w:sz w:val="20"/>
                <w:szCs w:val="20"/>
                <w:color w:val="auto"/>
              </w:rPr>
            </w:pPr>
            <w:r>
              <w:rPr>
                <w:rFonts w:ascii="Courier New" w:cs="Courier New" w:eastAsia="Courier New" w:hAnsi="Courier New"/>
                <w:sz w:val="12"/>
                <w:szCs w:val="12"/>
                <w:color w:val="auto"/>
                <w:w w:val="95"/>
              </w:rPr>
              <w:t>4.44%-4.81%</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w w:val="95"/>
              </w:rPr>
              <w:t>3.69%-4.34%</w:t>
            </w:r>
          </w:p>
        </w:tc>
        <w:tc>
          <w:tcPr>
            <w:tcW w:w="1020" w:type="dxa"/>
            <w:vAlign w:val="bottom"/>
          </w:tcPr>
          <w:p>
            <w:pPr>
              <w:jc w:val="center"/>
              <w:ind w:left="181"/>
              <w:spacing w:after="0"/>
              <w:rPr>
                <w:sz w:val="20"/>
                <w:szCs w:val="20"/>
                <w:color w:val="auto"/>
              </w:rPr>
            </w:pPr>
            <w:r>
              <w:rPr>
                <w:rFonts w:ascii="Courier New" w:cs="Courier New" w:eastAsia="Courier New" w:hAnsi="Courier New"/>
                <w:sz w:val="12"/>
                <w:szCs w:val="12"/>
                <w:color w:val="auto"/>
                <w:w w:val="98"/>
              </w:rPr>
              <w:t>2.84%-3.88%</w:t>
            </w: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Expected life of options</w:t>
            </w:r>
          </w:p>
        </w:tc>
        <w:tc>
          <w:tcPr>
            <w:tcW w:w="126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7"/>
              </w:rPr>
              <w:t>10 years</w:t>
            </w:r>
          </w:p>
        </w:tc>
        <w:tc>
          <w:tcPr>
            <w:tcW w:w="128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7"/>
              </w:rPr>
              <w:t>4.49 years</w:t>
            </w:r>
          </w:p>
        </w:tc>
        <w:tc>
          <w:tcPr>
            <w:tcW w:w="1020" w:type="dxa"/>
            <w:vAlign w:val="bottom"/>
          </w:tcPr>
          <w:p>
            <w:pPr>
              <w:ind w:left="300"/>
              <w:spacing w:after="0"/>
              <w:rPr>
                <w:sz w:val="20"/>
                <w:szCs w:val="20"/>
                <w:color w:val="auto"/>
              </w:rPr>
            </w:pPr>
            <w:r>
              <w:rPr>
                <w:rFonts w:ascii="Courier New" w:cs="Courier New" w:eastAsia="Courier New" w:hAnsi="Courier New"/>
                <w:sz w:val="12"/>
                <w:szCs w:val="12"/>
                <w:color w:val="auto"/>
              </w:rPr>
              <w:t>4.5 years</w:t>
            </w: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Expected annual volatility</w:t>
            </w:r>
          </w:p>
        </w:tc>
        <w:tc>
          <w:tcPr>
            <w:tcW w:w="1260" w:type="dxa"/>
            <w:vAlign w:val="bottom"/>
          </w:tcPr>
          <w:p>
            <w:pPr>
              <w:jc w:val="center"/>
              <w:spacing w:after="0"/>
              <w:rPr>
                <w:sz w:val="20"/>
                <w:szCs w:val="20"/>
                <w:color w:val="auto"/>
              </w:rPr>
            </w:pPr>
            <w:r>
              <w:rPr>
                <w:rFonts w:ascii="Courier New" w:cs="Courier New" w:eastAsia="Courier New" w:hAnsi="Courier New"/>
                <w:sz w:val="12"/>
                <w:szCs w:val="12"/>
                <w:color w:val="auto"/>
                <w:w w:val="95"/>
              </w:rPr>
              <w:t>65%-67%</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w w:val="95"/>
              </w:rPr>
              <w:t>54%-69%</w:t>
            </w:r>
          </w:p>
        </w:tc>
        <w:tc>
          <w:tcPr>
            <w:tcW w:w="1020" w:type="dxa"/>
            <w:vAlign w:val="bottom"/>
          </w:tcPr>
          <w:p>
            <w:pPr>
              <w:jc w:val="center"/>
              <w:ind w:left="181"/>
              <w:spacing w:after="0"/>
              <w:rPr>
                <w:sz w:val="20"/>
                <w:szCs w:val="20"/>
                <w:color w:val="auto"/>
              </w:rPr>
            </w:pPr>
            <w:r>
              <w:rPr>
                <w:rFonts w:ascii="Courier New" w:cs="Courier New" w:eastAsia="Courier New" w:hAnsi="Courier New"/>
                <w:sz w:val="12"/>
                <w:szCs w:val="12"/>
                <w:color w:val="auto"/>
                <w:w w:val="99"/>
              </w:rPr>
              <w:t>65%-82%</w:t>
            </w:r>
          </w:p>
        </w:tc>
      </w:tr>
      <w:tr>
        <w:trPr>
          <w:trHeight w:val="135"/>
        </w:trPr>
        <w:tc>
          <w:tcPr>
            <w:tcW w:w="2060" w:type="dxa"/>
            <w:vAlign w:val="bottom"/>
          </w:tcPr>
          <w:p>
            <w:pPr>
              <w:spacing w:after="0"/>
              <w:rPr>
                <w:sz w:val="20"/>
                <w:szCs w:val="20"/>
                <w:color w:val="auto"/>
              </w:rPr>
            </w:pPr>
            <w:r>
              <w:rPr>
                <w:rFonts w:ascii="Courier New" w:cs="Courier New" w:eastAsia="Courier New" w:hAnsi="Courier New"/>
                <w:sz w:val="12"/>
                <w:szCs w:val="12"/>
                <w:color w:val="auto"/>
              </w:rPr>
              <w:t>Expected dividend yield</w:t>
            </w:r>
          </w:p>
        </w:tc>
        <w:tc>
          <w:tcPr>
            <w:tcW w:w="126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7"/>
              </w:rPr>
              <w:t>None</w:t>
            </w:r>
          </w:p>
        </w:tc>
        <w:tc>
          <w:tcPr>
            <w:tcW w:w="1280" w:type="dxa"/>
            <w:vAlign w:val="bottom"/>
          </w:tcPr>
          <w:p>
            <w:pPr>
              <w:jc w:val="center"/>
              <w:ind w:right="21"/>
              <w:spacing w:after="0"/>
              <w:rPr>
                <w:sz w:val="20"/>
                <w:szCs w:val="20"/>
                <w:color w:val="auto"/>
              </w:rPr>
            </w:pPr>
            <w:r>
              <w:rPr>
                <w:rFonts w:ascii="Courier New" w:cs="Courier New" w:eastAsia="Courier New" w:hAnsi="Courier New"/>
                <w:sz w:val="12"/>
                <w:szCs w:val="12"/>
                <w:color w:val="auto"/>
                <w:w w:val="97"/>
              </w:rPr>
              <w:t>None</w:t>
            </w:r>
          </w:p>
        </w:tc>
        <w:tc>
          <w:tcPr>
            <w:tcW w:w="1020" w:type="dxa"/>
            <w:vAlign w:val="bottom"/>
          </w:tcPr>
          <w:p>
            <w:pPr>
              <w:ind w:left="460"/>
              <w:spacing w:after="0"/>
              <w:rPr>
                <w:sz w:val="20"/>
                <w:szCs w:val="20"/>
                <w:color w:val="auto"/>
              </w:rPr>
            </w:pPr>
            <w:r>
              <w:rPr>
                <w:rFonts w:ascii="Courier New" w:cs="Courier New" w:eastAsia="Courier New" w:hAnsi="Courier New"/>
                <w:sz w:val="12"/>
                <w:szCs w:val="12"/>
                <w:color w:val="auto"/>
              </w:rPr>
              <w:t>None</w:t>
            </w:r>
          </w:p>
        </w:tc>
      </w:tr>
      <w:tr>
        <w:trPr>
          <w:trHeight w:val="405"/>
        </w:trPr>
        <w:tc>
          <w:tcPr>
            <w:tcW w:w="2060" w:type="dxa"/>
            <w:vAlign w:val="bottom"/>
          </w:tcPr>
          <w:p>
            <w:pPr>
              <w:spacing w:after="0"/>
              <w:rPr>
                <w:sz w:val="24"/>
                <w:szCs w:val="24"/>
                <w:color w:val="auto"/>
              </w:rPr>
            </w:pPr>
          </w:p>
        </w:tc>
        <w:tc>
          <w:tcPr>
            <w:tcW w:w="1260" w:type="dxa"/>
            <w:vAlign w:val="bottom"/>
          </w:tcPr>
          <w:p>
            <w:pPr>
              <w:ind w:left="540"/>
              <w:spacing w:after="0"/>
              <w:rPr>
                <w:sz w:val="20"/>
                <w:szCs w:val="20"/>
                <w:color w:val="auto"/>
              </w:rPr>
            </w:pPr>
            <w:r>
              <w:rPr>
                <w:rFonts w:ascii="Courier New" w:cs="Courier New" w:eastAsia="Courier New" w:hAnsi="Courier New"/>
                <w:sz w:val="12"/>
                <w:szCs w:val="12"/>
                <w:color w:val="auto"/>
              </w:rPr>
              <w:t>F - 49</w:t>
            </w: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NON-EMPLOYEE WARRANTS</w:t>
      </w:r>
    </w:p>
    <w:p>
      <w:pPr>
        <w:spacing w:after="0" w:line="138" w:lineRule="exact"/>
        <w:rPr>
          <w:rFonts w:ascii="Courier New" w:cs="Courier New" w:eastAsia="Courier New" w:hAnsi="Courier New"/>
          <w:sz w:val="12"/>
          <w:szCs w:val="12"/>
          <w:color w:val="auto"/>
        </w:rPr>
      </w:pPr>
    </w:p>
    <w:p>
      <w:pPr>
        <w:ind w:left="1400" w:right="4699" w:hanging="354"/>
        <w:spacing w:after="0" w:line="237" w:lineRule="auto"/>
        <w:tabs>
          <w:tab w:leader="none" w:pos="1400" w:val="left"/>
        </w:tabs>
        <w:numPr>
          <w:ilvl w:val="2"/>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BANKS WARRANTS - As of December 31, 2006, the Company granted the Banks an aggregate of 9,561,060 warrants to purchase Ordinary Shares of the Company, at terms described below, of which 9,161,060 (4,580,530 each) were outstanding and exercisable as of the approval date of the financial statements, at a weighted average exercise price of $1.70 per share</w:t>
      </w:r>
    </w:p>
    <w:p>
      <w:pPr>
        <w:spacing w:after="0" w:line="141"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WARRANTS ISSUED IN JANUARY 2001 - In January 2001, as part of the Facility Agreement described in Note 11A(6), the Banks received an aggregate of 400,000 warrants to purchase Ordinary Shares of the Company (200,000 each) at an exercise price, as amended in December 2001, of $6.20 per share. The warrants expired in January 2006.</w:t>
      </w:r>
    </w:p>
    <w:p>
      <w:pPr>
        <w:spacing w:after="0" w:line="140" w:lineRule="exact"/>
        <w:rPr>
          <w:rFonts w:ascii="Courier New" w:cs="Courier New" w:eastAsia="Courier New" w:hAnsi="Courier New"/>
          <w:sz w:val="12"/>
          <w:szCs w:val="12"/>
          <w:color w:val="auto"/>
        </w:rPr>
      </w:pPr>
    </w:p>
    <w:p>
      <w:pPr>
        <w:ind w:left="140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cost of the warrants issued to the Banks, determined based on the fair value at the grant and amendment dates in accordance with SFAS 123, amounted to a total of $5,466. Such amount was amortized as deferred financing charges over the terms of the loans under the Facility Agreement.</w:t>
      </w:r>
    </w:p>
    <w:p>
      <w:pPr>
        <w:spacing w:after="0" w:line="127" w:lineRule="exact"/>
        <w:rPr>
          <w:rFonts w:ascii="Courier New" w:cs="Courier New" w:eastAsia="Courier New" w:hAnsi="Courier New"/>
          <w:sz w:val="12"/>
          <w:szCs w:val="12"/>
          <w:color w:val="auto"/>
        </w:rPr>
      </w:pPr>
    </w:p>
    <w:p>
      <w:pPr>
        <w:ind w:left="1400" w:right="461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WARRANTS ISSUED IN DECEMBER 2003 - In December 2003, as part of an amendment to the Facility Agreement, the Banks received an aggregate of 896,596 warrants to purchase Ordinary Shares of the Company (448,298 each) at an exercise</w:t>
      </w:r>
    </w:p>
    <w:p>
      <w:pPr>
        <w:sectPr>
          <w:pgSz w:w="11900" w:h="16838" w:orient="portrait"/>
          <w:cols w:equalWidth="0" w:num="1">
            <w:col w:w="10239"/>
          </w:cols>
          <w:pgMar w:left="220" w:top="137" w:right="1440" w:bottom="0" w:gutter="0" w:footer="0" w:header="0"/>
        </w:sectPr>
      </w:pPr>
    </w:p>
    <w:bookmarkStart w:id="29" w:name="page30"/>
    <w:bookmarkEnd w:id="29"/>
    <w:p>
      <w:pPr>
        <w:ind w:left="1400"/>
        <w:spacing w:after="0"/>
        <w:rPr>
          <w:sz w:val="20"/>
          <w:szCs w:val="20"/>
          <w:color w:val="auto"/>
        </w:rPr>
      </w:pPr>
      <w:r>
        <w:rPr>
          <w:rFonts w:ascii="Courier New" w:cs="Courier New" w:eastAsia="Courier New" w:hAnsi="Courier New"/>
          <w:sz w:val="12"/>
          <w:szCs w:val="12"/>
          <w:color w:val="auto"/>
        </w:rPr>
        <w:t>price of $6.17 per share, the 15 day average closing price</w:t>
      </w:r>
    </w:p>
    <w:p>
      <w:pPr>
        <w:ind w:left="1400"/>
        <w:spacing w:after="0"/>
        <w:rPr>
          <w:sz w:val="20"/>
          <w:szCs w:val="20"/>
          <w:color w:val="auto"/>
        </w:rPr>
      </w:pPr>
      <w:r>
        <w:rPr>
          <w:rFonts w:ascii="Courier New" w:cs="Courier New" w:eastAsia="Courier New" w:hAnsi="Courier New"/>
          <w:sz w:val="12"/>
          <w:szCs w:val="12"/>
          <w:color w:val="auto"/>
        </w:rPr>
        <w:t>of the Company's Ordinary Shares prior to the date the</w:t>
      </w:r>
    </w:p>
    <w:p>
      <w:pPr>
        <w:ind w:left="1400"/>
        <w:spacing w:after="0" w:line="237" w:lineRule="auto"/>
        <w:rPr>
          <w:sz w:val="20"/>
          <w:szCs w:val="20"/>
          <w:color w:val="auto"/>
        </w:rPr>
      </w:pPr>
      <w:r>
        <w:rPr>
          <w:rFonts w:ascii="Courier New" w:cs="Courier New" w:eastAsia="Courier New" w:hAnsi="Courier New"/>
          <w:sz w:val="12"/>
          <w:szCs w:val="12"/>
          <w:color w:val="auto"/>
        </w:rPr>
        <w:t>amendment with the Banks was signed. All the warrants are</w:t>
      </w:r>
    </w:p>
    <w:p>
      <w:pPr>
        <w:ind w:left="1400"/>
        <w:spacing w:after="0"/>
        <w:rPr>
          <w:sz w:val="20"/>
          <w:szCs w:val="20"/>
          <w:color w:val="auto"/>
        </w:rPr>
      </w:pPr>
      <w:r>
        <w:rPr>
          <w:rFonts w:ascii="Courier New" w:cs="Courier New" w:eastAsia="Courier New" w:hAnsi="Courier New"/>
          <w:sz w:val="12"/>
          <w:szCs w:val="12"/>
          <w:color w:val="auto"/>
        </w:rPr>
        <w:t>exercisable. The warrants were exercisable for a five-year</w:t>
      </w:r>
    </w:p>
    <w:p>
      <w:pPr>
        <w:ind w:left="1400"/>
        <w:spacing w:after="0" w:line="237" w:lineRule="auto"/>
        <w:rPr>
          <w:sz w:val="20"/>
          <w:szCs w:val="20"/>
          <w:color w:val="auto"/>
        </w:rPr>
      </w:pPr>
      <w:r>
        <w:rPr>
          <w:rFonts w:ascii="Courier New" w:cs="Courier New" w:eastAsia="Courier New" w:hAnsi="Courier New"/>
          <w:sz w:val="12"/>
          <w:szCs w:val="12"/>
          <w:color w:val="auto"/>
        </w:rPr>
        <w:t>period ending December 2008. Under the terms of the</w:t>
      </w:r>
    </w:p>
    <w:p>
      <w:pPr>
        <w:ind w:left="1400"/>
        <w:spacing w:after="0"/>
        <w:rPr>
          <w:sz w:val="20"/>
          <w:szCs w:val="20"/>
          <w:color w:val="auto"/>
        </w:rPr>
      </w:pPr>
      <w:r>
        <w:rPr>
          <w:rFonts w:ascii="Courier New" w:cs="Courier New" w:eastAsia="Courier New" w:hAnsi="Courier New"/>
          <w:sz w:val="12"/>
          <w:szCs w:val="12"/>
          <w:color w:val="auto"/>
        </w:rPr>
        <w:t>September 2006 amendment, the exercise period of the</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warrants was extended to five years from the closing of the</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September 2006 amendment, to September 2011.</w:t>
      </w:r>
    </w:p>
    <w:p>
      <w:pPr>
        <w:spacing w:after="0" w:line="134"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The cost of the warrants issued to the Banks, determined</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based on the fair value at the grant and amendment dates in</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accordance with SFAS 123, amounted to a total of $4,168.</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Such amount was amortized as deferred financing charges over</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the terms of the loans under the Facility Agreement.</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NON-EMPLOYEE WARRANTS (cont.)</w:t>
      </w:r>
    </w:p>
    <w:p>
      <w:pPr>
        <w:spacing w:after="0" w:line="134" w:lineRule="exact"/>
        <w:rPr>
          <w:rFonts w:ascii="Courier New" w:cs="Courier New" w:eastAsia="Courier New" w:hAnsi="Courier New"/>
          <w:sz w:val="12"/>
          <w:szCs w:val="12"/>
          <w:color w:val="auto"/>
        </w:rPr>
      </w:pPr>
    </w:p>
    <w:p>
      <w:pPr>
        <w:ind w:left="1400" w:hanging="354"/>
        <w:spacing w:after="0"/>
        <w:tabs>
          <w:tab w:leader="none" w:pos="1400" w:val="left"/>
        </w:tabs>
        <w:numPr>
          <w:ilvl w:val="2"/>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BANKS WARRANTS (CONT.)</w:t>
      </w:r>
    </w:p>
    <w:p>
      <w:pPr>
        <w:spacing w:after="0" w:line="138" w:lineRule="exact"/>
        <w:rPr>
          <w:rFonts w:ascii="Courier New" w:cs="Courier New" w:eastAsia="Courier New" w:hAnsi="Courier New"/>
          <w:sz w:val="12"/>
          <w:szCs w:val="12"/>
          <w:color w:val="auto"/>
        </w:rPr>
      </w:pPr>
    </w:p>
    <w:p>
      <w:pPr>
        <w:ind w:left="1400" w:right="469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WARRANTS ISSUED IN JULY 2005 - In connection with the July 2005 amendment to the Facility Agreement detailed in Note 11A(6) above, the Company issued warrants to the Banks exercisable into an aggregate of 8,264,464 Ordinary Shares of the Company (4,132,232 each), with an exercise price of $1.21. One-half, of the warrants was exercisable for five years ending in August 2010, and one-half of the warrants was to be exercisable for five years from the date on which the Company and the Banks will agree to reschedule the loan repayment dates. Under the terms of the September 2006 amendment, the exercise period of all of the July 2005 warrants was extended to five years from the closing of the September 2006 amendment, to September 2011.</w:t>
      </w:r>
    </w:p>
    <w:p>
      <w:pPr>
        <w:spacing w:after="0" w:line="129"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cost of the 8,264,464 warrants, determined based on the fair value at the grant and amendment dates in accordance with SFAS 123, amounted to a total of $6,718. Such amount was amortized as deferred financing charges over the term of the loans under the Facility Agreement.</w:t>
      </w:r>
    </w:p>
    <w:p>
      <w:pPr>
        <w:spacing w:after="0" w:line="139"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lieu of paying the exercise price in cash, the Banks are entitled to exercise all their warrants on a "cashless" basis, i.e. by forfeiting part of the warrants in exchange for Ordinary Shares equal to the aggregate fair market value of the shares underlying the warrants forfeited less the aggregate exercise price.</w:t>
      </w:r>
    </w:p>
    <w:p>
      <w:pPr>
        <w:spacing w:after="0" w:line="140" w:lineRule="exact"/>
        <w:rPr>
          <w:rFonts w:ascii="Courier New" w:cs="Courier New" w:eastAsia="Courier New" w:hAnsi="Courier New"/>
          <w:sz w:val="12"/>
          <w:szCs w:val="12"/>
          <w:color w:val="auto"/>
        </w:rPr>
      </w:pPr>
    </w:p>
    <w:p>
      <w:pPr>
        <w:ind w:left="1400" w:right="4619" w:hanging="354"/>
        <w:spacing w:after="0" w:line="237" w:lineRule="auto"/>
        <w:tabs>
          <w:tab w:leader="none" w:pos="1400" w:val="left"/>
        </w:tabs>
        <w:numPr>
          <w:ilvl w:val="2"/>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WARRANTS GRANTED TO A RELATED PARTY - In consideration for TIC's undertaking described in Note 11A(6), the Company issued TIC warrants for the purchase of 58,906 of the Company's Ordinary Shares. The exercise price for the warrants is $6.17 per share, the 15-day average closing price of the Company's Ordinary Shares prior to the date the November 2003 amendment with the Banks described in Note 11A(6) was signed. All the warrants are fully vested and none of them was exercised. The warrants are exercisable for a five-year period ending December 2008.</w:t>
      </w:r>
    </w:p>
    <w:p>
      <w:pPr>
        <w:spacing w:after="0" w:line="143" w:lineRule="exact"/>
        <w:rPr>
          <w:rFonts w:ascii="Courier New" w:cs="Courier New" w:eastAsia="Courier New" w:hAnsi="Courier New"/>
          <w:sz w:val="12"/>
          <w:szCs w:val="12"/>
          <w:color w:val="auto"/>
        </w:rPr>
      </w:pPr>
    </w:p>
    <w:p>
      <w:pPr>
        <w:ind w:left="14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cost of the warrants award granted to TIC, determined based on the fair value at the grant date in accordance with SFAS 123, amounted to a total of $259. Such amount was allocated to other assets as deferred financing charges and was amortized as financing expense over the terms of the loans under the Facility Agreement with the Banks.</w:t>
      </w:r>
    </w:p>
    <w:p>
      <w:pPr>
        <w:spacing w:after="0" w:line="26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 FORMA LOSS PER SHARE ACCORDING TO SFAS 123 AND SFAS 148</w:t>
      </w:r>
    </w:p>
    <w:p>
      <w:pPr>
        <w:spacing w:after="0" w:line="138" w:lineRule="exact"/>
        <w:rPr>
          <w:rFonts w:ascii="Courier New" w:cs="Courier New" w:eastAsia="Courier New" w:hAnsi="Courier New"/>
          <w:sz w:val="12"/>
          <w:szCs w:val="12"/>
          <w:color w:val="auto"/>
        </w:rPr>
      </w:pPr>
    </w:p>
    <w:p>
      <w:pPr>
        <w:ind w:left="104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Had compensation cost for the Company's share option plans been determined based on the fair value at the grant dates for all awards made through December 31, 2005 in accordance with SFAS 123, as amended by SFAS 148, the Company's pro forma loss per share would have been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For the year ended</w:t>
            </w:r>
          </w:p>
        </w:tc>
      </w:tr>
      <w:tr>
        <w:trPr>
          <w:trHeight w:val="135"/>
        </w:trPr>
        <w:tc>
          <w:tcPr>
            <w:tcW w:w="2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December 31,</w:t>
            </w:r>
          </w:p>
        </w:tc>
        <w:tc>
          <w:tcPr>
            <w:tcW w:w="5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2140" w:type="dxa"/>
            <w:vAlign w:val="bottom"/>
            <w:gridSpan w:val="4"/>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2005</w:t>
            </w:r>
          </w:p>
        </w:tc>
        <w:tc>
          <w:tcPr>
            <w:tcW w:w="440" w:type="dxa"/>
            <w:vAlign w:val="bottom"/>
          </w:tcPr>
          <w:p>
            <w:pPr>
              <w:spacing w:after="0"/>
              <w:rPr>
                <w:sz w:val="11"/>
                <w:szCs w:val="11"/>
                <w:color w:val="auto"/>
              </w:rPr>
            </w:pPr>
          </w:p>
        </w:tc>
        <w:tc>
          <w:tcPr>
            <w:tcW w:w="50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0"/>
              </w:rPr>
              <w:t>2004</w:t>
            </w:r>
          </w:p>
        </w:tc>
      </w:tr>
      <w:tr>
        <w:trPr>
          <w:trHeight w:val="135"/>
        </w:trPr>
        <w:tc>
          <w:tcPr>
            <w:tcW w:w="242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2420" w:type="dxa"/>
            <w:vAlign w:val="bottom"/>
          </w:tcPr>
          <w:p>
            <w:pPr>
              <w:spacing w:after="0"/>
              <w:rPr>
                <w:sz w:val="20"/>
                <w:szCs w:val="20"/>
                <w:color w:val="auto"/>
              </w:rPr>
            </w:pPr>
            <w:r>
              <w:rPr>
                <w:rFonts w:ascii="Courier New" w:cs="Courier New" w:eastAsia="Courier New" w:hAnsi="Courier New"/>
                <w:sz w:val="12"/>
                <w:szCs w:val="12"/>
                <w:color w:val="auto"/>
              </w:rPr>
              <w:t>PRO FORMA LOSS</w:t>
            </w: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Loss for the year, as reported</w:t>
            </w:r>
          </w:p>
        </w:tc>
        <w:tc>
          <w:tcPr>
            <w:tcW w:w="12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$(203,082)</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$(137,768)</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Less - stock-based compensation</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determined under APB 25</w:t>
            </w:r>
          </w:p>
        </w:tc>
        <w:tc>
          <w:tcPr>
            <w:tcW w:w="380" w:type="dxa"/>
            <w:vAlign w:val="bottom"/>
          </w:tcPr>
          <w:p>
            <w:pPr>
              <w:spacing w:after="0"/>
              <w:rPr>
                <w:sz w:val="11"/>
                <w:szCs w:val="11"/>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Add - stock-based compensation</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determined under SFAS 123</w:t>
            </w:r>
          </w:p>
        </w:tc>
        <w:tc>
          <w:tcPr>
            <w:tcW w:w="38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(4,229)</w:t>
            </w:r>
          </w:p>
        </w:tc>
        <w:tc>
          <w:tcPr>
            <w:tcW w:w="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(3,980)</w:t>
            </w:r>
          </w:p>
        </w:tc>
      </w:tr>
      <w:tr>
        <w:trPr>
          <w:trHeight w:val="135"/>
        </w:trPr>
        <w:tc>
          <w:tcPr>
            <w:tcW w:w="242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Pro forma loss</w:t>
            </w:r>
          </w:p>
        </w:tc>
        <w:tc>
          <w:tcPr>
            <w:tcW w:w="12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$(207,311)</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$(141,748)</w:t>
            </w:r>
          </w:p>
        </w:tc>
      </w:tr>
      <w:tr>
        <w:trPr>
          <w:trHeight w:val="135"/>
        </w:trPr>
        <w:tc>
          <w:tcPr>
            <w:tcW w:w="242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242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As reported</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(3.06)</w:t>
            </w:r>
          </w:p>
        </w:tc>
        <w:tc>
          <w:tcPr>
            <w:tcW w:w="4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(2.13)</w:t>
            </w:r>
          </w:p>
        </w:tc>
      </w:tr>
      <w:tr>
        <w:trPr>
          <w:trHeight w:val="135"/>
        </w:trPr>
        <w:tc>
          <w:tcPr>
            <w:tcW w:w="242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Pro forma</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(3.12)</w:t>
            </w:r>
          </w:p>
        </w:tc>
        <w:tc>
          <w:tcPr>
            <w:tcW w:w="4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(2.19)</w:t>
            </w:r>
          </w:p>
        </w:tc>
      </w:tr>
      <w:tr>
        <w:trPr>
          <w:trHeight w:val="135"/>
        </w:trPr>
        <w:tc>
          <w:tcPr>
            <w:tcW w:w="242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340"/>
        <w:spacing w:after="0"/>
        <w:tabs>
          <w:tab w:leader="none" w:pos="680" w:val="left"/>
        </w:tabs>
        <w:rPr>
          <w:sz w:val="20"/>
          <w:szCs w:val="20"/>
          <w:color w:val="auto"/>
        </w:rPr>
      </w:pPr>
      <w:r>
        <w:rPr>
          <w:rFonts w:ascii="Courier New" w:cs="Courier New" w:eastAsia="Courier New" w:hAnsi="Courier New"/>
          <w:sz w:val="12"/>
          <w:szCs w:val="12"/>
          <w:color w:val="auto"/>
        </w:rPr>
        <w:t>C.</w:t>
      </w:r>
      <w:r>
        <w:rPr>
          <w:sz w:val="20"/>
          <w:szCs w:val="20"/>
          <w:color w:val="auto"/>
        </w:rPr>
        <w:tab/>
      </w:r>
      <w:r>
        <w:rPr>
          <w:rFonts w:ascii="Courier New" w:cs="Courier New" w:eastAsia="Courier New" w:hAnsi="Courier New"/>
          <w:sz w:val="12"/>
          <w:szCs w:val="12"/>
          <w:color w:val="auto"/>
        </w:rPr>
        <w:t>CAPITAL NOTES</w:t>
      </w:r>
    </w:p>
    <w:p>
      <w:pPr>
        <w:sectPr>
          <w:pgSz w:w="11900" w:h="16838" w:orient="portrait"/>
          <w:cols w:equalWidth="0" w:num="1">
            <w:col w:w="10239"/>
          </w:cols>
          <w:pgMar w:left="220" w:top="137" w:right="1440" w:bottom="0" w:gutter="0" w:footer="0" w:header="0"/>
        </w:sectPr>
      </w:pPr>
    </w:p>
    <w:bookmarkStart w:id="30" w:name="page31"/>
    <w:bookmarkEnd w:id="30"/>
    <w:p>
      <w:pPr>
        <w:ind w:left="1040" w:hanging="345"/>
        <w:spacing w:after="0"/>
        <w:tabs>
          <w:tab w:leader="none" w:pos="1040"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BANKS' CAPITAL NOTES</w:t>
      </w:r>
    </w:p>
    <w:p>
      <w:pPr>
        <w:spacing w:after="0" w:line="13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part of the September 2006 Amendment to the Facility Agreement, $158,000, representing approximately 30% of the outstanding debt under the Facility Agreement, was converted into capital notes of the Company, convertible into 51,973,684 of the Company's Ordinary Shares, representing twice the average closing price per share during the ten days prior to signing the MOU. For additional information regarding the capital notes to the Banks see Note 11A(6).</w:t>
      </w:r>
    </w:p>
    <w:p>
      <w:pPr>
        <w:spacing w:after="0" w:line="137" w:lineRule="exact"/>
        <w:rPr>
          <w:rFonts w:ascii="Courier New" w:cs="Courier New" w:eastAsia="Courier New" w:hAnsi="Courier New"/>
          <w:sz w:val="12"/>
          <w:szCs w:val="12"/>
          <w:color w:val="auto"/>
        </w:rPr>
      </w:pPr>
    </w:p>
    <w:p>
      <w:pPr>
        <w:ind w:left="1040" w:hanging="345"/>
        <w:spacing w:after="0"/>
        <w:tabs>
          <w:tab w:leader="none" w:pos="1040"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TIC'S CAPITAL NOTES</w:t>
      </w:r>
    </w:p>
    <w:p>
      <w:pPr>
        <w:spacing w:after="0" w:line="138" w:lineRule="exact"/>
        <w:rPr>
          <w:rFonts w:ascii="Courier New" w:cs="Courier New" w:eastAsia="Courier New" w:hAnsi="Courier New"/>
          <w:sz w:val="12"/>
          <w:szCs w:val="12"/>
          <w:color w:val="auto"/>
        </w:rPr>
      </w:pPr>
    </w:p>
    <w:p>
      <w:pPr>
        <w:ind w:left="104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Contemporaneous with the closing of the September 2006 Amendment and as part of the Securities Purchase Agreement between the Company and TIC, the Company issued TIC in consideration of its $100,000 investment, capital notes convertible into 65,789,474 of the Company's Ordinary Shares, at a price per share of $1.52 (which equals the average closing price during the 10 consecutive trading days prior to signing the MOU). For additional information regarding the capital notes to TIC see Note 11A(6).</w:t>
      </w: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TREASURY STOCK</w:t>
      </w:r>
    </w:p>
    <w:p>
      <w:pPr>
        <w:spacing w:after="0" w:line="138"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During 1998, the Board of Directors of the Company authorized, subject to certain conditions, the purchase of up to 1,400,000 Ordinary Shares of the Company to facilitate the exercise of employee stock options under the Company's share option plans. During 1999 and 1998, the Company funded the purchase by a trustee of 142,500 and 1,157,500, respectively, of the Company's Ordinary Shares.</w:t>
      </w:r>
    </w:p>
    <w:p>
      <w:pPr>
        <w:spacing w:after="0" w:line="12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DIVIDEND DISTRIBUTIONS</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According to the Facility Agreement, as amended (see Note 11A(6)), the Company undertook not to distribute any dividends prior to the date that all amounts payable under the Facility Agreement have been paid in full.</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SALE OF SECURITIES - JANUARY 2002</w:t>
      </w:r>
    </w:p>
    <w:p>
      <w:pPr>
        <w:spacing w:after="0" w:line="138" w:lineRule="exact"/>
        <w:rPr>
          <w:rFonts w:ascii="Courier New" w:cs="Courier New" w:eastAsia="Courier New" w:hAnsi="Courier New"/>
          <w:sz w:val="12"/>
          <w:szCs w:val="12"/>
          <w:color w:val="auto"/>
        </w:rPr>
      </w:pPr>
    </w:p>
    <w:p>
      <w:pPr>
        <w:ind w:left="70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2002, the Company issued on the Tel Aviv Stock Exchange, NIS 110,579,800 principal amount of convertible debentures, under terms described in Note 9B. Together with the convertible debentures the Company issued for no consideration an aggregate of 552,899 options and 2,211,596 Options (Series 1). As of the date of the financial statements, all said options expired and none were exercised.</w:t>
      </w:r>
    </w:p>
    <w:p>
      <w:pPr>
        <w:spacing w:after="0" w:line="141"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total initial proceeds raised were $23,200, and costs related to the issuance of the securities and the prospectus were approximately $1,750. See Note 19F for the presentation and the accounting treatment of the sale of these securities under U.S. GAAP.</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OFFERING - OCTOBER 2002</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October 2002, the Company issued in connection with a rights offering done on the NASDAQ and on the Tel-Aviv Stock Exchange 4,097,964 Ordinary Shares of the Company and 1,844,070 warrants to purchase Ordinary Shares of the Company, in consideration for aggregate gross proceeds of $20,490. Of these amounts, 4,086,037 Ordinary Shares and 1,838,715 warrants were issued to Wafer Partners and Equity Investors in consideration for an aggregate of $20,430. Each warrant was exercisable for the purchase of one Ordinary Share at an exercise price of $7.50 for a period ending on October 31, 2006. None of the warrants were exercised. Costs in relation to the prospectus and the issuance of the securities were approximately $800.</w:t>
      </w:r>
    </w:p>
    <w:p>
      <w:pPr>
        <w:spacing w:after="0" w:line="12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PUBLIC OFFERING - JANUARY 2004</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2004, the Company completed a public offering of its Ordinary Shares in the U.S. at a price of $7.00 per share. Following the offering, and including the partial exercise in February 2004 of an over-allotment option the Company granted the underwriters, the Company issued 11,444,500 of its Ordinary Shares, in consideration for gross proceeds of $80,112 (net of related costs - $75,086).</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OFFERING - DECEMBER 2005</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December 2005, the Company filed in Israel and the U.S. a prospectus for the distribution of transferable rights to purchase up to $50,000 U.S. dollar denominated debentures that are convertible into up to 45,454,545 of the Company's Ordinary Shares. The rights were distributed to the shareholders of record of the Company on December 20, 2005 (the record date), and to certain employees who on the record date held options to purchase the Company's Ordinary Shares under share option plans that entitle the option holders to participate in a rights offering. Each 138.98 Ordinary Shares and/or eligible employee options held on the record date entitled their holder to one right. The rights were exercisable until January 12, 2006. Each right entitled its holder to purchase, at a subscription price of $0.1, 100 U.S. dollar denominated convertible debentures.</w:t>
      </w:r>
    </w:p>
    <w:p>
      <w:pPr>
        <w:spacing w:after="0" w:line="129"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connection with the exercise of the rights, the Company issued 48,169,300 convertible debentures, with each debenture of $1.00 in principal amount, or total of $48,169 principal amount of debentures, which bear annual interest at the rate of 5%. The principal of the debentures, together with accrued interest, is payable in one installment on January 12, 2012.</w:t>
      </w:r>
    </w:p>
    <w:p>
      <w:pPr>
        <w:spacing w:after="0" w:line="140"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1"/>
          <w:szCs w:val="11"/>
          <w:color w:val="auto"/>
        </w:rPr>
        <w:t>The debentures are convertible into the Company's Ordinary Shares at a</w:t>
      </w:r>
    </w:p>
    <w:p>
      <w:pPr>
        <w:sectPr>
          <w:pgSz w:w="11900" w:h="16838" w:orient="portrait"/>
          <w:cols w:equalWidth="0" w:num="1">
            <w:col w:w="10239"/>
          </w:cols>
          <w:pgMar w:left="220" w:top="137" w:right="1440" w:bottom="0" w:gutter="0" w:footer="0" w:header="0"/>
        </w:sectPr>
      </w:pPr>
    </w:p>
    <w:bookmarkStart w:id="31" w:name="page32"/>
    <w:bookmarkEnd w:id="31"/>
    <w:p>
      <w:pPr>
        <w:ind w:left="700"/>
        <w:spacing w:after="0"/>
        <w:rPr>
          <w:sz w:val="20"/>
          <w:szCs w:val="20"/>
          <w:color w:val="auto"/>
        </w:rPr>
      </w:pPr>
      <w:r>
        <w:rPr>
          <w:rFonts w:ascii="Courier New" w:cs="Courier New" w:eastAsia="Courier New" w:hAnsi="Courier New"/>
          <w:sz w:val="12"/>
          <w:szCs w:val="12"/>
          <w:color w:val="auto"/>
        </w:rPr>
        <w:t>rate of one ordinary share per $1.10 aggregate principal amount of</w:t>
      </w:r>
    </w:p>
    <w:p>
      <w:pPr>
        <w:ind w:left="700"/>
        <w:spacing w:after="0"/>
        <w:rPr>
          <w:sz w:val="20"/>
          <w:szCs w:val="20"/>
          <w:color w:val="auto"/>
        </w:rPr>
      </w:pPr>
      <w:r>
        <w:rPr>
          <w:rFonts w:ascii="Courier New" w:cs="Courier New" w:eastAsia="Courier New" w:hAnsi="Courier New"/>
          <w:sz w:val="12"/>
          <w:szCs w:val="12"/>
          <w:color w:val="auto"/>
        </w:rPr>
        <w:t>debentures. The conversion price was subject to downward adjustment</w:t>
      </w:r>
    </w:p>
    <w:p>
      <w:pPr>
        <w:ind w:left="700"/>
        <w:spacing w:after="0" w:line="237" w:lineRule="auto"/>
        <w:rPr>
          <w:sz w:val="20"/>
          <w:szCs w:val="20"/>
          <w:color w:val="auto"/>
        </w:rPr>
      </w:pPr>
      <w:r>
        <w:rPr>
          <w:rFonts w:ascii="Courier New" w:cs="Courier New" w:eastAsia="Courier New" w:hAnsi="Courier New"/>
          <w:sz w:val="12"/>
          <w:szCs w:val="12"/>
          <w:color w:val="auto"/>
        </w:rPr>
        <w:t>under certain circumstances in which the Company would have sold</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securities in financings at a price per share which was lower than the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conversion price, provided that such financings closed, or agreements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for such financings were signed, through December 2006. As of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balance sheet date no such adjustment was or will be required and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downward adjustment mechanism has expired.</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Subject to the Facility Agreement, the Company may at its option</w:t>
      </w:r>
    </w:p>
    <w:p>
      <w:pPr>
        <w:ind w:left="700"/>
        <w:spacing w:after="0"/>
        <w:rPr>
          <w:sz w:val="20"/>
          <w:szCs w:val="20"/>
          <w:color w:val="auto"/>
        </w:rPr>
      </w:pPr>
      <w:r>
        <w:rPr>
          <w:rFonts w:ascii="Courier New" w:cs="Courier New" w:eastAsia="Courier New" w:hAnsi="Courier New"/>
          <w:sz w:val="12"/>
          <w:szCs w:val="12"/>
          <w:color w:val="auto"/>
        </w:rPr>
        <w:t>announce the early redemption of the debentures, provided that the</w:t>
      </w:r>
    </w:p>
    <w:p>
      <w:pPr>
        <w:ind w:left="700"/>
        <w:spacing w:after="0" w:line="237" w:lineRule="auto"/>
        <w:rPr>
          <w:sz w:val="20"/>
          <w:szCs w:val="20"/>
          <w:color w:val="auto"/>
        </w:rPr>
      </w:pPr>
      <w:r>
        <w:rPr>
          <w:rFonts w:ascii="Courier New" w:cs="Courier New" w:eastAsia="Courier New" w:hAnsi="Courier New"/>
          <w:sz w:val="12"/>
          <w:szCs w:val="12"/>
          <w:color w:val="auto"/>
        </w:rPr>
        <w:t>outstanding aggregate balance of principal on account of the</w:t>
      </w:r>
    </w:p>
    <w:p>
      <w:pPr>
        <w:ind w:left="700"/>
        <w:spacing w:after="0"/>
        <w:rPr>
          <w:sz w:val="20"/>
          <w:szCs w:val="20"/>
          <w:color w:val="auto"/>
        </w:rPr>
      </w:pPr>
      <w:r>
        <w:rPr>
          <w:rFonts w:ascii="Courier New" w:cs="Courier New" w:eastAsia="Courier New" w:hAnsi="Courier New"/>
          <w:sz w:val="12"/>
          <w:szCs w:val="12"/>
          <w:color w:val="auto"/>
        </w:rPr>
        <w:t>debentures is equal to or less than $500.</w:t>
      </w:r>
    </w:p>
    <w:p>
      <w:pPr>
        <w:spacing w:after="0" w:line="138"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debentures are listed and quoted on the NASDAQ Capital Market and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Tel Aviv Stock Exchange.</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Certain of the Company's Equity Investors and Wafer Partners invested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$27,811 in the framework of the rights offering.</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debentures and interest thereon are unsecured and rank behind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Company's existing and future secured indebtedness, including</w:t>
      </w:r>
    </w:p>
    <w:p>
      <w:pPr>
        <w:ind w:left="700"/>
        <w:spacing w:after="0"/>
        <w:rPr>
          <w:sz w:val="20"/>
          <w:szCs w:val="20"/>
          <w:color w:val="auto"/>
        </w:rPr>
      </w:pPr>
      <w:r>
        <w:rPr>
          <w:rFonts w:ascii="Courier New" w:cs="Courier New" w:eastAsia="Courier New" w:hAnsi="Courier New"/>
          <w:sz w:val="12"/>
          <w:szCs w:val="12"/>
          <w:color w:val="auto"/>
        </w:rPr>
        <w:t>indebtedness to the Banks under the Facility Agreement, to the</w:t>
      </w:r>
    </w:p>
    <w:p>
      <w:pPr>
        <w:ind w:left="700"/>
        <w:spacing w:after="0" w:line="237" w:lineRule="auto"/>
        <w:rPr>
          <w:sz w:val="20"/>
          <w:szCs w:val="20"/>
          <w:color w:val="auto"/>
        </w:rPr>
      </w:pPr>
      <w:r>
        <w:rPr>
          <w:rFonts w:ascii="Courier New" w:cs="Courier New" w:eastAsia="Courier New" w:hAnsi="Courier New"/>
          <w:sz w:val="12"/>
          <w:szCs w:val="12"/>
          <w:color w:val="auto"/>
        </w:rPr>
        <w:t>government of Israel in connection with grants the Company received</w:t>
      </w:r>
    </w:p>
    <w:p>
      <w:pPr>
        <w:ind w:left="700"/>
        <w:spacing w:after="0"/>
        <w:rPr>
          <w:sz w:val="20"/>
          <w:szCs w:val="20"/>
          <w:color w:val="auto"/>
        </w:rPr>
      </w:pPr>
      <w:r>
        <w:rPr>
          <w:rFonts w:ascii="Courier New" w:cs="Courier New" w:eastAsia="Courier New" w:hAnsi="Courier New"/>
          <w:sz w:val="12"/>
          <w:szCs w:val="12"/>
          <w:color w:val="auto"/>
        </w:rPr>
        <w:t>under its approved enterprise programs and to Siliconix and SanDisk.</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If on the payment date of the principal and interest on the</w:t>
      </w:r>
    </w:p>
    <w:p>
      <w:pPr>
        <w:ind w:left="700"/>
        <w:spacing w:after="0"/>
        <w:rPr>
          <w:sz w:val="20"/>
          <w:szCs w:val="20"/>
          <w:color w:val="auto"/>
        </w:rPr>
      </w:pPr>
      <w:r>
        <w:rPr>
          <w:rFonts w:ascii="Courier New" w:cs="Courier New" w:eastAsia="Courier New" w:hAnsi="Courier New"/>
          <w:sz w:val="12"/>
          <w:szCs w:val="12"/>
          <w:color w:val="auto"/>
        </w:rPr>
        <w:t>debentures, there exists an infringement of certain covenants and</w:t>
      </w:r>
    </w:p>
    <w:p>
      <w:pPr>
        <w:ind w:left="700"/>
        <w:spacing w:after="0" w:line="237" w:lineRule="auto"/>
        <w:rPr>
          <w:sz w:val="20"/>
          <w:szCs w:val="20"/>
          <w:color w:val="auto"/>
        </w:rPr>
      </w:pPr>
      <w:r>
        <w:rPr>
          <w:rFonts w:ascii="Courier New" w:cs="Courier New" w:eastAsia="Courier New" w:hAnsi="Courier New"/>
          <w:sz w:val="12"/>
          <w:szCs w:val="12"/>
          <w:color w:val="auto"/>
        </w:rPr>
        <w:t>conditions under the Facility Agreement, the date for payment of the</w:t>
      </w:r>
    </w:p>
    <w:p>
      <w:pPr>
        <w:ind w:left="700"/>
        <w:spacing w:after="0"/>
        <w:rPr>
          <w:sz w:val="20"/>
          <w:szCs w:val="20"/>
          <w:color w:val="auto"/>
        </w:rPr>
      </w:pPr>
      <w:r>
        <w:rPr>
          <w:rFonts w:ascii="Courier New" w:cs="Courier New" w:eastAsia="Courier New" w:hAnsi="Courier New"/>
          <w:sz w:val="12"/>
          <w:szCs w:val="12"/>
          <w:color w:val="auto"/>
        </w:rPr>
        <w:t>interest and principal on the debentures may be postponed, depending</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on various scenarios under the Facility Agreement until such covenant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or condition is settled. See Note 19F for the presentation of the</w:t>
      </w:r>
    </w:p>
    <w:p>
      <w:pPr>
        <w:ind w:left="700"/>
        <w:spacing w:after="0"/>
        <w:rPr>
          <w:sz w:val="20"/>
          <w:szCs w:val="20"/>
          <w:color w:val="auto"/>
        </w:rPr>
      </w:pPr>
      <w:r>
        <w:rPr>
          <w:rFonts w:ascii="Courier New" w:cs="Courier New" w:eastAsia="Courier New" w:hAnsi="Courier New"/>
          <w:sz w:val="12"/>
          <w:szCs w:val="12"/>
          <w:color w:val="auto"/>
        </w:rPr>
        <w:t>rights offering in accordance with U.S. GAAP.</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2006 PUBLIC OFFERING</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June 2006 the Company completed an underwritten public offering of the Company's securities on the Tel-Aviv Stock Exchange resulting in immediate gross proceeds of approximately NIS 140,000,000 (approximately $31,000). In the offering, 78,000 Units were sold at a price per Unit of NIS 1,785 (approximately $0.4). Each Unit consisted of (i) convertible debentures in the face amount of NIS 2,100 (approximately $0.47), (ii) five options each exercisable for the three months ended September 27, 2006 for NIS 100 principal amount of convertible debentures at an exercise price equal to 85% of their face amount, linked to the Israeli Consumer Price Index ("CPI"), (iii) 140 warrants each exercisable for the three months ended September 27, 2006 for one ordinary share of the Company at a price of NIS 6.75 (approximately $0.00157, linked to the CPI and (iv) 70 warrants each exercisable for three years ending on June 28, 2009 for one ordinary share of the Company at a price of NIS 7.40 (approximately $0.00175), linked to the CPI. The convertible debentures are convertible into the Company's Ordinary Shares at a conversion rate of one ordinary share per NIS 8.40 (approximately $0.00199) principal amount of convertible debentures. The convertible debentures carry a zero coupon with principal payable at maturity in December 2011, at a premium of 37% over face value, linked to the CPI. The conversion price is subject to reduction in certain limited circumstances.</w:t>
      </w:r>
    </w:p>
    <w:p>
      <w:pPr>
        <w:spacing w:after="0" w:line="272" w:lineRule="exact"/>
        <w:rPr>
          <w:rFonts w:ascii="Courier New" w:cs="Courier New" w:eastAsia="Courier New" w:hAnsi="Courier New"/>
          <w:sz w:val="12"/>
          <w:szCs w:val="12"/>
          <w:color w:val="auto"/>
        </w:rPr>
      </w:pPr>
    </w:p>
    <w:p>
      <w:pPr>
        <w:ind w:left="70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accordance with Standard No. 22, the proceeds were allocated to each of the Unit's components based on relative fair values in the first 2 days of trading. After allocation, each of the components is classified as either equity or liability based on the criteria prescribed in Standard No. 22.</w:t>
      </w:r>
    </w:p>
    <w:p>
      <w:pPr>
        <w:spacing w:after="0" w:line="139" w:lineRule="exact"/>
        <w:rPr>
          <w:rFonts w:ascii="Courier New" w:cs="Courier New" w:eastAsia="Courier New" w:hAnsi="Courier New"/>
          <w:sz w:val="12"/>
          <w:szCs w:val="12"/>
          <w:color w:val="auto"/>
        </w:rPr>
      </w:pPr>
    </w:p>
    <w:p>
      <w:pPr>
        <w:ind w:left="700"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the Company issued 300 such units in consideration for NIS 526,000 through a private placement to its market maker in connection with said offering.</w:t>
      </w:r>
    </w:p>
    <w:p>
      <w:pPr>
        <w:spacing w:after="0" w:line="139"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offering was made in Israel to Israeli residents only. The securities offered were not registered under the Securities Act and may not be sold in the U.S. or to U.S. persons absent registration or an applicable exemption.</w:t>
      </w:r>
    </w:p>
    <w:p>
      <w:pPr>
        <w:spacing w:after="0" w:line="140" w:lineRule="exact"/>
        <w:rPr>
          <w:rFonts w:ascii="Courier New" w:cs="Courier New" w:eastAsia="Courier New" w:hAnsi="Courier New"/>
          <w:sz w:val="12"/>
          <w:szCs w:val="12"/>
          <w:color w:val="auto"/>
        </w:rPr>
      </w:pPr>
    </w:p>
    <w:p>
      <w:pPr>
        <w:ind w:left="700"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September 2006, 391,500 options to purchase convertible debentures described in (ii) above were exercised and 350,000 short term warrants described in (iii) above were exercised into Ordinary Shares, totaling in proceeds of approximately $8,000.</w:t>
      </w:r>
    </w:p>
    <w:p>
      <w:pPr>
        <w:spacing w:after="0" w:line="140"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19F for the accounting for the public offering in accordance with U.S. GAAP.</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SHAREHOLDERS' EQUITY (cont.)</w:t>
      </w:r>
    </w:p>
    <w:p>
      <w:pPr>
        <w:spacing w:after="0" w:line="134" w:lineRule="exact"/>
        <w:rPr>
          <w:sz w:val="20"/>
          <w:szCs w:val="20"/>
          <w:color w:val="auto"/>
        </w:rPr>
      </w:pPr>
    </w:p>
    <w:p>
      <w:pPr>
        <w:ind w:left="700" w:hanging="357"/>
        <w:spacing w:after="0"/>
        <w:tabs>
          <w:tab w:leader="none" w:pos="700"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2006 PRIVATE PLACEMENT</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November 2006, the Company received and accepted orders from Israeli investors in private placements for (i) 58,150 units, each comprised of 100 Ordinary Shares and 50 warrants ("Series 5 Warrants"), which were sold at a price of NIS 759 (approximately $0.177) per unit and (ii) 58,000 units, each comprised of 100 Ordinary Shares and 40 Series 5 Warrants, which were sold at a price of NIS 850 (approximately $0.198) per unit. The price of the Ordinary Shares included in the units was equal to the closing price of the Company's shares on the Tel-Aviv Stock Exchange prior to each of the relevant private placements. Total immediate gross proceeds amounted to approximately $22,000.</w:t>
      </w:r>
    </w:p>
    <w:p>
      <w:pPr>
        <w:spacing w:after="0" w:line="144" w:lineRule="exact"/>
        <w:rPr>
          <w:rFonts w:ascii="Courier New" w:cs="Courier New" w:eastAsia="Courier New" w:hAnsi="Courier New"/>
          <w:sz w:val="12"/>
          <w:szCs w:val="12"/>
          <w:color w:val="auto"/>
        </w:rPr>
      </w:pPr>
    </w:p>
    <w:p>
      <w:pPr>
        <w:ind w:left="700" w:right="469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Israeli securities laws, the securities were subject to a statutory lock-up. Further to the Company's undertaking to allow for removal of the statutory lock-up, the Company filed a prospectus with the Israel Securities Authority. Such prospectus was published in</w:t>
      </w:r>
    </w:p>
    <w:p>
      <w:pPr>
        <w:sectPr>
          <w:pgSz w:w="11900" w:h="16838" w:orient="portrait"/>
          <w:cols w:equalWidth="0" w:num="1">
            <w:col w:w="10239"/>
          </w:cols>
          <w:pgMar w:left="220" w:top="137" w:right="1440" w:bottom="0" w:gutter="0" w:footer="0" w:header="0"/>
        </w:sectPr>
      </w:pPr>
    </w:p>
    <w:bookmarkStart w:id="32" w:name="page33"/>
    <w:bookmarkEnd w:id="32"/>
    <w:p>
      <w:pPr>
        <w:ind w:left="700"/>
        <w:spacing w:after="0"/>
        <w:rPr>
          <w:sz w:val="20"/>
          <w:szCs w:val="20"/>
          <w:color w:val="auto"/>
        </w:rPr>
      </w:pPr>
      <w:r>
        <w:rPr>
          <w:rFonts w:ascii="Courier New" w:cs="Courier New" w:eastAsia="Courier New" w:hAnsi="Courier New"/>
          <w:sz w:val="12"/>
          <w:szCs w:val="12"/>
          <w:color w:val="auto"/>
        </w:rPr>
        <w:t>December 2006.</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Each of the Series 5 Warrants is exercisable at any time during a</w:t>
      </w:r>
    </w:p>
    <w:p>
      <w:pPr>
        <w:ind w:left="700"/>
        <w:spacing w:after="0"/>
        <w:rPr>
          <w:sz w:val="20"/>
          <w:szCs w:val="20"/>
          <w:color w:val="auto"/>
        </w:rPr>
      </w:pPr>
      <w:r>
        <w:rPr>
          <w:rFonts w:ascii="Courier New" w:cs="Courier New" w:eastAsia="Courier New" w:hAnsi="Courier New"/>
          <w:sz w:val="12"/>
          <w:szCs w:val="12"/>
          <w:color w:val="auto"/>
        </w:rPr>
        <w:t>period of four years ending in December 2010 at a price per share</w:t>
      </w:r>
    </w:p>
    <w:p>
      <w:pPr>
        <w:ind w:left="700"/>
        <w:spacing w:after="0" w:line="237" w:lineRule="auto"/>
        <w:rPr>
          <w:sz w:val="20"/>
          <w:szCs w:val="20"/>
          <w:color w:val="auto"/>
        </w:rPr>
      </w:pPr>
      <w:r>
        <w:rPr>
          <w:rFonts w:ascii="Courier New" w:cs="Courier New" w:eastAsia="Courier New" w:hAnsi="Courier New"/>
          <w:sz w:val="12"/>
          <w:szCs w:val="12"/>
          <w:color w:val="auto"/>
        </w:rPr>
        <w:t>equal to a 25% premium to the market price of the Company's shares at</w:t>
      </w:r>
    </w:p>
    <w:p>
      <w:pPr>
        <w:ind w:left="700"/>
        <w:spacing w:after="0"/>
        <w:rPr>
          <w:sz w:val="20"/>
          <w:szCs w:val="20"/>
          <w:color w:val="auto"/>
        </w:rPr>
      </w:pPr>
      <w:r>
        <w:rPr>
          <w:rFonts w:ascii="Courier New" w:cs="Courier New" w:eastAsia="Courier New" w:hAnsi="Courier New"/>
          <w:sz w:val="12"/>
          <w:szCs w:val="12"/>
          <w:color w:val="auto"/>
        </w:rPr>
        <w:t>the date the prospectus is published. As of December 28, 2006,</w:t>
      </w:r>
    </w:p>
    <w:p>
      <w:pPr>
        <w:ind w:left="700"/>
        <w:spacing w:after="0" w:line="237" w:lineRule="auto"/>
        <w:rPr>
          <w:sz w:val="20"/>
          <w:szCs w:val="20"/>
          <w:color w:val="auto"/>
        </w:rPr>
      </w:pPr>
      <w:r>
        <w:rPr>
          <w:rFonts w:ascii="Courier New" w:cs="Courier New" w:eastAsia="Courier New" w:hAnsi="Courier New"/>
          <w:sz w:val="12"/>
          <w:szCs w:val="12"/>
          <w:color w:val="auto"/>
        </w:rPr>
        <w:t>following the publication of the prospectus, the exercise price was</w:t>
      </w:r>
    </w:p>
    <w:p>
      <w:pPr>
        <w:ind w:left="700"/>
        <w:spacing w:after="0"/>
        <w:rPr>
          <w:sz w:val="20"/>
          <w:szCs w:val="20"/>
          <w:color w:val="auto"/>
        </w:rPr>
      </w:pPr>
      <w:r>
        <w:rPr>
          <w:rFonts w:ascii="Courier New" w:cs="Courier New" w:eastAsia="Courier New" w:hAnsi="Courier New"/>
          <w:sz w:val="12"/>
          <w:szCs w:val="12"/>
          <w:color w:val="auto"/>
        </w:rPr>
        <w:t>finalized and determined to be NIS 9.48 (approximately $0.0022) linked</w:t>
      </w:r>
    </w:p>
    <w:p>
      <w:pPr>
        <w:ind w:left="700"/>
        <w:spacing w:after="0" w:line="237" w:lineRule="auto"/>
        <w:rPr>
          <w:sz w:val="20"/>
          <w:szCs w:val="20"/>
          <w:color w:val="auto"/>
        </w:rPr>
      </w:pPr>
      <w:r>
        <w:rPr>
          <w:rFonts w:ascii="Courier New" w:cs="Courier New" w:eastAsia="Courier New" w:hAnsi="Courier New"/>
          <w:sz w:val="12"/>
          <w:szCs w:val="12"/>
          <w:color w:val="auto"/>
        </w:rPr>
        <w:t>to the CPI.</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accordance with Standard no. 22, Series 5 Warrants have been</w:t>
      </w:r>
    </w:p>
    <w:p>
      <w:pPr>
        <w:ind w:left="700"/>
        <w:spacing w:after="0"/>
        <w:rPr>
          <w:sz w:val="20"/>
          <w:szCs w:val="20"/>
          <w:color w:val="auto"/>
        </w:rPr>
      </w:pPr>
      <w:r>
        <w:rPr>
          <w:rFonts w:ascii="Courier New" w:cs="Courier New" w:eastAsia="Courier New" w:hAnsi="Courier New"/>
          <w:sz w:val="12"/>
          <w:szCs w:val="12"/>
          <w:color w:val="auto"/>
        </w:rPr>
        <w:t>classified as liability since it did not meet the equity</w:t>
      </w:r>
    </w:p>
    <w:p>
      <w:pPr>
        <w:ind w:left="700"/>
        <w:spacing w:after="0" w:line="237" w:lineRule="auto"/>
        <w:rPr>
          <w:sz w:val="20"/>
          <w:szCs w:val="20"/>
          <w:color w:val="auto"/>
        </w:rPr>
      </w:pPr>
      <w:r>
        <w:rPr>
          <w:rFonts w:ascii="Courier New" w:cs="Courier New" w:eastAsia="Courier New" w:hAnsi="Courier New"/>
          <w:sz w:val="12"/>
          <w:szCs w:val="12"/>
          <w:color w:val="auto"/>
        </w:rPr>
        <w:t>classification criteria in the issuance date. As a result of the</w:t>
      </w:r>
    </w:p>
    <w:p>
      <w:pPr>
        <w:ind w:left="700"/>
        <w:spacing w:after="0"/>
        <w:rPr>
          <w:sz w:val="20"/>
          <w:szCs w:val="20"/>
          <w:color w:val="auto"/>
        </w:rPr>
      </w:pPr>
      <w:r>
        <w:rPr>
          <w:rFonts w:ascii="Courier New" w:cs="Courier New" w:eastAsia="Courier New" w:hAnsi="Courier New"/>
          <w:sz w:val="12"/>
          <w:szCs w:val="12"/>
          <w:color w:val="auto"/>
        </w:rPr>
        <w:t>classification as liability, such warrants are marked to market to</w:t>
      </w:r>
    </w:p>
    <w:p>
      <w:pPr>
        <w:ind w:left="700"/>
        <w:spacing w:after="0" w:line="237" w:lineRule="auto"/>
        <w:rPr>
          <w:sz w:val="20"/>
          <w:szCs w:val="20"/>
          <w:color w:val="auto"/>
        </w:rPr>
      </w:pPr>
      <w:r>
        <w:rPr>
          <w:rFonts w:ascii="Courier New" w:cs="Courier New" w:eastAsia="Courier New" w:hAnsi="Courier New"/>
          <w:sz w:val="12"/>
          <w:szCs w:val="12"/>
          <w:color w:val="auto"/>
        </w:rPr>
        <w:t>their fair value, with changes in fair value recorded in earnings.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INFORMATION ON GEOGRAPHIC AREAS AND MAJOR CUSTOMERS</w:t>
      </w:r>
    </w:p>
    <w:p>
      <w:pPr>
        <w:spacing w:after="0" w:line="134" w:lineRule="exact"/>
        <w:rPr>
          <w:sz w:val="20"/>
          <w:szCs w:val="20"/>
          <w:color w:val="auto"/>
        </w:rPr>
      </w:pPr>
    </w:p>
    <w:p>
      <w:pPr>
        <w:ind w:left="700" w:hanging="357"/>
        <w:spacing w:after="0"/>
        <w:tabs>
          <w:tab w:leader="none" w:pos="700" w:val="left"/>
        </w:tabs>
        <w:numPr>
          <w:ilvl w:val="0"/>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REVENUES BY GEOGRAPHIC AREA (as percentage of total sales)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20" w:type="dxa"/>
            <w:vAlign w:val="bottom"/>
          </w:tcPr>
          <w:p>
            <w:pPr>
              <w:spacing w:after="0"/>
              <w:rPr>
                <w:sz w:val="11"/>
                <w:szCs w:val="11"/>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Year ended December 31,</w:t>
            </w:r>
          </w:p>
        </w:tc>
        <w:tc>
          <w:tcPr>
            <w:tcW w:w="58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292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420" w:type="dxa"/>
            <w:vAlign w:val="bottom"/>
          </w:tcPr>
          <w:p>
            <w:pPr>
              <w:spacing w:after="0"/>
              <w:rPr>
                <w:sz w:val="11"/>
                <w:szCs w:val="11"/>
                <w:color w:val="auto"/>
              </w:rPr>
            </w:pPr>
          </w:p>
        </w:tc>
        <w:tc>
          <w:tcPr>
            <w:tcW w:w="10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2006</w:t>
            </w:r>
          </w:p>
        </w:tc>
        <w:tc>
          <w:tcPr>
            <w:tcW w:w="1300" w:type="dxa"/>
            <w:vAlign w:val="bottom"/>
          </w:tcPr>
          <w:p>
            <w:pPr>
              <w:jc w:val="right"/>
              <w:ind w:right="561"/>
              <w:spacing w:after="0"/>
              <w:rPr>
                <w:sz w:val="20"/>
                <w:szCs w:val="20"/>
                <w:color w:val="auto"/>
              </w:rPr>
            </w:pPr>
            <w:r>
              <w:rPr>
                <w:rFonts w:ascii="Courier New" w:cs="Courier New" w:eastAsia="Courier New" w:hAnsi="Courier New"/>
                <w:sz w:val="12"/>
                <w:szCs w:val="12"/>
                <w:color w:val="auto"/>
              </w:rPr>
              <w:t>2005</w:t>
            </w:r>
          </w:p>
        </w:tc>
        <w:tc>
          <w:tcPr>
            <w:tcW w:w="5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2420" w:type="dxa"/>
            <w:vAlign w:val="bottom"/>
          </w:tcPr>
          <w:p>
            <w:pPr>
              <w:spacing w:after="0"/>
              <w:rPr>
                <w:sz w:val="11"/>
                <w:szCs w:val="11"/>
                <w:color w:val="auto"/>
              </w:rPr>
            </w:pP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5"/>
              </w:rPr>
              <w:t>-------</w:t>
            </w:r>
          </w:p>
        </w:tc>
      </w:tr>
      <w:tr>
        <w:trPr>
          <w:trHeight w:val="270"/>
        </w:trPr>
        <w:tc>
          <w:tcPr>
            <w:tcW w:w="2420" w:type="dxa"/>
            <w:vAlign w:val="bottom"/>
          </w:tcPr>
          <w:p>
            <w:pPr>
              <w:spacing w:after="0"/>
              <w:rPr>
                <w:sz w:val="20"/>
                <w:szCs w:val="20"/>
                <w:color w:val="auto"/>
              </w:rPr>
            </w:pPr>
            <w:r>
              <w:rPr>
                <w:rFonts w:ascii="Courier New" w:cs="Courier New" w:eastAsia="Courier New" w:hAnsi="Courier New"/>
                <w:sz w:val="12"/>
                <w:szCs w:val="12"/>
                <w:color w:val="auto"/>
              </w:rPr>
              <w:t>United States</w:t>
            </w:r>
          </w:p>
        </w:tc>
        <w:tc>
          <w:tcPr>
            <w:tcW w:w="10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69%</w:t>
            </w:r>
          </w:p>
        </w:tc>
        <w:tc>
          <w:tcPr>
            <w:tcW w:w="130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64%</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60%</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Israel</w:t>
            </w: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7</w:t>
            </w:r>
          </w:p>
        </w:tc>
        <w:tc>
          <w:tcPr>
            <w:tcW w:w="13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7</w:t>
            </w: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Asia Pacific - primarily Taiwan</w:t>
            </w: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16</w:t>
            </w:r>
          </w:p>
        </w:tc>
        <w:tc>
          <w:tcPr>
            <w:tcW w:w="13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20</w:t>
            </w: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Europe</w:t>
            </w: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8</w:t>
            </w:r>
          </w:p>
        </w:tc>
        <w:tc>
          <w:tcPr>
            <w:tcW w:w="13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9</w:t>
            </w: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w:t>
            </w:r>
          </w:p>
        </w:tc>
      </w:tr>
      <w:tr>
        <w:trPr>
          <w:trHeight w:val="135"/>
        </w:trPr>
        <w:tc>
          <w:tcPr>
            <w:tcW w:w="2420" w:type="dxa"/>
            <w:vAlign w:val="bottom"/>
          </w:tcPr>
          <w:p>
            <w:pPr>
              <w:spacing w:after="0"/>
              <w:rPr>
                <w:sz w:val="11"/>
                <w:szCs w:val="11"/>
                <w:color w:val="auto"/>
              </w:rPr>
            </w:pP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10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100%</w:t>
            </w:r>
          </w:p>
        </w:tc>
        <w:tc>
          <w:tcPr>
            <w:tcW w:w="130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100%</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r>
      <w:tr>
        <w:trPr>
          <w:trHeight w:val="135"/>
        </w:trPr>
        <w:tc>
          <w:tcPr>
            <w:tcW w:w="2420" w:type="dxa"/>
            <w:vAlign w:val="bottom"/>
          </w:tcPr>
          <w:p>
            <w:pPr>
              <w:spacing w:after="0"/>
              <w:rPr>
                <w:sz w:val="11"/>
                <w:szCs w:val="11"/>
                <w:color w:val="auto"/>
              </w:rPr>
            </w:pPr>
          </w:p>
        </w:tc>
        <w:tc>
          <w:tcPr>
            <w:tcW w:w="10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5"/>
              </w:rPr>
              <w:t>=======</w:t>
            </w:r>
          </w:p>
        </w:tc>
      </w:tr>
    </w:tbl>
    <w:p>
      <w:pPr>
        <w:spacing w:after="0" w:line="139" w:lineRule="exact"/>
        <w:rPr>
          <w:sz w:val="20"/>
          <w:szCs w:val="20"/>
          <w:color w:val="auto"/>
        </w:rPr>
      </w:pPr>
    </w:p>
    <w:p>
      <w:pPr>
        <w:ind w:left="700" w:right="5119" w:hanging="357"/>
        <w:spacing w:after="0" w:line="235" w:lineRule="auto"/>
        <w:tabs>
          <w:tab w:leader="none" w:pos="700"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LONG-LIVED ASSETS BY GEOGRAPHIC AREA - Substantially all of the Company's long-lived assets are located in Israel.</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INFORMATION ON GEOGRAPHIC AREAS AND MAJOR CUSTOMERS (cont.)</w:t>
      </w:r>
    </w:p>
    <w:p>
      <w:pPr>
        <w:spacing w:after="0" w:line="134" w:lineRule="exact"/>
        <w:rPr>
          <w:sz w:val="20"/>
          <w:szCs w:val="20"/>
          <w:color w:val="auto"/>
        </w:rPr>
      </w:pPr>
    </w:p>
    <w:p>
      <w:pPr>
        <w:ind w:left="700" w:hanging="357"/>
        <w:spacing w:after="0"/>
        <w:tabs>
          <w:tab w:leader="none" w:pos="700"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MAJOR CUSTOMERS (as percentage of total sales)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2"/>
                <w:szCs w:val="12"/>
                <w:color w:val="auto"/>
                <w:w w:val="96"/>
              </w:rPr>
              <w:t>Year ended December 31,</w:t>
            </w:r>
          </w:p>
        </w:tc>
        <w:tc>
          <w:tcPr>
            <w:tcW w:w="640" w:type="dxa"/>
            <w:vAlign w:val="bottom"/>
          </w:tcPr>
          <w:p>
            <w:pPr>
              <w:spacing w:after="0"/>
              <w:rPr>
                <w:sz w:val="11"/>
                <w:szCs w:val="11"/>
                <w:color w:val="auto"/>
              </w:rPr>
            </w:pPr>
          </w:p>
        </w:tc>
      </w:tr>
      <w:tr>
        <w:trPr>
          <w:trHeight w:val="135"/>
        </w:trPr>
        <w:tc>
          <w:tcPr>
            <w:tcW w:w="5200" w:type="dxa"/>
            <w:vAlign w:val="bottom"/>
            <w:gridSpan w:val="4"/>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740" w:type="dxa"/>
            <w:vAlign w:val="bottom"/>
          </w:tcPr>
          <w:p>
            <w:pPr>
              <w:ind w:left="2460"/>
              <w:spacing w:after="0"/>
              <w:rPr>
                <w:sz w:val="20"/>
                <w:szCs w:val="20"/>
                <w:color w:val="auto"/>
              </w:rPr>
            </w:pPr>
            <w:r>
              <w:rPr>
                <w:rFonts w:ascii="Courier New" w:cs="Courier New" w:eastAsia="Courier New" w:hAnsi="Courier New"/>
                <w:sz w:val="12"/>
                <w:szCs w:val="12"/>
                <w:color w:val="auto"/>
                <w:w w:val="90"/>
              </w:rPr>
              <w:t>2006</w:t>
            </w:r>
          </w:p>
        </w:tc>
        <w:tc>
          <w:tcPr>
            <w:tcW w:w="200" w:type="dxa"/>
            <w:vAlign w:val="bottom"/>
          </w:tcPr>
          <w:p>
            <w:pPr>
              <w:spacing w:after="0"/>
              <w:rPr>
                <w:sz w:val="11"/>
                <w:szCs w:val="11"/>
                <w:color w:val="auto"/>
              </w:rPr>
            </w:pPr>
          </w:p>
        </w:tc>
        <w:tc>
          <w:tcPr>
            <w:tcW w:w="162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2005</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2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w:t>
            </w:r>
          </w:p>
        </w:tc>
      </w:tr>
      <w:tr>
        <w:trPr>
          <w:trHeight w:val="270"/>
        </w:trPr>
        <w:tc>
          <w:tcPr>
            <w:tcW w:w="2740" w:type="dxa"/>
            <w:vAlign w:val="bottom"/>
          </w:tcPr>
          <w:p>
            <w:pPr>
              <w:spacing w:after="0"/>
              <w:rPr>
                <w:sz w:val="20"/>
                <w:szCs w:val="20"/>
                <w:color w:val="auto"/>
              </w:rPr>
            </w:pPr>
            <w:r>
              <w:rPr>
                <w:rFonts w:ascii="Courier New" w:cs="Courier New" w:eastAsia="Courier New" w:hAnsi="Courier New"/>
                <w:sz w:val="12"/>
                <w:szCs w:val="12"/>
                <w:color w:val="auto"/>
              </w:rPr>
              <w:t>Customer A (related party)</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w w:val="83"/>
              </w:rPr>
              <w:t>23%</w:t>
            </w:r>
          </w:p>
        </w:tc>
        <w:tc>
          <w:tcPr>
            <w:tcW w:w="16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22%</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24%</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Customer B</w:t>
            </w:r>
          </w:p>
        </w:tc>
        <w:tc>
          <w:tcPr>
            <w:tcW w:w="20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10</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14</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Customer C (related party)</w:t>
            </w:r>
          </w:p>
        </w:tc>
        <w:tc>
          <w:tcPr>
            <w:tcW w:w="20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10</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7</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Customer D</w:t>
            </w:r>
          </w:p>
        </w:tc>
        <w:tc>
          <w:tcPr>
            <w:tcW w:w="200" w:type="dxa"/>
            <w:vAlign w:val="bottom"/>
          </w:tcPr>
          <w:p>
            <w:pPr>
              <w:jc w:val="right"/>
              <w:ind w:right="1"/>
              <w:spacing w:after="0"/>
              <w:rPr>
                <w:sz w:val="20"/>
                <w:szCs w:val="20"/>
                <w:color w:val="auto"/>
              </w:rPr>
            </w:pPr>
            <w:r>
              <w:rPr>
                <w:rFonts w:ascii="Courier New" w:cs="Courier New" w:eastAsia="Courier New" w:hAnsi="Courier New"/>
                <w:sz w:val="12"/>
                <w:szCs w:val="12"/>
                <w:color w:val="auto"/>
              </w:rPr>
              <w:t>5</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2</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w:t>
            </w:r>
          </w:p>
        </w:tc>
      </w:tr>
      <w:tr>
        <w:trPr>
          <w:trHeight w:val="270"/>
        </w:trPr>
        <w:tc>
          <w:tcPr>
            <w:tcW w:w="2740" w:type="dxa"/>
            <w:vAlign w:val="bottom"/>
          </w:tcPr>
          <w:p>
            <w:pPr>
              <w:spacing w:after="0"/>
              <w:rPr>
                <w:sz w:val="20"/>
                <w:szCs w:val="20"/>
                <w:color w:val="auto"/>
              </w:rPr>
            </w:pPr>
            <w:r>
              <w:rPr>
                <w:rFonts w:ascii="Courier New" w:cs="Courier New" w:eastAsia="Courier New" w:hAnsi="Courier New"/>
                <w:sz w:val="12"/>
                <w:szCs w:val="12"/>
                <w:color w:val="auto"/>
              </w:rPr>
              <w:t>Other customers (*)</w:t>
            </w:r>
          </w:p>
        </w:tc>
        <w:tc>
          <w:tcPr>
            <w:tcW w:w="20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25</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15</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w:t>
            </w:r>
          </w:p>
        </w:tc>
      </w:tr>
    </w:tbl>
    <w:p>
      <w:pPr>
        <w:spacing w:after="0" w:line="139" w:lineRule="exact"/>
        <w:rPr>
          <w:sz w:val="20"/>
          <w:szCs w:val="20"/>
          <w:color w:val="auto"/>
        </w:rPr>
      </w:pPr>
    </w:p>
    <w:p>
      <w:pPr>
        <w:ind w:left="1040" w:right="4619" w:hanging="345"/>
        <w:spacing w:after="0" w:line="237" w:lineRule="auto"/>
        <w:tabs>
          <w:tab w:leader="none" w:pos="104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Represents sales to five different customers each of whom accounted for between 2% and 9% of sales during 2006; to four different customers each of whom accounted for between 3% and 5% of sales during 2005 and to three customers accounted for between 3% and 8% of sales during 2004.</w:t>
      </w:r>
    </w:p>
    <w:p>
      <w:pPr>
        <w:spacing w:after="0" w:line="135"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As of December 31, 2006 and 2005, the above major customers</w:t>
      </w:r>
    </w:p>
    <w:p>
      <w:pPr>
        <w:ind w:left="700"/>
        <w:spacing w:after="0"/>
        <w:rPr>
          <w:sz w:val="20"/>
          <w:szCs w:val="20"/>
          <w:color w:val="auto"/>
        </w:rPr>
      </w:pPr>
      <w:r>
        <w:rPr>
          <w:rFonts w:ascii="Courier New" w:cs="Courier New" w:eastAsia="Courier New" w:hAnsi="Courier New"/>
          <w:sz w:val="12"/>
          <w:szCs w:val="12"/>
          <w:color w:val="auto"/>
        </w:rPr>
        <w:t>constituted the majority of the trade accounts receivable reflected on</w:t>
      </w:r>
    </w:p>
    <w:p>
      <w:pPr>
        <w:ind w:left="700"/>
        <w:spacing w:after="0" w:line="237" w:lineRule="auto"/>
        <w:rPr>
          <w:sz w:val="20"/>
          <w:szCs w:val="20"/>
          <w:color w:val="auto"/>
        </w:rPr>
      </w:pPr>
      <w:r>
        <w:rPr>
          <w:rFonts w:ascii="Courier New" w:cs="Courier New" w:eastAsia="Courier New" w:hAnsi="Courier New"/>
          <w:sz w:val="12"/>
          <w:szCs w:val="12"/>
          <w:color w:val="auto"/>
        </w:rPr>
        <w:t>the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60" w:type="dxa"/>
            <w:vAlign w:val="bottom"/>
          </w:tcPr>
          <w:p>
            <w:pPr>
              <w:spacing w:after="0"/>
              <w:rPr>
                <w:sz w:val="20"/>
                <w:szCs w:val="20"/>
                <w:color w:val="auto"/>
              </w:rPr>
            </w:pPr>
            <w:r>
              <w:rPr>
                <w:rFonts w:ascii="Courier New" w:cs="Courier New" w:eastAsia="Courier New" w:hAnsi="Courier New"/>
                <w:sz w:val="12"/>
                <w:szCs w:val="12"/>
                <w:color w:val="auto"/>
              </w:rPr>
              <w:t>NOTE 14 - FINANCING EXPENSES, NET</w:t>
            </w:r>
          </w:p>
        </w:tc>
        <w:tc>
          <w:tcPr>
            <w:tcW w:w="10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4460" w:type="dxa"/>
            <w:vAlign w:val="bottom"/>
          </w:tcPr>
          <w:p>
            <w:pPr>
              <w:ind w:left="340"/>
              <w:spacing w:after="0"/>
              <w:rPr>
                <w:sz w:val="20"/>
                <w:szCs w:val="20"/>
                <w:color w:val="auto"/>
              </w:rPr>
            </w:pPr>
            <w:r>
              <w:rPr>
                <w:rFonts w:ascii="Courier New" w:cs="Courier New" w:eastAsia="Courier New" w:hAnsi="Courier New"/>
                <w:sz w:val="12"/>
                <w:szCs w:val="12"/>
                <w:color w:val="auto"/>
              </w:rPr>
              <w:t>Financing expenses, net consist of the following:</w:t>
            </w:r>
          </w:p>
        </w:tc>
        <w:tc>
          <w:tcPr>
            <w:tcW w:w="10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2"/>
                <w:szCs w:val="12"/>
                <w:color w:val="auto"/>
                <w:w w:val="96"/>
              </w:rPr>
              <w:t>Year ended December 31,</w:t>
            </w:r>
          </w:p>
        </w:tc>
        <w:tc>
          <w:tcPr>
            <w:tcW w:w="640" w:type="dxa"/>
            <w:vAlign w:val="bottom"/>
          </w:tcPr>
          <w:p>
            <w:pPr>
              <w:spacing w:after="0"/>
              <w:rPr>
                <w:sz w:val="23"/>
                <w:szCs w:val="23"/>
                <w:color w:val="auto"/>
              </w:rPr>
            </w:pPr>
          </w:p>
        </w:tc>
      </w:tr>
      <w:tr>
        <w:trPr>
          <w:trHeight w:val="135"/>
        </w:trPr>
        <w:tc>
          <w:tcPr>
            <w:tcW w:w="4460" w:type="dxa"/>
            <w:vAlign w:val="bottom"/>
          </w:tcPr>
          <w:p>
            <w:pPr>
              <w:spacing w:after="0"/>
              <w:rPr>
                <w:sz w:val="11"/>
                <w:szCs w:val="11"/>
                <w:color w:val="auto"/>
              </w:rPr>
            </w:pPr>
          </w:p>
        </w:tc>
        <w:tc>
          <w:tcPr>
            <w:tcW w:w="334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460" w:type="dxa"/>
            <w:vAlign w:val="bottom"/>
          </w:tcPr>
          <w:p>
            <w:pPr>
              <w:spacing w:after="0"/>
              <w:rPr>
                <w:sz w:val="11"/>
                <w:szCs w:val="11"/>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2006</w:t>
            </w:r>
          </w:p>
        </w:tc>
        <w:tc>
          <w:tcPr>
            <w:tcW w:w="162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2005</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4460" w:type="dxa"/>
            <w:vAlign w:val="bottom"/>
          </w:tcPr>
          <w:p>
            <w:pPr>
              <w:spacing w:after="0"/>
              <w:rPr>
                <w:sz w:val="11"/>
                <w:szCs w:val="11"/>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w:t>
            </w:r>
          </w:p>
        </w:tc>
      </w:tr>
      <w:tr>
        <w:trPr>
          <w:trHeight w:val="270"/>
        </w:trPr>
        <w:tc>
          <w:tcPr>
            <w:tcW w:w="4460" w:type="dxa"/>
            <w:vAlign w:val="bottom"/>
          </w:tcPr>
          <w:p>
            <w:pPr>
              <w:spacing w:after="0"/>
              <w:rPr>
                <w:sz w:val="20"/>
                <w:szCs w:val="20"/>
                <w:color w:val="auto"/>
              </w:rPr>
            </w:pPr>
            <w:r>
              <w:rPr>
                <w:rFonts w:ascii="Courier New" w:cs="Courier New" w:eastAsia="Courier New" w:hAnsi="Courier New"/>
                <w:sz w:val="12"/>
                <w:szCs w:val="12"/>
                <w:color w:val="auto"/>
              </w:rPr>
              <w:t>Financial expenses (primarily bank loans interest)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$(39,917)</w:t>
            </w:r>
          </w:p>
        </w:tc>
        <w:tc>
          <w:tcPr>
            <w:tcW w:w="16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$(36,103)</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$(28,257)</w:t>
            </w:r>
          </w:p>
        </w:tc>
      </w:tr>
      <w:tr>
        <w:trPr>
          <w:trHeight w:val="135"/>
        </w:trPr>
        <w:tc>
          <w:tcPr>
            <w:tcW w:w="4460" w:type="dxa"/>
            <w:vAlign w:val="bottom"/>
          </w:tcPr>
          <w:p>
            <w:pPr>
              <w:spacing w:after="0"/>
              <w:rPr>
                <w:sz w:val="20"/>
                <w:szCs w:val="20"/>
                <w:color w:val="auto"/>
              </w:rPr>
            </w:pPr>
            <w:r>
              <w:rPr>
                <w:rFonts w:ascii="Courier New" w:cs="Courier New" w:eastAsia="Courier New" w:hAnsi="Courier New"/>
                <w:sz w:val="12"/>
                <w:szCs w:val="12"/>
                <w:color w:val="auto"/>
              </w:rPr>
              <w:t>Expenses in relation to convertible debentures (primarily</w:t>
            </w:r>
          </w:p>
        </w:tc>
        <w:tc>
          <w:tcPr>
            <w:tcW w:w="10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460" w:type="dxa"/>
            <w:vAlign w:val="bottom"/>
          </w:tcPr>
          <w:p>
            <w:pPr>
              <w:spacing w:after="0"/>
              <w:rPr>
                <w:sz w:val="20"/>
                <w:szCs w:val="20"/>
                <w:color w:val="auto"/>
              </w:rPr>
            </w:pPr>
            <w:r>
              <w:rPr>
                <w:rFonts w:ascii="Courier New" w:cs="Courier New" w:eastAsia="Courier New" w:hAnsi="Courier New"/>
                <w:sz w:val="12"/>
                <w:szCs w:val="12"/>
                <w:color w:val="auto"/>
              </w:rPr>
              <w:t>interest and discount amortization expenses)</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(9,913)</w:t>
            </w:r>
          </w:p>
        </w:tc>
        <w:tc>
          <w:tcPr>
            <w:tcW w:w="16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(741)</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(2,685)</w:t>
            </w:r>
          </w:p>
        </w:tc>
      </w:tr>
      <w:tr>
        <w:trPr>
          <w:trHeight w:val="135"/>
        </w:trPr>
        <w:tc>
          <w:tcPr>
            <w:tcW w:w="4460" w:type="dxa"/>
            <w:vAlign w:val="bottom"/>
          </w:tcPr>
          <w:p>
            <w:pPr>
              <w:spacing w:after="0"/>
              <w:rPr>
                <w:sz w:val="11"/>
                <w:szCs w:val="11"/>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w:t>
            </w:r>
          </w:p>
        </w:tc>
      </w:tr>
      <w:tr>
        <w:trPr>
          <w:trHeight w:val="135"/>
        </w:trPr>
        <w:tc>
          <w:tcPr>
            <w:tcW w:w="44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(49,830)</w:t>
            </w:r>
          </w:p>
        </w:tc>
        <w:tc>
          <w:tcPr>
            <w:tcW w:w="16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(36,844)</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(30,942)</w:t>
            </w:r>
          </w:p>
        </w:tc>
      </w:tr>
      <w:tr>
        <w:trPr>
          <w:trHeight w:val="270"/>
        </w:trPr>
        <w:tc>
          <w:tcPr>
            <w:tcW w:w="4460" w:type="dxa"/>
            <w:vAlign w:val="bottom"/>
          </w:tcPr>
          <w:p>
            <w:pPr>
              <w:spacing w:after="0"/>
              <w:rPr>
                <w:sz w:val="20"/>
                <w:szCs w:val="20"/>
                <w:color w:val="auto"/>
              </w:rPr>
            </w:pPr>
            <w:r>
              <w:rPr>
                <w:rFonts w:ascii="Courier New" w:cs="Courier New" w:eastAsia="Courier New" w:hAnsi="Courier New"/>
                <w:sz w:val="12"/>
                <w:szCs w:val="12"/>
                <w:color w:val="auto"/>
              </w:rPr>
              <w:t>Financing income (primarily bank deposit interest)</w:t>
            </w:r>
          </w:p>
        </w:tc>
        <w:tc>
          <w:tcPr>
            <w:tcW w:w="10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1,682</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1,193</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1,197</w:t>
            </w:r>
          </w:p>
        </w:tc>
      </w:tr>
      <w:tr>
        <w:trPr>
          <w:trHeight w:val="135"/>
        </w:trPr>
        <w:tc>
          <w:tcPr>
            <w:tcW w:w="4460" w:type="dxa"/>
            <w:vAlign w:val="bottom"/>
          </w:tcPr>
          <w:p>
            <w:pPr>
              <w:spacing w:after="0"/>
              <w:rPr>
                <w:sz w:val="11"/>
                <w:szCs w:val="11"/>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w:t>
            </w:r>
          </w:p>
        </w:tc>
      </w:tr>
      <w:tr>
        <w:trPr>
          <w:trHeight w:val="135"/>
        </w:trPr>
        <w:tc>
          <w:tcPr>
            <w:tcW w:w="446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$(48,148)</w:t>
            </w:r>
          </w:p>
        </w:tc>
        <w:tc>
          <w:tcPr>
            <w:tcW w:w="16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$(35,651)</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$(29,745)</w:t>
            </w:r>
          </w:p>
        </w:tc>
      </w:tr>
      <w:tr>
        <w:trPr>
          <w:trHeight w:val="135"/>
        </w:trPr>
        <w:tc>
          <w:tcPr>
            <w:tcW w:w="4460" w:type="dxa"/>
            <w:vAlign w:val="bottom"/>
          </w:tcPr>
          <w:p>
            <w:pPr>
              <w:spacing w:after="0"/>
              <w:rPr>
                <w:sz w:val="11"/>
                <w:szCs w:val="11"/>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15 - OTHER INCOME, NET</w:t>
      </w:r>
    </w:p>
    <w:p>
      <w:pPr>
        <w:spacing w:after="0" w:line="139" w:lineRule="exact"/>
        <w:rPr>
          <w:sz w:val="20"/>
          <w:szCs w:val="20"/>
          <w:color w:val="auto"/>
        </w:rPr>
      </w:pPr>
    </w:p>
    <w:p>
      <w:pPr>
        <w:ind w:left="340" w:right="4699"/>
        <w:spacing w:after="0" w:line="237" w:lineRule="auto"/>
        <w:rPr>
          <w:sz w:val="20"/>
          <w:szCs w:val="20"/>
          <w:color w:val="auto"/>
        </w:rPr>
      </w:pPr>
      <w:r>
        <w:rPr>
          <w:rFonts w:ascii="Courier New" w:cs="Courier New" w:eastAsia="Courier New" w:hAnsi="Courier New"/>
          <w:sz w:val="12"/>
          <w:szCs w:val="12"/>
          <w:color w:val="auto"/>
        </w:rPr>
        <w:t>In December 2004, the Company entered into a definitive agreement to sell all of its holdings in Saifun Semiconductors Ltd. ("Saifun"), an Israeli company which designs and develops memory designs, to a U.S. based private equity investor in consideration for $38,677. In December 2004, shareholders of Saifun exercised their right of first refusal, and accordingly purchased the shares from the Company for said amount. The net gain from the sale of Saifun's shares amounted to $32,377.</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16 - INCOME TAXES</w:t>
      </w:r>
    </w:p>
    <w:p>
      <w:pPr>
        <w:spacing w:after="0" w:line="134" w:lineRule="exact"/>
        <w:rPr>
          <w:sz w:val="20"/>
          <w:szCs w:val="20"/>
          <w:color w:val="auto"/>
        </w:rPr>
      </w:pPr>
    </w:p>
    <w:p>
      <w:pPr>
        <w:ind w:left="700" w:hanging="357"/>
        <w:spacing w:after="0"/>
        <w:tabs>
          <w:tab w:leader="none" w:pos="700"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APPROVED ENTERPRISE STATUS</w:t>
      </w:r>
    </w:p>
    <w:p>
      <w:pPr>
        <w:spacing w:after="0" w:line="138" w:lineRule="exact"/>
        <w:rPr>
          <w:rFonts w:ascii="Courier New" w:cs="Courier New" w:eastAsia="Courier New" w:hAnsi="Courier New"/>
          <w:sz w:val="12"/>
          <w:szCs w:val="12"/>
          <w:color w:val="auto"/>
        </w:rPr>
      </w:pPr>
    </w:p>
    <w:p>
      <w:pPr>
        <w:ind w:left="70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Substantially all of the Company's existing facilities and other capital investments through December 31, 2005 have been granted approved enterprise status, as provided by the Israeli Law for the Encouragement of Capital Investments - 1959 ("Investments Law") (see Note 5B).</w:t>
      </w:r>
    </w:p>
    <w:p>
      <w:pPr>
        <w:spacing w:after="0" w:line="139" w:lineRule="exact"/>
        <w:rPr>
          <w:rFonts w:ascii="Courier New" w:cs="Courier New" w:eastAsia="Courier New" w:hAnsi="Courier New"/>
          <w:sz w:val="12"/>
          <w:szCs w:val="12"/>
          <w:color w:val="auto"/>
        </w:rPr>
      </w:pPr>
    </w:p>
    <w:p>
      <w:pPr>
        <w:ind w:left="700" w:right="46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tax benefits derived from approved enterprise status relate only to taxable income attributable to each approved enterprise investments</w:t>
      </w:r>
    </w:p>
    <w:p>
      <w:pPr>
        <w:sectPr>
          <w:pgSz w:w="11900" w:h="16838" w:orient="portrait"/>
          <w:cols w:equalWidth="0" w:num="1">
            <w:col w:w="10239"/>
          </w:cols>
          <w:pgMar w:left="220" w:top="137" w:right="1440" w:bottom="0" w:gutter="0" w:footer="0" w:header="0"/>
        </w:sectPr>
      </w:pPr>
    </w:p>
    <w:bookmarkStart w:id="33" w:name="page34"/>
    <w:bookmarkEnd w:id="33"/>
    <w:p>
      <w:pPr>
        <w:ind w:left="700"/>
        <w:spacing w:after="0"/>
        <w:rPr>
          <w:sz w:val="20"/>
          <w:szCs w:val="20"/>
          <w:color w:val="auto"/>
        </w:rPr>
      </w:pPr>
      <w:r>
        <w:rPr>
          <w:rFonts w:ascii="Courier New" w:cs="Courier New" w:eastAsia="Courier New" w:hAnsi="Courier New"/>
          <w:sz w:val="12"/>
          <w:szCs w:val="12"/>
          <w:color w:val="auto"/>
        </w:rPr>
        <w:t>program. Pursuant to the Investments Law and the approval</w:t>
      </w:r>
    </w:p>
    <w:p>
      <w:pPr>
        <w:ind w:left="700"/>
        <w:spacing w:after="0"/>
        <w:rPr>
          <w:sz w:val="20"/>
          <w:szCs w:val="20"/>
          <w:color w:val="auto"/>
        </w:rPr>
      </w:pPr>
      <w:r>
        <w:rPr>
          <w:rFonts w:ascii="Courier New" w:cs="Courier New" w:eastAsia="Courier New" w:hAnsi="Courier New"/>
          <w:sz w:val="12"/>
          <w:szCs w:val="12"/>
          <w:color w:val="auto"/>
        </w:rPr>
        <w:t>certificates, the Company's income attributable to its various</w:t>
      </w:r>
    </w:p>
    <w:p>
      <w:pPr>
        <w:ind w:left="700"/>
        <w:spacing w:after="0" w:line="237" w:lineRule="auto"/>
        <w:rPr>
          <w:sz w:val="20"/>
          <w:szCs w:val="20"/>
          <w:color w:val="auto"/>
        </w:rPr>
      </w:pPr>
      <w:r>
        <w:rPr>
          <w:rFonts w:ascii="Courier New" w:cs="Courier New" w:eastAsia="Courier New" w:hAnsi="Courier New"/>
          <w:sz w:val="12"/>
          <w:szCs w:val="12"/>
          <w:color w:val="auto"/>
        </w:rPr>
        <w:t>approved enterprise investments is taxed at a rate of up to 25%</w:t>
      </w:r>
    </w:p>
    <w:p>
      <w:pPr>
        <w:ind w:left="700"/>
        <w:spacing w:after="0"/>
        <w:rPr>
          <w:sz w:val="20"/>
          <w:szCs w:val="20"/>
          <w:color w:val="auto"/>
        </w:rPr>
      </w:pPr>
      <w:r>
        <w:rPr>
          <w:rFonts w:ascii="Courier New" w:cs="Courier New" w:eastAsia="Courier New" w:hAnsi="Courier New"/>
          <w:sz w:val="12"/>
          <w:szCs w:val="12"/>
          <w:color w:val="auto"/>
        </w:rPr>
        <w:t>through 2012. Taxable income attributable to the Fab 2 approved</w:t>
      </w:r>
    </w:p>
    <w:p>
      <w:pPr>
        <w:ind w:left="700"/>
        <w:spacing w:after="0" w:line="237" w:lineRule="auto"/>
        <w:rPr>
          <w:sz w:val="20"/>
          <w:szCs w:val="20"/>
          <w:color w:val="auto"/>
        </w:rPr>
      </w:pPr>
      <w:r>
        <w:rPr>
          <w:rFonts w:ascii="Courier New" w:cs="Courier New" w:eastAsia="Courier New" w:hAnsi="Courier New"/>
          <w:sz w:val="12"/>
          <w:szCs w:val="12"/>
          <w:color w:val="auto"/>
        </w:rPr>
        <w:t>program shall be tax-exempt for the first two years it arises. The</w:t>
      </w:r>
    </w:p>
    <w:p>
      <w:pPr>
        <w:ind w:left="700"/>
        <w:spacing w:after="0"/>
        <w:rPr>
          <w:sz w:val="20"/>
          <w:szCs w:val="20"/>
          <w:color w:val="auto"/>
        </w:rPr>
      </w:pPr>
      <w:r>
        <w:rPr>
          <w:rFonts w:ascii="Courier New" w:cs="Courier New" w:eastAsia="Courier New" w:hAnsi="Courier New"/>
          <w:sz w:val="12"/>
          <w:szCs w:val="12"/>
          <w:color w:val="auto"/>
        </w:rPr>
        <w:t>portion of the Company's taxable income that is not attributable to</w:t>
      </w:r>
    </w:p>
    <w:p>
      <w:pPr>
        <w:ind w:left="700"/>
        <w:spacing w:after="0" w:line="237" w:lineRule="auto"/>
        <w:rPr>
          <w:sz w:val="20"/>
          <w:szCs w:val="20"/>
          <w:color w:val="auto"/>
        </w:rPr>
      </w:pPr>
      <w:r>
        <w:rPr>
          <w:rFonts w:ascii="Courier New" w:cs="Courier New" w:eastAsia="Courier New" w:hAnsi="Courier New"/>
          <w:sz w:val="12"/>
          <w:szCs w:val="12"/>
          <w:color w:val="auto"/>
        </w:rPr>
        <w:t>approved enterprise investments is taxed at a rate of 31% in 2006</w:t>
      </w:r>
    </w:p>
    <w:p>
      <w:pPr>
        <w:ind w:left="700"/>
        <w:spacing w:after="0"/>
        <w:rPr>
          <w:sz w:val="20"/>
          <w:szCs w:val="20"/>
          <w:color w:val="auto"/>
        </w:rPr>
      </w:pPr>
      <w:r>
        <w:rPr>
          <w:rFonts w:ascii="Courier New" w:cs="Courier New" w:eastAsia="Courier New" w:hAnsi="Courier New"/>
          <w:sz w:val="12"/>
          <w:szCs w:val="12"/>
          <w:color w:val="auto"/>
        </w:rPr>
        <w:t>(regular "Company Tax"). The regular Company Tax rate is to be</w:t>
      </w:r>
    </w:p>
    <w:p>
      <w:pPr>
        <w:ind w:left="700"/>
        <w:spacing w:after="0" w:line="237" w:lineRule="auto"/>
        <w:rPr>
          <w:sz w:val="20"/>
          <w:szCs w:val="20"/>
          <w:color w:val="auto"/>
        </w:rPr>
      </w:pPr>
      <w:r>
        <w:rPr>
          <w:rFonts w:ascii="Courier New" w:cs="Courier New" w:eastAsia="Courier New" w:hAnsi="Courier New"/>
          <w:sz w:val="12"/>
          <w:szCs w:val="12"/>
          <w:color w:val="auto"/>
        </w:rPr>
        <w:t>gradually reduced to 25% until 2010.</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tax benefits are also conditioned upon fulfillment of the</w:t>
      </w:r>
    </w:p>
    <w:p>
      <w:pPr>
        <w:ind w:left="700"/>
        <w:spacing w:after="0"/>
        <w:rPr>
          <w:sz w:val="20"/>
          <w:szCs w:val="20"/>
          <w:color w:val="auto"/>
        </w:rPr>
      </w:pPr>
      <w:r>
        <w:rPr>
          <w:rFonts w:ascii="Courier New" w:cs="Courier New" w:eastAsia="Courier New" w:hAnsi="Courier New"/>
          <w:sz w:val="12"/>
          <w:szCs w:val="12"/>
          <w:color w:val="auto"/>
        </w:rPr>
        <w:t>requirements stipulated by the Investments Law and the regulations</w:t>
      </w:r>
    </w:p>
    <w:p>
      <w:pPr>
        <w:ind w:left="700"/>
        <w:spacing w:after="0" w:line="237" w:lineRule="auto"/>
        <w:rPr>
          <w:sz w:val="20"/>
          <w:szCs w:val="20"/>
          <w:color w:val="auto"/>
        </w:rPr>
      </w:pPr>
      <w:r>
        <w:rPr>
          <w:rFonts w:ascii="Courier New" w:cs="Courier New" w:eastAsia="Courier New" w:hAnsi="Courier New"/>
          <w:sz w:val="12"/>
          <w:szCs w:val="12"/>
          <w:color w:val="auto"/>
        </w:rPr>
        <w:t>promulgated thereunder, as well as the criteria set forth in the</w:t>
      </w:r>
    </w:p>
    <w:p>
      <w:pPr>
        <w:ind w:left="700"/>
        <w:spacing w:after="0"/>
        <w:rPr>
          <w:sz w:val="20"/>
          <w:szCs w:val="20"/>
          <w:color w:val="auto"/>
        </w:rPr>
      </w:pPr>
      <w:r>
        <w:rPr>
          <w:rFonts w:ascii="Courier New" w:cs="Courier New" w:eastAsia="Courier New" w:hAnsi="Courier New"/>
          <w:sz w:val="12"/>
          <w:szCs w:val="12"/>
          <w:color w:val="auto"/>
        </w:rPr>
        <w:t>certificates of approval. In the event of a failure by the Company to</w:t>
      </w:r>
    </w:p>
    <w:p>
      <w:pPr>
        <w:ind w:left="700"/>
        <w:spacing w:after="0" w:line="237" w:lineRule="auto"/>
        <w:rPr>
          <w:sz w:val="20"/>
          <w:szCs w:val="20"/>
          <w:color w:val="auto"/>
        </w:rPr>
      </w:pPr>
      <w:r>
        <w:rPr>
          <w:rFonts w:ascii="Courier New" w:cs="Courier New" w:eastAsia="Courier New" w:hAnsi="Courier New"/>
          <w:sz w:val="12"/>
          <w:szCs w:val="12"/>
          <w:color w:val="auto"/>
        </w:rPr>
        <w:t>comply with these conditions, the tax benefits could be canceled, in</w:t>
      </w:r>
    </w:p>
    <w:p>
      <w:pPr>
        <w:ind w:left="700"/>
        <w:spacing w:after="0"/>
        <w:rPr>
          <w:sz w:val="20"/>
          <w:szCs w:val="20"/>
          <w:color w:val="auto"/>
        </w:rPr>
      </w:pPr>
      <w:r>
        <w:rPr>
          <w:rFonts w:ascii="Courier New" w:cs="Courier New" w:eastAsia="Courier New" w:hAnsi="Courier New"/>
          <w:sz w:val="12"/>
          <w:szCs w:val="12"/>
          <w:color w:val="auto"/>
        </w:rPr>
        <w:t>whole or in part, and the Company would be required to refund the</w:t>
      </w:r>
    </w:p>
    <w:p>
      <w:pPr>
        <w:ind w:left="700"/>
        <w:spacing w:after="0" w:line="237" w:lineRule="auto"/>
        <w:rPr>
          <w:sz w:val="20"/>
          <w:szCs w:val="20"/>
          <w:color w:val="auto"/>
        </w:rPr>
      </w:pPr>
      <w:r>
        <w:rPr>
          <w:rFonts w:ascii="Courier New" w:cs="Courier New" w:eastAsia="Courier New" w:hAnsi="Courier New"/>
          <w:sz w:val="12"/>
          <w:szCs w:val="12"/>
          <w:color w:val="auto"/>
        </w:rPr>
        <w:t>amount of the canceled benefits, plus interest and certain inflation</w:t>
      </w:r>
    </w:p>
    <w:p>
      <w:pPr>
        <w:ind w:left="700"/>
        <w:spacing w:after="0"/>
        <w:rPr>
          <w:sz w:val="20"/>
          <w:szCs w:val="20"/>
          <w:color w:val="auto"/>
        </w:rPr>
      </w:pPr>
      <w:r>
        <w:rPr>
          <w:rFonts w:ascii="Courier New" w:cs="Courier New" w:eastAsia="Courier New" w:hAnsi="Courier New"/>
          <w:sz w:val="12"/>
          <w:szCs w:val="12"/>
          <w:color w:val="auto"/>
        </w:rPr>
        <w:t>adjustments. In management's opinion, the Company has been in</w:t>
      </w:r>
    </w:p>
    <w:p>
      <w:pPr>
        <w:ind w:left="700"/>
        <w:spacing w:after="0" w:line="237" w:lineRule="auto"/>
        <w:rPr>
          <w:sz w:val="20"/>
          <w:szCs w:val="20"/>
          <w:color w:val="auto"/>
        </w:rPr>
      </w:pPr>
      <w:r>
        <w:rPr>
          <w:rFonts w:ascii="Courier New" w:cs="Courier New" w:eastAsia="Courier New" w:hAnsi="Courier New"/>
          <w:sz w:val="12"/>
          <w:szCs w:val="12"/>
          <w:color w:val="auto"/>
        </w:rPr>
        <w:t>compliance with the conditions through the approval date of the</w:t>
      </w:r>
    </w:p>
    <w:p>
      <w:pPr>
        <w:ind w:left="700"/>
        <w:spacing w:after="0"/>
        <w:rPr>
          <w:sz w:val="20"/>
          <w:szCs w:val="20"/>
          <w:color w:val="auto"/>
        </w:rPr>
      </w:pPr>
      <w:r>
        <w:rPr>
          <w:rFonts w:ascii="Courier New" w:cs="Courier New" w:eastAsia="Courier New" w:hAnsi="Courier New"/>
          <w:sz w:val="12"/>
          <w:szCs w:val="12"/>
          <w:color w:val="auto"/>
        </w:rPr>
        <w:t>financial statements. See also Notes 5B and 11A(8).</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16 - INCOME TAXES (cont.)</w:t>
      </w:r>
    </w:p>
    <w:p>
      <w:pPr>
        <w:spacing w:after="0" w:line="134" w:lineRule="exact"/>
        <w:rPr>
          <w:sz w:val="20"/>
          <w:szCs w:val="20"/>
          <w:color w:val="auto"/>
        </w:rPr>
      </w:pPr>
    </w:p>
    <w:p>
      <w:pPr>
        <w:ind w:left="700" w:hanging="357"/>
        <w:spacing w:after="0"/>
        <w:tabs>
          <w:tab w:leader="none" w:pos="700"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COMPONENTS OF DEFERRED TAX ASSET/LIABILITY</w:t>
      </w:r>
    </w:p>
    <w:p>
      <w:pPr>
        <w:spacing w:after="0" w:line="138" w:lineRule="exact"/>
        <w:rPr>
          <w:rFonts w:ascii="Courier New" w:cs="Courier New" w:eastAsia="Courier New" w:hAnsi="Courier New"/>
          <w:sz w:val="12"/>
          <w:szCs w:val="12"/>
          <w:color w:val="auto"/>
        </w:rPr>
      </w:pPr>
    </w:p>
    <w:p>
      <w:pPr>
        <w:ind w:left="700" w:right="50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is a summary of the components of the deferred tax benefit and liability reflected on the balance sheets as of the respective dates: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4040" w:type="dxa"/>
            <w:vAlign w:val="bottom"/>
          </w:tcPr>
          <w:p>
            <w:pPr>
              <w:spacing w:after="0"/>
              <w:rPr>
                <w:sz w:val="11"/>
                <w:szCs w:val="11"/>
                <w:color w:val="auto"/>
              </w:rPr>
            </w:pPr>
          </w:p>
        </w:tc>
        <w:tc>
          <w:tcPr>
            <w:tcW w:w="2140" w:type="dxa"/>
            <w:vAlign w:val="bottom"/>
            <w:gridSpan w:val="4"/>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2006</w:t>
            </w:r>
          </w:p>
        </w:tc>
        <w:tc>
          <w:tcPr>
            <w:tcW w:w="32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040" w:type="dxa"/>
            <w:vAlign w:val="bottom"/>
          </w:tcPr>
          <w:p>
            <w:pPr>
              <w:spacing w:after="0"/>
              <w:rPr>
                <w:sz w:val="20"/>
                <w:szCs w:val="20"/>
                <w:color w:val="auto"/>
              </w:rPr>
            </w:pPr>
            <w:r>
              <w:rPr>
                <w:rFonts w:ascii="Courier New" w:cs="Courier New" w:eastAsia="Courier New" w:hAnsi="Courier New"/>
                <w:sz w:val="12"/>
                <w:szCs w:val="12"/>
                <w:color w:val="auto"/>
              </w:rPr>
              <w:t>DEFERRED TAX BENEFIT - CURRENT</w:t>
            </w: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Amounts relating to employees benefits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1,717</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522</w:t>
            </w: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30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115</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51</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1,832</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573</w:t>
            </w: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Valuation allowance</w:t>
            </w:r>
          </w:p>
        </w:tc>
        <w:tc>
          <w:tcPr>
            <w:tcW w:w="30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(1,832)</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(573)</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Total current deferred tax benefit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4040" w:type="dxa"/>
            <w:vAlign w:val="bottom"/>
          </w:tcPr>
          <w:p>
            <w:pPr>
              <w:spacing w:after="0"/>
              <w:rPr>
                <w:sz w:val="20"/>
                <w:szCs w:val="20"/>
                <w:color w:val="auto"/>
              </w:rPr>
            </w:pPr>
            <w:r>
              <w:rPr>
                <w:rFonts w:ascii="Courier New" w:cs="Courier New" w:eastAsia="Courier New" w:hAnsi="Courier New"/>
                <w:sz w:val="12"/>
                <w:szCs w:val="12"/>
                <w:color w:val="auto"/>
              </w:rPr>
              <w:t>NET DEFERRED TAX BENEFIT - LONG-TERM</w:t>
            </w: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Deferred tax assets -</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040" w:type="dxa"/>
            <w:vAlign w:val="bottom"/>
          </w:tcPr>
          <w:p>
            <w:pPr>
              <w:ind w:left="280"/>
              <w:spacing w:after="0"/>
              <w:rPr>
                <w:sz w:val="20"/>
                <w:szCs w:val="20"/>
                <w:color w:val="auto"/>
              </w:rPr>
            </w:pPr>
            <w:r>
              <w:rPr>
                <w:rFonts w:ascii="Courier New" w:cs="Courier New" w:eastAsia="Courier New" w:hAnsi="Courier New"/>
                <w:sz w:val="12"/>
                <w:szCs w:val="12"/>
                <w:color w:val="auto"/>
              </w:rPr>
              <w:t>Net operating loss carryforwards</w:t>
            </w: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$ 174,000</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$ 165,000</w:t>
            </w:r>
          </w:p>
        </w:tc>
      </w:tr>
      <w:tr>
        <w:trPr>
          <w:trHeight w:val="135"/>
        </w:trPr>
        <w:tc>
          <w:tcPr>
            <w:tcW w:w="4040" w:type="dxa"/>
            <w:vAlign w:val="bottom"/>
          </w:tcPr>
          <w:p>
            <w:pPr>
              <w:ind w:left="280"/>
              <w:spacing w:after="0"/>
              <w:rPr>
                <w:sz w:val="20"/>
                <w:szCs w:val="20"/>
                <w:color w:val="auto"/>
              </w:rPr>
            </w:pPr>
            <w:r>
              <w:rPr>
                <w:rFonts w:ascii="Courier New" w:cs="Courier New" w:eastAsia="Courier New" w:hAnsi="Courier New"/>
                <w:sz w:val="12"/>
                <w:szCs w:val="12"/>
                <w:color w:val="auto"/>
              </w:rPr>
              <w:t>Research and development</w:t>
            </w:r>
          </w:p>
        </w:tc>
        <w:tc>
          <w:tcPr>
            <w:tcW w:w="30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2,063</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2,427</w:t>
            </w:r>
          </w:p>
        </w:tc>
      </w:tr>
      <w:tr>
        <w:trPr>
          <w:trHeight w:val="135"/>
        </w:trPr>
        <w:tc>
          <w:tcPr>
            <w:tcW w:w="4040" w:type="dxa"/>
            <w:vAlign w:val="bottom"/>
          </w:tcPr>
          <w:p>
            <w:pPr>
              <w:ind w:left="280"/>
              <w:spacing w:after="0"/>
              <w:rPr>
                <w:sz w:val="20"/>
                <w:szCs w:val="20"/>
                <w:color w:val="auto"/>
              </w:rPr>
            </w:pPr>
            <w:r>
              <w:rPr>
                <w:rFonts w:ascii="Courier New" w:cs="Courier New" w:eastAsia="Courier New" w:hAnsi="Courier New"/>
                <w:sz w:val="12"/>
                <w:szCs w:val="12"/>
                <w:color w:val="auto"/>
              </w:rPr>
              <w:t>Liability for employee rights upon severance</w:t>
            </w:r>
          </w:p>
        </w:tc>
        <w:tc>
          <w:tcPr>
            <w:tcW w:w="30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656</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957</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176,719</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168,384</w:t>
            </w: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Valuation allowance</w:t>
            </w:r>
          </w:p>
        </w:tc>
        <w:tc>
          <w:tcPr>
            <w:tcW w:w="30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5"/>
              </w:rPr>
              <w:t>(128,707)</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(118,321)</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48,012</w:t>
            </w:r>
          </w:p>
        </w:tc>
        <w:tc>
          <w:tcPr>
            <w:tcW w:w="3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50,063</w:t>
            </w: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Deferred tax liability - depreciation and amortization</w:t>
            </w:r>
          </w:p>
        </w:tc>
        <w:tc>
          <w:tcPr>
            <w:tcW w:w="300" w:type="dxa"/>
            <w:vAlign w:val="bottom"/>
          </w:tcPr>
          <w:p>
            <w:pPr>
              <w:spacing w:after="0"/>
              <w:rPr>
                <w:sz w:val="11"/>
                <w:szCs w:val="11"/>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(48,012)</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(50,063)</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20"/>
                <w:szCs w:val="20"/>
                <w:color w:val="auto"/>
              </w:rPr>
            </w:pPr>
            <w:r>
              <w:rPr>
                <w:rFonts w:ascii="Courier New" w:cs="Courier New" w:eastAsia="Courier New" w:hAnsi="Courier New"/>
                <w:sz w:val="12"/>
                <w:szCs w:val="12"/>
                <w:color w:val="auto"/>
              </w:rPr>
              <w:t>Total net long-term deferred tax benefit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040" w:type="dxa"/>
            <w:vAlign w:val="bottom"/>
          </w:tcPr>
          <w:p>
            <w:pPr>
              <w:spacing w:after="0"/>
              <w:rPr>
                <w:sz w:val="11"/>
                <w:szCs w:val="11"/>
                <w:color w:val="auto"/>
              </w:rPr>
            </w:pPr>
          </w:p>
        </w:tc>
        <w:tc>
          <w:tcPr>
            <w:tcW w:w="11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hanging="357"/>
        <w:spacing w:after="0"/>
        <w:tabs>
          <w:tab w:leader="none" w:pos="700" w:val="left"/>
        </w:tabs>
        <w:numPr>
          <w:ilvl w:val="0"/>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EFFECTIVE INCOME TAX RATES</w:t>
      </w:r>
    </w:p>
    <w:p>
      <w:pPr>
        <w:spacing w:after="0" w:line="138" w:lineRule="exact"/>
        <w:rPr>
          <w:rFonts w:ascii="Courier New" w:cs="Courier New" w:eastAsia="Courier New" w:hAnsi="Courier New"/>
          <w:sz w:val="12"/>
          <w:szCs w:val="12"/>
          <w:color w:val="auto"/>
        </w:rPr>
      </w:pPr>
    </w:p>
    <w:p>
      <w:pPr>
        <w:ind w:left="700" w:right="52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reconciliation of the statutory tax rate to the Company's effective tax rate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2"/>
                <w:szCs w:val="12"/>
                <w:color w:val="auto"/>
                <w:w w:val="96"/>
              </w:rPr>
              <w:t>Year ended December 31,</w:t>
            </w:r>
          </w:p>
        </w:tc>
        <w:tc>
          <w:tcPr>
            <w:tcW w:w="74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334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c>
          <w:tcPr>
            <w:tcW w:w="1640" w:type="dxa"/>
            <w:vAlign w:val="bottom"/>
          </w:tcPr>
          <w:p>
            <w:pPr>
              <w:jc w:val="right"/>
              <w:ind w:right="681"/>
              <w:spacing w:after="0"/>
              <w:rPr>
                <w:sz w:val="20"/>
                <w:szCs w:val="20"/>
                <w:color w:val="auto"/>
              </w:rPr>
            </w:pPr>
            <w:r>
              <w:rPr>
                <w:rFonts w:ascii="Courier New" w:cs="Courier New" w:eastAsia="Courier New" w:hAnsi="Courier New"/>
                <w:sz w:val="12"/>
                <w:szCs w:val="12"/>
                <w:color w:val="auto"/>
              </w:rPr>
              <w:t>2005</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3040" w:type="dxa"/>
            <w:vAlign w:val="bottom"/>
          </w:tcPr>
          <w:p>
            <w:pPr>
              <w:spacing w:after="0"/>
              <w:rPr>
                <w:sz w:val="20"/>
                <w:szCs w:val="20"/>
                <w:color w:val="auto"/>
              </w:rPr>
            </w:pPr>
            <w:r>
              <w:rPr>
                <w:rFonts w:ascii="Courier New" w:cs="Courier New" w:eastAsia="Courier New" w:hAnsi="Courier New"/>
                <w:sz w:val="12"/>
                <w:szCs w:val="12"/>
                <w:color w:val="auto"/>
              </w:rPr>
              <w:t>Israeli statutory rate</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(31)%</w:t>
            </w:r>
          </w:p>
        </w:tc>
        <w:tc>
          <w:tcPr>
            <w:tcW w:w="16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(34)%</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(35)%</w:t>
            </w:r>
          </w:p>
        </w:tc>
      </w:tr>
      <w:tr>
        <w:trPr>
          <w:trHeight w:val="135"/>
        </w:trPr>
        <w:tc>
          <w:tcPr>
            <w:tcW w:w="3040" w:type="dxa"/>
            <w:vAlign w:val="bottom"/>
          </w:tcPr>
          <w:p>
            <w:pPr>
              <w:spacing w:after="0"/>
              <w:rPr>
                <w:sz w:val="20"/>
                <w:szCs w:val="20"/>
                <w:color w:val="auto"/>
              </w:rPr>
            </w:pPr>
            <w:r>
              <w:rPr>
                <w:rFonts w:ascii="Courier New" w:cs="Courier New" w:eastAsia="Courier New" w:hAnsi="Courier New"/>
                <w:sz w:val="12"/>
                <w:szCs w:val="12"/>
                <w:color w:val="auto"/>
              </w:rPr>
              <w:t>Reduced tax rate for approved enterprise</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w:t>
            </w:r>
          </w:p>
        </w:tc>
        <w:tc>
          <w:tcPr>
            <w:tcW w:w="16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14</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w:t>
            </w:r>
          </w:p>
        </w:tc>
      </w:tr>
      <w:tr>
        <w:trPr>
          <w:trHeight w:val="135"/>
        </w:trPr>
        <w:tc>
          <w:tcPr>
            <w:tcW w:w="3040" w:type="dxa"/>
            <w:vAlign w:val="bottom"/>
          </w:tcPr>
          <w:p>
            <w:pPr>
              <w:spacing w:after="0"/>
              <w:rPr>
                <w:sz w:val="20"/>
                <w:szCs w:val="20"/>
                <w:color w:val="auto"/>
              </w:rPr>
            </w:pPr>
            <w:r>
              <w:rPr>
                <w:rFonts w:ascii="Courier New" w:cs="Courier New" w:eastAsia="Courier New" w:hAnsi="Courier New"/>
                <w:sz w:val="12"/>
                <w:szCs w:val="12"/>
                <w:color w:val="auto"/>
              </w:rPr>
              <w:t>Tax benefits for which deferred taxes</w:t>
            </w:r>
          </w:p>
        </w:tc>
        <w:tc>
          <w:tcPr>
            <w:tcW w:w="9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Courier New" w:cs="Courier New" w:eastAsia="Courier New" w:hAnsi="Courier New"/>
                <w:sz w:val="12"/>
                <w:szCs w:val="12"/>
                <w:color w:val="auto"/>
              </w:rPr>
              <w:t>were not recorded</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w:t>
            </w:r>
          </w:p>
        </w:tc>
        <w:tc>
          <w:tcPr>
            <w:tcW w:w="16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21</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w:t>
            </w:r>
          </w:p>
        </w:tc>
      </w:tr>
      <w:tr>
        <w:trPr>
          <w:trHeight w:val="135"/>
        </w:trPr>
        <w:tc>
          <w:tcPr>
            <w:tcW w:w="3040" w:type="dxa"/>
            <w:vAlign w:val="bottom"/>
          </w:tcPr>
          <w:p>
            <w:pPr>
              <w:spacing w:after="0"/>
              <w:rPr>
                <w:sz w:val="20"/>
                <w:szCs w:val="20"/>
                <w:color w:val="auto"/>
              </w:rPr>
            </w:pPr>
            <w:r>
              <w:rPr>
                <w:rFonts w:ascii="Courier New" w:cs="Courier New" w:eastAsia="Courier New" w:hAnsi="Courier New"/>
                <w:sz w:val="12"/>
                <w:szCs w:val="12"/>
                <w:color w:val="auto"/>
              </w:rPr>
              <w:t>Permanent differences and other, net</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(1)</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(3)</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040" w:type="dxa"/>
            <w:vAlign w:val="bottom"/>
          </w:tcPr>
          <w:p>
            <w:pPr>
              <w:spacing w:after="0"/>
              <w:rPr>
                <w:sz w:val="11"/>
                <w:szCs w:val="11"/>
                <w:color w:val="auto"/>
              </w:rPr>
            </w:pP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hanging="357"/>
        <w:spacing w:after="0"/>
        <w:tabs>
          <w:tab w:leader="none" w:pos="700" w:val="left"/>
        </w:tabs>
        <w:numPr>
          <w:ilvl w:val="0"/>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OPERATING LOSS CARRYFORWARD</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2006, the Company had net operating loss carryforwards for tax purposes of approximately $870,000, which may be carried forward for an unlimited period of time.</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16 - INCOME TAXES (cont.)</w:t>
      </w:r>
    </w:p>
    <w:p>
      <w:pPr>
        <w:spacing w:after="0" w:line="134" w:lineRule="exact"/>
        <w:rPr>
          <w:sz w:val="20"/>
          <w:szCs w:val="20"/>
          <w:color w:val="auto"/>
        </w:rPr>
      </w:pPr>
    </w:p>
    <w:p>
      <w:pPr>
        <w:ind w:left="700" w:hanging="357"/>
        <w:spacing w:after="0"/>
        <w:tabs>
          <w:tab w:leader="none" w:pos="700" w:val="left"/>
        </w:tabs>
        <w:numPr>
          <w:ilvl w:val="0"/>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FINAL TAX ASSESSMENTS</w:t>
      </w:r>
    </w:p>
    <w:p>
      <w:pPr>
        <w:spacing w:after="0" w:line="138"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possesses final tax assessments through the year 1998. In addition, the tax assessments for the years 1999-2002 are deemed final.</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17 - FINANCIAL INSTRUMENTS</w:t>
      </w:r>
    </w:p>
    <w:p>
      <w:pPr>
        <w:spacing w:after="0" w:line="139" w:lineRule="exact"/>
        <w:rPr>
          <w:sz w:val="20"/>
          <w:szCs w:val="20"/>
          <w:color w:val="auto"/>
        </w:rPr>
      </w:pPr>
    </w:p>
    <w:p>
      <w:pPr>
        <w:ind w:left="340" w:right="4759"/>
        <w:spacing w:after="0" w:line="237" w:lineRule="auto"/>
        <w:rPr>
          <w:sz w:val="20"/>
          <w:szCs w:val="20"/>
          <w:color w:val="auto"/>
        </w:rPr>
      </w:pPr>
      <w:r>
        <w:rPr>
          <w:rFonts w:ascii="Courier New" w:cs="Courier New" w:eastAsia="Courier New" w:hAnsi="Courier New"/>
          <w:sz w:val="12"/>
          <w:szCs w:val="12"/>
          <w:color w:val="auto"/>
        </w:rPr>
        <w:t>A financial instrument is defined as cash, evidence of an ownership interest in an entity, or a contract that imposes on one entity a contractual obligation either to deliver or receive cash or another financial instrument to or from a second entity. Examples of financial instruments include cash and cash equivalents, trade accounts receivable, loans, investments, trade accounts payable, accrued expenses, options and forward contracts.</w:t>
      </w:r>
    </w:p>
    <w:p>
      <w:pPr>
        <w:spacing w:after="0" w:line="141" w:lineRule="exact"/>
        <w:rPr>
          <w:sz w:val="20"/>
          <w:szCs w:val="20"/>
          <w:color w:val="auto"/>
        </w:rPr>
      </w:pPr>
    </w:p>
    <w:p>
      <w:pPr>
        <w:ind w:left="340" w:right="4619"/>
        <w:spacing w:after="0" w:line="273" w:lineRule="auto"/>
        <w:rPr>
          <w:sz w:val="20"/>
          <w:szCs w:val="20"/>
          <w:color w:val="auto"/>
        </w:rPr>
      </w:pPr>
      <w:r>
        <w:rPr>
          <w:rFonts w:ascii="Courier New" w:cs="Courier New" w:eastAsia="Courier New" w:hAnsi="Courier New"/>
          <w:sz w:val="11"/>
          <w:szCs w:val="11"/>
          <w:color w:val="auto"/>
        </w:rPr>
        <w:t>The Company makes certain disclosures with regard to financial instruments, including derivatives. These disclosures include, among other matters, the</w:t>
      </w:r>
    </w:p>
    <w:p>
      <w:pPr>
        <w:sectPr>
          <w:pgSz w:w="11900" w:h="16838" w:orient="portrait"/>
          <w:cols w:equalWidth="0" w:num="1">
            <w:col w:w="10239"/>
          </w:cols>
          <w:pgMar w:left="220" w:top="137" w:right="1440" w:bottom="0" w:gutter="0" w:footer="0" w:header="0"/>
        </w:sectPr>
      </w:pPr>
    </w:p>
    <w:bookmarkStart w:id="34" w:name="page35"/>
    <w:bookmarkEnd w:id="34"/>
    <w:p>
      <w:pPr>
        <w:ind w:left="340" w:right="4699"/>
        <w:spacing w:after="0" w:line="236" w:lineRule="auto"/>
        <w:rPr>
          <w:sz w:val="20"/>
          <w:szCs w:val="20"/>
          <w:color w:val="auto"/>
        </w:rPr>
      </w:pPr>
      <w:r>
        <w:rPr>
          <w:rFonts w:ascii="Courier New" w:cs="Courier New" w:eastAsia="Courier New" w:hAnsi="Courier New"/>
          <w:sz w:val="12"/>
          <w:szCs w:val="12"/>
          <w:color w:val="auto"/>
        </w:rPr>
        <w:t>nature and terms of derivative transactions, information about significant concentrations of credit risk, and the fair value of financial assets and liabilities.</w:t>
      </w:r>
    </w:p>
    <w:p>
      <w:pPr>
        <w:spacing w:after="0" w:line="139" w:lineRule="exact"/>
        <w:rPr>
          <w:sz w:val="20"/>
          <w:szCs w:val="20"/>
          <w:color w:val="auto"/>
        </w:rPr>
      </w:pPr>
    </w:p>
    <w:p>
      <w:pPr>
        <w:ind w:left="340" w:right="4699"/>
        <w:spacing w:after="0" w:line="235" w:lineRule="auto"/>
        <w:rPr>
          <w:sz w:val="20"/>
          <w:szCs w:val="20"/>
          <w:color w:val="auto"/>
        </w:rPr>
      </w:pPr>
      <w:r>
        <w:rPr>
          <w:rFonts w:ascii="Courier New" w:cs="Courier New" w:eastAsia="Courier New" w:hAnsi="Courier New"/>
          <w:sz w:val="12"/>
          <w:szCs w:val="12"/>
          <w:color w:val="auto"/>
        </w:rPr>
        <w:t>See Note 19D for disclosure related to the Company's derivatives financial instruments in accordance with U.S. GAAP.</w:t>
      </w:r>
    </w:p>
    <w:p>
      <w:pPr>
        <w:spacing w:after="0" w:line="135" w:lineRule="exact"/>
        <w:rPr>
          <w:sz w:val="20"/>
          <w:szCs w:val="20"/>
          <w:color w:val="auto"/>
        </w:rPr>
      </w:pPr>
    </w:p>
    <w:p>
      <w:pPr>
        <w:ind w:left="700" w:hanging="357"/>
        <w:spacing w:after="0"/>
        <w:tabs>
          <w:tab w:leader="none" w:pos="700" w:val="left"/>
        </w:tabs>
        <w:numPr>
          <w:ilvl w:val="0"/>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from time to time, enters into foreign currency derivatives to hedge its foreign currency exposure to equipment purchase commitments and other firm commitments denominated in foreign currency (primarily Japanese Yen and Euro). In that regard, the Company generally uses foreign currency forward contracts and options (zero-cost cylinder) as hedging instruments for foreign currency exposure. Accordingly, if the hedge is determined to be effective all changes in value attributed to spot rate fluctuations as well as the premium of forward contracts and the time value of options at inception are deferred until the hedged item is recognized (i.e., receipt of the equipment). The time value of options at inception is amortized on a straight-line basis.</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the Company, from time to time, enters into agreements to hedge variable interest rate exposure on long-term loans (see Note 8). In order to hedge the cash flow related to this exposure, the Company uses various types of derivative contracts, consisting primarily of interest rate caps, floors and collars. If the hedge is determined to be effective, the changes in the intrinsic value of the derivative contracts are deferred and recognized in results of operations as interest payments become due. The time value of options at inception is recognized in the results of operations on a straight-line basis. When the related debt is issued in connection with the acquisition of assets not yet placed into operations, interest costs and gains and losses on the derivative contracts are capitalized to the related asset.</w:t>
      </w:r>
    </w:p>
    <w:p>
      <w:pPr>
        <w:spacing w:after="0" w:line="139" w:lineRule="exact"/>
        <w:rPr>
          <w:rFonts w:ascii="Courier New" w:cs="Courier New" w:eastAsia="Courier New" w:hAnsi="Courier New"/>
          <w:sz w:val="12"/>
          <w:szCs w:val="12"/>
          <w:color w:val="auto"/>
        </w:rPr>
      </w:pPr>
    </w:p>
    <w:p>
      <w:pPr>
        <w:ind w:left="700" w:right="48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does not hold or issue derivative financial instruments for non-hedging purposes.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17 - FINANCIAL INSTRUMENTS (cont.)</w:t>
      </w:r>
    </w:p>
    <w:p>
      <w:pPr>
        <w:spacing w:after="0" w:line="134" w:lineRule="exact"/>
        <w:rPr>
          <w:sz w:val="20"/>
          <w:szCs w:val="20"/>
          <w:color w:val="auto"/>
        </w:rPr>
      </w:pPr>
    </w:p>
    <w:p>
      <w:pPr>
        <w:ind w:left="700" w:hanging="357"/>
        <w:spacing w:after="0"/>
        <w:tabs>
          <w:tab w:leader="none" w:pos="700"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CREDIT RISK OF FINANCIAL INSTRUMENTS, INCLUDING DERIVATIVES</w:t>
      </w:r>
    </w:p>
    <w:p>
      <w:pPr>
        <w:spacing w:after="0" w:line="138" w:lineRule="exact"/>
        <w:rPr>
          <w:rFonts w:ascii="Courier New" w:cs="Courier New" w:eastAsia="Courier New" w:hAnsi="Courier New"/>
          <w:sz w:val="12"/>
          <w:szCs w:val="12"/>
          <w:color w:val="auto"/>
        </w:rPr>
      </w:pPr>
    </w:p>
    <w:p>
      <w:pPr>
        <w:ind w:left="700" w:right="475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face or contract amounts of derivatives do not represent amounts exchanged by the parties and, accordingly, are not a measure of the exposure of the Company through its use of derivatives.</w:t>
      </w:r>
    </w:p>
    <w:p>
      <w:pPr>
        <w:spacing w:after="0" w:line="126"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 Substantially all remaining financial instruments held by the Company are due from governmental entities and, accordingly, the Company's credit risk in respect thereof is negligible.</w:t>
      </w:r>
    </w:p>
    <w:p>
      <w:pPr>
        <w:spacing w:after="0" w:line="139"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HEDGING ACTIVITIES IN THE FINANCIAL STATEMENTS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2006 and 2005, the Company had outstanding agreements to hedge interest rate exposure on loans drawn down under the Facility Agreement, the aggregate amount of which was $207,000 and $292,000 respectively, all of which is attributable to Fab 2. These agreements resulted in 2006 in a gain of $880 and in 2005 and 2004, in a loss of $1,756 and $5,629, respectively.</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FAIR VALUE OF FINANCIAL INSTRUMENTS</w:t>
      </w:r>
    </w:p>
    <w:p>
      <w:pPr>
        <w:spacing w:after="0" w:line="138" w:lineRule="exact"/>
        <w:rPr>
          <w:rFonts w:ascii="Courier New" w:cs="Courier New" w:eastAsia="Courier New" w:hAnsi="Courier New"/>
          <w:sz w:val="12"/>
          <w:szCs w:val="12"/>
          <w:color w:val="auto"/>
        </w:rPr>
      </w:pPr>
    </w:p>
    <w:p>
      <w:pPr>
        <w:ind w:left="700" w:right="469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estimated fair values of the Company's financial instruments, excluding the Company's agreements to hedge interest rate exposure on long-term loans and long term convertible debentures did not materially differ from their respective carrying amounts as of December 31, 2006, 2005 and 2004. The fair value of the interest rate hedging transactions as of December 31, 2006 and 2005 would have resulted in an unrealized capitalizable gain of $1,790 and $1,767, respectively (as of December 31, 2004, an unrealized capitalizable loss of $2,406). The fair values of convertible debentures as of December 31, 2006, 2005 and 2004 were $126,048, $22,750 and $15,889, based on quoted market prices for the respective dates.</w:t>
      </w:r>
    </w:p>
    <w:p>
      <w:pPr>
        <w:spacing w:after="0" w:line="26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380" w:type="dxa"/>
            <w:vAlign w:val="bottom"/>
          </w:tcPr>
          <w:p>
            <w:pPr>
              <w:spacing w:after="0"/>
              <w:rPr>
                <w:sz w:val="20"/>
                <w:szCs w:val="20"/>
                <w:color w:val="auto"/>
              </w:rPr>
            </w:pPr>
            <w:r>
              <w:rPr>
                <w:rFonts w:ascii="Courier New" w:cs="Courier New" w:eastAsia="Courier New" w:hAnsi="Courier New"/>
                <w:sz w:val="12"/>
                <w:szCs w:val="12"/>
                <w:color w:val="auto"/>
              </w:rPr>
              <w:t>NOTE 18 - RELATED PARTIES BALANCES AND TRANSACTIONS</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70"/>
        </w:trPr>
        <w:tc>
          <w:tcPr>
            <w:tcW w:w="4380" w:type="dxa"/>
            <w:vAlign w:val="bottom"/>
          </w:tcPr>
          <w:p>
            <w:pPr>
              <w:ind w:left="340"/>
              <w:spacing w:after="0"/>
              <w:rPr>
                <w:sz w:val="20"/>
                <w:szCs w:val="20"/>
                <w:color w:val="auto"/>
              </w:rPr>
            </w:pPr>
            <w:r>
              <w:rPr>
                <w:rFonts w:ascii="Courier New" w:cs="Courier New" w:eastAsia="Courier New" w:hAnsi="Courier New"/>
                <w:sz w:val="12"/>
                <w:szCs w:val="12"/>
                <w:color w:val="auto"/>
              </w:rPr>
              <w:t>A.   BALANCES</w:t>
            </w: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4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gridSpan w:val="3"/>
          </w:tcPr>
          <w:p>
            <w:pPr>
              <w:jc w:val="right"/>
              <w:ind w:right="14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4380" w:type="dxa"/>
            <w:vAlign w:val="bottom"/>
          </w:tcPr>
          <w:p>
            <w:pPr>
              <w:spacing w:after="0"/>
              <w:rPr>
                <w:sz w:val="11"/>
                <w:szCs w:val="11"/>
                <w:color w:val="auto"/>
              </w:rPr>
            </w:pPr>
          </w:p>
        </w:tc>
        <w:tc>
          <w:tcPr>
            <w:tcW w:w="20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2006</w:t>
            </w:r>
          </w:p>
        </w:tc>
        <w:tc>
          <w:tcPr>
            <w:tcW w:w="360" w:type="dxa"/>
            <w:vAlign w:val="bottom"/>
          </w:tcPr>
          <w:p>
            <w:pPr>
              <w:spacing w:after="0"/>
              <w:rPr>
                <w:sz w:val="11"/>
                <w:szCs w:val="11"/>
                <w:color w:val="auto"/>
              </w:rPr>
            </w:pP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4380" w:type="dxa"/>
            <w:vAlign w:val="bottom"/>
          </w:tcPr>
          <w:p>
            <w:pPr>
              <w:spacing w:after="0"/>
              <w:rPr>
                <w:sz w:val="11"/>
                <w:szCs w:val="11"/>
                <w:color w:val="auto"/>
              </w:rPr>
            </w:pPr>
          </w:p>
        </w:tc>
        <w:tc>
          <w:tcPr>
            <w:tcW w:w="11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380" w:type="dxa"/>
            <w:vAlign w:val="bottom"/>
          </w:tcPr>
          <w:p>
            <w:pPr>
              <w:spacing w:after="0"/>
              <w:rPr>
                <w:sz w:val="20"/>
                <w:szCs w:val="20"/>
                <w:color w:val="auto"/>
              </w:rPr>
            </w:pPr>
            <w:r>
              <w:rPr>
                <w:rFonts w:ascii="Courier New" w:cs="Courier New" w:eastAsia="Courier New" w:hAnsi="Courier New"/>
                <w:sz w:val="12"/>
                <w:szCs w:val="12"/>
                <w:color w:val="auto"/>
              </w:rPr>
              <w:t>Trade accounts receivable</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13,625</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5,309</w:t>
            </w:r>
          </w:p>
        </w:tc>
      </w:tr>
      <w:tr>
        <w:trPr>
          <w:trHeight w:val="135"/>
        </w:trPr>
        <w:tc>
          <w:tcPr>
            <w:tcW w:w="4380" w:type="dxa"/>
            <w:vAlign w:val="bottom"/>
          </w:tcPr>
          <w:p>
            <w:pPr>
              <w:spacing w:after="0"/>
              <w:rPr>
                <w:sz w:val="11"/>
                <w:szCs w:val="11"/>
                <w:color w:val="auto"/>
              </w:rPr>
            </w:pPr>
          </w:p>
        </w:tc>
        <w:tc>
          <w:tcPr>
            <w:tcW w:w="11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spacing w:after="0"/>
              <w:rPr>
                <w:sz w:val="20"/>
                <w:szCs w:val="20"/>
                <w:color w:val="auto"/>
              </w:rPr>
            </w:pPr>
            <w:r>
              <w:rPr>
                <w:rFonts w:ascii="Courier New" w:cs="Courier New" w:eastAsia="Courier New" w:hAnsi="Courier New"/>
                <w:sz w:val="12"/>
                <w:szCs w:val="12"/>
                <w:color w:val="auto"/>
              </w:rPr>
              <w:t>Current liabilities, including current maturity of</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380" w:type="dxa"/>
            <w:vAlign w:val="bottom"/>
          </w:tcPr>
          <w:p>
            <w:pPr>
              <w:spacing w:after="0"/>
              <w:rPr>
                <w:sz w:val="20"/>
                <w:szCs w:val="20"/>
                <w:color w:val="auto"/>
              </w:rPr>
            </w:pPr>
            <w:r>
              <w:rPr>
                <w:rFonts w:ascii="Courier New" w:cs="Courier New" w:eastAsia="Courier New" w:hAnsi="Courier New"/>
                <w:sz w:val="12"/>
                <w:szCs w:val="12"/>
                <w:color w:val="auto"/>
              </w:rPr>
              <w:t>long-term loans</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5,895</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188</w:t>
            </w:r>
          </w:p>
        </w:tc>
      </w:tr>
      <w:tr>
        <w:trPr>
          <w:trHeight w:val="135"/>
        </w:trPr>
        <w:tc>
          <w:tcPr>
            <w:tcW w:w="4380" w:type="dxa"/>
            <w:vAlign w:val="bottom"/>
          </w:tcPr>
          <w:p>
            <w:pPr>
              <w:spacing w:after="0"/>
              <w:rPr>
                <w:sz w:val="11"/>
                <w:szCs w:val="11"/>
                <w:color w:val="auto"/>
              </w:rPr>
            </w:pPr>
          </w:p>
        </w:tc>
        <w:tc>
          <w:tcPr>
            <w:tcW w:w="11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spacing w:after="0"/>
              <w:rPr>
                <w:sz w:val="20"/>
                <w:szCs w:val="20"/>
                <w:color w:val="auto"/>
              </w:rPr>
            </w:pPr>
            <w:r>
              <w:rPr>
                <w:rFonts w:ascii="Courier New" w:cs="Courier New" w:eastAsia="Courier New" w:hAnsi="Courier New"/>
                <w:sz w:val="12"/>
                <w:szCs w:val="12"/>
                <w:color w:val="auto"/>
              </w:rPr>
              <w:t>Convertible debenture</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24,500</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25,493</w:t>
            </w:r>
          </w:p>
        </w:tc>
      </w:tr>
      <w:tr>
        <w:trPr>
          <w:trHeight w:val="135"/>
        </w:trPr>
        <w:tc>
          <w:tcPr>
            <w:tcW w:w="4380" w:type="dxa"/>
            <w:vAlign w:val="bottom"/>
          </w:tcPr>
          <w:p>
            <w:pPr>
              <w:spacing w:after="0"/>
              <w:rPr>
                <w:sz w:val="11"/>
                <w:szCs w:val="11"/>
                <w:color w:val="auto"/>
              </w:rPr>
            </w:pPr>
          </w:p>
        </w:tc>
        <w:tc>
          <w:tcPr>
            <w:tcW w:w="11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spacing w:after="0"/>
              <w:rPr>
                <w:sz w:val="20"/>
                <w:szCs w:val="20"/>
                <w:color w:val="auto"/>
              </w:rPr>
            </w:pPr>
            <w:r>
              <w:rPr>
                <w:rFonts w:ascii="Courier New" w:cs="Courier New" w:eastAsia="Courier New" w:hAnsi="Courier New"/>
                <w:sz w:val="12"/>
                <w:szCs w:val="12"/>
                <w:color w:val="auto"/>
              </w:rPr>
              <w:t>Long-term liability in respect of customers' advances</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27,340</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37,785</w:t>
            </w:r>
          </w:p>
        </w:tc>
      </w:tr>
      <w:tr>
        <w:trPr>
          <w:trHeight w:val="135"/>
        </w:trPr>
        <w:tc>
          <w:tcPr>
            <w:tcW w:w="4380" w:type="dxa"/>
            <w:vAlign w:val="bottom"/>
          </w:tcPr>
          <w:p>
            <w:pPr>
              <w:spacing w:after="0"/>
              <w:rPr>
                <w:sz w:val="11"/>
                <w:szCs w:val="11"/>
                <w:color w:val="auto"/>
              </w:rPr>
            </w:pPr>
          </w:p>
        </w:tc>
        <w:tc>
          <w:tcPr>
            <w:tcW w:w="11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spacing w:after="0"/>
              <w:rPr>
                <w:sz w:val="20"/>
                <w:szCs w:val="20"/>
                <w:color w:val="auto"/>
              </w:rPr>
            </w:pPr>
            <w:r>
              <w:rPr>
                <w:rFonts w:ascii="Courier New" w:cs="Courier New" w:eastAsia="Courier New" w:hAnsi="Courier New"/>
                <w:sz w:val="12"/>
                <w:szCs w:val="12"/>
                <w:color w:val="auto"/>
              </w:rPr>
              <w:t>Other long-term liabilities, including long-term loans from</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4380" w:type="dxa"/>
            <w:vAlign w:val="bottom"/>
          </w:tcPr>
          <w:p>
            <w:pPr>
              <w:spacing w:after="0"/>
              <w:rPr>
                <w:sz w:val="20"/>
                <w:szCs w:val="20"/>
                <w:color w:val="auto"/>
              </w:rPr>
            </w:pPr>
            <w:r>
              <w:rPr>
                <w:rFonts w:ascii="Courier New" w:cs="Courier New" w:eastAsia="Courier New" w:hAnsi="Courier New"/>
                <w:sz w:val="12"/>
                <w:szCs w:val="12"/>
                <w:color w:val="auto"/>
              </w:rPr>
              <w:t>related parties, net of current maturity</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9,279</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1,102</w:t>
            </w:r>
          </w:p>
        </w:tc>
      </w:tr>
      <w:tr>
        <w:trPr>
          <w:trHeight w:val="135"/>
        </w:trPr>
        <w:tc>
          <w:tcPr>
            <w:tcW w:w="4380" w:type="dxa"/>
            <w:vAlign w:val="bottom"/>
          </w:tcPr>
          <w:p>
            <w:pPr>
              <w:spacing w:after="0"/>
              <w:rPr>
                <w:sz w:val="11"/>
                <w:szCs w:val="11"/>
                <w:color w:val="auto"/>
              </w:rPr>
            </w:pPr>
          </w:p>
        </w:tc>
        <w:tc>
          <w:tcPr>
            <w:tcW w:w="11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spacing w:after="0"/>
              <w:rPr>
                <w:sz w:val="20"/>
                <w:szCs w:val="20"/>
                <w:color w:val="auto"/>
              </w:rPr>
            </w:pPr>
            <w:r>
              <w:rPr>
                <w:rFonts w:ascii="Courier New" w:cs="Courier New" w:eastAsia="Courier New" w:hAnsi="Courier New"/>
                <w:sz w:val="12"/>
                <w:szCs w:val="12"/>
                <w:color w:val="auto"/>
              </w:rPr>
              <w:t>Capital note</w:t>
            </w:r>
          </w:p>
        </w:tc>
        <w:tc>
          <w:tcPr>
            <w:tcW w:w="11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$ 100,000</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380" w:type="dxa"/>
            <w:vAlign w:val="bottom"/>
          </w:tcPr>
          <w:p>
            <w:pPr>
              <w:spacing w:after="0"/>
              <w:rPr>
                <w:sz w:val="11"/>
                <w:szCs w:val="11"/>
                <w:color w:val="auto"/>
              </w:rPr>
            </w:pPr>
          </w:p>
        </w:tc>
        <w:tc>
          <w:tcPr>
            <w:tcW w:w="11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0239"/>
          </w:cols>
          <w:pgMar w:left="220" w:top="141" w:right="1440"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760" w:type="dxa"/>
            <w:vAlign w:val="bottom"/>
          </w:tcPr>
          <w:p>
            <w:pPr>
              <w:ind w:left="340"/>
              <w:spacing w:after="0"/>
              <w:rPr>
                <w:sz w:val="20"/>
                <w:szCs w:val="20"/>
                <w:color w:val="auto"/>
              </w:rPr>
            </w:pPr>
            <w:r>
              <w:rPr>
                <w:rFonts w:ascii="Courier New" w:cs="Courier New" w:eastAsia="Courier New" w:hAnsi="Courier New"/>
                <w:sz w:val="12"/>
                <w:szCs w:val="12"/>
                <w:color w:val="auto"/>
              </w:rPr>
              <w:t>B.   TRANSACTIONS</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270"/>
        </w:trPr>
        <w:tc>
          <w:tcPr>
            <w:tcW w:w="3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Year ended December 31,</w:t>
            </w: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3760" w:type="dxa"/>
            <w:vAlign w:val="bottom"/>
          </w:tcPr>
          <w:p>
            <w:pPr>
              <w:spacing w:after="0"/>
              <w:rPr>
                <w:sz w:val="11"/>
                <w:szCs w:val="11"/>
                <w:color w:val="auto"/>
              </w:rPr>
            </w:pPr>
          </w:p>
        </w:tc>
        <w:tc>
          <w:tcPr>
            <w:tcW w:w="31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2006</w:t>
            </w:r>
          </w:p>
        </w:tc>
        <w:tc>
          <w:tcPr>
            <w:tcW w:w="380" w:type="dxa"/>
            <w:vAlign w:val="bottom"/>
          </w:tcPr>
          <w:p>
            <w:pPr>
              <w:spacing w:after="0"/>
              <w:rPr>
                <w:sz w:val="11"/>
                <w:szCs w:val="11"/>
                <w:color w:val="auto"/>
              </w:rPr>
            </w:pPr>
          </w:p>
        </w:tc>
        <w:tc>
          <w:tcPr>
            <w:tcW w:w="9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2005</w:t>
            </w:r>
          </w:p>
        </w:tc>
        <w:tc>
          <w:tcPr>
            <w:tcW w:w="180" w:type="dxa"/>
            <w:vAlign w:val="bottom"/>
          </w:tcPr>
          <w:p>
            <w:pPr>
              <w:spacing w:after="0"/>
              <w:rPr>
                <w:sz w:val="11"/>
                <w:szCs w:val="11"/>
                <w:color w:val="auto"/>
              </w:rPr>
            </w:pP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3760" w:type="dxa"/>
            <w:vAlign w:val="bottom"/>
          </w:tcPr>
          <w:p>
            <w:pPr>
              <w:spacing w:after="0"/>
              <w:rPr>
                <w:sz w:val="11"/>
                <w:szCs w:val="11"/>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6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64,055</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33,456</w:t>
            </w:r>
          </w:p>
        </w:tc>
        <w:tc>
          <w:tcPr>
            <w:tcW w:w="1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37,521</w:t>
            </w:r>
          </w:p>
        </w:tc>
      </w:tr>
      <w:tr>
        <w:trPr>
          <w:trHeight w:val="135"/>
        </w:trPr>
        <w:tc>
          <w:tcPr>
            <w:tcW w:w="3760" w:type="dxa"/>
            <w:vAlign w:val="bottom"/>
          </w:tcPr>
          <w:p>
            <w:pPr>
              <w:spacing w:after="0"/>
              <w:rPr>
                <w:sz w:val="11"/>
                <w:szCs w:val="11"/>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Expenses paid</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206</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57</w:t>
            </w:r>
          </w:p>
        </w:tc>
        <w:tc>
          <w:tcPr>
            <w:tcW w:w="1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190</w:t>
            </w:r>
          </w:p>
        </w:tc>
      </w:tr>
      <w:tr>
        <w:trPr>
          <w:trHeight w:val="135"/>
        </w:trPr>
        <w:tc>
          <w:tcPr>
            <w:tcW w:w="3760" w:type="dxa"/>
            <w:vAlign w:val="bottom"/>
          </w:tcPr>
          <w:p>
            <w:pPr>
              <w:spacing w:after="0"/>
              <w:rPr>
                <w:sz w:val="11"/>
                <w:szCs w:val="11"/>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Royalties received - Note 11D(2)</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875</w:t>
            </w:r>
          </w:p>
        </w:tc>
      </w:tr>
      <w:tr>
        <w:trPr>
          <w:trHeight w:val="135"/>
        </w:trPr>
        <w:tc>
          <w:tcPr>
            <w:tcW w:w="3760" w:type="dxa"/>
            <w:vAlign w:val="bottom"/>
          </w:tcPr>
          <w:p>
            <w:pPr>
              <w:spacing w:after="0"/>
              <w:rPr>
                <w:sz w:val="11"/>
                <w:szCs w:val="11"/>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Application of customer advances towards purchases</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445</w:t>
            </w:r>
          </w:p>
        </w:tc>
      </w:tr>
      <w:tr>
        <w:trPr>
          <w:trHeight w:val="135"/>
        </w:trPr>
        <w:tc>
          <w:tcPr>
            <w:tcW w:w="3760" w:type="dxa"/>
            <w:vAlign w:val="bottom"/>
          </w:tcPr>
          <w:p>
            <w:pPr>
              <w:spacing w:after="0"/>
              <w:rPr>
                <w:sz w:val="11"/>
                <w:szCs w:val="11"/>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Equity conversion of customer advances - Note</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11A(5)</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7,621</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1,794</w:t>
            </w:r>
          </w:p>
        </w:tc>
        <w:tc>
          <w:tcPr>
            <w:tcW w:w="1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539</w:t>
            </w:r>
          </w:p>
        </w:tc>
      </w:tr>
      <w:tr>
        <w:trPr>
          <w:trHeight w:val="135"/>
        </w:trPr>
        <w:tc>
          <w:tcPr>
            <w:tcW w:w="3760" w:type="dxa"/>
            <w:vAlign w:val="bottom"/>
          </w:tcPr>
          <w:p>
            <w:pPr>
              <w:spacing w:after="0"/>
              <w:rPr>
                <w:sz w:val="11"/>
                <w:szCs w:val="11"/>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Conversion of customer advances into Long-term</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loans - Note 11A(5)</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2,823</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936</w:t>
            </w:r>
          </w:p>
        </w:tc>
        <w:tc>
          <w:tcPr>
            <w:tcW w:w="1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166</w:t>
            </w:r>
          </w:p>
        </w:tc>
      </w:tr>
      <w:tr>
        <w:trPr>
          <w:trHeight w:val="135"/>
        </w:trPr>
        <w:tc>
          <w:tcPr>
            <w:tcW w:w="3760" w:type="dxa"/>
            <w:vAlign w:val="bottom"/>
          </w:tcPr>
          <w:p>
            <w:pPr>
              <w:spacing w:after="0"/>
              <w:rPr>
                <w:sz w:val="11"/>
                <w:szCs w:val="11"/>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32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right="4699" w:hanging="357"/>
        <w:spacing w:after="0" w:line="235" w:lineRule="auto"/>
        <w:tabs>
          <w:tab w:leader="none" w:pos="700" w:val="left"/>
        </w:tabs>
        <w:numPr>
          <w:ilvl w:val="0"/>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commitments, contingencies and other transactions relating to Fab 2 Wafer Partner and Equity Investor agreements - see Note 11A.</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w:t>
      </w:r>
    </w:p>
    <w:p>
      <w:pPr>
        <w:spacing w:after="0" w:line="139" w:lineRule="exact"/>
        <w:rPr>
          <w:sz w:val="20"/>
          <w:szCs w:val="20"/>
          <w:color w:val="auto"/>
        </w:rPr>
      </w:pPr>
    </w:p>
    <w:p>
      <w:pPr>
        <w:ind w:left="340" w:right="4619"/>
        <w:spacing w:after="0" w:line="236" w:lineRule="auto"/>
        <w:rPr>
          <w:sz w:val="20"/>
          <w:szCs w:val="20"/>
          <w:color w:val="auto"/>
        </w:rPr>
      </w:pPr>
      <w:r>
        <w:rPr>
          <w:rFonts w:ascii="Courier New" w:cs="Courier New" w:eastAsia="Courier New" w:hAnsi="Courier New"/>
          <w:sz w:val="12"/>
          <w:szCs w:val="12"/>
          <w:color w:val="auto"/>
        </w:rPr>
        <w:t>With regard to the Company's financial statements, the material differences between GAAP in Israel and in the U.S. relate to the following. See J below for the presentation of the Company's balance sheets as of December 31, 2006 and 2005 in accordance with U.S. GAAP.</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INITIAL ADOPTION OF NEW PRONOUNCEMENTS BY THE FASB</w:t>
      </w:r>
    </w:p>
    <w:p>
      <w:pPr>
        <w:spacing w:after="0" w:line="138" w:lineRule="exact"/>
        <w:rPr>
          <w:rFonts w:ascii="Courier New" w:cs="Courier New" w:eastAsia="Courier New" w:hAnsi="Courier New"/>
          <w:sz w:val="12"/>
          <w:szCs w:val="12"/>
          <w:color w:val="auto"/>
        </w:rPr>
      </w:pPr>
    </w:p>
    <w:p>
      <w:pPr>
        <w:jc w:val="both"/>
        <w:ind w:left="1040" w:right="5039" w:hanging="345"/>
        <w:spacing w:after="0" w:line="260" w:lineRule="auto"/>
        <w:tabs>
          <w:tab w:leader="none" w:pos="1040" w:val="left"/>
        </w:tabs>
        <w:numPr>
          <w:ilvl w:val="1"/>
          <w:numId w:val="85"/>
        </w:numPr>
        <w:rPr>
          <w:rFonts w:ascii="Courier New" w:cs="Courier New" w:eastAsia="Courier New" w:hAnsi="Courier New"/>
          <w:sz w:val="11"/>
          <w:szCs w:val="11"/>
          <w:color w:val="auto"/>
        </w:rPr>
      </w:pPr>
      <w:r>
        <w:rPr>
          <w:rFonts w:ascii="Courier New" w:cs="Courier New" w:eastAsia="Courier New" w:hAnsi="Courier New"/>
          <w:sz w:val="11"/>
          <w:szCs w:val="11"/>
          <w:color w:val="auto"/>
        </w:rPr>
        <w:t>SFAS NO. 151 - INVENTORY COSTS, AN AMENDMENT OF ARB NO. 43, CHAPTER 4 - In November 2004, the FASB issued SFAS No. 151,</w:t>
      </w:r>
    </w:p>
    <w:p>
      <w:pPr>
        <w:ind w:left="1040" w:right="461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"INVENTORY COSTS, AN AMENDMENT OF ARB NO. 43, CHAPTER 4". SFAS No. 151 amends the guidance in ARB 43, Chapter 4, "Inventory Pricing", which provides guidance on the allocation of certain costs to inventory. SFAS 151 clarifies that abnormal amounts of idle facility expense, freight, handling costs, and wasted material (spoilage) should be recognized as current-period charges. In addition, SFAS 151 requires that allocation of fixed production overheads to the costs of conversion be based on the normal capacity of the production facilities. The provisions of this statement are effective for inventory costs incurred during fiscal years beginning after June 2005. The provisions of this statement shall be applied prospectively. This Statement does not have a material effect on the Company's financial position or results of operations.</w:t>
      </w:r>
    </w:p>
    <w:p>
      <w:pPr>
        <w:spacing w:after="0" w:line="139" w:lineRule="exact"/>
        <w:rPr>
          <w:rFonts w:ascii="Courier New" w:cs="Courier New" w:eastAsia="Courier New" w:hAnsi="Courier New"/>
          <w:sz w:val="11"/>
          <w:szCs w:val="11"/>
          <w:color w:val="auto"/>
        </w:rPr>
      </w:pPr>
    </w:p>
    <w:p>
      <w:pPr>
        <w:ind w:left="1040" w:right="4619" w:hanging="345"/>
        <w:spacing w:after="0" w:line="262" w:lineRule="auto"/>
        <w:tabs>
          <w:tab w:leader="none" w:pos="1040" w:val="left"/>
        </w:tabs>
        <w:numPr>
          <w:ilvl w:val="1"/>
          <w:numId w:val="85"/>
        </w:numPr>
        <w:rPr>
          <w:rFonts w:ascii="Courier New" w:cs="Courier New" w:eastAsia="Courier New" w:hAnsi="Courier New"/>
          <w:sz w:val="11"/>
          <w:szCs w:val="11"/>
          <w:color w:val="auto"/>
        </w:rPr>
      </w:pPr>
      <w:r>
        <w:rPr>
          <w:rFonts w:ascii="Courier New" w:cs="Courier New" w:eastAsia="Courier New" w:hAnsi="Courier New"/>
          <w:sz w:val="11"/>
          <w:szCs w:val="11"/>
          <w:color w:val="auto"/>
        </w:rPr>
        <w:t>SFAS NO. 123 (REVISED 2004) "SHARE BASED PAYMENTS" - In December 2004, the FASB issued SFAS No. 123 (revised 2004) "SHARE BASED PAYMENTS" ("SFAS 123(R)"). This Statement is a revision of FASB Statement No. 123, "Accounting for Stock-Based Compensation", which supersedes APB Opinion No. 25, "Accounting for Stock Issued to Employees" and its authoritative interpretations.</w:t>
      </w:r>
    </w:p>
    <w:p>
      <w:pPr>
        <w:spacing w:after="0" w:line="129" w:lineRule="exact"/>
        <w:rPr>
          <w:rFonts w:ascii="Courier New" w:cs="Courier New" w:eastAsia="Courier New" w:hAnsi="Courier New"/>
          <w:sz w:val="11"/>
          <w:szCs w:val="11"/>
          <w:color w:val="auto"/>
        </w:rPr>
      </w:pPr>
    </w:p>
    <w:p>
      <w:pPr>
        <w:ind w:left="1040" w:right="461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SFAS 123(R) establishes standards for the accounting for transactions in which an entity exchanges its equity instruments for goods or services; focuses primarily on accounting for transactions in which an entity obtains employee and directors services in share-based payment transactions; and does not change the accounting guidance for share-based payment transactions with parties other than employees.</w:t>
      </w:r>
    </w:p>
    <w:p>
      <w:pPr>
        <w:spacing w:after="0" w:line="141" w:lineRule="exact"/>
        <w:rPr>
          <w:rFonts w:ascii="Courier New" w:cs="Courier New" w:eastAsia="Courier New" w:hAnsi="Courier New"/>
          <w:sz w:val="11"/>
          <w:szCs w:val="11"/>
          <w:color w:val="auto"/>
        </w:rPr>
      </w:pPr>
    </w:p>
    <w:p>
      <w:pPr>
        <w:ind w:left="1040" w:right="469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SFAS 123(R) eliminates the alternative to use APB 25's intrinsic value method of accounting that was provided in SFAS 123 as originally issued and requires measuring the cost of employee services received in exchange for an award of equity instruments based on the grant-date fair value of the award. The fair-value-based method in this Statement is similar to the fair-value-based method in SFAS 123 in most respects. The costs associated with the awards will be recognized over the period during which an employee is required to provide services in exchange for the award - the requisite service period (usually the vesting period).</w:t>
      </w:r>
    </w:p>
    <w:p>
      <w:pPr>
        <w:spacing w:after="0" w:line="144" w:lineRule="exact"/>
        <w:rPr>
          <w:rFonts w:ascii="Courier New" w:cs="Courier New" w:eastAsia="Courier New" w:hAnsi="Courier New"/>
          <w:sz w:val="11"/>
          <w:szCs w:val="11"/>
          <w:color w:val="auto"/>
        </w:rPr>
      </w:pPr>
    </w:p>
    <w:p>
      <w:pPr>
        <w:ind w:left="1040" w:right="469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grant-date fair value of employee share options and similar instruments will be estimated using option-pricing models adjusted for the unique characteristics of those instruments (unless observable market prices for the same or similar instruments are available). If an equity award is modified after the grant date, incremental compensation cost will be recognized in an amount equal to the excess of the fair value of the modified award over the fair value of the original award immediately before the modification.</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INITIAL ADOPTION OF NEW PRONOUNCEMENTS BY THE FASB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SFAS NO. 123 (REVISED 2004) "SHARE BASED PAYMENTS" (CONT.)</w:t>
      </w:r>
    </w:p>
    <w:p>
      <w:pPr>
        <w:spacing w:after="0" w:line="138" w:lineRule="exact"/>
        <w:rPr>
          <w:rFonts w:ascii="Courier New" w:cs="Courier New" w:eastAsia="Courier New" w:hAnsi="Courier New"/>
          <w:sz w:val="12"/>
          <w:szCs w:val="12"/>
          <w:color w:val="auto"/>
        </w:rPr>
      </w:pPr>
    </w:p>
    <w:p>
      <w:pPr>
        <w:ind w:left="104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provisions of SFAS 123(R) apply to all awards to be granted by the Company on or after January 1, 2006 and to awards modified, repurchased, or cancelled after that date. When initially applying the provisions of SFAS 123(R), in the first quarter of 2006, the Company was required to elect between using either the "modified prospective method" or the "modified retrospective method". Under the modified prospective method, the</w:t>
      </w:r>
    </w:p>
    <w:p>
      <w:pPr>
        <w:sectPr>
          <w:pgSz w:w="11900" w:h="16838" w:orient="portrait"/>
          <w:cols w:equalWidth="0" w:num="1">
            <w:col w:w="10239"/>
          </w:cols>
          <w:pgMar w:left="220" w:top="272" w:right="1440" w:bottom="0" w:gutter="0" w:footer="0" w:header="0"/>
        </w:sectPr>
      </w:pPr>
    </w:p>
    <w:bookmarkStart w:id="36" w:name="page37"/>
    <w:bookmarkEnd w:id="36"/>
    <w:p>
      <w:pPr>
        <w:ind w:left="1040"/>
        <w:spacing w:after="0"/>
        <w:rPr>
          <w:sz w:val="20"/>
          <w:szCs w:val="20"/>
          <w:color w:val="auto"/>
        </w:rPr>
      </w:pPr>
      <w:r>
        <w:rPr>
          <w:rFonts w:ascii="Courier New" w:cs="Courier New" w:eastAsia="Courier New" w:hAnsi="Courier New"/>
          <w:sz w:val="11"/>
          <w:szCs w:val="11"/>
          <w:color w:val="auto"/>
        </w:rPr>
        <w:t>Company is required to recognize compensation cost for all awards</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granted after the adoption of SFAS 123(R) and for the unvested</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portion of previously granted awards that are outstanding on that</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date. Under the modified retrospective method, the Company is</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required to restate its previously issued financial statements to</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recognize the amounts previously calculated and reported on a pro</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forma basis, as if the original provisions of SFAS 123(R) had</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been adopted. Under both methods, it is permitted to use either a</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straight line or an accelerated method to amortize the cost as an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expense for awards with graded vesting. The Company elected the</w:t>
      </w:r>
    </w:p>
    <w:p>
      <w:pPr>
        <w:ind w:left="1040"/>
        <w:spacing w:after="0"/>
        <w:rPr>
          <w:sz w:val="20"/>
          <w:szCs w:val="20"/>
          <w:color w:val="auto"/>
        </w:rPr>
      </w:pPr>
      <w:r>
        <w:rPr>
          <w:rFonts w:ascii="Courier New" w:cs="Courier New" w:eastAsia="Courier New" w:hAnsi="Courier New"/>
          <w:sz w:val="12"/>
          <w:szCs w:val="12"/>
          <w:color w:val="auto"/>
        </w:rPr>
        <w:t>modified prospective method using graded vesting amortization.</w:t>
      </w:r>
    </w:p>
    <w:p>
      <w:pPr>
        <w:spacing w:after="0" w:line="138" w:lineRule="exact"/>
        <w:rPr>
          <w:sz w:val="20"/>
          <w:szCs w:val="20"/>
          <w:color w:val="auto"/>
        </w:rPr>
      </w:pPr>
    </w:p>
    <w:p>
      <w:pPr>
        <w:ind w:left="1040" w:right="4619" w:hanging="345"/>
        <w:spacing w:after="0" w:line="238" w:lineRule="auto"/>
        <w:tabs>
          <w:tab w:leader="none" w:pos="1040" w:val="left"/>
        </w:tabs>
        <w:numPr>
          <w:ilvl w:val="0"/>
          <w:numId w:val="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SFAS 153, EXCHANGE OF NON-MONETARY ASSETS - In December 2004, the FASB issued SFAS No. 153, "Exchanges of Nonmonetary Assets an amendment of APB No. 29". This Statement amends Opinion 29 to eliminate the exception for nonmonetary exchanges of similar productive assets and replaces it with a general exception for exchanges of nonmonetary assets that do not have commercial substance. The Statement specifies that a nonmonetary exchange has commercial substance if the future cash flows of the entity are expected to change significantly as a result of the exchange. This Statement is effective for nonmonetary asset exchanges occurring in fiscal periods beginning after June 15, 2005. Retroactive application is not permitted. The adoption of this Standard does not affect the Company's financial position or results of operations.</w:t>
      </w:r>
    </w:p>
    <w:p>
      <w:pPr>
        <w:spacing w:after="0" w:line="139" w:lineRule="exact"/>
        <w:rPr>
          <w:rFonts w:ascii="Courier New" w:cs="Courier New" w:eastAsia="Courier New" w:hAnsi="Courier New"/>
          <w:sz w:val="12"/>
          <w:szCs w:val="12"/>
          <w:color w:val="auto"/>
        </w:rPr>
      </w:pPr>
    </w:p>
    <w:p>
      <w:pPr>
        <w:ind w:left="1040" w:right="4619" w:hanging="345"/>
        <w:spacing w:after="0" w:line="261" w:lineRule="auto"/>
        <w:tabs>
          <w:tab w:leader="none" w:pos="1040" w:val="left"/>
        </w:tabs>
        <w:numPr>
          <w:ilvl w:val="0"/>
          <w:numId w:val="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SFAS NO. 154, ACCOUNTING CHANGES AND ERROR CORRECTIONS - This Statement, published in May 2005, replaces APB Opinion No. 20, Accounting Changes, and FASB Statement No. 3, Reporting Accounting Changes in Interim Financial Statements, and changes the requirements for the accounting for and reporting of a change in accounting principles. This Statement applies to all voluntary changes in accounting principles, and to changes required by an accounting pronouncement in the unusual instance that the pronouncement does not include specific transition provisions.</w:t>
      </w:r>
    </w:p>
    <w:p>
      <w:pPr>
        <w:spacing w:after="0" w:line="26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FASB (cont.)</w:t>
      </w:r>
    </w:p>
    <w:p>
      <w:pPr>
        <w:spacing w:after="0" w:line="138" w:lineRule="exact"/>
        <w:rPr>
          <w:rFonts w:ascii="Courier New" w:cs="Courier New" w:eastAsia="Courier New" w:hAnsi="Courier New"/>
          <w:sz w:val="12"/>
          <w:szCs w:val="12"/>
          <w:color w:val="auto"/>
        </w:rPr>
      </w:pPr>
    </w:p>
    <w:p>
      <w:pPr>
        <w:ind w:left="1040" w:right="4619" w:hanging="345"/>
        <w:spacing w:after="0" w:line="260" w:lineRule="auto"/>
        <w:tabs>
          <w:tab w:leader="none" w:pos="1040" w:val="left"/>
        </w:tabs>
        <w:numPr>
          <w:ilvl w:val="1"/>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SFAS NO. 155. ACCOUNTING FOR CERTAIN HYBRID FINANCIAL INSTRUMENTS - In February 2006, the FASB issued SFAS 155, "Accounting for Certain Hybrid Financial Instruments". Key provisions of SFAS 155 include: (1) a broad fair value measurement option for certain hybrid financial instruments that contain an embedded derivative that would otherwise require bifurcation; (2) clarification that only the simplest separations of interest payments and principal payments qualify for the exception afforded to interest-only strips and principal-only strips from derivative accounting under paragraph 14 of FAS 133 (thereby narrowing such exception); (3) a requirement that beneficial interests in securitized financial assets be analyzed to determine whether they are freestanding derivatives or whether they are hybrid instruments that contain embedded derivatives requiring bifurcation; (4) clarification that concentrations of credit risk in the form of subordination are not embedded derivatives; and (5) elimination of the prohibition on a QSPE holding passive derivative financial instruments that pertain to beneficial interests that are or contain a derivative financial instrument. In general, these changes will reduce the operational complexity associated with bifurcating embedded derivatives, and increase the number of beneficial interests in securitization transactions, including interest-only strips and principal-only strips, required to be accounted for in accordance with FAS 133. Management does not believe that SFAS 155 will have a material effect on the financial condition, results of operations, or liquidity of the Company.</w:t>
      </w:r>
    </w:p>
    <w:p>
      <w:pPr>
        <w:spacing w:after="0" w:line="200" w:lineRule="exact"/>
        <w:rPr>
          <w:rFonts w:ascii="Courier New" w:cs="Courier New" w:eastAsia="Courier New" w:hAnsi="Courier New"/>
          <w:sz w:val="11"/>
          <w:szCs w:val="11"/>
          <w:color w:val="auto"/>
        </w:rPr>
      </w:pPr>
    </w:p>
    <w:p>
      <w:pPr>
        <w:spacing w:after="0" w:line="208" w:lineRule="exact"/>
        <w:rPr>
          <w:rFonts w:ascii="Courier New" w:cs="Courier New" w:eastAsia="Courier New" w:hAnsi="Courier New"/>
          <w:sz w:val="11"/>
          <w:szCs w:val="11"/>
          <w:color w:val="auto"/>
        </w:rPr>
      </w:pPr>
    </w:p>
    <w:p>
      <w:pPr>
        <w:ind w:left="1040" w:right="4619" w:hanging="345"/>
        <w:spacing w:after="0" w:line="261" w:lineRule="auto"/>
        <w:tabs>
          <w:tab w:leader="none" w:pos="1040" w:val="left"/>
        </w:tabs>
        <w:numPr>
          <w:ilvl w:val="1"/>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FIN NO. 48. ACCOUNTING FOR UNCERTAINTY IN INCOME TAXES - On July 13, 2006, the FASB issued Interpretation No. 48, "Accounting for Uncertainty in Income Taxes - an interpretation of FASB Statement No. 109" ("FIN 48"), which clarifies the accounting for uncertainty in tax positions. This Interpretation requires recognition in the financial statements of the impact of a tax position, if that position is more likely than not of being sustained on audit, based on the technical merits of the position. The provisions of FIN 48 are effective for the 2007 fiscal year with the cumulative effect of the change in accounting principle recorded as an adjustment to opening balance of retained earnings. Management does not believe that FIN 48 will have a material effect on the financial condition, results of operations, or liquidity of the Company.</w:t>
      </w:r>
    </w:p>
    <w:p>
      <w:pPr>
        <w:spacing w:after="0" w:line="264" w:lineRule="exact"/>
        <w:rPr>
          <w:rFonts w:ascii="Courier New" w:cs="Courier New" w:eastAsia="Courier New" w:hAnsi="Courier New"/>
          <w:sz w:val="11"/>
          <w:szCs w:val="11"/>
          <w:color w:val="auto"/>
        </w:rPr>
      </w:pPr>
    </w:p>
    <w:p>
      <w:pPr>
        <w:ind w:left="1040" w:right="4619" w:hanging="345"/>
        <w:spacing w:after="0" w:line="238" w:lineRule="auto"/>
        <w:tabs>
          <w:tab w:leader="none" w:pos="1040" w:val="left"/>
        </w:tabs>
        <w:numPr>
          <w:ilvl w:val="1"/>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SFAS NO. 157. FAIR VALUE MEASUREMENT - In September 2006, the FASB issued SFAS No. 157, "Fair Value Measurements." SFAS No. 157 requires companies to disclose the fair value of their financial instruments according to a fair value hierarchy as defined in the standard. Additionally, companies are required to provide enhanced disclosure regarding financial instruments in one of the categories (level 3), including a reconciliation of the beginning and ending balances separately for each major category of assets and liabilities. SFAS No. 157 is effective for financial statements issued for fiscal years beginning after November 15, 2007, and interim periods within those fiscal years. The Company's management believes that the adoption of SFAS No. 157 will not have a material impact on the Company's consolidated financial statements.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9" w:lineRule="exact"/>
        <w:rPr>
          <w:sz w:val="20"/>
          <w:szCs w:val="20"/>
          <w:color w:val="auto"/>
        </w:rPr>
      </w:pPr>
    </w:p>
    <w:p>
      <w:pPr>
        <w:ind w:left="700" w:right="5119" w:hanging="357"/>
        <w:spacing w:after="0" w:line="235" w:lineRule="auto"/>
        <w:tabs>
          <w:tab w:leader="none" w:pos="700"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DESIGNATED CASH AND SHORT-TERM INTEREST-BEARING DEPOSITS</w:t>
      </w:r>
    </w:p>
    <w:p>
      <w:pPr>
        <w:sectPr>
          <w:pgSz w:w="11900" w:h="16838" w:orient="portrait"/>
          <w:cols w:equalWidth="0" w:num="1">
            <w:col w:w="10239"/>
          </w:cols>
          <w:pgMar w:left="220" w:top="141" w:right="1440" w:bottom="0" w:gutter="0" w:footer="0" w:header="0"/>
        </w:sectPr>
      </w:pPr>
    </w:p>
    <w:bookmarkStart w:id="37" w:name="page38"/>
    <w:bookmarkEnd w:id="37"/>
    <w:p>
      <w:pPr>
        <w:ind w:left="700"/>
        <w:spacing w:after="0"/>
        <w:rPr>
          <w:sz w:val="20"/>
          <w:szCs w:val="20"/>
          <w:color w:val="auto"/>
        </w:rPr>
      </w:pPr>
      <w:r>
        <w:rPr>
          <w:rFonts w:ascii="Courier New" w:cs="Courier New" w:eastAsia="Courier New" w:hAnsi="Courier New"/>
          <w:sz w:val="12"/>
          <w:szCs w:val="12"/>
          <w:color w:val="auto"/>
        </w:rPr>
        <w:t>In accordance with U.S. GAAP, the Company's designated cash and</w:t>
      </w:r>
    </w:p>
    <w:p>
      <w:pPr>
        <w:ind w:left="700"/>
        <w:spacing w:after="0"/>
        <w:rPr>
          <w:sz w:val="20"/>
          <w:szCs w:val="20"/>
          <w:color w:val="auto"/>
        </w:rPr>
      </w:pPr>
      <w:r>
        <w:rPr>
          <w:rFonts w:ascii="Courier New" w:cs="Courier New" w:eastAsia="Courier New" w:hAnsi="Courier New"/>
          <w:sz w:val="12"/>
          <w:szCs w:val="12"/>
          <w:color w:val="auto"/>
        </w:rPr>
        <w:t>short-term interest bearing deposits should be excluded from current</w:t>
      </w:r>
    </w:p>
    <w:p>
      <w:pPr>
        <w:ind w:left="700"/>
        <w:spacing w:after="0" w:line="237" w:lineRule="auto"/>
        <w:rPr>
          <w:sz w:val="20"/>
          <w:szCs w:val="20"/>
          <w:color w:val="auto"/>
        </w:rPr>
      </w:pPr>
      <w:r>
        <w:rPr>
          <w:rFonts w:ascii="Courier New" w:cs="Courier New" w:eastAsia="Courier New" w:hAnsi="Courier New"/>
          <w:sz w:val="12"/>
          <w:szCs w:val="12"/>
          <w:color w:val="auto"/>
        </w:rPr>
        <w:t>assets and presented separately as a non-current asset. Accordingly,</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as of December 31, 2005, $31,661 was reclassified from current assets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to a long-term asset.</w:t>
      </w:r>
    </w:p>
    <w:p>
      <w:pPr>
        <w:spacing w:after="0" w:line="134" w:lineRule="exact"/>
        <w:rPr>
          <w:sz w:val="20"/>
          <w:szCs w:val="20"/>
          <w:color w:val="auto"/>
        </w:rPr>
      </w:pPr>
    </w:p>
    <w:p>
      <w:pPr>
        <w:ind w:left="700" w:hanging="357"/>
        <w:spacing w:after="0"/>
        <w:tabs>
          <w:tab w:leader="none" w:pos="700"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NET LONG-TERM LIABILITIES IN RESPECT OF EMPLOYEES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assets and liabilities relating to severance arrangements are to be presented separately and are not to be offset, while according to Israeli GAAP such an offset is required. Accordingly, as of December 31, 2006 an amount of $13,535 was reclassified from other long-term liabilities to long-term investments (as of December 31, 2005 - $13,658).</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 IN ACCORDANCE WITH U.S. GAAP (SFAS 133)</w:t>
      </w:r>
    </w:p>
    <w:p>
      <w:pPr>
        <w:spacing w:after="0" w:line="138" w:lineRule="exact"/>
        <w:rPr>
          <w:rFonts w:ascii="Courier New" w:cs="Courier New" w:eastAsia="Courier New" w:hAnsi="Courier New"/>
          <w:sz w:val="12"/>
          <w:szCs w:val="12"/>
          <w:color w:val="auto"/>
        </w:rPr>
      </w:pPr>
    </w:p>
    <w:p>
      <w:pPr>
        <w:ind w:left="1040" w:right="4759" w:hanging="345"/>
        <w:spacing w:after="0" w:line="237" w:lineRule="auto"/>
        <w:tabs>
          <w:tab w:leader="none" w:pos="1040" w:val="left"/>
        </w:tabs>
        <w:numPr>
          <w:ilvl w:val="1"/>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2001, the Company adopted SFAS No. 133, "Accounting for Derivative Instruments and Hedging Activities" and the related statements and interpretations thereon (collectively, "SFAS 133"). A derivative is typically defined as an instrument whose value is derived from an underlying instrument, index or rate, has a notional amount, requires no or little initial investment and can be net settled.</w:t>
      </w:r>
    </w:p>
    <w:p>
      <w:pPr>
        <w:spacing w:after="0" w:line="141" w:lineRule="exact"/>
        <w:rPr>
          <w:rFonts w:ascii="Courier New" w:cs="Courier New" w:eastAsia="Courier New" w:hAnsi="Courier New"/>
          <w:sz w:val="12"/>
          <w:szCs w:val="12"/>
          <w:color w:val="auto"/>
        </w:rPr>
      </w:pPr>
    </w:p>
    <w:p>
      <w:pPr>
        <w:ind w:left="104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SFAS 133 requires that all derivatives be recorded in the financial statements at their fair value at the date of the financial statements. The changes in the fair value of the derivatives are charged to the statement of operations or to other comprehensive income, as appropriate in the circumstances. The Company's derivatives consist mainly of foreign currency forward transactions and options and interest rate instruments (collars).</w:t>
      </w:r>
    </w:p>
    <w:p>
      <w:pPr>
        <w:spacing w:after="0" w:line="142" w:lineRule="exact"/>
        <w:rPr>
          <w:rFonts w:ascii="Courier New" w:cs="Courier New" w:eastAsia="Courier New" w:hAnsi="Courier New"/>
          <w:sz w:val="12"/>
          <w:szCs w:val="12"/>
          <w:color w:val="auto"/>
        </w:rPr>
      </w:pPr>
    </w:p>
    <w:p>
      <w:pPr>
        <w:ind w:left="1040" w:right="4619" w:hanging="345"/>
        <w:spacing w:after="0" w:line="238" w:lineRule="auto"/>
        <w:tabs>
          <w:tab w:leader="none" w:pos="1040" w:val="left"/>
        </w:tabs>
        <w:numPr>
          <w:ilvl w:val="1"/>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uses foreign exchange agreements (forward contracts and options) to hedge its foreign currency exposure in anticipated equipment purchases denominated in foreign currency. All foreign exchange agreements are with underlying terms that match or approximate the hedged transactions and thus are highly effective. The Company measures the effectiveness of the forward hedge contracts based on forward rates. The Company assesses and measures the effectiveness of the options hedge, at inception and throughout the hedge, based on total changes in cash flows. All changes in fair value are reported in other comprehensive income. The amounts accumulated in other comprehensive income are expensed to results of operations concurrent with the recognition of depreciation expenses on the equipment. As of December 31, 2006 and 2005, the Company had no outstanding foreign exchange agreements.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 IN ACCORDANCE WITH U.S. GAAP (SFAS 133)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w:t>
      </w:r>
    </w:p>
    <w:p>
      <w:pPr>
        <w:spacing w:after="0" w:line="138" w:lineRule="exact"/>
        <w:rPr>
          <w:rFonts w:ascii="Courier New" w:cs="Courier New" w:eastAsia="Courier New" w:hAnsi="Courier New"/>
          <w:sz w:val="12"/>
          <w:szCs w:val="12"/>
          <w:color w:val="auto"/>
        </w:rPr>
      </w:pPr>
    </w:p>
    <w:p>
      <w:pPr>
        <w:ind w:left="104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uses interest rate collars with a knock-out and knock-in features to hedge its LIBOR-based variable long-term debt cash flow exposure. The knock-out feature was set above the cap level and the knock-in feature was set below the floor level. The Company determined that the probability that the cap will be knocked-out is remote and thus expected that the hedge will be highly effective. The Company assessed and measured the effectiveness of the hedge, at inception and throughout the hedge, based on total changes in cash flows of the collar, and reported changes in fair value in other comprehensive income. Amounts presented in other comprehensive income are reclassified to operations or capitalized to property and equipment, as applicable (see Note 2M), as interest payment become due. For outstanding contracts as of December 31, 2006 and 2005, see Note 17C.</w:t>
      </w:r>
    </w:p>
    <w:p>
      <w:pPr>
        <w:spacing w:after="0" w:line="139" w:lineRule="exact"/>
        <w:rPr>
          <w:rFonts w:ascii="Courier New" w:cs="Courier New" w:eastAsia="Courier New" w:hAnsi="Courier New"/>
          <w:sz w:val="12"/>
          <w:szCs w:val="12"/>
          <w:color w:val="auto"/>
        </w:rPr>
      </w:pPr>
    </w:p>
    <w:p>
      <w:pPr>
        <w:ind w:left="1040" w:right="4699" w:hanging="345"/>
        <w:spacing w:after="0" w:line="237" w:lineRule="auto"/>
        <w:tabs>
          <w:tab w:leader="none" w:pos="1040" w:val="left"/>
        </w:tabs>
        <w:numPr>
          <w:ilvl w:val="1"/>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commencement of operations of Fab 2 during 2003, $6,641 of the aggregate comprehensive loss as of June 30, 2003, which is attributable to property and equipment, is amortized on a straight-line method over five years, in correspondence to the estimated economic lives commonly used in the industry of the machinery and equipment.</w:t>
      </w:r>
    </w:p>
    <w:p>
      <w:pPr>
        <w:spacing w:after="0" w:line="140" w:lineRule="exact"/>
        <w:rPr>
          <w:rFonts w:ascii="Courier New" w:cs="Courier New" w:eastAsia="Courier New" w:hAnsi="Courier New"/>
          <w:sz w:val="12"/>
          <w:szCs w:val="12"/>
          <w:color w:val="auto"/>
        </w:rPr>
      </w:pPr>
    </w:p>
    <w:p>
      <w:pPr>
        <w:ind w:left="1040" w:right="4699" w:hanging="345"/>
        <w:spacing w:after="0" w:line="237" w:lineRule="auto"/>
        <w:tabs>
          <w:tab w:leader="none" w:pos="1040" w:val="left"/>
        </w:tabs>
        <w:numPr>
          <w:ilvl w:val="1"/>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133 with respect to the Company's hedging transactions as of December 31, 2006 would have resulted in: an increase in other long-term investments in the amount of $1,790; a decrease (for U.S. GAAP purposes only) in other comprehensive loss for the year ended December 31, 2006 in the net amount of $1,351; an accumulated other comprehensive loss component of equity balance as of such date in the amount of $203; and in a decrease of $1,993 in property and equipment, net as of December 31, 2006.</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IMPLEMENTATION OF SFAS 123 AND SFAS 148</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Had compensation cost for the Company's share option plans been determined based on fair value at the grant dates for awards made through December 31, 2005 in accordance with SFAS 123, as amended by SFAS 148, the Company's pro forma loss and loss per share would have been as follows (for further information with regard to the Company's share option plans and the assumptions for utilizing the Black-Scholes pricing model, see Note 12B(4)):</w:t>
      </w:r>
    </w:p>
    <w:p>
      <w:pPr>
        <w:spacing w:after="0" w:line="137"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Year ended December 31,</w:t>
      </w:r>
    </w:p>
    <w:p>
      <w:pPr>
        <w:ind w:left="3500"/>
        <w:spacing w:after="0"/>
        <w:rPr>
          <w:sz w:val="20"/>
          <w:szCs w:val="20"/>
          <w:color w:val="auto"/>
        </w:rPr>
      </w:pPr>
      <w:r>
        <w:rPr>
          <w:rFonts w:ascii="Courier New" w:cs="Courier New" w:eastAsia="Courier New" w:hAnsi="Courier New"/>
          <w:sz w:val="12"/>
          <w:szCs w:val="12"/>
          <w:color w:val="auto"/>
        </w:rPr>
        <w:t>--------------------------</w:t>
      </w:r>
    </w:p>
    <w:p>
      <w:pPr>
        <w:ind w:left="3720"/>
        <w:spacing w:after="0" w:line="237" w:lineRule="auto"/>
        <w:tabs>
          <w:tab w:leader="none" w:pos="4880" w:val="left"/>
        </w:tabs>
        <w:rPr>
          <w:sz w:val="20"/>
          <w:szCs w:val="20"/>
          <w:color w:val="auto"/>
        </w:rPr>
      </w:pPr>
      <w:r>
        <w:rPr>
          <w:rFonts w:ascii="Courier New" w:cs="Courier New" w:eastAsia="Courier New" w:hAnsi="Courier New"/>
          <w:sz w:val="12"/>
          <w:szCs w:val="12"/>
          <w:color w:val="auto"/>
        </w:rPr>
        <w:t>2005</w:t>
      </w:r>
      <w:r>
        <w:rPr>
          <w:sz w:val="20"/>
          <w:szCs w:val="20"/>
          <w:color w:val="auto"/>
        </w:rPr>
        <w:tab/>
      </w:r>
      <w:r>
        <w:rPr>
          <w:rFonts w:ascii="Courier New" w:cs="Courier New" w:eastAsia="Courier New" w:hAnsi="Courier New"/>
          <w:sz w:val="12"/>
          <w:szCs w:val="12"/>
          <w:color w:val="auto"/>
        </w:rPr>
        <w:t>2004</w:t>
      </w:r>
    </w:p>
    <w:p>
      <w:pPr>
        <w:sectPr>
          <w:pgSz w:w="11900" w:h="16838" w:orient="portrait"/>
          <w:cols w:equalWidth="0" w:num="1">
            <w:col w:w="10239"/>
          </w:cols>
          <w:pgMar w:left="220" w:top="137" w:right="1440"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36"/>
        </w:trPr>
        <w:tc>
          <w:tcPr>
            <w:tcW w:w="326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260" w:type="dxa"/>
            <w:vAlign w:val="bottom"/>
          </w:tcPr>
          <w:p>
            <w:pPr>
              <w:spacing w:after="0"/>
              <w:rPr>
                <w:sz w:val="20"/>
                <w:szCs w:val="20"/>
                <w:color w:val="auto"/>
              </w:rPr>
            </w:pPr>
            <w:r>
              <w:rPr>
                <w:rFonts w:ascii="Courier New" w:cs="Courier New" w:eastAsia="Courier New" w:hAnsi="Courier New"/>
                <w:sz w:val="12"/>
                <w:szCs w:val="12"/>
                <w:color w:val="auto"/>
              </w:rPr>
              <w:t>PRO FORMA LOSS</w:t>
            </w: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Loss for the year, as reported according to</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U.S. GAAP (see K below)</w:t>
            </w:r>
          </w:p>
        </w:tc>
        <w:tc>
          <w:tcPr>
            <w:tcW w:w="12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$(203,082)</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$(137,768)</w:t>
            </w: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Add - stock-based compensation</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determined under SFAS 123</w:t>
            </w:r>
          </w:p>
        </w:tc>
        <w:tc>
          <w:tcPr>
            <w:tcW w:w="38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(4,229)</w:t>
            </w: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(3,980)</w:t>
            </w:r>
          </w:p>
        </w:tc>
      </w:tr>
      <w:tr>
        <w:trPr>
          <w:trHeight w:val="135"/>
        </w:trPr>
        <w:tc>
          <w:tcPr>
            <w:tcW w:w="326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Pro forma loss</w:t>
            </w:r>
          </w:p>
        </w:tc>
        <w:tc>
          <w:tcPr>
            <w:tcW w:w="12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$(207,311)</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$(141,748)</w:t>
            </w:r>
          </w:p>
        </w:tc>
      </w:tr>
      <w:tr>
        <w:trPr>
          <w:trHeight w:val="135"/>
        </w:trPr>
        <w:tc>
          <w:tcPr>
            <w:tcW w:w="326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26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As reported according to U.S.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260" w:type="dxa"/>
            <w:vAlign w:val="bottom"/>
          </w:tcPr>
          <w:p>
            <w:pPr>
              <w:spacing w:after="0"/>
              <w:rPr>
                <w:sz w:val="20"/>
                <w:szCs w:val="20"/>
                <w:color w:val="auto"/>
              </w:rPr>
            </w:pPr>
            <w:r>
              <w:rPr>
                <w:rFonts w:ascii="Courier New" w:cs="Courier New" w:eastAsia="Courier New" w:hAnsi="Courier New"/>
                <w:sz w:val="12"/>
                <w:szCs w:val="12"/>
                <w:color w:val="auto"/>
              </w:rPr>
              <w:t>GAAP (see M below)</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(3.06)</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(2.13)</w:t>
            </w:r>
          </w:p>
        </w:tc>
      </w:tr>
      <w:tr>
        <w:trPr>
          <w:trHeight w:val="135"/>
        </w:trPr>
        <w:tc>
          <w:tcPr>
            <w:tcW w:w="326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260" w:type="dxa"/>
            <w:vAlign w:val="bottom"/>
          </w:tcPr>
          <w:p>
            <w:pPr>
              <w:spacing w:after="0"/>
              <w:rPr>
                <w:sz w:val="20"/>
                <w:szCs w:val="20"/>
                <w:color w:val="auto"/>
              </w:rPr>
            </w:pPr>
            <w:r>
              <w:rPr>
                <w:rFonts w:ascii="Courier New" w:cs="Courier New" w:eastAsia="Courier New" w:hAnsi="Courier New"/>
                <w:sz w:val="12"/>
                <w:szCs w:val="12"/>
                <w:color w:val="auto"/>
              </w:rPr>
              <w:t>Pro forma</w:t>
            </w:r>
          </w:p>
        </w:tc>
        <w:tc>
          <w:tcPr>
            <w:tcW w:w="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(3.12)</w:t>
            </w:r>
          </w:p>
        </w:tc>
        <w:tc>
          <w:tcPr>
            <w:tcW w:w="3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(2.19)</w:t>
            </w:r>
          </w:p>
        </w:tc>
      </w:tr>
      <w:tr>
        <w:trPr>
          <w:trHeight w:val="135"/>
        </w:trPr>
        <w:tc>
          <w:tcPr>
            <w:tcW w:w="3260" w:type="dxa"/>
            <w:vAlign w:val="bottom"/>
          </w:tcPr>
          <w:p>
            <w:pPr>
              <w:spacing w:after="0"/>
              <w:rPr>
                <w:sz w:val="11"/>
                <w:szCs w:val="11"/>
                <w:color w:val="auto"/>
              </w:rPr>
            </w:pPr>
          </w:p>
        </w:tc>
        <w:tc>
          <w:tcPr>
            <w:tcW w:w="120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hanging="357"/>
        <w:spacing w:after="0"/>
        <w:tabs>
          <w:tab w:leader="none" w:pos="700"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CONVERTIBLE DEBENTURES</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Accounting Principles Board Opinion No. 14 ("APB 14"), the proceeds from the sale of the securities in January 2002 are to be allocated to each of the securities issued based on their relative fair value, while according to Israeli GAAP such treatment was not required. Complying with APB 14, based on the average market value of each of the components issued in the first three days following their issuance (in January 2002), would have resulted in an increase in shareholders' equity as of the issuance date in the amount of $2,363 (net of $196 related issuance expenses), and a decrease in convertible debentures as of such date in the amount of $2,559. The additional accumulated effect of amortization of the discount on the convertible debentures under U.S.GAAP as of December 31, 2006 would have been $1,142. Commencing with the adoption of Standard No. 22 in January 2006, allocation of proceeds in a unit, to its components, is based on relative fair values under Israeli GAAP as well as under U.S. GAAP.</w:t>
      </w:r>
    </w:p>
    <w:p>
      <w:pPr>
        <w:spacing w:after="0" w:line="26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CONVERTIBLE DEBENTURES (Cont.)</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convertible debentures have to be evaluated to determine if they contain embedded derivative that warrant bifurcation. Conversion feature embedded in convertible debentures will need to be evaluated as to whether they can be classified as equity based on the criteria established in EITF Issue 00-19 and 05-2. The Company evaluated the conversion features embedded in its debentures (i.e., sale of convertible debentures in 2002 - "2002 debentures", sale of convertible debentures in 2005 "2005 debentures" and sale of convertible debentures in 2006 "2006 debentures") and concluded that the conversion feature embedded in the 2005 and 2006 debentures warrant bifurcation while the conversion feature embedded in the 2002 debentures is scoped out (for the discussion on the accounting for the debentures under Israeli GAAP see Note 2H.</w:t>
      </w:r>
    </w:p>
    <w:p>
      <w:pPr>
        <w:spacing w:after="0" w:line="260"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2002 DEBENTURES:</w:t>
      </w:r>
    </w:p>
    <w:p>
      <w:pPr>
        <w:spacing w:after="0" w:line="138" w:lineRule="exact"/>
        <w:rPr>
          <w:rFonts w:ascii="Courier New" w:cs="Courier New" w:eastAsia="Courier New" w:hAnsi="Courier New"/>
          <w:sz w:val="12"/>
          <w:szCs w:val="12"/>
          <w:color w:val="auto"/>
        </w:rPr>
      </w:pPr>
    </w:p>
    <w:p>
      <w:pPr>
        <w:ind w:left="700" w:right="46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the equity component, in the amount of $1,681, classified in equity under Israeli GAAP was reclassified to liability.</w:t>
      </w:r>
    </w:p>
    <w:p>
      <w:pPr>
        <w:spacing w:after="0" w:line="117"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2005 DEBENTURES: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equity component, in the amount of $12,520 classified as equity under Israeli GAAP was reclassified to liability and the conversion feature was bifurcated from the debt host and marked to market through earnings. The initial amount allocated to the bifurcated conversion feature was determined using the "with and without" method based on the fair value of the embedded derivative prescribed in DIG Issue B6.</w:t>
      </w:r>
    </w:p>
    <w:p>
      <w:pPr>
        <w:spacing w:after="0" w:line="136"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2006 DEBENTURES:</w:t>
      </w:r>
    </w:p>
    <w:p>
      <w:pPr>
        <w:spacing w:after="0" w:line="138" w:lineRule="exact"/>
        <w:rPr>
          <w:rFonts w:ascii="Courier New" w:cs="Courier New" w:eastAsia="Courier New" w:hAnsi="Courier New"/>
          <w:sz w:val="12"/>
          <w:szCs w:val="12"/>
          <w:color w:val="auto"/>
        </w:rPr>
      </w:pPr>
    </w:p>
    <w:p>
      <w:pPr>
        <w:ind w:left="70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the equity component, in the amount of $6,018, classified in equity under Israeli GAAP was reclassified to liability. The conversion feature was bifurcated from the debt host and marked to market through earnings. The amount allocated to the bifurcated conversion feature was determined using the "with and without" method.</w:t>
      </w:r>
    </w:p>
    <w:p>
      <w:pPr>
        <w:spacing w:after="0" w:line="127" w:lineRule="exact"/>
        <w:rPr>
          <w:rFonts w:ascii="Courier New" w:cs="Courier New" w:eastAsia="Courier New" w:hAnsi="Courier New"/>
          <w:sz w:val="12"/>
          <w:szCs w:val="12"/>
          <w:color w:val="auto"/>
        </w:rPr>
      </w:pPr>
    </w:p>
    <w:p>
      <w:pPr>
        <w:ind w:left="70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All the above resulted as of December 31, 2006 mainly in an increase in convertible debentures in the amount of $21,688; a decrease in the shareholder's equity in the amount of $20,876 and an increase in other assets in the amount of $834. The company's loss for the year ended December 31, 2006 would have increased in the amount of $3,973.</w:t>
      </w:r>
    </w:p>
    <w:p>
      <w:pPr>
        <w:spacing w:after="0" w:line="123"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2006 PRIVATE PLACEMENT</w:t>
      </w:r>
    </w:p>
    <w:p>
      <w:pPr>
        <w:spacing w:after="0" w:line="138"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series 5 warrants were initially recorded as liability due to the ratchet provision included in them. Upon registering such warrants the ratchet expired and the series 5 warrants were eligible for equity classification based on the criteria in EITF 00-19. Complying with the above, would have resulted as of December 31, 2006 mainly in a decrease in other long term liabilities and an increase in the shareholder's equity in the amount of $3,088.</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STOCK BASED COMPENSATION</w:t>
      </w:r>
    </w:p>
    <w:p>
      <w:pPr>
        <w:spacing w:after="0" w:line="138"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adopted, effective January 1, 2006, SFAS 123R according to which the compensation expense related to employee and directors share option awards would have been resulted in an increase in the compensations expenses for the year ending December 31, 2006 in the amount of $1,513. The Company elected the modified prospective method as its transition method. The adoption of SFAS 123R for U.S. GAAP</w:t>
      </w:r>
    </w:p>
    <w:p>
      <w:pPr>
        <w:sectPr>
          <w:pgSz w:w="11900" w:h="16838" w:orient="portrait"/>
          <w:cols w:equalWidth="0" w:num="1">
            <w:col w:w="10239"/>
          </w:cols>
          <w:pgMar w:left="220" w:top="137" w:right="1440" w:bottom="0" w:gutter="0" w:footer="0" w:header="0"/>
        </w:sectPr>
      </w:pPr>
    </w:p>
    <w:bookmarkStart w:id="39" w:name="page40"/>
    <w:bookmarkEnd w:id="39"/>
    <w:p>
      <w:pPr>
        <w:ind w:left="700"/>
        <w:spacing w:after="0"/>
        <w:rPr>
          <w:sz w:val="20"/>
          <w:szCs w:val="20"/>
          <w:color w:val="auto"/>
        </w:rPr>
      </w:pPr>
      <w:r>
        <w:rPr>
          <w:rFonts w:ascii="Courier New" w:cs="Courier New" w:eastAsia="Courier New" w:hAnsi="Courier New"/>
          <w:sz w:val="12"/>
          <w:szCs w:val="12"/>
          <w:color w:val="auto"/>
        </w:rPr>
        <w:t>along with the adoption of Standard no. 24 for Israeli GAAP, decreased</w:t>
      </w:r>
    </w:p>
    <w:p>
      <w:pPr>
        <w:ind w:left="700"/>
        <w:spacing w:after="0"/>
        <w:rPr>
          <w:sz w:val="20"/>
          <w:szCs w:val="20"/>
          <w:color w:val="auto"/>
        </w:rPr>
      </w:pPr>
      <w:r>
        <w:rPr>
          <w:rFonts w:ascii="Courier New" w:cs="Courier New" w:eastAsia="Courier New" w:hAnsi="Courier New"/>
          <w:sz w:val="12"/>
          <w:szCs w:val="12"/>
          <w:color w:val="auto"/>
        </w:rPr>
        <w:t>the potential differences between U.S. GAAP and Israeli GAAP as it</w:t>
      </w:r>
    </w:p>
    <w:p>
      <w:pPr>
        <w:ind w:left="700"/>
        <w:spacing w:after="0" w:line="237" w:lineRule="auto"/>
        <w:rPr>
          <w:sz w:val="20"/>
          <w:szCs w:val="20"/>
          <w:color w:val="auto"/>
        </w:rPr>
      </w:pPr>
      <w:r>
        <w:rPr>
          <w:rFonts w:ascii="Courier New" w:cs="Courier New" w:eastAsia="Courier New" w:hAnsi="Courier New"/>
          <w:sz w:val="12"/>
          <w:szCs w:val="12"/>
          <w:color w:val="auto"/>
        </w:rPr>
        <w:t>related to stock based compensation.</w:t>
      </w:r>
    </w:p>
    <w:p>
      <w:pPr>
        <w:spacing w:after="0" w:line="134" w:lineRule="exact"/>
        <w:rPr>
          <w:sz w:val="20"/>
          <w:szCs w:val="20"/>
          <w:color w:val="auto"/>
        </w:rPr>
      </w:pPr>
    </w:p>
    <w:p>
      <w:pPr>
        <w:ind w:left="700" w:hanging="357"/>
        <w:spacing w:after="0"/>
        <w:tabs>
          <w:tab w:leader="none" w:pos="700" w:val="left"/>
        </w:tabs>
        <w:numPr>
          <w:ilvl w:val="0"/>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38" w:lineRule="exact"/>
        <w:rPr>
          <w:rFonts w:ascii="Courier New" w:cs="Courier New" w:eastAsia="Courier New" w:hAnsi="Courier New"/>
          <w:sz w:val="12"/>
          <w:szCs w:val="12"/>
          <w:color w:val="auto"/>
        </w:rPr>
      </w:pPr>
    </w:p>
    <w:p>
      <w:pPr>
        <w:ind w:left="700" w:right="5900"/>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debt modification under the September 2006 Amendment is considered troubled debt restructuring within the scope of FASB No. 15 ACCOUNTING BY DEBTORS AND CREDITORS FOR TROUBLED DEBT RESTRUCTURINGS which requires the following: (i) the amount considered settled for shares and classified in equity is based on the price per share as quoted at the closing date;(ii) the remaining balance after deduction of the amount used as proceeds for the share issuance in 1 above, will remain outstanding;(iii) a new, lower effective interest rate will be calculated as the interest rate that equates future payments to the outstanding balance; and (iv) no gains or losses are recognized in the current period.</w:t>
      </w:r>
    </w:p>
    <w:p>
      <w:pPr>
        <w:spacing w:after="0" w:line="144" w:lineRule="exact"/>
        <w:rPr>
          <w:rFonts w:ascii="Courier New" w:cs="Courier New" w:eastAsia="Courier New" w:hAnsi="Courier New"/>
          <w:sz w:val="12"/>
          <w:szCs w:val="12"/>
          <w:color w:val="auto"/>
        </w:rPr>
      </w:pPr>
    </w:p>
    <w:p>
      <w:pPr>
        <w:ind w:left="700" w:right="5900"/>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the debt modification under the Amendment is considered to include an embedded derivative that should be separately accounted for. The Company considered the obligation to issue shares as agreed with the Banks and determined that it contains two components (i) a contingent component and (ii) an uncontingent component. The contingent component is the obligation to issue shares equal to half of the amount of the Decreased Amount if the Fourth Quarter 2010 Price is less than $3.49. The uncontingent component is the obligation to issue shares equal to half of the Decreased Amount regardless of the Fourth Quarter 2010 Price. The Company accounted for the uncontingent component as an additional interest expense and calculated the effective interest rate to include such expense. The Company treated the uncontingent component as an embedded derivative that needs to be bifurcated and separately accounted for based on fair value. Initial separation of the embedded derivative will be done using the "with and without" method described in DIG Issue B6. Changes in the fair value of the embedded derivative will be included in financing expenses. All the above resulted in a decrease of $75,483 in the shareholders equity for the year ended December 31, 2006 and an increase of the same amount in the long-term loans from the banks as of December 31, 2006.</w:t>
      </w: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- 70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BALANCE SHEETS IN ACCORDANCE WITH U.S. GAAP</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2"/>
                <w:szCs w:val="12"/>
                <w:color w:val="auto"/>
                <w:w w:val="95"/>
              </w:rPr>
              <w:t>AS OF DECEMBER 31, 2006</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6"/>
              </w:rPr>
              <w:t>AS OF DECEMBER 31, 2005</w:t>
            </w:r>
          </w:p>
        </w:tc>
        <w:tc>
          <w:tcPr>
            <w:tcW w:w="28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5"/>
              </w:rPr>
              <w:t>------------------------------------------</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spacing w:after="0"/>
              <w:rPr>
                <w:sz w:val="11"/>
                <w:szCs w:val="11"/>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U.S.</w:t>
            </w:r>
          </w:p>
        </w:tc>
        <w:tc>
          <w:tcPr>
            <w:tcW w:w="32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AS PER</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AS PER</w:t>
            </w:r>
          </w:p>
        </w:tc>
        <w:tc>
          <w:tcPr>
            <w:tcW w:w="34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AS PER</w:t>
            </w:r>
          </w:p>
        </w:tc>
        <w:tc>
          <w:tcPr>
            <w:tcW w:w="17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AS</w:t>
            </w:r>
          </w:p>
        </w:tc>
      </w:tr>
      <w:tr>
        <w:trPr>
          <w:trHeight w:val="135"/>
        </w:trPr>
        <w:tc>
          <w:tcPr>
            <w:tcW w:w="3860" w:type="dxa"/>
            <w:vAlign w:val="bottom"/>
          </w:tcPr>
          <w:p>
            <w:pPr>
              <w:spacing w:after="0"/>
              <w:rPr>
                <w:sz w:val="11"/>
                <w:szCs w:val="11"/>
                <w:color w:val="auto"/>
              </w:rPr>
            </w:pPr>
          </w:p>
        </w:tc>
        <w:tc>
          <w:tcPr>
            <w:tcW w:w="13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GAAP</w:t>
            </w:r>
          </w:p>
        </w:tc>
        <w:tc>
          <w:tcPr>
            <w:tcW w:w="32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ISRAELI</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ADJUST-</w:t>
            </w:r>
          </w:p>
        </w:tc>
        <w:tc>
          <w:tcPr>
            <w:tcW w:w="140" w:type="dxa"/>
            <w:vAlign w:val="bottom"/>
          </w:tcPr>
          <w:p>
            <w:pPr>
              <w:spacing w:after="0"/>
              <w:rPr>
                <w:sz w:val="11"/>
                <w:szCs w:val="11"/>
                <w:color w:val="auto"/>
              </w:rPr>
            </w:pPr>
          </w:p>
        </w:tc>
        <w:tc>
          <w:tcPr>
            <w:tcW w:w="8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U.S.</w:t>
            </w:r>
          </w:p>
        </w:tc>
        <w:tc>
          <w:tcPr>
            <w:tcW w:w="34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ISRAELI</w:t>
            </w:r>
          </w:p>
        </w:tc>
        <w:tc>
          <w:tcPr>
            <w:tcW w:w="170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ADJUST-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U</w:t>
            </w:r>
          </w:p>
        </w:tc>
      </w:tr>
      <w:tr>
        <w:trPr>
          <w:trHeight w:val="135"/>
        </w:trPr>
        <w:tc>
          <w:tcPr>
            <w:tcW w:w="3860" w:type="dxa"/>
            <w:vAlign w:val="bottom"/>
          </w:tcPr>
          <w:p>
            <w:pPr>
              <w:spacing w:after="0"/>
              <w:rPr>
                <w:sz w:val="11"/>
                <w:szCs w:val="11"/>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REMARK</w:t>
            </w:r>
          </w:p>
        </w:tc>
        <w:tc>
          <w:tcPr>
            <w:tcW w:w="320" w:type="dxa"/>
            <w:vAlign w:val="bottom"/>
          </w:tcPr>
          <w:p>
            <w:pPr>
              <w:spacing w:after="0"/>
              <w:rPr>
                <w:sz w:val="11"/>
                <w:szCs w:val="11"/>
                <w:color w:val="auto"/>
              </w:rPr>
            </w:pPr>
          </w:p>
        </w:tc>
        <w:tc>
          <w:tcPr>
            <w:tcW w:w="5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GAAP</w:t>
            </w:r>
          </w:p>
        </w:tc>
        <w:tc>
          <w:tcPr>
            <w:tcW w:w="16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MENTS</w:t>
            </w:r>
          </w:p>
        </w:tc>
        <w:tc>
          <w:tcPr>
            <w:tcW w:w="140" w:type="dxa"/>
            <w:vAlign w:val="bottom"/>
          </w:tcPr>
          <w:p>
            <w:pPr>
              <w:spacing w:after="0"/>
              <w:rPr>
                <w:sz w:val="11"/>
                <w:szCs w:val="11"/>
                <w:color w:val="auto"/>
              </w:rPr>
            </w:pPr>
          </w:p>
        </w:tc>
        <w:tc>
          <w:tcPr>
            <w:tcW w:w="8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GAAP</w:t>
            </w:r>
          </w:p>
        </w:tc>
        <w:tc>
          <w:tcPr>
            <w:tcW w:w="340" w:type="dxa"/>
            <w:vAlign w:val="bottom"/>
          </w:tcPr>
          <w:p>
            <w:pPr>
              <w:spacing w:after="0"/>
              <w:rPr>
                <w:sz w:val="11"/>
                <w:szCs w:val="11"/>
                <w:color w:val="auto"/>
              </w:rPr>
            </w:pPr>
          </w:p>
        </w:tc>
        <w:tc>
          <w:tcPr>
            <w:tcW w:w="5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GAAP</w:t>
            </w:r>
          </w:p>
        </w:tc>
        <w:tc>
          <w:tcPr>
            <w:tcW w:w="17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MENTS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G</w:t>
            </w:r>
          </w:p>
        </w:tc>
      </w:tr>
      <w:tr>
        <w:trPr>
          <w:trHeight w:val="135"/>
        </w:trPr>
        <w:tc>
          <w:tcPr>
            <w:tcW w:w="3860" w:type="dxa"/>
            <w:vAlign w:val="bottom"/>
          </w:tcPr>
          <w:p>
            <w:pPr>
              <w:spacing w:after="0"/>
              <w:rPr>
                <w:sz w:val="11"/>
                <w:szCs w:val="11"/>
                <w:color w:val="auto"/>
              </w:rPr>
            </w:pPr>
          </w:p>
        </w:tc>
        <w:tc>
          <w:tcPr>
            <w:tcW w:w="13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0"/>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CURRENT ASSETS</w:t>
            </w: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CASH AND CASH EQUIVALENTS</w:t>
            </w:r>
          </w:p>
        </w:tc>
        <w:tc>
          <w:tcPr>
            <w:tcW w:w="13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39,710</w:t>
            </w:r>
          </w:p>
        </w:tc>
        <w:tc>
          <w:tcPr>
            <w:tcW w:w="16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39,710</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7,337</w:t>
            </w:r>
          </w:p>
        </w:tc>
        <w:tc>
          <w:tcPr>
            <w:tcW w:w="1700" w:type="dxa"/>
            <w:vAlign w:val="bottom"/>
          </w:tcPr>
          <w:p>
            <w:pPr>
              <w:spacing w:after="0"/>
              <w:rPr>
                <w:sz w:val="11"/>
                <w:szCs w:val="11"/>
                <w:color w:val="auto"/>
              </w:rPr>
            </w:pPr>
          </w:p>
        </w:tc>
        <w:tc>
          <w:tcPr>
            <w:tcW w:w="2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SHORT-TERM INTEREST-BEARING DEPOSITS</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1,230</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1,230</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DESIGNATED CASH AND SHORT-TERM INTEREST -</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3860" w:type="dxa"/>
            <w:vAlign w:val="bottom"/>
          </w:tcPr>
          <w:p>
            <w:pPr>
              <w:ind w:left="420"/>
              <w:spacing w:after="0"/>
              <w:rPr>
                <w:sz w:val="20"/>
                <w:szCs w:val="20"/>
                <w:color w:val="auto"/>
              </w:rPr>
            </w:pPr>
            <w:r>
              <w:rPr>
                <w:rFonts w:ascii="Courier New" w:cs="Courier New" w:eastAsia="Courier New" w:hAnsi="Courier New"/>
                <w:sz w:val="12"/>
                <w:szCs w:val="12"/>
                <w:color w:val="auto"/>
              </w:rPr>
              <w:t>BEARING DEPOSITS</w:t>
            </w:r>
          </w:p>
        </w:tc>
        <w:tc>
          <w:tcPr>
            <w:tcW w:w="13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B</w:t>
            </w: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31,661</w:t>
            </w:r>
          </w:p>
        </w:tc>
        <w:tc>
          <w:tcPr>
            <w:tcW w:w="17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(31,661)</w:t>
            </w:r>
          </w:p>
        </w:tc>
        <w:tc>
          <w:tcPr>
            <w:tcW w:w="28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TRADE ACCOUNTS RECEIVABLE :</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3860" w:type="dxa"/>
            <w:vAlign w:val="bottom"/>
          </w:tcPr>
          <w:p>
            <w:pPr>
              <w:ind w:left="420"/>
              <w:spacing w:after="0"/>
              <w:rPr>
                <w:sz w:val="20"/>
                <w:szCs w:val="20"/>
                <w:color w:val="auto"/>
              </w:rPr>
            </w:pPr>
            <w:r>
              <w:rPr>
                <w:rFonts w:ascii="Courier New" w:cs="Courier New" w:eastAsia="Courier New" w:hAnsi="Courier New"/>
                <w:sz w:val="12"/>
                <w:szCs w:val="12"/>
                <w:color w:val="auto"/>
              </w:rPr>
              <w:t>RELATED PARTIES</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13,625</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13,625</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5,309</w:t>
            </w: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3860" w:type="dxa"/>
            <w:vAlign w:val="bottom"/>
          </w:tcPr>
          <w:p>
            <w:pPr>
              <w:ind w:left="420"/>
              <w:spacing w:after="0"/>
              <w:rPr>
                <w:sz w:val="20"/>
                <w:szCs w:val="20"/>
                <w:color w:val="auto"/>
              </w:rPr>
            </w:pPr>
            <w:r>
              <w:rPr>
                <w:rFonts w:ascii="Courier New" w:cs="Courier New" w:eastAsia="Courier New" w:hAnsi="Courier New"/>
                <w:sz w:val="12"/>
                <w:szCs w:val="12"/>
                <w:color w:val="auto"/>
              </w:rPr>
              <w:t>OTHERS</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17,873</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17,873</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11,467</w:t>
            </w: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OTHER RECEIVABLES</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5,425</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5,425</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9,043</w:t>
            </w: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INVENTORIES</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41,101</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41,101</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24,376</w:t>
            </w: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OTHER CURRENT ASSETS</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1,473</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1,473</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1,048</w:t>
            </w: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ind w:left="480"/>
              <w:spacing w:after="0"/>
              <w:rPr>
                <w:sz w:val="20"/>
                <w:szCs w:val="20"/>
                <w:color w:val="auto"/>
              </w:rPr>
            </w:pPr>
            <w:r>
              <w:rPr>
                <w:rFonts w:ascii="Courier New" w:cs="Courier New" w:eastAsia="Courier New" w:hAnsi="Courier New"/>
                <w:sz w:val="12"/>
                <w:szCs w:val="12"/>
                <w:color w:val="auto"/>
              </w:rPr>
              <w:t>TOTAL CURRENT ASSETS</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120,437</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120,437</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90,241</w:t>
            </w:r>
          </w:p>
        </w:tc>
        <w:tc>
          <w:tcPr>
            <w:tcW w:w="17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(31,661)</w:t>
            </w:r>
          </w:p>
        </w:tc>
        <w:tc>
          <w:tcPr>
            <w:tcW w:w="28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LONG-TERM INVESTMENTS</w:t>
            </w:r>
          </w:p>
        </w:tc>
        <w:tc>
          <w:tcPr>
            <w:tcW w:w="13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C,D</w:t>
            </w: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15,325</w:t>
            </w: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15,325</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15,425</w:t>
            </w:r>
          </w:p>
        </w:tc>
        <w:tc>
          <w:tcPr>
            <w:tcW w:w="28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PROPERTY AND EQUIPMENT, NET</w:t>
            </w:r>
          </w:p>
        </w:tc>
        <w:tc>
          <w:tcPr>
            <w:tcW w:w="13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D,F</w:t>
            </w: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532,954</w:t>
            </w:r>
          </w:p>
        </w:tc>
        <w:tc>
          <w:tcPr>
            <w:tcW w:w="16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(1,745)</w:t>
            </w: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531,209</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510,645</w:t>
            </w:r>
          </w:p>
        </w:tc>
        <w:tc>
          <w:tcPr>
            <w:tcW w:w="17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(3,291)</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DESIGNATED CASH AND SHORT-TERM</w:t>
            </w: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135"/>
        </w:trPr>
        <w:tc>
          <w:tcPr>
            <w:tcW w:w="3860" w:type="dxa"/>
            <w:vAlign w:val="bottom"/>
          </w:tcPr>
          <w:p>
            <w:pPr>
              <w:ind w:left="420"/>
              <w:spacing w:after="0"/>
              <w:rPr>
                <w:sz w:val="20"/>
                <w:szCs w:val="20"/>
                <w:color w:val="auto"/>
              </w:rPr>
            </w:pPr>
            <w:r>
              <w:rPr>
                <w:rFonts w:ascii="Courier New" w:cs="Courier New" w:eastAsia="Courier New" w:hAnsi="Courier New"/>
                <w:sz w:val="12"/>
                <w:szCs w:val="12"/>
                <w:color w:val="auto"/>
              </w:rPr>
              <w:t>INTEREST-BEARING DEPOSITS</w:t>
            </w:r>
          </w:p>
        </w:tc>
        <w:tc>
          <w:tcPr>
            <w:tcW w:w="13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B</w:t>
            </w: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31,661</w:t>
            </w:r>
          </w:p>
        </w:tc>
        <w:tc>
          <w:tcPr>
            <w:tcW w:w="28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INTANGIBLE ASSETS, NET</w:t>
            </w: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44,981</w:t>
            </w: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44,981</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61,441</w:t>
            </w: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OTHER ASSETS, NET</w:t>
            </w:r>
          </w:p>
        </w:tc>
        <w:tc>
          <w:tcPr>
            <w:tcW w:w="13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F</w:t>
            </w:r>
          </w:p>
        </w:tc>
        <w:tc>
          <w:tcPr>
            <w:tcW w:w="3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1,346</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834</w:t>
            </w:r>
          </w:p>
        </w:tc>
        <w:tc>
          <w:tcPr>
            <w:tcW w:w="140" w:type="dxa"/>
            <w:vAlign w:val="bottom"/>
          </w:tcPr>
          <w:p>
            <w:pPr>
              <w:spacing w:after="0"/>
              <w:rPr>
                <w:sz w:val="23"/>
                <w:szCs w:val="23"/>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2,180</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16,359</w:t>
            </w:r>
          </w:p>
        </w:tc>
        <w:tc>
          <w:tcPr>
            <w:tcW w:w="17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(196)</w:t>
            </w:r>
          </w:p>
        </w:tc>
        <w:tc>
          <w:tcPr>
            <w:tcW w:w="280" w:type="dxa"/>
            <w:vAlign w:val="bottom"/>
          </w:tcPr>
          <w:p>
            <w:pPr>
              <w:spacing w:after="0"/>
              <w:rPr>
                <w:sz w:val="23"/>
                <w:szCs w:val="23"/>
                <w:color w:val="auto"/>
              </w:rPr>
            </w:pP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860" w:type="dxa"/>
            <w:vAlign w:val="bottom"/>
          </w:tcPr>
          <w:p>
            <w:pPr>
              <w:ind w:left="560"/>
              <w:spacing w:after="0"/>
              <w:rPr>
                <w:sz w:val="20"/>
                <w:szCs w:val="20"/>
                <w:color w:val="auto"/>
              </w:rPr>
            </w:pPr>
            <w:r>
              <w:rPr>
                <w:rFonts w:ascii="Courier New" w:cs="Courier New" w:eastAsia="Courier New" w:hAnsi="Courier New"/>
                <w:sz w:val="12"/>
                <w:szCs w:val="12"/>
                <w:color w:val="auto"/>
              </w:rPr>
              <w:t>TOTAL ASSETS</w:t>
            </w:r>
          </w:p>
        </w:tc>
        <w:tc>
          <w:tcPr>
            <w:tcW w:w="130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$ 699,718</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  14,414</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$ 714,132</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$ 678,686</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  11,938</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$ 6</w:t>
            </w: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LIABILITIES AND</w:t>
            </w: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SHAREHOLDERS' EQUITY</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70"/>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CURRENT LIABILITIES</w:t>
            </w: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CURRENT MATURITIES OF LONG TERM DEBT</w:t>
            </w:r>
          </w:p>
        </w:tc>
        <w:tc>
          <w:tcPr>
            <w:tcW w:w="13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21,103</w:t>
            </w:r>
          </w:p>
        </w:tc>
        <w:tc>
          <w:tcPr>
            <w:tcW w:w="1700" w:type="dxa"/>
            <w:vAlign w:val="bottom"/>
          </w:tcPr>
          <w:p>
            <w:pPr>
              <w:spacing w:after="0"/>
              <w:rPr>
                <w:sz w:val="11"/>
                <w:szCs w:val="11"/>
                <w:color w:val="auto"/>
              </w:rPr>
            </w:pPr>
          </w:p>
        </w:tc>
        <w:tc>
          <w:tcPr>
            <w:tcW w:w="2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13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F</w:t>
            </w: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6,632</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270</w:t>
            </w: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6,902</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6,453</w:t>
            </w:r>
          </w:p>
        </w:tc>
        <w:tc>
          <w:tcPr>
            <w:tcW w:w="17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(640)</w:t>
            </w:r>
          </w:p>
        </w:tc>
        <w:tc>
          <w:tcPr>
            <w:tcW w:w="28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TRADE ACCOUNTS PAYABLE</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55,128</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55,128</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59,741</w:t>
            </w: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OTHER CURRENT LIABILITIES</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22,096</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22,096</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8,972</w:t>
            </w: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ind w:left="560"/>
              <w:spacing w:after="0"/>
              <w:rPr>
                <w:sz w:val="20"/>
                <w:szCs w:val="20"/>
                <w:color w:val="auto"/>
              </w:rPr>
            </w:pPr>
            <w:r>
              <w:rPr>
                <w:rFonts w:ascii="Courier New" w:cs="Courier New" w:eastAsia="Courier New" w:hAnsi="Courier New"/>
                <w:sz w:val="12"/>
                <w:szCs w:val="12"/>
                <w:color w:val="auto"/>
              </w:rPr>
              <w:t>TOTAL CURRENT LIABILITIES</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83,856</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270</w:t>
            </w: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84,126</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96,269</w:t>
            </w:r>
          </w:p>
        </w:tc>
        <w:tc>
          <w:tcPr>
            <w:tcW w:w="17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(640)</w:t>
            </w:r>
          </w:p>
        </w:tc>
        <w:tc>
          <w:tcPr>
            <w:tcW w:w="28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LONG-TERM DEBT FROM BANKS</w:t>
            </w:r>
          </w:p>
        </w:tc>
        <w:tc>
          <w:tcPr>
            <w:tcW w:w="13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I</w:t>
            </w: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356,947</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75,483</w:t>
            </w: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432,430</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497,000</w:t>
            </w:r>
          </w:p>
        </w:tc>
        <w:tc>
          <w:tcPr>
            <w:tcW w:w="17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r>
      <w:tr>
        <w:trPr>
          <w:trHeight w:val="270"/>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CONVERTIBLE DEBENTURES</w:t>
            </w:r>
          </w:p>
        </w:tc>
        <w:tc>
          <w:tcPr>
            <w:tcW w:w="13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F</w:t>
            </w:r>
          </w:p>
        </w:tc>
        <w:tc>
          <w:tcPr>
            <w:tcW w:w="3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62,175</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21,688</w:t>
            </w:r>
          </w:p>
        </w:tc>
        <w:tc>
          <w:tcPr>
            <w:tcW w:w="140" w:type="dxa"/>
            <w:vAlign w:val="bottom"/>
          </w:tcPr>
          <w:p>
            <w:pPr>
              <w:spacing w:after="0"/>
              <w:rPr>
                <w:sz w:val="23"/>
                <w:szCs w:val="23"/>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83,863</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19,358</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23,574</w:t>
            </w:r>
          </w:p>
        </w:tc>
        <w:tc>
          <w:tcPr>
            <w:tcW w:w="280" w:type="dxa"/>
            <w:vAlign w:val="bottom"/>
          </w:tcPr>
          <w:p>
            <w:pPr>
              <w:spacing w:after="0"/>
              <w:rPr>
                <w:sz w:val="23"/>
                <w:szCs w:val="23"/>
                <w:color w:val="auto"/>
              </w:rPr>
            </w:pPr>
          </w:p>
        </w:tc>
      </w:tr>
      <w:tr>
        <w:trPr>
          <w:trHeight w:val="270"/>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LONG-TERM CUSTOMERS' ADVANCES</w:t>
            </w: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46,042</w:t>
            </w: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46,042</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59,621</w:t>
            </w: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0"/>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OTHER LONG-TERM LIABILITIES</w:t>
            </w:r>
          </w:p>
        </w:tc>
        <w:tc>
          <w:tcPr>
            <w:tcW w:w="13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C,G</w:t>
            </w:r>
          </w:p>
        </w:tc>
        <w:tc>
          <w:tcPr>
            <w:tcW w:w="3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17,708</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10,447</w:t>
            </w:r>
          </w:p>
        </w:tc>
        <w:tc>
          <w:tcPr>
            <w:tcW w:w="140" w:type="dxa"/>
            <w:vAlign w:val="bottom"/>
          </w:tcPr>
          <w:p>
            <w:pPr>
              <w:spacing w:after="0"/>
              <w:rPr>
                <w:sz w:val="23"/>
                <w:szCs w:val="23"/>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28,155</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11,012</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13,658</w:t>
            </w:r>
          </w:p>
        </w:tc>
        <w:tc>
          <w:tcPr>
            <w:tcW w:w="280" w:type="dxa"/>
            <w:vAlign w:val="bottom"/>
          </w:tcPr>
          <w:p>
            <w:pPr>
              <w:spacing w:after="0"/>
              <w:rPr>
                <w:sz w:val="23"/>
                <w:szCs w:val="23"/>
                <w:color w:val="auto"/>
              </w:rPr>
            </w:pP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ind w:left="560"/>
              <w:spacing w:after="0"/>
              <w:rPr>
                <w:sz w:val="20"/>
                <w:szCs w:val="20"/>
                <w:color w:val="auto"/>
              </w:rPr>
            </w:pPr>
            <w:r>
              <w:rPr>
                <w:rFonts w:ascii="Courier New" w:cs="Courier New" w:eastAsia="Courier New" w:hAnsi="Courier New"/>
                <w:sz w:val="12"/>
                <w:szCs w:val="12"/>
                <w:color w:val="auto"/>
              </w:rPr>
              <w:t>TOTAL LIABILITIES</w:t>
            </w: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566,728</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107,888</w:t>
            </w:r>
          </w:p>
        </w:tc>
        <w:tc>
          <w:tcPr>
            <w:tcW w:w="140" w:type="dxa"/>
            <w:vAlign w:val="bottom"/>
          </w:tcPr>
          <w:p>
            <w:pPr>
              <w:spacing w:after="0"/>
              <w:rPr>
                <w:sz w:val="11"/>
                <w:szCs w:val="11"/>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674,616</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683,260</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36,592</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w:t>
            </w: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CONVERTIBLE DEBENTURES</w:t>
            </w:r>
          </w:p>
        </w:tc>
        <w:tc>
          <w:tcPr>
            <w:tcW w:w="13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F</w:t>
            </w:r>
          </w:p>
        </w:tc>
        <w:tc>
          <w:tcPr>
            <w:tcW w:w="3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23"/>
                <w:szCs w:val="23"/>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25,493</w:t>
            </w:r>
          </w:p>
        </w:tc>
        <w:tc>
          <w:tcPr>
            <w:tcW w:w="17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(25,493)</w:t>
            </w:r>
          </w:p>
        </w:tc>
        <w:tc>
          <w:tcPr>
            <w:tcW w:w="280" w:type="dxa"/>
            <w:vAlign w:val="bottom"/>
          </w:tcPr>
          <w:p>
            <w:pPr>
              <w:spacing w:after="0"/>
              <w:rPr>
                <w:sz w:val="23"/>
                <w:szCs w:val="23"/>
                <w:color w:val="auto"/>
              </w:rPr>
            </w:pPr>
          </w:p>
        </w:tc>
      </w:tr>
      <w:tr>
        <w:trPr>
          <w:trHeight w:val="135"/>
        </w:trPr>
        <w:tc>
          <w:tcPr>
            <w:tcW w:w="3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2"/>
          <w:szCs w:val="12"/>
          <w:color w:val="auto"/>
        </w:rPr>
        <w:t>SHAREHOLDERS' EQUITY (DEFICIT)</w:t>
      </w:r>
    </w:p>
    <w:p>
      <w:pPr>
        <w:ind w:left="340"/>
        <w:spacing w:after="0"/>
        <w:rPr>
          <w:sz w:val="20"/>
          <w:szCs w:val="20"/>
          <w:color w:val="auto"/>
        </w:rPr>
      </w:pPr>
      <w:r>
        <w:rPr>
          <w:rFonts w:ascii="Courier New" w:cs="Courier New" w:eastAsia="Courier New" w:hAnsi="Courier New"/>
          <w:sz w:val="12"/>
          <w:szCs w:val="12"/>
          <w:color w:val="auto"/>
        </w:rPr>
        <w:t>ORDINARY SHARES, NIS 1 PAR VALUE -</w:t>
      </w:r>
    </w:p>
    <w:p>
      <w:pPr>
        <w:ind w:left="340"/>
        <w:spacing w:after="0" w:line="237" w:lineRule="auto"/>
        <w:rPr>
          <w:sz w:val="20"/>
          <w:szCs w:val="20"/>
          <w:color w:val="auto"/>
        </w:rPr>
      </w:pPr>
      <w:r>
        <w:rPr>
          <w:rFonts w:ascii="Courier New" w:cs="Courier New" w:eastAsia="Courier New" w:hAnsi="Courier New"/>
          <w:sz w:val="12"/>
          <w:szCs w:val="12"/>
          <w:color w:val="auto"/>
        </w:rPr>
        <w:t>AUTHORIZED 800,000,000 AND 500,000,000</w:t>
      </w:r>
    </w:p>
    <w:p>
      <w:pPr>
        <w:ind w:left="340"/>
        <w:spacing w:after="0"/>
        <w:rPr>
          <w:sz w:val="20"/>
          <w:szCs w:val="20"/>
          <w:color w:val="auto"/>
        </w:rPr>
      </w:pPr>
      <w:r>
        <w:rPr>
          <w:rFonts w:ascii="Courier New" w:cs="Courier New" w:eastAsia="Courier New" w:hAnsi="Courier New"/>
          <w:sz w:val="12"/>
          <w:szCs w:val="12"/>
          <w:color w:val="auto"/>
        </w:rPr>
        <w:t>SHARES RESPECTIVELY; ISSUED 102,052,767</w:t>
      </w:r>
    </w:p>
    <w:p>
      <w:pPr>
        <w:sectPr>
          <w:pgSz w:w="11900" w:h="16838" w:orient="portrait"/>
          <w:cols w:equalWidth="0" w:num="1">
            <w:col w:w="11520"/>
          </w:cols>
          <w:pgMar w:left="220" w:top="137" w:right="159" w:bottom="0" w:gutter="0" w:footer="0" w:header="0"/>
        </w:sectPr>
      </w:pPr>
    </w:p>
    <w:bookmarkStart w:id="40" w:name="page41"/>
    <w:bookmarkEnd w:id="40"/>
    <w:tbl>
      <w:tblPr>
        <w:tblLayout w:type="fixed"/>
        <w:tblInd w:w="340" w:type="dxa"/>
        <w:tblCellMar>
          <w:top w:w="0" w:type="dxa"/>
          <w:left w:w="0" w:type="dxa"/>
          <w:bottom w:w="0" w:type="dxa"/>
          <w:right w:w="0" w:type="dxa"/>
        </w:tblCellMar>
      </w:tblPr>
      <w:tr>
        <w:trPr>
          <w:trHeight w:val="136"/>
        </w:trPr>
        <w:tc>
          <w:tcPr>
            <w:tcW w:w="3580" w:type="dxa"/>
            <w:vAlign w:val="bottom"/>
          </w:tcPr>
          <w:p>
            <w:pPr>
              <w:spacing w:after="0"/>
              <w:rPr>
                <w:sz w:val="20"/>
                <w:szCs w:val="20"/>
                <w:color w:val="auto"/>
              </w:rPr>
            </w:pPr>
            <w:r>
              <w:rPr>
                <w:rFonts w:ascii="Courier New" w:cs="Courier New" w:eastAsia="Courier New" w:hAnsi="Courier New"/>
                <w:sz w:val="12"/>
                <w:szCs w:val="12"/>
                <w:color w:val="auto"/>
              </w:rPr>
              <w:t>AND 68,232,056 SHARES, RESPECTIVELY</w:t>
            </w:r>
          </w:p>
        </w:tc>
        <w:tc>
          <w:tcPr>
            <w:tcW w:w="124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24,187</w:t>
            </w:r>
          </w:p>
        </w:tc>
        <w:tc>
          <w:tcPr>
            <w:tcW w:w="1140" w:type="dxa"/>
            <w:vAlign w:val="bottom"/>
          </w:tcPr>
          <w:p>
            <w:pPr>
              <w:spacing w:after="0"/>
              <w:rPr>
                <w:sz w:val="11"/>
                <w:szCs w:val="11"/>
                <w:color w:val="auto"/>
              </w:rPr>
            </w:pPr>
          </w:p>
        </w:tc>
        <w:tc>
          <w:tcPr>
            <w:tcW w:w="11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24,187</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16,548</w:t>
            </w: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ADDITIONAL PAID-IN CAPITAL</w:t>
            </w:r>
          </w:p>
        </w:tc>
        <w:tc>
          <w:tcPr>
            <w:tcW w:w="12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F,G</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564,580</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6,404</w:t>
            </w:r>
          </w:p>
        </w:tc>
        <w:tc>
          <w:tcPr>
            <w:tcW w:w="11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570,984</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522,237</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2,363</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CAPITAL NOTES</w:t>
            </w:r>
          </w:p>
        </w:tc>
        <w:tc>
          <w:tcPr>
            <w:tcW w:w="124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176,401</w:t>
            </w:r>
          </w:p>
        </w:tc>
        <w:tc>
          <w:tcPr>
            <w:tcW w:w="1140" w:type="dxa"/>
            <w:vAlign w:val="bottom"/>
          </w:tcPr>
          <w:p>
            <w:pPr>
              <w:spacing w:after="0"/>
              <w:rPr>
                <w:sz w:val="11"/>
                <w:szCs w:val="11"/>
                <w:color w:val="auto"/>
              </w:rPr>
            </w:pPr>
          </w:p>
        </w:tc>
        <w:tc>
          <w:tcPr>
            <w:tcW w:w="11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176,401</w:t>
            </w:r>
          </w:p>
        </w:tc>
        <w:tc>
          <w:tcPr>
            <w:tcW w:w="1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1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3580" w:type="dxa"/>
            <w:vAlign w:val="bottom"/>
          </w:tcPr>
          <w:p>
            <w:pPr>
              <w:ind w:left="80"/>
              <w:spacing w:after="0"/>
              <w:rPr>
                <w:sz w:val="20"/>
                <w:szCs w:val="20"/>
                <w:color w:val="auto"/>
              </w:rPr>
            </w:pPr>
            <w:r>
              <w:rPr>
                <w:rFonts w:ascii="Courier New" w:cs="Courier New" w:eastAsia="Courier New" w:hAnsi="Courier New"/>
                <w:sz w:val="12"/>
                <w:szCs w:val="12"/>
                <w:color w:val="auto"/>
              </w:rPr>
              <w:t>AND CUMULATIVE STOCK BASED COMPENSATION</w:t>
            </w:r>
          </w:p>
        </w:tc>
        <w:tc>
          <w:tcPr>
            <w:tcW w:w="12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F,H</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23,576</w:t>
            </w:r>
          </w:p>
        </w:tc>
        <w:tc>
          <w:tcPr>
            <w:tcW w:w="11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(18,706)</w:t>
            </w:r>
          </w:p>
        </w:tc>
        <w:tc>
          <w:tcPr>
            <w:tcW w:w="11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4,870</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(26)</w:t>
            </w: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ACCUMULATED OTHER COMPREHENSIVE LOSS</w:t>
            </w:r>
          </w:p>
        </w:tc>
        <w:tc>
          <w:tcPr>
            <w:tcW w:w="12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D</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(203)</w:t>
            </w:r>
          </w:p>
        </w:tc>
        <w:tc>
          <w:tcPr>
            <w:tcW w:w="11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(203)</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(1,554)</w:t>
            </w:r>
          </w:p>
        </w:tc>
        <w:tc>
          <w:tcPr>
            <w:tcW w:w="460" w:type="dxa"/>
            <w:vAlign w:val="bottom"/>
          </w:tcPr>
          <w:p>
            <w:pPr>
              <w:spacing w:after="0"/>
              <w:rPr>
                <w:sz w:val="11"/>
                <w:szCs w:val="11"/>
                <w:color w:val="auto"/>
              </w:rPr>
            </w:pP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ACCUMULATED DEFICIT</w:t>
            </w:r>
          </w:p>
        </w:tc>
        <w:tc>
          <w:tcPr>
            <w:tcW w:w="12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F,H,I</w:t>
            </w:r>
          </w:p>
        </w:tc>
        <w:tc>
          <w:tcPr>
            <w:tcW w:w="12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(646,682)</w:t>
            </w:r>
          </w:p>
        </w:tc>
        <w:tc>
          <w:tcPr>
            <w:tcW w:w="11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(80,969)</w:t>
            </w:r>
          </w:p>
        </w:tc>
        <w:tc>
          <w:tcPr>
            <w:tcW w:w="11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(727,651)</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(559,754)</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r>
      <w:tr>
        <w:trPr>
          <w:trHeight w:val="135"/>
        </w:trPr>
        <w:tc>
          <w:tcPr>
            <w:tcW w:w="3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142,062</w:t>
            </w:r>
          </w:p>
        </w:tc>
        <w:tc>
          <w:tcPr>
            <w:tcW w:w="11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(93,474)</w:t>
            </w:r>
          </w:p>
        </w:tc>
        <w:tc>
          <w:tcPr>
            <w:tcW w:w="11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48,588</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(20,995)</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839</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TREASURY STOCK, AT COST - 1,300,000 SHARES</w:t>
            </w:r>
          </w:p>
        </w:tc>
        <w:tc>
          <w:tcPr>
            <w:tcW w:w="1240" w:type="dxa"/>
            <w:vAlign w:val="bottom"/>
          </w:tcPr>
          <w:p>
            <w:pPr>
              <w:spacing w:after="0"/>
              <w:rPr>
                <w:sz w:val="11"/>
                <w:szCs w:val="11"/>
                <w:color w:val="auto"/>
              </w:rPr>
            </w:pPr>
          </w:p>
        </w:tc>
        <w:tc>
          <w:tcPr>
            <w:tcW w:w="12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(9,072)</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(9,072)</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(9,072)</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ind w:left="220"/>
              <w:spacing w:after="0"/>
              <w:rPr>
                <w:sz w:val="20"/>
                <w:szCs w:val="20"/>
                <w:color w:val="auto"/>
              </w:rPr>
            </w:pPr>
            <w:r>
              <w:rPr>
                <w:rFonts w:ascii="Courier New" w:cs="Courier New" w:eastAsia="Courier New" w:hAnsi="Courier New"/>
                <w:sz w:val="12"/>
                <w:szCs w:val="12"/>
                <w:color w:val="auto"/>
              </w:rPr>
              <w:t>TOTAL SHAREHOLDERS' EQUITY (DEFICIT)</w:t>
            </w:r>
          </w:p>
        </w:tc>
        <w:tc>
          <w:tcPr>
            <w:tcW w:w="124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132,990</w:t>
            </w:r>
          </w:p>
        </w:tc>
        <w:tc>
          <w:tcPr>
            <w:tcW w:w="11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(93,474)</w:t>
            </w:r>
          </w:p>
        </w:tc>
        <w:tc>
          <w:tcPr>
            <w:tcW w:w="11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39,516</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(30,067)</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839</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580" w:type="dxa"/>
            <w:vAlign w:val="bottom"/>
          </w:tcPr>
          <w:p>
            <w:pPr>
              <w:ind w:left="220"/>
              <w:spacing w:after="0"/>
              <w:rPr>
                <w:sz w:val="20"/>
                <w:szCs w:val="20"/>
                <w:color w:val="auto"/>
              </w:rPr>
            </w:pPr>
            <w:r>
              <w:rPr>
                <w:rFonts w:ascii="Courier New" w:cs="Courier New" w:eastAsia="Courier New" w:hAnsi="Courier New"/>
                <w:sz w:val="12"/>
                <w:szCs w:val="12"/>
                <w:color w:val="auto"/>
              </w:rPr>
              <w:t>TOTAL LIABILITIES AND</w:t>
            </w: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135"/>
        </w:trPr>
        <w:tc>
          <w:tcPr>
            <w:tcW w:w="3580" w:type="dxa"/>
            <w:vAlign w:val="bottom"/>
          </w:tcPr>
          <w:p>
            <w:pPr>
              <w:ind w:left="500"/>
              <w:spacing w:after="0"/>
              <w:rPr>
                <w:sz w:val="20"/>
                <w:szCs w:val="20"/>
                <w:color w:val="auto"/>
              </w:rPr>
            </w:pPr>
            <w:r>
              <w:rPr>
                <w:rFonts w:ascii="Courier New" w:cs="Courier New" w:eastAsia="Courier New" w:hAnsi="Courier New"/>
                <w:sz w:val="12"/>
                <w:szCs w:val="12"/>
                <w:color w:val="auto"/>
              </w:rPr>
              <w:t>SHAREHOLDERS' EQUITY</w:t>
            </w:r>
          </w:p>
        </w:tc>
        <w:tc>
          <w:tcPr>
            <w:tcW w:w="124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$ 699,718</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14,414</w:t>
            </w:r>
          </w:p>
        </w:tc>
        <w:tc>
          <w:tcPr>
            <w:tcW w:w="11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$ 714,132</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$ 678,686</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11,938</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$ 6</w:t>
            </w:r>
          </w:p>
        </w:tc>
      </w:tr>
      <w:tr>
        <w:trPr>
          <w:trHeight w:val="135"/>
        </w:trPr>
        <w:tc>
          <w:tcPr>
            <w:tcW w:w="3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405"/>
        </w:trPr>
        <w:tc>
          <w:tcPr>
            <w:tcW w:w="3580" w:type="dxa"/>
            <w:vAlign w:val="bottom"/>
          </w:tcPr>
          <w:p>
            <w:pPr>
              <w:ind w:left="2260"/>
              <w:spacing w:after="0"/>
              <w:rPr>
                <w:sz w:val="20"/>
                <w:szCs w:val="20"/>
                <w:color w:val="auto"/>
              </w:rPr>
            </w:pPr>
            <w:r>
              <w:rPr>
                <w:rFonts w:ascii="Courier New" w:cs="Courier New" w:eastAsia="Courier New" w:hAnsi="Courier New"/>
                <w:sz w:val="12"/>
                <w:szCs w:val="12"/>
                <w:color w:val="auto"/>
              </w:rPr>
              <w:t>F - 71</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OPERATIONS IN ACCORDANCE WITH U.S. GAAP</w:t>
      </w:r>
    </w:p>
    <w:p>
      <w:pPr>
        <w:spacing w:after="0" w:line="138" w:lineRule="exact"/>
        <w:rPr>
          <w:rFonts w:ascii="Courier New" w:cs="Courier New" w:eastAsia="Courier New" w:hAnsi="Courier New"/>
          <w:sz w:val="12"/>
          <w:szCs w:val="12"/>
          <w:color w:val="auto"/>
        </w:rPr>
      </w:pPr>
    </w:p>
    <w:p>
      <w:pPr>
        <w:ind w:left="700" w:right="6040"/>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FASB No. 15 (I above), SFAS 133 (D above), APB 14 (F above) and SFAS 123R (H above) would have resulted in an increase in the loss for the year ended December 31, 2006 in the amount of $80,999, mainly due to the difference in accounting for the debt modification under Israeli GAAP. Giving effect to all the above, the loss for the year ended December 31, 2006 would be $167,927. No material effect on the result of operation for the years ended December 31, 2005 and 2004.</w:t>
      </w:r>
    </w:p>
    <w:p>
      <w:pPr>
        <w:spacing w:after="0" w:line="13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IN ACCORDANCE WITH U.S. GAAP (SFAS 130)</w:t>
      </w:r>
    </w:p>
    <w:p>
      <w:pPr>
        <w:spacing w:after="0" w:line="138" w:lineRule="exact"/>
        <w:rPr>
          <w:rFonts w:ascii="Courier New" w:cs="Courier New" w:eastAsia="Courier New" w:hAnsi="Courier New"/>
          <w:sz w:val="12"/>
          <w:szCs w:val="12"/>
          <w:color w:val="auto"/>
        </w:rPr>
      </w:pPr>
    </w:p>
    <w:p>
      <w:pPr>
        <w:ind w:left="700" w:right="5900"/>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2"/>
                <w:szCs w:val="12"/>
                <w:color w:val="auto"/>
                <w:w w:val="96"/>
              </w:rPr>
              <w:t>Year ended December 31,</w:t>
            </w:r>
          </w:p>
        </w:tc>
        <w:tc>
          <w:tcPr>
            <w:tcW w:w="740" w:type="dxa"/>
            <w:vAlign w:val="bottom"/>
          </w:tcPr>
          <w:p>
            <w:pPr>
              <w:spacing w:after="0"/>
              <w:rPr>
                <w:sz w:val="11"/>
                <w:szCs w:val="11"/>
                <w:color w:val="auto"/>
              </w:rPr>
            </w:pPr>
          </w:p>
        </w:tc>
      </w:tr>
      <w:tr>
        <w:trPr>
          <w:trHeight w:val="135"/>
        </w:trPr>
        <w:tc>
          <w:tcPr>
            <w:tcW w:w="3160" w:type="dxa"/>
            <w:vAlign w:val="bottom"/>
          </w:tcPr>
          <w:p>
            <w:pPr>
              <w:spacing w:after="0"/>
              <w:rPr>
                <w:sz w:val="11"/>
                <w:szCs w:val="11"/>
                <w:color w:val="auto"/>
              </w:rPr>
            </w:pPr>
          </w:p>
        </w:tc>
        <w:tc>
          <w:tcPr>
            <w:tcW w:w="3220" w:type="dxa"/>
            <w:vAlign w:val="bottom"/>
            <w:gridSpan w:val="3"/>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16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2006</w:t>
            </w:r>
          </w:p>
        </w:tc>
        <w:tc>
          <w:tcPr>
            <w:tcW w:w="1640" w:type="dxa"/>
            <w:vAlign w:val="bottom"/>
          </w:tcPr>
          <w:p>
            <w:pPr>
              <w:jc w:val="right"/>
              <w:ind w:right="601"/>
              <w:spacing w:after="0"/>
              <w:rPr>
                <w:sz w:val="20"/>
                <w:szCs w:val="20"/>
                <w:color w:val="auto"/>
              </w:rPr>
            </w:pPr>
            <w:r>
              <w:rPr>
                <w:rFonts w:ascii="Courier New" w:cs="Courier New" w:eastAsia="Courier New" w:hAnsi="Courier New"/>
                <w:sz w:val="12"/>
                <w:szCs w:val="12"/>
                <w:color w:val="auto"/>
              </w:rPr>
              <w:t>2005</w:t>
            </w:r>
          </w:p>
        </w:tc>
        <w:tc>
          <w:tcPr>
            <w:tcW w:w="7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3160" w:type="dxa"/>
            <w:vAlign w:val="bottom"/>
          </w:tcPr>
          <w:p>
            <w:pPr>
              <w:spacing w:after="0"/>
              <w:rPr>
                <w:sz w:val="11"/>
                <w:szCs w:val="11"/>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160" w:type="dxa"/>
            <w:vAlign w:val="bottom"/>
          </w:tcPr>
          <w:p>
            <w:pPr>
              <w:spacing w:after="0"/>
              <w:rPr>
                <w:sz w:val="20"/>
                <w:szCs w:val="20"/>
                <w:color w:val="auto"/>
              </w:rPr>
            </w:pPr>
            <w:r>
              <w:rPr>
                <w:rFonts w:ascii="Courier New" w:cs="Courier New" w:eastAsia="Courier New" w:hAnsi="Courier New"/>
                <w:sz w:val="12"/>
                <w:szCs w:val="12"/>
                <w:color w:val="auto"/>
              </w:rPr>
              <w:t>Loss for the year according to U.S. GAAP</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$(167,927)</w:t>
            </w:r>
          </w:p>
        </w:tc>
        <w:tc>
          <w:tcPr>
            <w:tcW w:w="16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$(203,082)</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$(137,768)</w:t>
            </w:r>
          </w:p>
        </w:tc>
      </w:tr>
      <w:tr>
        <w:trPr>
          <w:trHeight w:val="270"/>
        </w:trPr>
        <w:tc>
          <w:tcPr>
            <w:tcW w:w="316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8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Amortization of unrealized</w:t>
            </w: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losses on derivatives</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1,328</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1,328</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1,328</w:t>
            </w: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Unrealized gains on derivatives</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23</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4,173</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7,514</w:t>
            </w:r>
          </w:p>
        </w:tc>
      </w:tr>
      <w:tr>
        <w:trPr>
          <w:trHeight w:val="135"/>
        </w:trPr>
        <w:tc>
          <w:tcPr>
            <w:tcW w:w="3160" w:type="dxa"/>
            <w:vAlign w:val="bottom"/>
          </w:tcPr>
          <w:p>
            <w:pPr>
              <w:spacing w:after="0"/>
              <w:rPr>
                <w:sz w:val="11"/>
                <w:szCs w:val="11"/>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160" w:type="dxa"/>
            <w:vAlign w:val="bottom"/>
          </w:tcPr>
          <w:p>
            <w:pPr>
              <w:spacing w:after="0"/>
              <w:rPr>
                <w:sz w:val="20"/>
                <w:szCs w:val="20"/>
                <w:color w:val="auto"/>
              </w:rPr>
            </w:pPr>
            <w:r>
              <w:rPr>
                <w:rFonts w:ascii="Courier New" w:cs="Courier New" w:eastAsia="Courier New" w:hAnsi="Courier New"/>
                <w:sz w:val="12"/>
                <w:szCs w:val="12"/>
                <w:color w:val="auto"/>
              </w:rPr>
              <w:t>Net comprehensive loss for the year</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$(166,576)</w:t>
            </w:r>
          </w:p>
        </w:tc>
        <w:tc>
          <w:tcPr>
            <w:tcW w:w="164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$(197,581)</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9"/>
              </w:rPr>
              <w:t>$(128,926)</w:t>
            </w:r>
          </w:p>
        </w:tc>
      </w:tr>
      <w:tr>
        <w:trPr>
          <w:trHeight w:val="135"/>
        </w:trPr>
        <w:tc>
          <w:tcPr>
            <w:tcW w:w="3160" w:type="dxa"/>
            <w:vAlign w:val="bottom"/>
          </w:tcPr>
          <w:p>
            <w:pPr>
              <w:spacing w:after="0"/>
              <w:rPr>
                <w:sz w:val="11"/>
                <w:szCs w:val="11"/>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405"/>
        </w:trPr>
        <w:tc>
          <w:tcPr>
            <w:tcW w:w="3160" w:type="dxa"/>
            <w:vAlign w:val="bottom"/>
          </w:tcPr>
          <w:p>
            <w:pPr>
              <w:ind w:left="2600"/>
              <w:spacing w:after="0"/>
              <w:rPr>
                <w:sz w:val="20"/>
                <w:szCs w:val="20"/>
                <w:color w:val="auto"/>
              </w:rPr>
            </w:pPr>
            <w:r>
              <w:rPr>
                <w:rFonts w:ascii="Courier New" w:cs="Courier New" w:eastAsia="Courier New" w:hAnsi="Courier New"/>
                <w:sz w:val="12"/>
                <w:szCs w:val="12"/>
                <w:color w:val="auto"/>
              </w:rPr>
              <w:t>F - 72</w:t>
            </w:r>
          </w:p>
        </w:tc>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SHARE DATA IN ACCORDANCE WITH U.S. GAAP (SFAS 128)</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accordance with U.S. GAAP, SFAS 128, the basic and diluted loss per</w:t>
      </w:r>
    </w:p>
    <w:p>
      <w:pPr>
        <w:ind w:left="700"/>
        <w:spacing w:after="0"/>
        <w:rPr>
          <w:sz w:val="20"/>
          <w:szCs w:val="20"/>
          <w:color w:val="auto"/>
        </w:rPr>
      </w:pPr>
      <w:r>
        <w:rPr>
          <w:rFonts w:ascii="Courier New" w:cs="Courier New" w:eastAsia="Courier New" w:hAnsi="Courier New"/>
          <w:sz w:val="12"/>
          <w:szCs w:val="12"/>
          <w:color w:val="auto"/>
        </w:rPr>
        <w:t>share would be: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6"/>
              </w:rPr>
              <w:t>Year ended December 31,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3120" w:type="dxa"/>
            <w:vAlign w:val="bottom"/>
            <w:gridSpan w:val="6"/>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1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0"/>
              </w:rPr>
              <w:t>2006</w:t>
            </w:r>
          </w:p>
        </w:tc>
        <w:tc>
          <w:tcPr>
            <w:tcW w:w="600" w:type="dxa"/>
            <w:vAlign w:val="bottom"/>
          </w:tcPr>
          <w:p>
            <w:pPr>
              <w:spacing w:after="0"/>
              <w:rPr>
                <w:sz w:val="11"/>
                <w:szCs w:val="11"/>
                <w:color w:val="auto"/>
              </w:rPr>
            </w:pPr>
          </w:p>
        </w:tc>
        <w:tc>
          <w:tcPr>
            <w:tcW w:w="102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2005</w:t>
            </w:r>
          </w:p>
        </w:tc>
        <w:tc>
          <w:tcPr>
            <w:tcW w:w="100" w:type="dxa"/>
            <w:vAlign w:val="bottom"/>
          </w:tcPr>
          <w:p>
            <w:pPr>
              <w:spacing w:after="0"/>
              <w:rPr>
                <w:sz w:val="11"/>
                <w:szCs w:val="11"/>
                <w:color w:val="auto"/>
              </w:rPr>
            </w:pPr>
          </w:p>
        </w:tc>
        <w:tc>
          <w:tcPr>
            <w:tcW w:w="5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2004</w:t>
            </w:r>
          </w:p>
        </w:tc>
      </w:tr>
      <w:tr>
        <w:trPr>
          <w:trHeight w:val="135"/>
        </w:trPr>
        <w:tc>
          <w:tcPr>
            <w:tcW w:w="1780" w:type="dxa"/>
            <w:vAlign w:val="bottom"/>
          </w:tcPr>
          <w:p>
            <w:pPr>
              <w:spacing w:after="0"/>
              <w:rPr>
                <w:sz w:val="11"/>
                <w:szCs w:val="11"/>
                <w:color w:val="auto"/>
              </w:rPr>
            </w:pP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3"/>
              </w:rPr>
              <w:t>--------</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(2.03)</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(3.06)</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(2.13)</w:t>
            </w:r>
          </w:p>
        </w:tc>
      </w:tr>
      <w:tr>
        <w:trPr>
          <w:trHeight w:val="135"/>
        </w:trPr>
        <w:tc>
          <w:tcPr>
            <w:tcW w:w="1780" w:type="dxa"/>
            <w:vAlign w:val="bottom"/>
          </w:tcPr>
          <w:p>
            <w:pPr>
              <w:spacing w:after="0"/>
              <w:rPr>
                <w:sz w:val="11"/>
                <w:szCs w:val="11"/>
                <w:color w:val="auto"/>
              </w:rPr>
            </w:pP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3"/>
              </w:rPr>
              <w:t>========</w:t>
            </w:r>
          </w:p>
        </w:tc>
      </w:tr>
      <w:tr>
        <w:trPr>
          <w:trHeight w:val="270"/>
        </w:trPr>
        <w:tc>
          <w:tcPr>
            <w:tcW w:w="1780" w:type="dxa"/>
            <w:vAlign w:val="bottom"/>
          </w:tcPr>
          <w:p>
            <w:pPr>
              <w:spacing w:after="0"/>
              <w:rPr>
                <w:sz w:val="20"/>
                <w:szCs w:val="20"/>
                <w:color w:val="auto"/>
              </w:rPr>
            </w:pPr>
            <w:r>
              <w:rPr>
                <w:rFonts w:ascii="Courier New" w:cs="Courier New" w:eastAsia="Courier New" w:hAnsi="Courier New"/>
                <w:sz w:val="12"/>
                <w:szCs w:val="12"/>
                <w:color w:val="auto"/>
              </w:rPr>
              <w:t>Diluted loss per share</w:t>
            </w: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(2.03)</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(3.06)</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(2.13)</w:t>
            </w:r>
          </w:p>
        </w:tc>
      </w:tr>
      <w:tr>
        <w:trPr>
          <w:trHeight w:val="135"/>
        </w:trPr>
        <w:tc>
          <w:tcPr>
            <w:tcW w:w="1780" w:type="dxa"/>
            <w:vAlign w:val="bottom"/>
          </w:tcPr>
          <w:p>
            <w:pPr>
              <w:spacing w:after="0"/>
              <w:rPr>
                <w:sz w:val="11"/>
                <w:szCs w:val="11"/>
                <w:color w:val="auto"/>
              </w:rPr>
            </w:pP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62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w:t>
            </w:r>
          </w:p>
        </w:tc>
        <w:tc>
          <w:tcPr>
            <w:tcW w:w="6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3"/>
              </w:rPr>
              <w:t>========</w:t>
            </w:r>
          </w:p>
        </w:tc>
      </w:tr>
    </w:tbl>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following tables provide the numerators and denominators of the</w:t>
      </w:r>
    </w:p>
    <w:p>
      <w:pPr>
        <w:ind w:left="700"/>
        <w:spacing w:after="0"/>
        <w:rPr>
          <w:sz w:val="20"/>
          <w:szCs w:val="20"/>
          <w:color w:val="auto"/>
        </w:rPr>
      </w:pPr>
      <w:r>
        <w:rPr>
          <w:rFonts w:ascii="Courier New" w:cs="Courier New" w:eastAsia="Courier New" w:hAnsi="Courier New"/>
          <w:sz w:val="12"/>
          <w:szCs w:val="12"/>
          <w:color w:val="auto"/>
        </w:rPr>
        <w:t>basic and diluted per share computations for 2006, 2005,and 2004 in</w:t>
      </w:r>
    </w:p>
    <w:p>
      <w:pPr>
        <w:ind w:left="700"/>
        <w:spacing w:after="0" w:line="237" w:lineRule="auto"/>
        <w:rPr>
          <w:sz w:val="20"/>
          <w:szCs w:val="20"/>
          <w:color w:val="auto"/>
        </w:rPr>
      </w:pPr>
      <w:r>
        <w:rPr>
          <w:rFonts w:ascii="Courier New" w:cs="Courier New" w:eastAsia="Courier New" w:hAnsi="Courier New"/>
          <w:sz w:val="12"/>
          <w:szCs w:val="12"/>
          <w:color w:val="auto"/>
        </w:rPr>
        <w:t>accordance with U.S. GAAP. The loss per share for 2006, 2005 and 2004</w:t>
      </w:r>
    </w:p>
    <w:p>
      <w:pPr>
        <w:ind w:left="700"/>
        <w:spacing w:after="0"/>
        <w:rPr>
          <w:sz w:val="20"/>
          <w:szCs w:val="20"/>
          <w:color w:val="auto"/>
        </w:rPr>
      </w:pPr>
      <w:r>
        <w:rPr>
          <w:rFonts w:ascii="Courier New" w:cs="Courier New" w:eastAsia="Courier New" w:hAnsi="Courier New"/>
          <w:sz w:val="12"/>
          <w:szCs w:val="12"/>
          <w:color w:val="auto"/>
        </w:rPr>
        <w:t>according to U.S. GAAP differs from the corresponding amount under</w:t>
      </w:r>
    </w:p>
    <w:p>
      <w:pPr>
        <w:ind w:left="700"/>
        <w:spacing w:after="0" w:line="237" w:lineRule="auto"/>
        <w:rPr>
          <w:sz w:val="20"/>
          <w:szCs w:val="20"/>
          <w:color w:val="auto"/>
        </w:rPr>
      </w:pPr>
      <w:r>
        <w:rPr>
          <w:rFonts w:ascii="Courier New" w:cs="Courier New" w:eastAsia="Courier New" w:hAnsi="Courier New"/>
          <w:sz w:val="12"/>
          <w:szCs w:val="12"/>
          <w:color w:val="auto"/>
        </w:rPr>
        <w:t>Israeli GAAP due to different methods for determining the loss used to</w:t>
      </w:r>
    </w:p>
    <w:p>
      <w:pPr>
        <w:ind w:left="700"/>
        <w:spacing w:after="0"/>
        <w:rPr>
          <w:sz w:val="20"/>
          <w:szCs w:val="20"/>
          <w:color w:val="auto"/>
        </w:rPr>
      </w:pPr>
      <w:r>
        <w:rPr>
          <w:rFonts w:ascii="Courier New" w:cs="Courier New" w:eastAsia="Courier New" w:hAnsi="Courier New"/>
          <w:sz w:val="12"/>
          <w:szCs w:val="12"/>
          <w:color w:val="auto"/>
        </w:rPr>
        <w:t>compute loss per share.</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RECONCILIATION FOR 2006:</w:t>
      </w:r>
    </w:p>
    <w:p>
      <w:pPr>
        <w:spacing w:after="0" w:line="134" w:lineRule="exact"/>
        <w:rPr>
          <w:sz w:val="20"/>
          <w:szCs w:val="20"/>
          <w:color w:val="auto"/>
        </w:rPr>
      </w:pPr>
    </w:p>
    <w:p>
      <w:pPr>
        <w:ind w:left="3860"/>
        <w:spacing w:after="0"/>
        <w:rPr>
          <w:sz w:val="20"/>
          <w:szCs w:val="20"/>
          <w:color w:val="auto"/>
        </w:rPr>
      </w:pPr>
      <w:r>
        <w:rPr>
          <w:rFonts w:ascii="Courier New" w:cs="Courier New" w:eastAsia="Courier New" w:hAnsi="Courier New"/>
          <w:sz w:val="12"/>
          <w:szCs w:val="12"/>
          <w:color w:val="auto"/>
        </w:rPr>
        <w:t>Year ended December 31, 2006</w:t>
      </w:r>
    </w:p>
    <w:p>
      <w:pPr>
        <w:ind w:left="3360"/>
        <w:spacing w:after="0"/>
        <w:rPr>
          <w:sz w:val="20"/>
          <w:szCs w:val="20"/>
          <w:color w:val="auto"/>
        </w:rPr>
      </w:pPr>
      <w:r>
        <w:rPr>
          <w:rFonts w:ascii="Courier New" w:cs="Courier New" w:eastAsia="Courier New" w:hAnsi="Courier New"/>
          <w:sz w:val="12"/>
          <w:szCs w:val="12"/>
          <w:color w:val="auto"/>
        </w:rPr>
        <w:t>------------------------------------------</w:t>
      </w:r>
    </w:p>
    <w:p>
      <w:pPr>
        <w:ind w:left="4620"/>
        <w:spacing w:after="0" w:line="237" w:lineRule="auto"/>
        <w:rPr>
          <w:sz w:val="20"/>
          <w:szCs w:val="20"/>
          <w:color w:val="auto"/>
        </w:rPr>
      </w:pPr>
      <w:r>
        <w:rPr>
          <w:rFonts w:ascii="Courier New" w:cs="Courier New" w:eastAsia="Courier New" w:hAnsi="Courier New"/>
          <w:sz w:val="12"/>
          <w:szCs w:val="12"/>
          <w:color w:val="auto"/>
        </w:rPr>
        <w:t>Shares</w:t>
      </w:r>
    </w:p>
    <w:p>
      <w:pPr>
        <w:ind w:left="3500"/>
        <w:spacing w:after="0"/>
        <w:tabs>
          <w:tab w:leader="none" w:pos="4400" w:val="left"/>
          <w:tab w:leader="none" w:pos="5660" w:val="left"/>
        </w:tabs>
        <w:rPr>
          <w:sz w:val="20"/>
          <w:szCs w:val="20"/>
          <w:color w:val="auto"/>
        </w:rPr>
      </w:pPr>
      <w:r>
        <w:rPr>
          <w:rFonts w:ascii="Courier New" w:cs="Courier New" w:eastAsia="Courier New" w:hAnsi="Courier New"/>
          <w:sz w:val="12"/>
          <w:szCs w:val="12"/>
          <w:color w:val="auto"/>
        </w:rPr>
        <w:t>Loss</w:t>
      </w:r>
      <w:r>
        <w:rPr>
          <w:sz w:val="20"/>
          <w:szCs w:val="20"/>
          <w:color w:val="auto"/>
        </w:rPr>
        <w:tab/>
      </w:r>
      <w:r>
        <w:rPr>
          <w:rFonts w:ascii="Courier New" w:cs="Courier New" w:eastAsia="Courier New" w:hAnsi="Courier New"/>
          <w:sz w:val="12"/>
          <w:szCs w:val="12"/>
          <w:color w:val="auto"/>
        </w:rPr>
        <w:t>(in thousands)</w:t>
      </w:r>
      <w:r>
        <w:rPr>
          <w:sz w:val="20"/>
          <w:szCs w:val="20"/>
          <w:color w:val="auto"/>
        </w:rPr>
        <w:tab/>
      </w:r>
      <w:r>
        <w:rPr>
          <w:rFonts w:ascii="Courier New" w:cs="Courier New" w:eastAsia="Courier New" w:hAnsi="Courier New"/>
          <w:sz w:val="11"/>
          <w:szCs w:val="11"/>
          <w:color w:val="auto"/>
        </w:rPr>
        <w:t>Per-share</w:t>
      </w:r>
    </w:p>
    <w:p>
      <w:pPr>
        <w:ind w:left="3300"/>
        <w:spacing w:after="0"/>
        <w:tabs>
          <w:tab w:leader="none" w:pos="4400" w:val="left"/>
          <w:tab w:leader="none" w:pos="5800" w:val="left"/>
        </w:tabs>
        <w:rPr>
          <w:sz w:val="20"/>
          <w:szCs w:val="20"/>
          <w:color w:val="auto"/>
        </w:rPr>
      </w:pPr>
      <w:r>
        <w:rPr>
          <w:rFonts w:ascii="Courier New" w:cs="Courier New" w:eastAsia="Courier New" w:hAnsi="Courier New"/>
          <w:sz w:val="12"/>
          <w:szCs w:val="12"/>
          <w:color w:val="auto"/>
        </w:rPr>
        <w:t>(Numerator)</w:t>
      </w:r>
      <w:r>
        <w:rPr>
          <w:sz w:val="20"/>
          <w:szCs w:val="20"/>
          <w:color w:val="auto"/>
        </w:rPr>
        <w:tab/>
      </w:r>
      <w:r>
        <w:rPr>
          <w:rFonts w:ascii="Courier New" w:cs="Courier New" w:eastAsia="Courier New" w:hAnsi="Courier New"/>
          <w:sz w:val="12"/>
          <w:szCs w:val="12"/>
          <w:color w:val="auto"/>
        </w:rPr>
        <w:t>(Denominator)</w:t>
      </w:r>
      <w:r>
        <w:rPr>
          <w:sz w:val="20"/>
          <w:szCs w:val="20"/>
          <w:color w:val="auto"/>
        </w:rPr>
        <w:tab/>
      </w:r>
      <w:r>
        <w:rPr>
          <w:rFonts w:ascii="Courier New" w:cs="Courier New" w:eastAsia="Courier New" w:hAnsi="Courier New"/>
          <w:sz w:val="11"/>
          <w:szCs w:val="11"/>
          <w:color w:val="auto"/>
        </w:rPr>
        <w:t>Amount</w:t>
      </w:r>
    </w:p>
    <w:p>
      <w:pPr>
        <w:ind w:left="3360"/>
        <w:spacing w:after="0"/>
        <w:tabs>
          <w:tab w:leader="none" w:pos="4540" w:val="left"/>
          <w:tab w:leader="none" w:pos="56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BASIC LOSS PER SHARE</w:t>
      </w:r>
    </w:p>
    <w:p>
      <w:pPr>
        <w:sectPr>
          <w:pgSz w:w="11900" w:h="16838" w:orient="portrait"/>
          <w:cols w:equalWidth="0" w:num="1">
            <w:col w:w="11520"/>
          </w:cols>
          <w:pgMar w:left="220" w:top="137" w:right="159"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$(167,927)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82,581</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(2.03)</w:t>
      </w:r>
    </w:p>
    <w:p>
      <w:pPr>
        <w:spacing w:after="0" w:line="145" w:lineRule="exact"/>
        <w:rPr>
          <w:sz w:val="20"/>
          <w:szCs w:val="20"/>
          <w:color w:val="auto"/>
        </w:rPr>
      </w:pPr>
    </w:p>
    <w:p>
      <w:pPr>
        <w:sectPr>
          <w:pgSz w:w="11900" w:h="16838" w:orient="portrait"/>
          <w:cols w:equalWidth="0" w:num="4">
            <w:col w:w="2740" w:space="620"/>
            <w:col w:w="700" w:space="700"/>
            <w:col w:w="440" w:space="480"/>
            <w:col w:w="5840"/>
          </w:cols>
          <w:pgMar w:left="220" w:top="137" w:right="159"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EFFECT OF DILUTIVE SECURITIES</w:t>
      </w:r>
    </w:p>
    <w:p>
      <w:pPr>
        <w:sectPr>
          <w:pgSz w:w="11900" w:h="16838" w:orient="portrait"/>
          <w:cols w:equalWidth="0" w:num="1">
            <w:col w:w="11520"/>
          </w:cols>
          <w:pgMar w:left="220" w:top="137" w:right="159"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Convertible debentures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Options and warrants</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2"/>
          <w:szCs w:val="12"/>
          <w:color w:val="auto"/>
        </w:rPr>
        <w:t>-</w:t>
      </w:r>
    </w:p>
    <w:p>
      <w:pPr>
        <w:ind w:left="56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2"/>
          <w:szCs w:val="12"/>
          <w:color w:val="auto"/>
        </w:rPr>
        <w:t>-</w:t>
      </w:r>
    </w:p>
    <w:p>
      <w:pPr>
        <w:jc w:val="right"/>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jc w:val="right"/>
        <w:ind w:right="5200"/>
        <w:spacing w:after="0"/>
        <w:rPr>
          <w:sz w:val="20"/>
          <w:szCs w:val="20"/>
          <w:color w:val="auto"/>
        </w:rPr>
      </w:pPr>
      <w:r>
        <w:rPr>
          <w:rFonts w:ascii="Courier New" w:cs="Courier New" w:eastAsia="Courier New" w:hAnsi="Courier New"/>
          <w:sz w:val="12"/>
          <w:szCs w:val="12"/>
          <w:color w:val="auto"/>
        </w:rPr>
        <w:t>-</w:t>
      </w:r>
    </w:p>
    <w:p>
      <w:pPr>
        <w:jc w:val="right"/>
        <w:ind w:right="520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jc w:val="right"/>
        <w:ind w:right="5200"/>
        <w:spacing w:after="0"/>
        <w:rPr>
          <w:sz w:val="20"/>
          <w:szCs w:val="20"/>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sectPr>
          <w:pgSz w:w="11900" w:h="16838" w:orient="portrait"/>
          <w:cols w:equalWidth="0" w:num="4">
            <w:col w:w="2640" w:space="720"/>
            <w:col w:w="640" w:space="560"/>
            <w:col w:w="640" w:space="480"/>
            <w:col w:w="5840"/>
          </w:cols>
          <w:pgMar w:left="220" w:top="137" w:right="159"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DILUTED LOSS PER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Loss available to ordinary</w:t>
      </w:r>
    </w:p>
    <w:p>
      <w:pPr>
        <w:sectPr>
          <w:pgSz w:w="11900" w:h="16838" w:orient="portrait"/>
          <w:cols w:equalWidth="0" w:num="1">
            <w:col w:w="11520"/>
          </w:cols>
          <w:pgMar w:left="220" w:top="137" w:right="159" w:bottom="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1"/>
          <w:szCs w:val="11"/>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$(167,927)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2"/>
          <w:szCs w:val="12"/>
          <w:color w:val="auto"/>
        </w:rPr>
        <w:t>82,581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(2.03)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4">
            <w:col w:w="2880" w:space="480"/>
            <w:col w:w="700" w:space="500"/>
            <w:col w:w="640" w:space="480"/>
            <w:col w:w="5840"/>
          </w:cols>
          <w:pgMar w:left="220" w:top="137" w:right="159" w:bottom="0" w:gutter="0" w:footer="0" w:header="0"/>
          <w:type w:val="continuous"/>
        </w:sectPr>
      </w:pPr>
    </w:p>
    <w:bookmarkStart w:id="41" w:name="page42"/>
    <w:bookmarkEnd w:id="41"/>
    <w:p>
      <w:pPr>
        <w:ind w:left="700"/>
        <w:spacing w:after="0"/>
        <w:rPr>
          <w:sz w:val="20"/>
          <w:szCs w:val="20"/>
          <w:color w:val="auto"/>
        </w:rPr>
      </w:pPr>
      <w:r>
        <w:rPr>
          <w:rFonts w:ascii="Courier New" w:cs="Courier New" w:eastAsia="Courier New" w:hAnsi="Courier New"/>
          <w:sz w:val="12"/>
          <w:szCs w:val="12"/>
          <w:color w:val="auto"/>
        </w:rPr>
        <w:t>Options and warrants to purchase 43,842,508 Ordinary Shares at an</w:t>
      </w:r>
    </w:p>
    <w:p>
      <w:pPr>
        <w:ind w:left="700"/>
        <w:spacing w:after="0"/>
        <w:rPr>
          <w:sz w:val="20"/>
          <w:szCs w:val="20"/>
          <w:color w:val="auto"/>
        </w:rPr>
      </w:pPr>
      <w:r>
        <w:rPr>
          <w:rFonts w:ascii="Courier New" w:cs="Courier New" w:eastAsia="Courier New" w:hAnsi="Courier New"/>
          <w:sz w:val="12"/>
          <w:szCs w:val="12"/>
          <w:color w:val="auto"/>
        </w:rPr>
        <w:t>average exercise price of $1.92 per share were outstanding as of</w:t>
      </w:r>
    </w:p>
    <w:p>
      <w:pPr>
        <w:ind w:left="700"/>
        <w:spacing w:after="0" w:line="237" w:lineRule="auto"/>
        <w:rPr>
          <w:sz w:val="20"/>
          <w:szCs w:val="20"/>
          <w:color w:val="auto"/>
        </w:rPr>
      </w:pPr>
      <w:r>
        <w:rPr>
          <w:rFonts w:ascii="Courier New" w:cs="Courier New" w:eastAsia="Courier New" w:hAnsi="Courier New"/>
          <w:sz w:val="12"/>
          <w:szCs w:val="12"/>
          <w:color w:val="auto"/>
        </w:rPr>
        <w:t>December 31, 2006 but were not included in the computation of diluted</w:t>
      </w:r>
    </w:p>
    <w:p>
      <w:pPr>
        <w:ind w:left="700"/>
        <w:spacing w:after="0"/>
        <w:rPr>
          <w:sz w:val="20"/>
          <w:szCs w:val="20"/>
          <w:color w:val="auto"/>
        </w:rPr>
      </w:pPr>
      <w:r>
        <w:rPr>
          <w:rFonts w:ascii="Courier New" w:cs="Courier New" w:eastAsia="Courier New" w:hAnsi="Courier New"/>
          <w:sz w:val="12"/>
          <w:szCs w:val="12"/>
          <w:color w:val="auto"/>
        </w:rPr>
        <w:t>loss per share because their effect was anti-dilutive. Convertible</w:t>
      </w:r>
    </w:p>
    <w:p>
      <w:pPr>
        <w:ind w:left="700"/>
        <w:spacing w:after="0" w:line="237" w:lineRule="auto"/>
        <w:rPr>
          <w:sz w:val="20"/>
          <w:szCs w:val="20"/>
          <w:color w:val="auto"/>
        </w:rPr>
      </w:pPr>
      <w:r>
        <w:rPr>
          <w:rFonts w:ascii="Courier New" w:cs="Courier New" w:eastAsia="Courier New" w:hAnsi="Courier New"/>
          <w:sz w:val="12"/>
          <w:szCs w:val="12"/>
          <w:color w:val="auto"/>
        </w:rPr>
        <w:t>debentures, convertible into 53,314,471 Ordinary Shares, were</w:t>
      </w:r>
    </w:p>
    <w:p>
      <w:pPr>
        <w:ind w:left="700"/>
        <w:spacing w:after="0"/>
        <w:rPr>
          <w:sz w:val="20"/>
          <w:szCs w:val="20"/>
          <w:color w:val="auto"/>
        </w:rPr>
      </w:pPr>
      <w:r>
        <w:rPr>
          <w:rFonts w:ascii="Courier New" w:cs="Courier New" w:eastAsia="Courier New" w:hAnsi="Courier New"/>
          <w:sz w:val="12"/>
          <w:szCs w:val="12"/>
          <w:color w:val="auto"/>
        </w:rPr>
        <w:t>outstanding as of December 31, 2006 but were not included in the</w:t>
      </w:r>
    </w:p>
    <w:p>
      <w:pPr>
        <w:ind w:left="700"/>
        <w:spacing w:after="0" w:line="237" w:lineRule="auto"/>
        <w:rPr>
          <w:sz w:val="20"/>
          <w:szCs w:val="20"/>
          <w:color w:val="auto"/>
        </w:rPr>
      </w:pPr>
      <w:r>
        <w:rPr>
          <w:rFonts w:ascii="Courier New" w:cs="Courier New" w:eastAsia="Courier New" w:hAnsi="Courier New"/>
          <w:sz w:val="12"/>
          <w:szCs w:val="12"/>
          <w:color w:val="auto"/>
        </w:rPr>
        <w:t>computation of diluted loss per share since their effect is</w:t>
      </w:r>
    </w:p>
    <w:p>
      <w:pPr>
        <w:ind w:left="700"/>
        <w:spacing w:after="0"/>
        <w:rPr>
          <w:sz w:val="20"/>
          <w:szCs w:val="20"/>
          <w:color w:val="auto"/>
        </w:rPr>
      </w:pPr>
      <w:r>
        <w:rPr>
          <w:rFonts w:ascii="Courier New" w:cs="Courier New" w:eastAsia="Courier New" w:hAnsi="Courier New"/>
          <w:sz w:val="12"/>
          <w:szCs w:val="12"/>
          <w:color w:val="auto"/>
        </w:rPr>
        <w:t>anti-dilutive. Capital notes, convertible into 117,763,158 Ordinary</w:t>
      </w:r>
    </w:p>
    <w:p>
      <w:pPr>
        <w:ind w:left="700"/>
        <w:spacing w:after="0" w:line="237" w:lineRule="auto"/>
        <w:rPr>
          <w:sz w:val="20"/>
          <w:szCs w:val="20"/>
          <w:color w:val="auto"/>
        </w:rPr>
      </w:pPr>
      <w:r>
        <w:rPr>
          <w:rFonts w:ascii="Courier New" w:cs="Courier New" w:eastAsia="Courier New" w:hAnsi="Courier New"/>
          <w:sz w:val="12"/>
          <w:szCs w:val="12"/>
          <w:color w:val="auto"/>
        </w:rPr>
        <w:t>Shares, were outstanding as of December 31, 2006 but were not included</w:t>
      </w:r>
    </w:p>
    <w:p>
      <w:pPr>
        <w:ind w:left="700"/>
        <w:spacing w:after="0"/>
        <w:rPr>
          <w:sz w:val="20"/>
          <w:szCs w:val="20"/>
          <w:color w:val="auto"/>
        </w:rPr>
      </w:pPr>
      <w:r>
        <w:rPr>
          <w:rFonts w:ascii="Courier New" w:cs="Courier New" w:eastAsia="Courier New" w:hAnsi="Courier New"/>
          <w:sz w:val="12"/>
          <w:szCs w:val="12"/>
          <w:color w:val="auto"/>
        </w:rPr>
        <w:t>in the computation of diluted loss per share since their effect is</w:t>
      </w:r>
    </w:p>
    <w:p>
      <w:pPr>
        <w:ind w:left="700"/>
        <w:spacing w:after="0" w:line="237" w:lineRule="auto"/>
        <w:rPr>
          <w:sz w:val="20"/>
          <w:szCs w:val="20"/>
          <w:color w:val="auto"/>
        </w:rPr>
      </w:pPr>
      <w:r>
        <w:rPr>
          <w:rFonts w:ascii="Courier New" w:cs="Courier New" w:eastAsia="Courier New" w:hAnsi="Courier New"/>
          <w:sz w:val="12"/>
          <w:szCs w:val="12"/>
          <w:color w:val="auto"/>
        </w:rPr>
        <w:t>anti-dilutive.</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- 73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9" w:lineRule="exact"/>
        <w:rPr>
          <w:sz w:val="20"/>
          <w:szCs w:val="20"/>
          <w:color w:val="auto"/>
        </w:rPr>
      </w:pPr>
    </w:p>
    <w:p>
      <w:pPr>
        <w:ind w:left="340" w:right="4839" w:firstLine="3"/>
        <w:spacing w:after="0" w:line="469" w:lineRule="auto"/>
        <w:tabs>
          <w:tab w:leader="none" w:pos="691" w:val="left"/>
        </w:tabs>
        <w:numPr>
          <w:ilvl w:val="0"/>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SHARE DATA IN ACCORDANCE WITH U.S. GAAP (SFAS 128) (cont.) RECONCILIATION FOR 2005: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00" w:type="dxa"/>
            <w:vAlign w:val="bottom"/>
          </w:tcPr>
          <w:p>
            <w:pPr>
              <w:spacing w:after="0"/>
              <w:rPr>
                <w:sz w:val="11"/>
                <w:szCs w:val="11"/>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Year ended December 31,</w:t>
            </w:r>
          </w:p>
        </w:tc>
        <w:tc>
          <w:tcPr>
            <w:tcW w:w="7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3400" w:type="dxa"/>
            <w:vAlign w:val="bottom"/>
          </w:tcPr>
          <w:p>
            <w:pPr>
              <w:spacing w:after="0"/>
              <w:rPr>
                <w:sz w:val="11"/>
                <w:szCs w:val="11"/>
                <w:color w:val="auto"/>
              </w:rPr>
            </w:pPr>
          </w:p>
        </w:tc>
        <w:tc>
          <w:tcPr>
            <w:tcW w:w="3060" w:type="dxa"/>
            <w:vAlign w:val="bottom"/>
            <w:gridSpan w:val="4"/>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Shares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3400" w:type="dxa"/>
            <w:vAlign w:val="bottom"/>
          </w:tcPr>
          <w:p>
            <w:pPr>
              <w:spacing w:after="0"/>
              <w:rPr>
                <w:sz w:val="11"/>
                <w:szCs w:val="11"/>
                <w:color w:val="auto"/>
              </w:rPr>
            </w:pPr>
          </w:p>
        </w:tc>
        <w:tc>
          <w:tcPr>
            <w:tcW w:w="112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Loss</w:t>
            </w:r>
          </w:p>
        </w:tc>
        <w:tc>
          <w:tcPr>
            <w:tcW w:w="12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(in Thousands)</w:t>
            </w:r>
          </w:p>
        </w:tc>
        <w:tc>
          <w:tcPr>
            <w:tcW w:w="7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8"/>
              </w:rPr>
              <w:t>Per-share</w:t>
            </w:r>
          </w:p>
        </w:tc>
      </w:tr>
      <w:tr>
        <w:trPr>
          <w:trHeight w:val="135"/>
        </w:trPr>
        <w:tc>
          <w:tcPr>
            <w:tcW w:w="3400" w:type="dxa"/>
            <w:vAlign w:val="bottom"/>
          </w:tcPr>
          <w:p>
            <w:pPr>
              <w:spacing w:after="0"/>
              <w:rPr>
                <w:sz w:val="11"/>
                <w:szCs w:val="11"/>
                <w:color w:val="auto"/>
              </w:rPr>
            </w:pPr>
          </w:p>
        </w:tc>
        <w:tc>
          <w:tcPr>
            <w:tcW w:w="11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(Numerator)</w:t>
            </w:r>
          </w:p>
        </w:tc>
        <w:tc>
          <w:tcPr>
            <w:tcW w:w="12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(Denominator)</w:t>
            </w:r>
          </w:p>
        </w:tc>
        <w:tc>
          <w:tcPr>
            <w:tcW w:w="140" w:type="dxa"/>
            <w:vAlign w:val="bottom"/>
          </w:tcPr>
          <w:p>
            <w:pPr>
              <w:spacing w:after="0"/>
              <w:rPr>
                <w:sz w:val="11"/>
                <w:szCs w:val="11"/>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amount</w:t>
            </w:r>
          </w:p>
        </w:tc>
      </w:tr>
      <w:tr>
        <w:trPr>
          <w:trHeight w:val="135"/>
        </w:trPr>
        <w:tc>
          <w:tcPr>
            <w:tcW w:w="3400" w:type="dxa"/>
            <w:vAlign w:val="bottom"/>
          </w:tcPr>
          <w:p>
            <w:pPr>
              <w:spacing w:after="0"/>
              <w:rPr>
                <w:sz w:val="11"/>
                <w:szCs w:val="11"/>
                <w:color w:val="auto"/>
              </w:rPr>
            </w:pP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8"/>
              </w:rPr>
              <w:t>---------</w:t>
            </w:r>
          </w:p>
        </w:tc>
      </w:tr>
      <w:tr>
        <w:trPr>
          <w:trHeight w:val="270"/>
        </w:trPr>
        <w:tc>
          <w:tcPr>
            <w:tcW w:w="340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1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Loss available to ordinary shareholders</w:t>
            </w:r>
          </w:p>
        </w:tc>
        <w:tc>
          <w:tcPr>
            <w:tcW w:w="11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$(203,082)</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66,371</w:t>
            </w:r>
          </w:p>
        </w:tc>
        <w:tc>
          <w:tcPr>
            <w:tcW w:w="14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(3.06)</w:t>
            </w:r>
          </w:p>
        </w:tc>
      </w:tr>
      <w:tr>
        <w:trPr>
          <w:trHeight w:val="270"/>
        </w:trPr>
        <w:tc>
          <w:tcPr>
            <w:tcW w:w="3400" w:type="dxa"/>
            <w:vAlign w:val="bottom"/>
          </w:tcPr>
          <w:p>
            <w:pPr>
              <w:spacing w:after="0"/>
              <w:rPr>
                <w:sz w:val="20"/>
                <w:szCs w:val="20"/>
                <w:color w:val="auto"/>
              </w:rPr>
            </w:pPr>
            <w:r>
              <w:rPr>
                <w:rFonts w:ascii="Courier New" w:cs="Courier New" w:eastAsia="Courier New" w:hAnsi="Courier New"/>
                <w:sz w:val="12"/>
                <w:szCs w:val="12"/>
                <w:color w:val="auto"/>
              </w:rPr>
              <w:t>EFFECT OF DILUTIVE SECURITIES</w:t>
            </w:r>
          </w:p>
        </w:tc>
        <w:tc>
          <w:tcPr>
            <w:tcW w:w="1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Convertible debentures</w:t>
            </w: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Options and warrants</w:t>
            </w: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400" w:type="dxa"/>
            <w:vAlign w:val="bottom"/>
          </w:tcPr>
          <w:p>
            <w:pPr>
              <w:spacing w:after="0"/>
              <w:rPr>
                <w:sz w:val="11"/>
                <w:szCs w:val="11"/>
                <w:color w:val="auto"/>
              </w:rPr>
            </w:pP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8"/>
              </w:rPr>
              <w:t>---------</w:t>
            </w:r>
          </w:p>
        </w:tc>
      </w:tr>
      <w:tr>
        <w:trPr>
          <w:trHeight w:val="270"/>
        </w:trPr>
        <w:tc>
          <w:tcPr>
            <w:tcW w:w="3400" w:type="dxa"/>
            <w:vAlign w:val="bottom"/>
          </w:tcPr>
          <w:p>
            <w:pPr>
              <w:spacing w:after="0"/>
              <w:rPr>
                <w:sz w:val="20"/>
                <w:szCs w:val="20"/>
                <w:color w:val="auto"/>
              </w:rPr>
            </w:pPr>
            <w:r>
              <w:rPr>
                <w:rFonts w:ascii="Courier New" w:cs="Courier New" w:eastAsia="Courier New" w:hAnsi="Courier New"/>
                <w:sz w:val="12"/>
                <w:szCs w:val="12"/>
                <w:color w:val="auto"/>
              </w:rPr>
              <w:t>DILUTED LOSS PER SHARE</w:t>
            </w:r>
          </w:p>
        </w:tc>
        <w:tc>
          <w:tcPr>
            <w:tcW w:w="1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Loss available to ordinary shareholders after</w:t>
            </w: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assumed conversions</w:t>
            </w:r>
          </w:p>
        </w:tc>
        <w:tc>
          <w:tcPr>
            <w:tcW w:w="11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$(203,082)</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66,371</w:t>
            </w:r>
          </w:p>
        </w:tc>
        <w:tc>
          <w:tcPr>
            <w:tcW w:w="14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(3.06)</w:t>
            </w:r>
          </w:p>
        </w:tc>
      </w:tr>
      <w:tr>
        <w:trPr>
          <w:trHeight w:val="135"/>
        </w:trPr>
        <w:tc>
          <w:tcPr>
            <w:tcW w:w="3400" w:type="dxa"/>
            <w:vAlign w:val="bottom"/>
          </w:tcPr>
          <w:p>
            <w:pPr>
              <w:spacing w:after="0"/>
              <w:rPr>
                <w:sz w:val="11"/>
                <w:szCs w:val="11"/>
                <w:color w:val="auto"/>
              </w:rPr>
            </w:pP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8"/>
              </w:rPr>
              <w:t>=========</w:t>
            </w:r>
          </w:p>
        </w:tc>
      </w:tr>
    </w:tbl>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Options and warrants to purchase 28,437,207 Ordinary Shares at an</w:t>
      </w:r>
    </w:p>
    <w:p>
      <w:pPr>
        <w:ind w:left="700"/>
        <w:spacing w:after="0"/>
        <w:rPr>
          <w:sz w:val="20"/>
          <w:szCs w:val="20"/>
          <w:color w:val="auto"/>
        </w:rPr>
      </w:pPr>
      <w:r>
        <w:rPr>
          <w:rFonts w:ascii="Courier New" w:cs="Courier New" w:eastAsia="Courier New" w:hAnsi="Courier New"/>
          <w:sz w:val="12"/>
          <w:szCs w:val="12"/>
          <w:color w:val="auto"/>
        </w:rPr>
        <w:t>average exercise price of $4.23 per share were outstanding as of</w:t>
      </w:r>
    </w:p>
    <w:p>
      <w:pPr>
        <w:ind w:left="700"/>
        <w:spacing w:after="0" w:line="237" w:lineRule="auto"/>
        <w:rPr>
          <w:sz w:val="20"/>
          <w:szCs w:val="20"/>
          <w:color w:val="auto"/>
        </w:rPr>
      </w:pPr>
      <w:r>
        <w:rPr>
          <w:rFonts w:ascii="Courier New" w:cs="Courier New" w:eastAsia="Courier New" w:hAnsi="Courier New"/>
          <w:sz w:val="12"/>
          <w:szCs w:val="12"/>
          <w:color w:val="auto"/>
        </w:rPr>
        <w:t>December 31, 2005 but were not included in the computation of diluted</w:t>
      </w:r>
    </w:p>
    <w:p>
      <w:pPr>
        <w:ind w:left="700"/>
        <w:spacing w:after="0"/>
        <w:rPr>
          <w:sz w:val="20"/>
          <w:szCs w:val="20"/>
          <w:color w:val="auto"/>
        </w:rPr>
      </w:pPr>
      <w:r>
        <w:rPr>
          <w:rFonts w:ascii="Courier New" w:cs="Courier New" w:eastAsia="Courier New" w:hAnsi="Courier New"/>
          <w:sz w:val="12"/>
          <w:szCs w:val="12"/>
          <w:color w:val="auto"/>
        </w:rPr>
        <w:t>loss per share because their effect was anti-dilutive. Convertible</w:t>
      </w:r>
    </w:p>
    <w:p>
      <w:pPr>
        <w:ind w:left="700"/>
        <w:spacing w:after="0" w:line="237" w:lineRule="auto"/>
        <w:rPr>
          <w:sz w:val="20"/>
          <w:szCs w:val="20"/>
          <w:color w:val="auto"/>
        </w:rPr>
      </w:pPr>
      <w:r>
        <w:rPr>
          <w:rFonts w:ascii="Courier New" w:cs="Courier New" w:eastAsia="Courier New" w:hAnsi="Courier New"/>
          <w:sz w:val="12"/>
          <w:szCs w:val="12"/>
          <w:color w:val="auto"/>
        </w:rPr>
        <w:t>debentures, convertible into 25,872,523 Ordinary Shares, were</w:t>
      </w:r>
    </w:p>
    <w:p>
      <w:pPr>
        <w:ind w:left="700"/>
        <w:spacing w:after="0"/>
        <w:rPr>
          <w:sz w:val="20"/>
          <w:szCs w:val="20"/>
          <w:color w:val="auto"/>
        </w:rPr>
      </w:pPr>
      <w:r>
        <w:rPr>
          <w:rFonts w:ascii="Courier New" w:cs="Courier New" w:eastAsia="Courier New" w:hAnsi="Courier New"/>
          <w:sz w:val="12"/>
          <w:szCs w:val="12"/>
          <w:color w:val="auto"/>
        </w:rPr>
        <w:t>outstanding as of December 31, 2005 but were not included in the</w:t>
      </w:r>
    </w:p>
    <w:p>
      <w:pPr>
        <w:ind w:left="700"/>
        <w:spacing w:after="0" w:line="237" w:lineRule="auto"/>
        <w:rPr>
          <w:sz w:val="20"/>
          <w:szCs w:val="20"/>
          <w:color w:val="auto"/>
        </w:rPr>
      </w:pPr>
      <w:r>
        <w:rPr>
          <w:rFonts w:ascii="Courier New" w:cs="Courier New" w:eastAsia="Courier New" w:hAnsi="Courier New"/>
          <w:sz w:val="12"/>
          <w:szCs w:val="12"/>
          <w:color w:val="auto"/>
        </w:rPr>
        <w:t>computation of diluted loss per share since their effect is</w:t>
      </w:r>
    </w:p>
    <w:p>
      <w:pPr>
        <w:ind w:left="700"/>
        <w:spacing w:after="0"/>
        <w:rPr>
          <w:sz w:val="20"/>
          <w:szCs w:val="20"/>
          <w:color w:val="auto"/>
        </w:rPr>
      </w:pPr>
      <w:r>
        <w:rPr>
          <w:rFonts w:ascii="Courier New" w:cs="Courier New" w:eastAsia="Courier New" w:hAnsi="Courier New"/>
          <w:sz w:val="12"/>
          <w:szCs w:val="12"/>
          <w:color w:val="auto"/>
        </w:rPr>
        <w:t>anti-dilutive.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360" w:type="dxa"/>
            <w:vAlign w:val="bottom"/>
          </w:tcPr>
          <w:p>
            <w:pPr>
              <w:ind w:left="340"/>
              <w:spacing w:after="0"/>
              <w:rPr>
                <w:sz w:val="20"/>
                <w:szCs w:val="20"/>
                <w:color w:val="auto"/>
              </w:rPr>
            </w:pPr>
            <w:r>
              <w:rPr>
                <w:rFonts w:ascii="Courier New" w:cs="Courier New" w:eastAsia="Courier New" w:hAnsi="Courier New"/>
                <w:sz w:val="12"/>
                <w:szCs w:val="12"/>
                <w:color w:val="auto"/>
              </w:rPr>
              <w:t>RECONCILIATION FOR 2004:</w:t>
            </w:r>
          </w:p>
        </w:tc>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3360" w:type="dxa"/>
            <w:vAlign w:val="bottom"/>
          </w:tcPr>
          <w:p>
            <w:pPr>
              <w:spacing w:after="0"/>
              <w:rPr>
                <w:sz w:val="23"/>
                <w:szCs w:val="23"/>
                <w:color w:val="auto"/>
              </w:rPr>
            </w:pPr>
          </w:p>
        </w:tc>
        <w:tc>
          <w:tcPr>
            <w:tcW w:w="3300" w:type="dxa"/>
            <w:vAlign w:val="bottom"/>
            <w:gridSpan w:val="4"/>
          </w:tcPr>
          <w:p>
            <w:pPr>
              <w:jc w:val="center"/>
              <w:ind w:left="301"/>
              <w:spacing w:after="0"/>
              <w:rPr>
                <w:sz w:val="20"/>
                <w:szCs w:val="20"/>
                <w:color w:val="auto"/>
              </w:rPr>
            </w:pPr>
            <w:r>
              <w:rPr>
                <w:rFonts w:ascii="Courier New" w:cs="Courier New" w:eastAsia="Courier New" w:hAnsi="Courier New"/>
                <w:sz w:val="12"/>
                <w:szCs w:val="12"/>
                <w:color w:val="auto"/>
                <w:w w:val="98"/>
              </w:rPr>
              <w:t>Year ended December 31, 2004</w:t>
            </w:r>
          </w:p>
        </w:tc>
      </w:tr>
      <w:tr>
        <w:trPr>
          <w:trHeight w:val="135"/>
        </w:trPr>
        <w:tc>
          <w:tcPr>
            <w:tcW w:w="3360" w:type="dxa"/>
            <w:vAlign w:val="bottom"/>
          </w:tcPr>
          <w:p>
            <w:pPr>
              <w:spacing w:after="0"/>
              <w:rPr>
                <w:sz w:val="11"/>
                <w:szCs w:val="11"/>
                <w:color w:val="auto"/>
              </w:rPr>
            </w:pPr>
          </w:p>
        </w:tc>
        <w:tc>
          <w:tcPr>
            <w:tcW w:w="330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2"/>
                <w:szCs w:val="12"/>
                <w:color w:val="auto"/>
                <w:w w:val="97"/>
              </w:rPr>
              <w:t>Shares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3360" w:type="dxa"/>
            <w:vAlign w:val="bottom"/>
          </w:tcPr>
          <w:p>
            <w:pPr>
              <w:spacing w:after="0"/>
              <w:rPr>
                <w:sz w:val="11"/>
                <w:szCs w:val="11"/>
                <w:color w:val="auto"/>
              </w:rPr>
            </w:pPr>
          </w:p>
        </w:tc>
        <w:tc>
          <w:tcPr>
            <w:tcW w:w="116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Loss</w:t>
            </w:r>
          </w:p>
        </w:tc>
        <w:tc>
          <w:tcPr>
            <w:tcW w:w="1300" w:type="dxa"/>
            <w:vAlign w:val="bottom"/>
          </w:tcPr>
          <w:p>
            <w:pPr>
              <w:jc w:val="center"/>
              <w:spacing w:after="0"/>
              <w:rPr>
                <w:sz w:val="20"/>
                <w:szCs w:val="20"/>
                <w:color w:val="auto"/>
              </w:rPr>
            </w:pPr>
            <w:r>
              <w:rPr>
                <w:rFonts w:ascii="Courier New" w:cs="Courier New" w:eastAsia="Courier New" w:hAnsi="Courier New"/>
                <w:sz w:val="12"/>
                <w:szCs w:val="12"/>
                <w:color w:val="auto"/>
                <w:w w:val="97"/>
              </w:rPr>
              <w:t>(in Thousands)</w:t>
            </w:r>
          </w:p>
        </w:tc>
        <w:tc>
          <w:tcPr>
            <w:tcW w:w="8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Per-share</w:t>
            </w:r>
          </w:p>
        </w:tc>
      </w:tr>
      <w:tr>
        <w:trPr>
          <w:trHeight w:val="135"/>
        </w:trPr>
        <w:tc>
          <w:tcPr>
            <w:tcW w:w="3360" w:type="dxa"/>
            <w:vAlign w:val="bottom"/>
          </w:tcPr>
          <w:p>
            <w:pPr>
              <w:spacing w:after="0"/>
              <w:rPr>
                <w:sz w:val="11"/>
                <w:szCs w:val="11"/>
                <w:color w:val="auto"/>
              </w:rPr>
            </w:pPr>
          </w:p>
        </w:tc>
        <w:tc>
          <w:tcPr>
            <w:tcW w:w="11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(Numerator)</w:t>
            </w:r>
          </w:p>
        </w:tc>
        <w:tc>
          <w:tcPr>
            <w:tcW w:w="13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(Denominator)</w:t>
            </w:r>
          </w:p>
        </w:tc>
        <w:tc>
          <w:tcPr>
            <w:tcW w:w="240" w:type="dxa"/>
            <w:vAlign w:val="bottom"/>
          </w:tcPr>
          <w:p>
            <w:pPr>
              <w:spacing w:after="0"/>
              <w:rPr>
                <w:sz w:val="11"/>
                <w:szCs w:val="11"/>
                <w:color w:val="auto"/>
              </w:rPr>
            </w:pP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amount</w:t>
            </w:r>
          </w:p>
        </w:tc>
      </w:tr>
      <w:tr>
        <w:trPr>
          <w:trHeight w:val="135"/>
        </w:trPr>
        <w:tc>
          <w:tcPr>
            <w:tcW w:w="3360" w:type="dxa"/>
            <w:vAlign w:val="bottom"/>
          </w:tcPr>
          <w:p>
            <w:pPr>
              <w:spacing w:after="0"/>
              <w:rPr>
                <w:sz w:val="11"/>
                <w:szCs w:val="11"/>
                <w:color w:val="auto"/>
              </w:rPr>
            </w:pPr>
          </w:p>
        </w:tc>
        <w:tc>
          <w:tcPr>
            <w:tcW w:w="11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Loss available to ordinary shareholders</w:t>
            </w:r>
          </w:p>
        </w:tc>
        <w:tc>
          <w:tcPr>
            <w:tcW w:w="11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$(137,768)</w:t>
            </w:r>
          </w:p>
        </w:tc>
        <w:tc>
          <w:tcPr>
            <w:tcW w:w="13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64,633</w:t>
            </w:r>
          </w:p>
        </w:tc>
        <w:tc>
          <w:tcPr>
            <w:tcW w:w="2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(2.13)</w:t>
            </w: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EFFECT OF DILUTIVE SECURITIES</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Convertible debentures</w:t>
            </w:r>
          </w:p>
        </w:tc>
        <w:tc>
          <w:tcPr>
            <w:tcW w:w="11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Options and warrants</w:t>
            </w:r>
          </w:p>
        </w:tc>
        <w:tc>
          <w:tcPr>
            <w:tcW w:w="11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360" w:type="dxa"/>
            <w:vAlign w:val="bottom"/>
          </w:tcPr>
          <w:p>
            <w:pPr>
              <w:spacing w:after="0"/>
              <w:rPr>
                <w:sz w:val="11"/>
                <w:szCs w:val="11"/>
                <w:color w:val="auto"/>
              </w:rPr>
            </w:pPr>
          </w:p>
        </w:tc>
        <w:tc>
          <w:tcPr>
            <w:tcW w:w="11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3360" w:type="dxa"/>
            <w:vAlign w:val="bottom"/>
          </w:tcPr>
          <w:p>
            <w:pPr>
              <w:spacing w:after="0"/>
              <w:rPr>
                <w:sz w:val="20"/>
                <w:szCs w:val="20"/>
                <w:color w:val="auto"/>
              </w:rPr>
            </w:pPr>
            <w:r>
              <w:rPr>
                <w:rFonts w:ascii="Courier New" w:cs="Courier New" w:eastAsia="Courier New" w:hAnsi="Courier New"/>
                <w:sz w:val="12"/>
                <w:szCs w:val="12"/>
                <w:color w:val="auto"/>
              </w:rPr>
              <w:t>DILUTED LOSS PER SHARE</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Loss available to ordinary Shareholders after</w:t>
            </w:r>
          </w:p>
        </w:tc>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Courier New" w:cs="Courier New" w:eastAsia="Courier New" w:hAnsi="Courier New"/>
                <w:sz w:val="12"/>
                <w:szCs w:val="12"/>
                <w:color w:val="auto"/>
              </w:rPr>
              <w:t>assumed conversions</w:t>
            </w:r>
          </w:p>
        </w:tc>
        <w:tc>
          <w:tcPr>
            <w:tcW w:w="11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$(137,768)</w:t>
            </w:r>
          </w:p>
        </w:tc>
        <w:tc>
          <w:tcPr>
            <w:tcW w:w="13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64,633</w:t>
            </w:r>
          </w:p>
        </w:tc>
        <w:tc>
          <w:tcPr>
            <w:tcW w:w="2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(2.13)</w:t>
            </w:r>
          </w:p>
        </w:tc>
      </w:tr>
      <w:tr>
        <w:trPr>
          <w:trHeight w:val="135"/>
        </w:trPr>
        <w:tc>
          <w:tcPr>
            <w:tcW w:w="3360" w:type="dxa"/>
            <w:vAlign w:val="bottom"/>
          </w:tcPr>
          <w:p>
            <w:pPr>
              <w:spacing w:after="0"/>
              <w:rPr>
                <w:sz w:val="11"/>
                <w:szCs w:val="11"/>
                <w:color w:val="auto"/>
              </w:rPr>
            </w:pPr>
          </w:p>
        </w:tc>
        <w:tc>
          <w:tcPr>
            <w:tcW w:w="11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Options and warrants to purchase 17,374,088 Ordinary Shares at an</w:t>
      </w:r>
    </w:p>
    <w:p>
      <w:pPr>
        <w:ind w:left="1040"/>
        <w:spacing w:after="0"/>
        <w:rPr>
          <w:sz w:val="20"/>
          <w:szCs w:val="20"/>
          <w:color w:val="auto"/>
        </w:rPr>
      </w:pPr>
      <w:r>
        <w:rPr>
          <w:rFonts w:ascii="Courier New" w:cs="Courier New" w:eastAsia="Courier New" w:hAnsi="Courier New"/>
          <w:sz w:val="12"/>
          <w:szCs w:val="12"/>
          <w:color w:val="auto"/>
        </w:rPr>
        <w:t>average exercise price of $6.61 per share were outstanding as of</w:t>
      </w:r>
    </w:p>
    <w:p>
      <w:pPr>
        <w:ind w:left="1040"/>
        <w:spacing w:after="0" w:line="237" w:lineRule="auto"/>
        <w:rPr>
          <w:sz w:val="20"/>
          <w:szCs w:val="20"/>
          <w:color w:val="auto"/>
        </w:rPr>
      </w:pPr>
      <w:r>
        <w:rPr>
          <w:rFonts w:ascii="Courier New" w:cs="Courier New" w:eastAsia="Courier New" w:hAnsi="Courier New"/>
          <w:sz w:val="12"/>
          <w:szCs w:val="12"/>
          <w:color w:val="auto"/>
        </w:rPr>
        <w:t>December 31, 2004 but were not included in the computation of</w:t>
      </w:r>
    </w:p>
    <w:p>
      <w:pPr>
        <w:ind w:left="1040"/>
        <w:spacing w:after="0"/>
        <w:rPr>
          <w:sz w:val="20"/>
          <w:szCs w:val="20"/>
          <w:color w:val="auto"/>
        </w:rPr>
      </w:pPr>
      <w:r>
        <w:rPr>
          <w:rFonts w:ascii="Courier New" w:cs="Courier New" w:eastAsia="Courier New" w:hAnsi="Courier New"/>
          <w:sz w:val="12"/>
          <w:szCs w:val="12"/>
          <w:color w:val="auto"/>
        </w:rPr>
        <w:t>diluted loss per share because their effect was anti-dilutive.</w:t>
      </w:r>
    </w:p>
    <w:p>
      <w:pPr>
        <w:ind w:left="1040"/>
        <w:spacing w:after="0" w:line="237" w:lineRule="auto"/>
        <w:rPr>
          <w:sz w:val="20"/>
          <w:szCs w:val="20"/>
          <w:color w:val="auto"/>
        </w:rPr>
      </w:pPr>
      <w:r>
        <w:rPr>
          <w:rFonts w:ascii="Courier New" w:cs="Courier New" w:eastAsia="Courier New" w:hAnsi="Courier New"/>
          <w:sz w:val="12"/>
          <w:szCs w:val="12"/>
          <w:color w:val="auto"/>
        </w:rPr>
        <w:t>Convertible debentures, convertible into 2,697,068 Ordinary</w:t>
      </w:r>
    </w:p>
    <w:p>
      <w:pPr>
        <w:ind w:left="1040"/>
        <w:spacing w:after="0"/>
        <w:rPr>
          <w:sz w:val="20"/>
          <w:szCs w:val="20"/>
          <w:color w:val="auto"/>
        </w:rPr>
      </w:pPr>
      <w:r>
        <w:rPr>
          <w:rFonts w:ascii="Courier New" w:cs="Courier New" w:eastAsia="Courier New" w:hAnsi="Courier New"/>
          <w:sz w:val="12"/>
          <w:szCs w:val="12"/>
          <w:color w:val="auto"/>
        </w:rPr>
        <w:t>Shares, were outstanding as of December 31, 2004 but were not</w:t>
      </w:r>
    </w:p>
    <w:p>
      <w:pPr>
        <w:ind w:left="1040"/>
        <w:spacing w:after="0" w:line="237" w:lineRule="auto"/>
        <w:rPr>
          <w:sz w:val="20"/>
          <w:szCs w:val="20"/>
          <w:color w:val="auto"/>
        </w:rPr>
      </w:pPr>
      <w:r>
        <w:rPr>
          <w:rFonts w:ascii="Courier New" w:cs="Courier New" w:eastAsia="Courier New" w:hAnsi="Courier New"/>
          <w:sz w:val="12"/>
          <w:szCs w:val="12"/>
          <w:color w:val="auto"/>
        </w:rPr>
        <w:t>included in the computation of diluted loss per share since their</w:t>
      </w:r>
    </w:p>
    <w:p>
      <w:pPr>
        <w:ind w:left="1040"/>
        <w:spacing w:after="0"/>
        <w:rPr>
          <w:sz w:val="20"/>
          <w:szCs w:val="20"/>
          <w:color w:val="auto"/>
        </w:rPr>
      </w:pPr>
      <w:r>
        <w:rPr>
          <w:rFonts w:ascii="Courier New" w:cs="Courier New" w:eastAsia="Courier New" w:hAnsi="Courier New"/>
          <w:sz w:val="12"/>
          <w:szCs w:val="12"/>
          <w:color w:val="auto"/>
        </w:rPr>
        <w:t>effect is anti-dilutive.</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- 74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MATERIAL DIFFERENCES BETWEEN ISRAEL AND U.S. GAAP (cont.)</w:t>
      </w:r>
    </w:p>
    <w:p>
      <w:pPr>
        <w:spacing w:after="0" w:line="134" w:lineRule="exact"/>
        <w:rPr>
          <w:sz w:val="20"/>
          <w:szCs w:val="20"/>
          <w:color w:val="auto"/>
        </w:rPr>
      </w:pPr>
    </w:p>
    <w:p>
      <w:pPr>
        <w:ind w:left="700" w:hanging="357"/>
        <w:spacing w:after="0"/>
        <w:tabs>
          <w:tab w:leader="none" w:pos="700"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CASH FLOWS IN ACCORDANCE WITH U.S. GAAP (SFAS 95)</w:t>
      </w:r>
    </w:p>
    <w:p>
      <w:pPr>
        <w:spacing w:after="0" w:line="138" w:lineRule="exact"/>
        <w:rPr>
          <w:rFonts w:ascii="Courier New" w:cs="Courier New" w:eastAsia="Courier New" w:hAnsi="Courier New"/>
          <w:sz w:val="12"/>
          <w:szCs w:val="12"/>
          <w:color w:val="auto"/>
        </w:rPr>
      </w:pPr>
    </w:p>
    <w:p>
      <w:pPr>
        <w:ind w:left="700"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95 would not have materially affected the cash flows of the Company for each of the years ended December 31, 2006, 2005 and 2004.</w:t>
      </w:r>
    </w:p>
    <w:p>
      <w:pPr>
        <w:sectPr>
          <w:pgSz w:w="11900" w:h="16838" w:orient="portrait"/>
          <w:cols w:equalWidth="0" w:num="1">
            <w:col w:w="10239"/>
          </w:cols>
          <w:pgMar w:left="220" w:top="272" w:right="1440" w:bottom="1440" w:gutter="0" w:footer="0" w:header="0"/>
        </w:sectPr>
      </w:pPr>
    </w:p>
    <w:bookmarkStart w:id="42" w:name="page43"/>
    <w:bookmarkEnd w:id="42"/>
    <w:p>
      <w:pPr>
        <w:jc w:val="center"/>
        <w:ind w:right="-140"/>
        <w:spacing w:after="0"/>
        <w:rPr>
          <w:sz w:val="20"/>
          <w:szCs w:val="20"/>
          <w:color w:val="auto"/>
        </w:rPr>
      </w:pPr>
      <w:r>
        <w:rPr>
          <w:rFonts w:ascii="Courier New" w:cs="Courier New" w:eastAsia="Courier New" w:hAnsi="Courier New"/>
          <w:sz w:val="11"/>
          <w:szCs w:val="11"/>
          <w:color w:val="auto"/>
        </w:rPr>
        <w:t>EXHIBIT 99.3</w:t>
      </w:r>
    </w:p>
    <w:p>
      <w:pPr>
        <w:spacing w:after="0" w:line="14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MANAGEMENT'S DISCUSSION AND ANALYSIS OF FINANCIAL</w:t>
      </w:r>
    </w:p>
    <w:p>
      <w:pPr>
        <w:spacing w:after="0" w:line="134"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CONDITION AND RESULTS OF OPERATIONS</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THE INFORMATION CONTAINED IN THIS SECTION SHOULD BE READ IN CONJUNCTION WITH OUR CONSOLIDATED FINANCIAL STATEMENTS AS OF DECEMBER 31, 2006 AND RELATED NOTES FOR THE YEAR THEN ENDED. OUR FINANCIAL STATEMENTS HAVE BEEN PREPARED IN ACCORDANCE WITH GENERALLY ACCEPTED ACCOUNTING PRINCIPLES ("GAAP") IN ISRAEL. DIFFERENCES BETWEEN ISRAELI GAAP AND US GAAP AS THEY RELATE TO OUR FINANCIAL STATEMENTS ARE DESCRIBED IN NOTE 19 TO OUR CONSOLIDATED FINANCIAL STATEMENTS AS OF DECEMBER 31, 2006.</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OPERATIONS</w:t>
      </w:r>
    </w:p>
    <w:p>
      <w:pPr>
        <w:spacing w:after="0" w:line="139"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The following table sets forth certain statement of operations data as a percentage of total revenues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40" w:type="dxa"/>
            <w:vAlign w:val="bottom"/>
          </w:tcPr>
          <w:p>
            <w:pPr>
              <w:spacing w:after="0"/>
              <w:rPr>
                <w:sz w:val="11"/>
                <w:szCs w:val="11"/>
                <w:color w:val="auto"/>
              </w:rPr>
            </w:pPr>
          </w:p>
        </w:tc>
        <w:tc>
          <w:tcPr>
            <w:tcW w:w="19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2940" w:type="dxa"/>
            <w:vAlign w:val="bottom"/>
          </w:tcPr>
          <w:p>
            <w:pPr>
              <w:spacing w:after="0"/>
              <w:rPr>
                <w:sz w:val="11"/>
                <w:szCs w:val="11"/>
                <w:color w:val="auto"/>
              </w:rPr>
            </w:pPr>
          </w:p>
        </w:tc>
        <w:tc>
          <w:tcPr>
            <w:tcW w:w="1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11"/>
                <w:szCs w:val="11"/>
                <w:color w:val="auto"/>
              </w:rPr>
            </w:pPr>
          </w:p>
        </w:tc>
        <w:tc>
          <w:tcPr>
            <w:tcW w:w="134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2006</w:t>
            </w: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2940" w:type="dxa"/>
            <w:vAlign w:val="bottom"/>
          </w:tcPr>
          <w:p>
            <w:pPr>
              <w:spacing w:after="0"/>
              <w:rPr>
                <w:sz w:val="11"/>
                <w:szCs w:val="11"/>
                <w:color w:val="auto"/>
              </w:rPr>
            </w:pPr>
          </w:p>
        </w:tc>
        <w:tc>
          <w:tcPr>
            <w:tcW w:w="13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2940" w:type="dxa"/>
            <w:vAlign w:val="bottom"/>
          </w:tcPr>
          <w:p>
            <w:pPr>
              <w:spacing w:after="0"/>
              <w:rPr>
                <w:sz w:val="20"/>
                <w:szCs w:val="20"/>
                <w:color w:val="auto"/>
              </w:rPr>
            </w:pPr>
            <w:r>
              <w:rPr>
                <w:rFonts w:ascii="Courier New" w:cs="Courier New" w:eastAsia="Courier New" w:hAnsi="Courier New"/>
                <w:sz w:val="12"/>
                <w:szCs w:val="12"/>
                <w:color w:val="auto"/>
              </w:rPr>
              <w:t>STATEMENT OF OPERATIONS DATA:</w:t>
            </w:r>
          </w:p>
        </w:tc>
        <w:tc>
          <w:tcPr>
            <w:tcW w:w="13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134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100.0%</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100.0%</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Cost of total revenues</w:t>
            </w:r>
          </w:p>
        </w:tc>
        <w:tc>
          <w:tcPr>
            <w:tcW w:w="13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142.66</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233.7</w:t>
            </w:r>
          </w:p>
        </w:tc>
      </w:tr>
      <w:tr>
        <w:trPr>
          <w:trHeight w:val="135"/>
        </w:trPr>
        <w:tc>
          <w:tcPr>
            <w:tcW w:w="2940" w:type="dxa"/>
            <w:vAlign w:val="bottom"/>
          </w:tcPr>
          <w:p>
            <w:pPr>
              <w:spacing w:after="0"/>
              <w:rPr>
                <w:sz w:val="11"/>
                <w:szCs w:val="11"/>
                <w:color w:val="auto"/>
              </w:rPr>
            </w:pPr>
          </w:p>
        </w:tc>
        <w:tc>
          <w:tcPr>
            <w:tcW w:w="13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Gross loss</w:t>
            </w:r>
          </w:p>
        </w:tc>
        <w:tc>
          <w:tcPr>
            <w:tcW w:w="134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(42.66)</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(133.7)</w:t>
            </w:r>
          </w:p>
        </w:tc>
      </w:tr>
      <w:tr>
        <w:trPr>
          <w:trHeight w:val="270"/>
        </w:trPr>
        <w:tc>
          <w:tcPr>
            <w:tcW w:w="2940" w:type="dxa"/>
            <w:vAlign w:val="bottom"/>
          </w:tcPr>
          <w:p>
            <w:pPr>
              <w:spacing w:after="0"/>
              <w:rPr>
                <w:sz w:val="20"/>
                <w:szCs w:val="20"/>
                <w:color w:val="auto"/>
              </w:rPr>
            </w:pPr>
            <w:r>
              <w:rPr>
                <w:rFonts w:ascii="Courier New" w:cs="Courier New" w:eastAsia="Courier New" w:hAnsi="Courier New"/>
                <w:sz w:val="12"/>
                <w:szCs w:val="12"/>
                <w:color w:val="auto"/>
              </w:rPr>
              <w:t>Research and development expenses, net</w:t>
            </w:r>
          </w:p>
        </w:tc>
        <w:tc>
          <w:tcPr>
            <w:tcW w:w="13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7.99</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15.7</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Marketing, general and administrative</w:t>
            </w: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expenses</w:t>
            </w:r>
          </w:p>
        </w:tc>
        <w:tc>
          <w:tcPr>
            <w:tcW w:w="13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13.08</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17.1</w:t>
            </w:r>
          </w:p>
        </w:tc>
      </w:tr>
      <w:tr>
        <w:trPr>
          <w:trHeight w:val="135"/>
        </w:trPr>
        <w:tc>
          <w:tcPr>
            <w:tcW w:w="2940" w:type="dxa"/>
            <w:vAlign w:val="bottom"/>
          </w:tcPr>
          <w:p>
            <w:pPr>
              <w:spacing w:after="0"/>
              <w:rPr>
                <w:sz w:val="11"/>
                <w:szCs w:val="11"/>
                <w:color w:val="auto"/>
              </w:rPr>
            </w:pPr>
          </w:p>
        </w:tc>
        <w:tc>
          <w:tcPr>
            <w:tcW w:w="13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Operating loss</w:t>
            </w:r>
          </w:p>
        </w:tc>
        <w:tc>
          <w:tcPr>
            <w:tcW w:w="134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(63.73)</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(166.5)</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134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(25.69)</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(35.0)</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Gain on debt restructuring</w:t>
            </w:r>
          </w:p>
        </w:tc>
        <w:tc>
          <w:tcPr>
            <w:tcW w:w="13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42.72</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11"/>
                <w:szCs w:val="11"/>
                <w:color w:val="auto"/>
              </w:rPr>
            </w:pPr>
          </w:p>
        </w:tc>
        <w:tc>
          <w:tcPr>
            <w:tcW w:w="13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13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0.32</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2.34</w:t>
            </w:r>
          </w:p>
        </w:tc>
      </w:tr>
      <w:tr>
        <w:trPr>
          <w:trHeight w:val="135"/>
        </w:trPr>
        <w:tc>
          <w:tcPr>
            <w:tcW w:w="2940" w:type="dxa"/>
            <w:vAlign w:val="bottom"/>
          </w:tcPr>
          <w:p>
            <w:pPr>
              <w:spacing w:after="0"/>
              <w:rPr>
                <w:sz w:val="11"/>
                <w:szCs w:val="11"/>
                <w:color w:val="auto"/>
              </w:rPr>
            </w:pPr>
          </w:p>
        </w:tc>
        <w:tc>
          <w:tcPr>
            <w:tcW w:w="13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Loss</w:t>
            </w:r>
          </w:p>
        </w:tc>
        <w:tc>
          <w:tcPr>
            <w:tcW w:w="134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(46.38)%</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(199.1)%</w:t>
            </w:r>
          </w:p>
        </w:tc>
      </w:tr>
      <w:tr>
        <w:trPr>
          <w:trHeight w:val="135"/>
        </w:trPr>
        <w:tc>
          <w:tcPr>
            <w:tcW w:w="2940" w:type="dxa"/>
            <w:vAlign w:val="bottom"/>
          </w:tcPr>
          <w:p>
            <w:pPr>
              <w:spacing w:after="0"/>
              <w:rPr>
                <w:sz w:val="11"/>
                <w:szCs w:val="11"/>
                <w:color w:val="auto"/>
              </w:rPr>
            </w:pPr>
          </w:p>
        </w:tc>
        <w:tc>
          <w:tcPr>
            <w:tcW w:w="13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4280" w:type="dxa"/>
            <w:vAlign w:val="bottom"/>
            <w:gridSpan w:val="2"/>
          </w:tcPr>
          <w:p>
            <w:pPr>
              <w:spacing w:after="0"/>
              <w:rPr>
                <w:sz w:val="20"/>
                <w:szCs w:val="20"/>
                <w:color w:val="auto"/>
              </w:rPr>
            </w:pPr>
            <w:r>
              <w:rPr>
                <w:rFonts w:ascii="Courier New" w:cs="Courier New" w:eastAsia="Courier New" w:hAnsi="Courier New"/>
                <w:sz w:val="12"/>
                <w:szCs w:val="12"/>
                <w:color w:val="auto"/>
                <w:w w:val="98"/>
              </w:rPr>
              <w:t>YEAR ENDED DECEMBER 31, 2006 COMPARED TO YEAR ENDED DECEMBER</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31, 2005</w:t>
            </w:r>
          </w:p>
        </w:tc>
      </w:tr>
    </w:tbl>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REVENUES. Revenues for the year ended December 31, 2006 increased by 83.8% to $187.4 million from $102 million for the year ended December 31, 2005. This $85.4 million increase was mainly attributable to an increase in our customer base and higher volume of wafer shipments offset by $8 million recorded for the year ended December 31, 2005 from a previously announced technology-related agreement.</w:t>
      </w:r>
    </w:p>
    <w:p>
      <w:pPr>
        <w:spacing w:after="0" w:line="140"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COST OF TOTAL REVENUES. Cost of total revenues for the year ended December 31, 2006 amounted to $267.4 million, compared with $238.4 million for the year ended December 31, 2005. This 12% modest increase in cost of revenues, despite the 84% increase in revenues, was achieved mainly due to previously announced cost reductions and efficiency measures taken by the Company and the Company's cost structure, according to which, the Company has reasonable margins for each incremental dollar of revenue.</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GROSS LOSS. Gross loss for the year ended December 31, 2006 was $80.0 million compared to a gross loss of $136.4 million for the year ended December 31, 2005. The decrease in gross loss was mainly attributable to the increase in revenues and previously announced cost reductions and efficiency measures taken by the Company and the Company's cost structure, according to which, the Company has reasonable margins for each incremental dollar of revenue.</w:t>
      </w:r>
    </w:p>
    <w:p>
      <w:pPr>
        <w:spacing w:after="0" w:line="14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RESEARCH AND DEVELOPMENT. Research and development expenses for the year ended December 31, 2006 decreased to $15.0 million from $16.0 million for the year ended December 31, 2005. The decrease was mainly attributable to previously announced cost reductions and efficiency measures taken by the Company as well as higher grants received from the Israeli government, which are included there-in.</w:t>
      </w:r>
    </w:p>
    <w:p>
      <w:pPr>
        <w:spacing w:after="0" w:line="140"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MARKETING, GENERAL AND ADMINISTRATIVE EXPENSES. Marketing, general and administrative expenses for the year ended December 31, 2006 increased to $24.5 million from $17.4 million for the year ended December 31, 2005, primarily due to stock based compensation expenses recorded for the first time with the adoption of Standard No. 24 and increased commissions and other expenses resulted directly from the higher revenues mentioned above.</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OPERATING LOSS. Operating loss for the year ended December 31, 2006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$119.4 million, compared to $169.8 million for the year ended December 31, 2005.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decrease in the operating loss is attributable mainly to the decrease in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gross loss described above and the Company's cost structure, according to which,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has reasonable margins for each incremental dollar of revenue.</w:t>
      </w:r>
    </w:p>
    <w:p>
      <w:pPr>
        <w:spacing w:after="0" w:line="38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FINANCING EXPENSES, NET. Financing expenses, net for the year ended</w:t>
      </w:r>
    </w:p>
    <w:p>
      <w:pPr>
        <w:spacing w:after="0"/>
        <w:rPr>
          <w:sz w:val="20"/>
          <w:szCs w:val="20"/>
          <w:color w:val="auto"/>
        </w:rPr>
      </w:pPr>
      <w:r>
        <w:rPr>
          <w:rFonts w:ascii="Courier New" w:cs="Courier New" w:eastAsia="Courier New" w:hAnsi="Courier New"/>
          <w:sz w:val="12"/>
          <w:szCs w:val="12"/>
          <w:color w:val="auto"/>
        </w:rPr>
        <w:t>December 31, 2006 were $48.1 million compared to financing expenses, net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$35.7 million for the year ended December 31, 2005. This increase is mainly due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an increase of $9.2 million in costs related to our convertible debentures</w:t>
      </w:r>
    </w:p>
    <w:p>
      <w:pPr>
        <w:spacing w:after="0"/>
        <w:rPr>
          <w:sz w:val="20"/>
          <w:szCs w:val="20"/>
          <w:color w:val="auto"/>
        </w:rPr>
      </w:pPr>
      <w:r>
        <w:rPr>
          <w:rFonts w:ascii="Courier New" w:cs="Courier New" w:eastAsia="Courier New" w:hAnsi="Courier New"/>
          <w:sz w:val="12"/>
          <w:szCs w:val="12"/>
          <w:color w:val="auto"/>
        </w:rPr>
        <w:t>attributable mainly to the : (i) $5.9 million increase in the discount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amortization and interest expenses resulting mainly from the issuance of two new</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series of convertible debentures (in December 2005 and June 2006) and (ii) the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NIS exchange rate weakening in 2006 caused an increase in the dollar amount</w:t>
      </w:r>
    </w:p>
    <w:p>
      <w:pPr>
        <w:spacing w:after="0"/>
        <w:rPr>
          <w:sz w:val="20"/>
          <w:szCs w:val="20"/>
          <w:color w:val="auto"/>
        </w:rPr>
      </w:pPr>
      <w:r>
        <w:rPr>
          <w:rFonts w:ascii="Courier New" w:cs="Courier New" w:eastAsia="Courier New" w:hAnsi="Courier New"/>
          <w:sz w:val="12"/>
          <w:szCs w:val="12"/>
          <w:color w:val="auto"/>
        </w:rPr>
        <w:t>of the NIS denominated outstanding convertible debt, resulting in an annual</w:t>
      </w:r>
    </w:p>
    <w:p>
      <w:pPr>
        <w:spacing w:after="0" w:line="237" w:lineRule="auto"/>
        <w:rPr>
          <w:sz w:val="20"/>
          <w:szCs w:val="20"/>
          <w:color w:val="auto"/>
        </w:rPr>
      </w:pPr>
      <w:r>
        <w:rPr>
          <w:rFonts w:ascii="Courier New" w:cs="Courier New" w:eastAsia="Courier New" w:hAnsi="Courier New"/>
          <w:sz w:val="12"/>
          <w:szCs w:val="12"/>
          <w:color w:val="auto"/>
        </w:rPr>
        <w:t>increase of $4.8 million in expenses (see below for more details on currency</w:t>
      </w:r>
    </w:p>
    <w:p>
      <w:pPr>
        <w:spacing w:after="0"/>
        <w:rPr>
          <w:sz w:val="20"/>
          <w:szCs w:val="20"/>
          <w:color w:val="auto"/>
        </w:rPr>
      </w:pPr>
      <w:r>
        <w:rPr>
          <w:rFonts w:ascii="Courier New" w:cs="Courier New" w:eastAsia="Courier New" w:hAnsi="Courier New"/>
          <w:sz w:val="12"/>
          <w:szCs w:val="12"/>
          <w:color w:val="auto"/>
        </w:rPr>
        <w:t>fluctuations).</w:t>
      </w:r>
    </w:p>
    <w:p>
      <w:pPr>
        <w:spacing w:after="0" w:line="138"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GAIN ON DEBT RESTRUCTURING. Gain on debt restructuring for the year ended December 31, 2006 was $80.1 million. This one-time gain resulted from the consummation of our debt restructuring with our banks, which was closed in the third quarter of 2006.</w:t>
      </w:r>
    </w:p>
    <w:p>
      <w:pPr>
        <w:spacing w:after="0" w:line="141" w:lineRule="exact"/>
        <w:rPr>
          <w:sz w:val="20"/>
          <w:szCs w:val="20"/>
          <w:color w:val="auto"/>
        </w:rPr>
      </w:pPr>
    </w:p>
    <w:p>
      <w:pPr>
        <w:jc w:val="both"/>
        <w:ind w:right="4699" w:firstLine="351"/>
        <w:spacing w:after="0" w:line="266" w:lineRule="auto"/>
        <w:rPr>
          <w:sz w:val="20"/>
          <w:szCs w:val="20"/>
          <w:color w:val="auto"/>
        </w:rPr>
      </w:pPr>
      <w:r>
        <w:rPr>
          <w:rFonts w:ascii="Courier New" w:cs="Courier New" w:eastAsia="Courier New" w:hAnsi="Courier New"/>
          <w:sz w:val="11"/>
          <w:szCs w:val="11"/>
          <w:color w:val="auto"/>
        </w:rPr>
        <w:t>OTHER INCOME, NET. Other income, net, for the year ended December 31, 2006 was $0.6 million compared to $2.4 million for the year ended December 31, 2005, mainly due to lower capital gains, net, from sale and disposal of equipment.</w:t>
      </w:r>
    </w:p>
    <w:p>
      <w:pPr>
        <w:spacing w:after="0" w:line="126" w:lineRule="exact"/>
        <w:rPr>
          <w:sz w:val="20"/>
          <w:szCs w:val="20"/>
          <w:color w:val="auto"/>
        </w:rPr>
      </w:pPr>
    </w:p>
    <w:p>
      <w:pPr>
        <w:ind w:right="4699" w:firstLine="351"/>
        <w:spacing w:after="0" w:line="263" w:lineRule="auto"/>
        <w:rPr>
          <w:sz w:val="20"/>
          <w:szCs w:val="20"/>
          <w:color w:val="auto"/>
        </w:rPr>
      </w:pPr>
      <w:r>
        <w:rPr>
          <w:rFonts w:ascii="Courier New" w:cs="Courier New" w:eastAsia="Courier New" w:hAnsi="Courier New"/>
          <w:sz w:val="11"/>
          <w:szCs w:val="11"/>
          <w:color w:val="auto"/>
        </w:rPr>
        <w:t>LOSS. Our loss for the year ended December 31, 2006 was $86.9 million, compared to $203.1 million for the year ended December 31, 2005. This decrease is primarily attributable to the $80.1 million gain on debt restructuring and a decrease of $50.4 million in the operating loss described above, offset by the $12.5 million increase in financing expenses described above.</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IMPACT OF INFLATION AND CURRENCY FLUCTUATIONS</w:t>
      </w:r>
    </w:p>
    <w:p>
      <w:pPr>
        <w:spacing w:after="0" w:line="139" w:lineRule="exact"/>
        <w:rPr>
          <w:sz w:val="20"/>
          <w:szCs w:val="20"/>
          <w:color w:val="auto"/>
        </w:rPr>
      </w:pPr>
    </w:p>
    <w:p>
      <w:pPr>
        <w:ind w:right="4699" w:firstLine="351"/>
        <w:spacing w:after="0" w:line="266" w:lineRule="auto"/>
        <w:rPr>
          <w:sz w:val="20"/>
          <w:szCs w:val="20"/>
          <w:color w:val="auto"/>
        </w:rPr>
      </w:pPr>
      <w:r>
        <w:rPr>
          <w:rFonts w:ascii="Courier New" w:cs="Courier New" w:eastAsia="Courier New" w:hAnsi="Courier New"/>
          <w:sz w:val="11"/>
          <w:szCs w:val="11"/>
          <w:color w:val="auto"/>
        </w:rPr>
        <w:t>The dollar cost of our operations in Israel is influenced by the timing of any change in the rate of inflation in Israel and the extent to which such change is not offset by the change in valuation of the NIS in relation to the</w:t>
      </w:r>
    </w:p>
    <w:p>
      <w:pPr>
        <w:sectPr>
          <w:pgSz w:w="11900" w:h="16838" w:orient="portrait"/>
          <w:cols w:equalWidth="0" w:num="1">
            <w:col w:w="10239"/>
          </w:cols>
          <w:pgMar w:left="220" w:top="276" w:right="1440" w:bottom="0" w:gutter="0" w:footer="0" w:header="0"/>
        </w:sectPr>
      </w:pPr>
    </w:p>
    <w:bookmarkStart w:id="43" w:name="page44"/>
    <w:bookmarkEnd w:id="43"/>
    <w:p>
      <w:pPr>
        <w:ind w:left="8" w:right="4619"/>
        <w:spacing w:after="0" w:line="237" w:lineRule="auto"/>
        <w:rPr>
          <w:sz w:val="20"/>
          <w:szCs w:val="20"/>
          <w:color w:val="auto"/>
        </w:rPr>
      </w:pPr>
      <w:r>
        <w:rPr>
          <w:rFonts w:ascii="Courier New" w:cs="Courier New" w:eastAsia="Courier New" w:hAnsi="Courier New"/>
          <w:sz w:val="12"/>
          <w:szCs w:val="12"/>
          <w:color w:val="auto"/>
        </w:rPr>
        <w:t>dollar. During the year ended December 31, 2006, the exchange rate of the dollar in relation to the NIS decreased by 8.2%, and the Israeli Consumer Price Index, or CPI, decreased by 0.1% (during the year ended December 31, 2005 there was an increase of 6.8% in the exchange rate of the dollar in relation to the NIS and an increase of 2.4% in the CPI).</w:t>
      </w:r>
    </w:p>
    <w:p>
      <w:pPr>
        <w:spacing w:after="0" w:line="139"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41" w:lineRule="exact"/>
        <w:rPr>
          <w:sz w:val="20"/>
          <w:szCs w:val="20"/>
          <w:color w:val="auto"/>
        </w:rPr>
      </w:pPr>
    </w:p>
    <w:p>
      <w:pPr>
        <w:ind w:left="8" w:right="4619" w:firstLine="351"/>
        <w:spacing w:after="0" w:line="264" w:lineRule="auto"/>
        <w:rPr>
          <w:sz w:val="20"/>
          <w:szCs w:val="20"/>
          <w:color w:val="auto"/>
        </w:rPr>
      </w:pPr>
      <w:r>
        <w:rPr>
          <w:rFonts w:ascii="Courier New" w:cs="Courier New" w:eastAsia="Courier New" w:hAnsi="Courier New"/>
          <w:sz w:val="11"/>
          <w:szCs w:val="11"/>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12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LIQUIDITY AND CAPITAL RESOURCES</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As of December 31, 2006, we had an aggregate of $40.9 million in cash, cash equivalents and short term interest bearing deposits. This compares to $39.0 million we had as of December 31, 2005 in cash, cash equivalents, and short-term interest-bearing deposits of which $22.0 million was contractually restricted for Fab 2 use only and $9.6 million was contractually restricted for exclusive use in the Siliconix project.</w:t>
      </w:r>
    </w:p>
    <w:p>
      <w:pPr>
        <w:spacing w:after="0" w:line="140"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During the year ended December 31, 2006, we received $18.3 million from long term loans, $100.0 million on account of share capital, $58.8 million in proceeds from the issuance of convertible debentures, net, $3.7 million proceeds from exercise of warrants, $17.5 million from issuance of ordinary shares, $5.2 million from Investment Center grants and $0.6 million in proceeds from the sale and disposal of property and equipment. These liquidity resources financed our operating activities (net amount of $45.5 million) and our investments made during the year ended December 31, 2006, which aggregated to $150.2 million, mainly in connection with the construction, purchase and installation of equipment and other assets for Fab 2 and our repayment of convertible debentures in the amount of $6.5 million.</w:t>
      </w:r>
    </w:p>
    <w:p>
      <w:pPr>
        <w:spacing w:after="0" w:line="145" w:lineRule="exact"/>
        <w:rPr>
          <w:sz w:val="20"/>
          <w:szCs w:val="20"/>
          <w:color w:val="auto"/>
        </w:rPr>
      </w:pPr>
    </w:p>
    <w:p>
      <w:pPr>
        <w:ind w:left="8" w:right="4619"/>
        <w:spacing w:after="0" w:line="260" w:lineRule="auto"/>
        <w:rPr>
          <w:sz w:val="20"/>
          <w:szCs w:val="20"/>
          <w:color w:val="auto"/>
        </w:rPr>
      </w:pPr>
      <w:r>
        <w:rPr>
          <w:rFonts w:ascii="Courier New" w:cs="Courier New" w:eastAsia="Courier New" w:hAnsi="Courier New"/>
          <w:sz w:val="11"/>
          <w:szCs w:val="11"/>
          <w:color w:val="auto"/>
        </w:rPr>
        <w:t>As of December 31, 2006, we had long-term loans, at present value, in the amount of $356.9 million which we obtained in connection with the establishment of Fab</w:t>
      </w:r>
    </w:p>
    <w:p>
      <w:pPr>
        <w:ind w:left="8" w:right="4619" w:hanging="8"/>
        <w:spacing w:after="0" w:line="237" w:lineRule="auto"/>
        <w:tabs>
          <w:tab w:leader="none" w:pos="219"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such date, we had outstanding, in the aggregate, convertible debentures with par value of $98.4 million, of which $6.6 million are presented as current maturities and $20.2 million of the proceeds were allocated and are presented as equity component of the convertible debentures as part of the shareholders' equity.</w:t>
      </w:r>
    </w:p>
    <w:p>
      <w:pPr>
        <w:sectPr>
          <w:pgSz w:w="11900" w:h="16838" w:orient="portrait"/>
          <w:cols w:equalWidth="0" w:num="1">
            <w:col w:w="10247"/>
          </w:cols>
          <w:pgMar w:left="212" w:top="141" w:right="1440" w:bottom="1440" w:gutter="0" w:footer="0" w:header="0"/>
        </w:sectPr>
      </w:pPr>
    </w:p>
    <w:bookmarkStart w:id="44" w:name="page45"/>
    <w:bookmarkEnd w:id="44"/>
    <w:p>
      <w:pPr>
        <w:jc w:val="center"/>
        <w:ind w:right="-140"/>
        <w:spacing w:after="0"/>
        <w:rPr>
          <w:sz w:val="20"/>
          <w:szCs w:val="20"/>
          <w:color w:val="auto"/>
        </w:rPr>
      </w:pPr>
      <w:r>
        <w:rPr>
          <w:rFonts w:ascii="Courier New" w:cs="Courier New" w:eastAsia="Courier New" w:hAnsi="Courier New"/>
          <w:sz w:val="11"/>
          <w:szCs w:val="11"/>
          <w:color w:val="auto"/>
        </w:rPr>
        <w:t>EXHIBIT 99.4</w:t>
      </w:r>
    </w:p>
    <w:p>
      <w:pPr>
        <w:spacing w:after="0" w:line="141" w:lineRule="exact"/>
        <w:rPr>
          <w:sz w:val="20"/>
          <w:szCs w:val="20"/>
          <w:color w:val="auto"/>
        </w:rPr>
      </w:pPr>
    </w:p>
    <w:p>
      <w:pPr>
        <w:ind w:left="840"/>
        <w:spacing w:after="0"/>
        <w:rPr>
          <w:sz w:val="20"/>
          <w:szCs w:val="20"/>
          <w:color w:val="auto"/>
        </w:rPr>
      </w:pPr>
      <w:r>
        <w:rPr>
          <w:rFonts w:ascii="Courier New" w:cs="Courier New" w:eastAsia="Courier New" w:hAnsi="Courier New"/>
          <w:sz w:val="12"/>
          <w:szCs w:val="12"/>
          <w:color w:val="auto"/>
        </w:rPr>
        <w:t>CONSENT OF INDEPENDENT REGISTERED PUBLIC ACCOUNTING FIRM</w:t>
      </w:r>
    </w:p>
    <w:p>
      <w:pPr>
        <w:spacing w:after="0" w:line="139" w:lineRule="exact"/>
        <w:rPr>
          <w:sz w:val="20"/>
          <w:szCs w:val="20"/>
          <w:color w:val="auto"/>
        </w:rPr>
      </w:pPr>
    </w:p>
    <w:p>
      <w:pPr>
        <w:ind w:right="4839"/>
        <w:spacing w:after="0" w:line="260" w:lineRule="auto"/>
        <w:rPr>
          <w:sz w:val="20"/>
          <w:szCs w:val="20"/>
          <w:color w:val="auto"/>
        </w:rPr>
      </w:pPr>
      <w:r>
        <w:rPr>
          <w:rFonts w:ascii="Courier New" w:cs="Courier New" w:eastAsia="Courier New" w:hAnsi="Courier New"/>
          <w:sz w:val="11"/>
          <w:szCs w:val="11"/>
          <w:color w:val="auto"/>
        </w:rPr>
        <w:t>We consent to the incorporation by reference in Registration Statements Nos. 333-85090, 333-108896, 333-110486 333-131315, and 333-140174 on Form F-3, and Nos. 33-80947, 333-06482, 333-11720, 333-83204, 333-107943 333-117565,</w:t>
      </w:r>
    </w:p>
    <w:p>
      <w:pPr>
        <w:ind w:right="4619"/>
        <w:spacing w:after="0" w:line="236" w:lineRule="auto"/>
        <w:rPr>
          <w:sz w:val="20"/>
          <w:szCs w:val="20"/>
          <w:color w:val="auto"/>
        </w:rPr>
      </w:pPr>
      <w:r>
        <w:rPr>
          <w:rFonts w:ascii="Courier New" w:cs="Courier New" w:eastAsia="Courier New" w:hAnsi="Courier New"/>
          <w:sz w:val="12"/>
          <w:szCs w:val="12"/>
          <w:color w:val="auto"/>
        </w:rPr>
        <w:t>333-138837 on Form S-8, of our report dated February 7, 2007, relating to the consolidated financial statements of Tower Semiconductor Ltd., appearing in this Report on Form 6-K of Tower Semiconductor Ltd.</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Brightman Almagor &amp; Co.</w:t>
      </w:r>
    </w:p>
    <w:p>
      <w:pPr>
        <w:spacing w:after="0"/>
        <w:rPr>
          <w:sz w:val="20"/>
          <w:szCs w:val="20"/>
          <w:color w:val="auto"/>
        </w:rPr>
      </w:pPr>
      <w:r>
        <w:rPr>
          <w:rFonts w:ascii="Courier New" w:cs="Courier New" w:eastAsia="Courier New" w:hAnsi="Courier New"/>
          <w:sz w:val="12"/>
          <w:szCs w:val="12"/>
          <w:color w:val="auto"/>
        </w:rPr>
        <w:t>Certified Public Accountants</w:t>
      </w:r>
    </w:p>
    <w:p>
      <w:pPr>
        <w:spacing w:after="0" w:line="237" w:lineRule="auto"/>
        <w:rPr>
          <w:sz w:val="20"/>
          <w:szCs w:val="20"/>
          <w:color w:val="auto"/>
        </w:rPr>
      </w:pPr>
      <w:r>
        <w:rPr>
          <w:rFonts w:ascii="Courier New" w:cs="Courier New" w:eastAsia="Courier New" w:hAnsi="Courier New"/>
          <w:sz w:val="12"/>
          <w:szCs w:val="12"/>
          <w:color w:val="auto"/>
        </w:rPr>
        <w:t>A Member Firm of Deloitte Touche Tohmatsu</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w:t>
      </w:r>
    </w:p>
    <w:p>
      <w:pPr>
        <w:spacing w:after="0"/>
        <w:rPr>
          <w:sz w:val="20"/>
          <w:szCs w:val="20"/>
          <w:color w:val="auto"/>
        </w:rPr>
      </w:pPr>
      <w:r>
        <w:rPr>
          <w:rFonts w:ascii="Courier New" w:cs="Courier New" w:eastAsia="Courier New" w:hAnsi="Courier New"/>
          <w:sz w:val="12"/>
          <w:szCs w:val="12"/>
          <w:color w:val="auto"/>
        </w:rPr>
        <w:t>February 8, 2007</w:t>
      </w:r>
    </w:p>
    <w:sectPr>
      <w:pgSz w:w="11900" w:h="16838" w:orient="portrait"/>
      <w:cols w:equalWidth="0" w:num="1">
        <w:col w:w="10239"/>
      </w:cols>
      <w:pgMar w:left="220" w:top="2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o"/>
      <w:numFmt w:val="bullet"/>
      <w:start w:val="1"/>
    </w:lvl>
  </w:abstractNum>
  <w:abstractNum w:abstractNumId="1">
    <w:nsid w:val="75C6C33A"/>
    <w:multiLevelType w:val="hybridMultilevel"/>
    <w:lvl w:ilvl="0">
      <w:lvlJc w:val="left"/>
      <w:lvlText w:val="(%1)"/>
      <w:numFmt w:val="lowerRoman"/>
      <w:start w:val="4"/>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1."/>
      <w:numFmt w:val="upperLetter"/>
      <w:start w:val="1"/>
    </w:lvl>
  </w:abstractNum>
  <w:abstractNum w:abstractNumId="4">
    <w:nsid w:val="520EEDD1"/>
    <w:multiLevelType w:val="hybridMultilevel"/>
    <w:lvl w:ilvl="0">
      <w:lvlJc w:val="left"/>
      <w:lvlText w:val="%1."/>
      <w:numFmt w:val="upperLetter"/>
      <w:start w:val="3"/>
    </w:lvl>
  </w:abstractNum>
  <w:abstractNum w:abstractNumId="5">
    <w:nsid w:val="374A3FE6"/>
    <w:multiLevelType w:val="hybridMultilevel"/>
    <w:lvl w:ilvl="0">
      <w:lvlJc w:val="left"/>
      <w:lvlText w:val="%1."/>
      <w:numFmt w:val="upperLetter"/>
      <w:start w:val="4"/>
    </w:lvl>
  </w:abstractNum>
  <w:abstractNum w:abstractNumId="6">
    <w:nsid w:val="4F4EF005"/>
    <w:multiLevelType w:val="hybridMultilevel"/>
    <w:lvl w:ilvl="0">
      <w:lvlJc w:val="left"/>
      <w:lvlText w:val="%1."/>
      <w:numFmt w:val="upperLetter"/>
      <w:start w:val="1"/>
    </w:lvl>
  </w:abstractNum>
  <w:abstractNum w:abstractNumId="7">
    <w:nsid w:val="23F9C13C"/>
    <w:multiLevelType w:val="hybridMultilevel"/>
    <w:lvl w:ilvl="0">
      <w:lvlJc w:val="left"/>
      <w:lvlText w:val="%1."/>
      <w:numFmt w:val="upperLetter"/>
      <w:start w:val="5"/>
    </w:lvl>
    <w:lvl w:ilvl="1">
      <w:lvlJc w:val="left"/>
      <w:lvlText w:val="(%2)"/>
      <w:numFmt w:val="decimal"/>
      <w:start w:val="1"/>
    </w:lvl>
  </w:abstractNum>
  <w:abstractNum w:abstractNumId="8">
    <w:nsid w:val="649BB77C"/>
    <w:multiLevelType w:val="hybridMultilevel"/>
    <w:lvl w:ilvl="0">
      <w:lvlJc w:val="left"/>
      <w:lvlText w:val="(%1)"/>
      <w:numFmt w:val="decimal"/>
      <w:start w:val="2"/>
    </w:lvl>
  </w:abstractNum>
  <w:abstractNum w:abstractNumId="9">
    <w:nsid w:val="275AC794"/>
    <w:multiLevelType w:val="hybridMultilevel"/>
    <w:lvl w:ilvl="0">
      <w:lvlJc w:val="left"/>
      <w:lvlText w:val="%1."/>
      <w:numFmt w:val="upperLetter"/>
      <w:start w:val="6"/>
    </w:lvl>
  </w:abstractNum>
  <w:abstractNum w:abstractNumId="10">
    <w:nsid w:val="39386575"/>
    <w:multiLevelType w:val="hybridMultilevel"/>
    <w:lvl w:ilvl="0">
      <w:lvlJc w:val="left"/>
      <w:lvlText w:val="%1."/>
      <w:numFmt w:val="upperLetter"/>
      <w:start w:val="9"/>
    </w:lvl>
  </w:abstractNum>
  <w:abstractNum w:abstractNumId="11">
    <w:nsid w:val="1CF10FD8"/>
    <w:multiLevelType w:val="hybridMultilevel"/>
    <w:lvl w:ilvl="0">
      <w:lvlJc w:val="left"/>
      <w:lvlText w:val="%1."/>
      <w:numFmt w:val="upperLetter"/>
      <w:start w:val="12"/>
    </w:lvl>
  </w:abstractNum>
  <w:abstractNum w:abstractNumId="12">
    <w:nsid w:val="180115BE"/>
    <w:multiLevelType w:val="hybridMultilevel"/>
    <w:lvl w:ilvl="0">
      <w:lvlJc w:val="left"/>
      <w:lvlText w:val="%1."/>
      <w:numFmt w:val="upperLetter"/>
      <w:start w:val="15"/>
    </w:lvl>
  </w:abstractNum>
  <w:abstractNum w:abstractNumId="13">
    <w:nsid w:val="235BA861"/>
    <w:multiLevelType w:val="hybridMultilevel"/>
    <w:lvl w:ilvl="0">
      <w:lvlJc w:val="left"/>
      <w:lvlText w:val="%1."/>
      <w:numFmt w:val="upperLetter"/>
      <w:start w:val="16"/>
    </w:lvl>
  </w:abstractNum>
  <w:abstractNum w:abstractNumId="14">
    <w:nsid w:val="47398C89"/>
    <w:multiLevelType w:val="hybridMultilevel"/>
    <w:lvl w:ilvl="0">
      <w:lvlJc w:val="left"/>
      <w:lvlText w:val="%1."/>
      <w:numFmt w:val="upperLetter"/>
      <w:start w:val="17"/>
    </w:lvl>
    <w:lvl w:ilvl="1">
      <w:lvlJc w:val="left"/>
      <w:lvlText w:val="(%2)"/>
      <w:numFmt w:val="decimal"/>
      <w:start w:val="1"/>
    </w:lvl>
  </w:abstractNum>
  <w:abstractNum w:abstractNumId="15">
    <w:nsid w:val="354FE9F9"/>
    <w:multiLevelType w:val="hybridMultilevel"/>
    <w:lvl w:ilvl="0">
      <w:lvlJc w:val="left"/>
      <w:lvlText w:val="%1."/>
      <w:numFmt w:val="upperLetter"/>
      <w:start w:val="17"/>
    </w:lvl>
    <w:lvl w:ilvl="1">
      <w:lvlJc w:val="left"/>
      <w:lvlText w:val="(%2)"/>
      <w:numFmt w:val="decimal"/>
      <w:start w:val="1"/>
    </w:lvl>
  </w:abstractNum>
  <w:abstractNum w:abstractNumId="16">
    <w:nsid w:val="15B5AF5C"/>
    <w:multiLevelType w:val="hybridMultilevel"/>
    <w:lvl w:ilvl="0">
      <w:lvlJc w:val="left"/>
      <w:lvlText w:val="%1."/>
      <w:numFmt w:val="upperLetter"/>
      <w:start w:val="17"/>
    </w:lvl>
  </w:abstractNum>
  <w:abstractNum w:abstractNumId="17">
    <w:nsid w:val="741226BB"/>
    <w:multiLevelType w:val="hybridMultilevel"/>
    <w:lvl w:ilvl="0">
      <w:lvlJc w:val="left"/>
      <w:lvlText w:val="(%1)"/>
      <w:numFmt w:val="decimal"/>
      <w:start w:val="2"/>
    </w:lvl>
    <w:lvl w:ilvl="1">
      <w:lvlJc w:val="left"/>
      <w:lvlText w:val="(%2)"/>
      <w:numFmt w:val="lowerLetter"/>
      <w:start w:val="2"/>
    </w:lvl>
  </w:abstractNum>
  <w:abstractNum w:abstractNumId="18">
    <w:nsid w:val="D34B6A8"/>
    <w:multiLevelType w:val="hybridMultilevel"/>
    <w:lvl w:ilvl="0">
      <w:lvlJc w:val="left"/>
      <w:lvlText w:val="%1."/>
      <w:numFmt w:val="upperLetter"/>
      <w:start w:val="17"/>
    </w:lvl>
    <w:lvl w:ilvl="1">
      <w:lvlJc w:val="left"/>
      <w:lvlText w:val="(%2)"/>
      <w:numFmt w:val="decimal"/>
      <w:start w:val="3"/>
    </w:lvl>
  </w:abstractNum>
  <w:abstractNum w:abstractNumId="19">
    <w:nsid w:val="10233C99"/>
    <w:multiLevelType w:val="hybridMultilevel"/>
    <w:lvl w:ilvl="0">
      <w:lvlJc w:val="left"/>
      <w:lvlText w:val="%1."/>
      <w:numFmt w:val="upperLetter"/>
      <w:start w:val="17"/>
    </w:lvl>
    <w:lvl w:ilvl="1">
      <w:lvlJc w:val="left"/>
      <w:lvlText w:val="(%2)"/>
      <w:numFmt w:val="decimal"/>
      <w:start w:val="4"/>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1."/>
      <w:numFmt w:val="upperLetter"/>
      <w:start w:val="1"/>
    </w:lvl>
  </w:abstractNum>
  <w:abstractNum w:abstractNumId="22">
    <w:nsid w:val="7E0C57B1"/>
    <w:multiLevelType w:val="hybridMultilevel"/>
    <w:lvl w:ilvl="0">
      <w:lvlJc w:val="left"/>
      <w:lvlText w:val="%1"/>
      <w:numFmt w:val="upperLetter"/>
      <w:start w:val="1"/>
    </w:lvl>
    <w:lvl w:ilvl="1">
      <w:lvlJc w:val="left"/>
      <w:lvlText w:val="(%2)"/>
      <w:numFmt w:val="decimal"/>
      <w:start w:val="1"/>
    </w:lvl>
  </w:abstractNum>
  <w:abstractNum w:abstractNumId="23">
    <w:nsid w:val="77AE35EB"/>
    <w:multiLevelType w:val="hybridMultilevel"/>
    <w:lvl w:ilvl="0">
      <w:lvlJc w:val="left"/>
      <w:lvlText w:val="%1."/>
      <w:numFmt w:val="upperLetter"/>
      <w:start w:val="2"/>
    </w:lvl>
    <w:lvl w:ilvl="1">
      <w:lvlJc w:val="left"/>
      <w:lvlText w:val="%2"/>
      <w:numFmt w:val="decimal"/>
      <w:start w:val="1"/>
    </w:lvl>
  </w:abstractNum>
  <w:abstractNum w:abstractNumId="24">
    <w:nsid w:val="579BE4F1"/>
    <w:multiLevelType w:val="hybridMultilevel"/>
    <w:lvl w:ilvl="0">
      <w:lvlJc w:val="left"/>
      <w:lvlText w:val="%1."/>
      <w:numFmt w:val="upperLetter"/>
      <w:start w:val="2"/>
    </w:lvl>
  </w:abstractNum>
  <w:abstractNum w:abstractNumId="25">
    <w:nsid w:val="310C50B3"/>
    <w:multiLevelType w:val="hybridMultilevel"/>
    <w:lvl w:ilvl="0">
      <w:lvlJc w:val="left"/>
      <w:lvlText w:val="%1."/>
      <w:numFmt w:val="upperLetter"/>
      <w:start w:val="1"/>
    </w:lvl>
  </w:abstractNum>
  <w:abstractNum w:abstractNumId="26">
    <w:nsid w:val="5FF87E05"/>
    <w:multiLevelType w:val="hybridMultilevel"/>
    <w:lvl w:ilvl="0">
      <w:lvlJc w:val="left"/>
      <w:lvlText w:val="%1."/>
      <w:numFmt w:val="upperLetter"/>
      <w:start w:val="2"/>
    </w:lvl>
  </w:abstractNum>
  <w:abstractNum w:abstractNumId="27">
    <w:nsid w:val="2F305DEF"/>
    <w:multiLevelType w:val="hybridMultilevel"/>
    <w:lvl w:ilvl="0">
      <w:lvlJc w:val="left"/>
      <w:lvlText w:val="%1."/>
      <w:numFmt w:val="upperLetter"/>
      <w:start w:val="6"/>
    </w:lvl>
  </w:abstractNum>
  <w:abstractNum w:abstractNumId="28">
    <w:nsid w:val="25A70BF7"/>
    <w:multiLevelType w:val="hybridMultilevel"/>
    <w:lvl w:ilvl="0">
      <w:lvlJc w:val="left"/>
      <w:lvlText w:val="%1."/>
      <w:numFmt w:val="upperLetter"/>
      <w:start w:val="1"/>
    </w:lvl>
  </w:abstractNum>
  <w:abstractNum w:abstractNumId="29">
    <w:nsid w:val="1DBABF00"/>
    <w:multiLevelType w:val="hybridMultilevel"/>
    <w:lvl w:ilvl="0">
      <w:lvlJc w:val="left"/>
      <w:lvlText w:val="%1."/>
      <w:numFmt w:val="upperLetter"/>
      <w:start w:val="1"/>
    </w:lvl>
    <w:lvl w:ilvl="1">
      <w:lvlJc w:val="left"/>
      <w:lvlText w:val="(*)"/>
      <w:numFmt w:val="bullet"/>
      <w:start w:val="1"/>
    </w:lvl>
  </w:abstractNum>
  <w:abstractNum w:abstractNumId="30">
    <w:nsid w:val="4AD084E9"/>
    <w:multiLevelType w:val="hybridMultilevel"/>
    <w:lvl w:ilvl="0">
      <w:lvlJc w:val="left"/>
      <w:lvlText w:val="%1."/>
      <w:numFmt w:val="upperLetter"/>
      <w:start w:val="2"/>
    </w:lvl>
  </w:abstractNum>
  <w:abstractNum w:abstractNumId="31">
    <w:nsid w:val="1F48EAA1"/>
    <w:multiLevelType w:val="hybridMultilevel"/>
    <w:lvl w:ilvl="0">
      <w:lvlJc w:val="left"/>
      <w:lvlText w:val="%1."/>
      <w:numFmt w:val="upperLetter"/>
      <w:start w:val="3"/>
    </w:lvl>
  </w:abstractNum>
  <w:abstractNum w:abstractNumId="32">
    <w:nsid w:val="1381823A"/>
    <w:multiLevelType w:val="hybridMultilevel"/>
    <w:lvl w:ilvl="0">
      <w:lvlJc w:val="left"/>
      <w:lvlText w:val="%1."/>
      <w:numFmt w:val="upperLetter"/>
      <w:start w:val="2"/>
    </w:lvl>
  </w:abstractNum>
  <w:abstractNum w:abstractNumId="33">
    <w:nsid w:val="5DB70AE5"/>
    <w:multiLevelType w:val="hybridMultilevel"/>
    <w:lvl w:ilvl="0">
      <w:lvlJc w:val="left"/>
      <w:lvlText w:val="%1."/>
      <w:numFmt w:val="upperLetter"/>
      <w:start w:val="1"/>
    </w:lvl>
    <w:lvl w:ilvl="1">
      <w:lvlJc w:val="left"/>
      <w:lvlText w:val="(%2)"/>
      <w:numFmt w:val="decimal"/>
      <w:start w:val="1"/>
    </w:lvl>
  </w:abstractNum>
  <w:abstractNum w:abstractNumId="34">
    <w:nsid w:val="100F8FCA"/>
    <w:multiLevelType w:val="hybridMultilevel"/>
    <w:lvl w:ilvl="0">
      <w:lvlJc w:val="left"/>
      <w:lvlText w:val="(%1)"/>
      <w:numFmt w:val="decimal"/>
      <w:start w:val="2"/>
    </w:lvl>
  </w:abstractNum>
  <w:abstractNum w:abstractNumId="35">
    <w:nsid w:val="6590700B"/>
    <w:multiLevelType w:val="hybridMultilevel"/>
    <w:lvl w:ilvl="0">
      <w:lvlJc w:val="left"/>
      <w:lvlText w:val="%1."/>
      <w:numFmt w:val="upperLetter"/>
      <w:start w:val="1"/>
    </w:lvl>
    <w:lvl w:ilvl="1">
      <w:lvlJc w:val="left"/>
      <w:lvlText w:val="(%2)"/>
      <w:numFmt w:val="decimal"/>
      <w:start w:val="3"/>
    </w:lvl>
    <w:lvl w:ilvl="2">
      <w:lvlJc w:val="left"/>
      <w:lvlText w:val="(%3)"/>
      <w:numFmt w:val="decimal"/>
      <w:start w:val="6"/>
    </w:lvl>
  </w:abstractNum>
  <w:abstractNum w:abstractNumId="36">
    <w:nsid w:val="15014ACB"/>
    <w:multiLevelType w:val="hybridMultilevel"/>
    <w:lvl w:ilvl="0">
      <w:lvlJc w:val="left"/>
      <w:lvlText w:val="%1."/>
      <w:numFmt w:val="upperLetter"/>
      <w:start w:val="1"/>
    </w:lvl>
    <w:lvl w:ilvl="1">
      <w:lvlJc w:val="left"/>
      <w:lvlText w:val="(%2)"/>
      <w:numFmt w:val="decimal"/>
      <w:start w:val="4"/>
    </w:lvl>
  </w:abstractNum>
  <w:abstractNum w:abstractNumId="37">
    <w:nsid w:val="5F5E7FD0"/>
    <w:multiLevelType w:val="hybridMultilevel"/>
    <w:lvl w:ilvl="0">
      <w:lvlJc w:val="left"/>
      <w:lvlText w:val="(%1)"/>
      <w:numFmt w:val="decimal"/>
      <w:start w:val="5"/>
    </w:lvl>
  </w:abstractNum>
  <w:abstractNum w:abstractNumId="38">
    <w:nsid w:val="98A3148"/>
    <w:multiLevelType w:val="hybridMultilevel"/>
    <w:lvl w:ilvl="0">
      <w:lvlJc w:val="left"/>
      <w:lvlText w:val="%1."/>
      <w:numFmt w:val="upperLetter"/>
      <w:start w:val="1"/>
    </w:lvl>
    <w:lvl w:ilvl="1">
      <w:lvlJc w:val="left"/>
      <w:lvlText w:val="(%2)"/>
      <w:numFmt w:val="decimal"/>
      <w:start w:val="5"/>
    </w:lvl>
  </w:abstractNum>
  <w:abstractNum w:abstractNumId="39">
    <w:nsid w:val="799D0247"/>
    <w:multiLevelType w:val="hybridMultilevel"/>
    <w:lvl w:ilvl="0">
      <w:lvlJc w:val="left"/>
      <w:lvlText w:val="%1."/>
      <w:numFmt w:val="upperLetter"/>
      <w:start w:val="1"/>
    </w:lvl>
    <w:lvl w:ilvl="1">
      <w:lvlJc w:val="left"/>
      <w:lvlText w:val="(%2)"/>
      <w:numFmt w:val="decimal"/>
      <w:start w:val="6"/>
    </w:lvl>
  </w:abstractNum>
  <w:abstractNum w:abstractNumId="40">
    <w:nsid w:val="6B94764"/>
    <w:multiLevelType w:val="hybridMultilevel"/>
    <w:lvl w:ilvl="0">
      <w:lvlJc w:val="left"/>
      <w:lvlText w:val="%1."/>
      <w:numFmt w:val="upperLetter"/>
      <w:start w:val="1"/>
    </w:lvl>
    <w:lvl w:ilvl="1">
      <w:lvlJc w:val="left"/>
      <w:lvlText w:val="(%2)"/>
      <w:numFmt w:val="decimal"/>
      <w:start w:val="6"/>
    </w:lvl>
  </w:abstractNum>
  <w:abstractNum w:abstractNumId="41">
    <w:nsid w:val="42C296BD"/>
    <w:multiLevelType w:val="hybridMultilevel"/>
    <w:lvl w:ilvl="0">
      <w:lvlJc w:val="left"/>
      <w:lvlText w:val="%1."/>
      <w:numFmt w:val="upperLetter"/>
      <w:start w:val="1"/>
    </w:lvl>
    <w:lvl w:ilvl="1">
      <w:lvlJc w:val="left"/>
      <w:lvlText w:val="(%2)"/>
      <w:numFmt w:val="decimal"/>
      <w:start w:val="6"/>
    </w:lvl>
  </w:abstractNum>
  <w:abstractNum w:abstractNumId="42">
    <w:nsid w:val="168E121F"/>
    <w:multiLevelType w:val="hybridMultilevel"/>
    <w:lvl w:ilvl="0">
      <w:lvlJc w:val="left"/>
      <w:lvlText w:val="(%1)"/>
      <w:numFmt w:val="lowerRoman"/>
      <w:start w:val="3"/>
    </w:lvl>
  </w:abstractNum>
  <w:abstractNum w:abstractNumId="43">
    <w:nsid w:val="1EBA5D23"/>
    <w:multiLevelType w:val="hybridMultilevel"/>
    <w:lvl w:ilvl="0">
      <w:lvlJc w:val="left"/>
      <w:lvlText w:val="%1."/>
      <w:numFmt w:val="upperLetter"/>
      <w:start w:val="1"/>
    </w:lvl>
    <w:lvl w:ilvl="1">
      <w:lvlJc w:val="left"/>
      <w:lvlText w:val="(%2)"/>
      <w:numFmt w:val="decimal"/>
      <w:start w:val="6"/>
    </w:lvl>
    <w:lvl w:ilvl="2">
      <w:lvlJc w:val="left"/>
      <w:lvlText w:val="%3."/>
      <w:numFmt w:val="decimal"/>
      <w:start w:val="1"/>
    </w:lvl>
  </w:abstractNum>
  <w:abstractNum w:abstractNumId="44">
    <w:nsid w:val="661E3F1E"/>
    <w:multiLevelType w:val="hybridMultilevel"/>
    <w:lvl w:ilvl="0">
      <w:lvlJc w:val="left"/>
      <w:lvlText w:val="%1."/>
      <w:numFmt w:val="upperLetter"/>
      <w:start w:val="1"/>
    </w:lvl>
    <w:lvl w:ilvl="1">
      <w:lvlJc w:val="left"/>
      <w:lvlText w:val="(%2)"/>
      <w:numFmt w:val="decimal"/>
      <w:start w:val="6"/>
    </w:lvl>
  </w:abstractNum>
  <w:abstractNum w:abstractNumId="45">
    <w:nsid w:val="5DC79EA8"/>
    <w:multiLevelType w:val="hybridMultilevel"/>
    <w:lvl w:ilvl="0">
      <w:lvlJc w:val="left"/>
      <w:lvlText w:val="%1."/>
      <w:numFmt w:val="upperLetter"/>
      <w:start w:val="1"/>
    </w:lvl>
    <w:lvl w:ilvl="1">
      <w:lvlJc w:val="left"/>
      <w:lvlText w:val="(%2)"/>
      <w:numFmt w:val="decimal"/>
      <w:start w:val="6"/>
    </w:lvl>
  </w:abstractNum>
  <w:abstractNum w:abstractNumId="46">
    <w:nsid w:val="540A471C"/>
    <w:multiLevelType w:val="hybridMultilevel"/>
    <w:lvl w:ilvl="0">
      <w:lvlJc w:val="left"/>
      <w:lvlText w:val="%1."/>
      <w:numFmt w:val="upperLetter"/>
      <w:start w:val="1"/>
    </w:lvl>
    <w:lvl w:ilvl="1">
      <w:lvlJc w:val="left"/>
      <w:lvlText w:val="(%2)"/>
      <w:numFmt w:val="decimal"/>
      <w:start w:val="8"/>
    </w:lvl>
  </w:abstractNum>
  <w:abstractNum w:abstractNumId="47">
    <w:nsid w:val="7BD3EE7B"/>
    <w:multiLevelType w:val="hybridMultilevel"/>
    <w:lvl w:ilvl="0">
      <w:lvlJc w:val="left"/>
      <w:lvlText w:val="(%1)"/>
      <w:numFmt w:val="decimal"/>
      <w:start w:val="9"/>
    </w:lvl>
  </w:abstractNum>
  <w:abstractNum w:abstractNumId="48">
    <w:nsid w:val="51D9C564"/>
    <w:multiLevelType w:val="hybridMultilevel"/>
    <w:lvl w:ilvl="0">
      <w:lvlJc w:val="left"/>
      <w:lvlText w:val="%1."/>
      <w:numFmt w:val="upperLetter"/>
      <w:start w:val="1"/>
    </w:lvl>
    <w:lvl w:ilvl="1">
      <w:lvlJc w:val="left"/>
      <w:lvlText w:val="(%2)"/>
      <w:numFmt w:val="decimal"/>
      <w:start w:val="10"/>
    </w:lvl>
  </w:abstractNum>
  <w:abstractNum w:abstractNumId="49">
    <w:nsid w:val="613EFDC5"/>
    <w:multiLevelType w:val="hybridMultilevel"/>
    <w:lvl w:ilvl="0">
      <w:lvlJc w:val="left"/>
      <w:lvlText w:val="%1."/>
      <w:numFmt w:val="upperLetter"/>
      <w:start w:val="2"/>
    </w:lvl>
    <w:lvl w:ilvl="1">
      <w:lvlJc w:val="left"/>
      <w:lvlText w:val="(%2)"/>
      <w:numFmt w:val="decimal"/>
      <w:start w:val="1"/>
    </w:lvl>
  </w:abstractNum>
  <w:abstractNum w:abstractNumId="50">
    <w:nsid w:val="BF72B14"/>
    <w:multiLevelType w:val="hybridMultilevel"/>
    <w:lvl w:ilvl="0">
      <w:lvlJc w:val="left"/>
      <w:lvlText w:val="%1."/>
      <w:numFmt w:val="upperLetter"/>
      <w:start w:val="2"/>
    </w:lvl>
    <w:lvl w:ilvl="1">
      <w:lvlJc w:val="left"/>
      <w:lvlText w:val="(%2)"/>
      <w:numFmt w:val="decimal"/>
      <w:start w:val="3"/>
    </w:lvl>
  </w:abstractNum>
  <w:abstractNum w:abstractNumId="51">
    <w:nsid w:val="11447B73"/>
    <w:multiLevelType w:val="hybridMultilevel"/>
    <w:lvl w:ilvl="0">
      <w:lvlJc w:val="left"/>
      <w:lvlText w:val="%1."/>
      <w:numFmt w:val="upperLetter"/>
      <w:start w:val="3"/>
    </w:lvl>
    <w:lvl w:ilvl="1">
      <w:lvlJc w:val="left"/>
      <w:lvlText w:val="(%2)"/>
      <w:numFmt w:val="decimal"/>
      <w:start w:val="1"/>
    </w:lvl>
  </w:abstractNum>
  <w:abstractNum w:abstractNumId="52">
    <w:nsid w:val="42963E5A"/>
    <w:multiLevelType w:val="hybridMultilevel"/>
    <w:lvl w:ilvl="0">
      <w:lvlJc w:val="left"/>
      <w:lvlText w:val="%1."/>
      <w:numFmt w:val="upperLetter"/>
      <w:start w:val="4"/>
    </w:lvl>
    <w:lvl w:ilvl="1">
      <w:lvlJc w:val="left"/>
      <w:lvlText w:val="(%2)"/>
      <w:numFmt w:val="decimal"/>
      <w:start w:val="2"/>
    </w:lvl>
  </w:abstractNum>
  <w:abstractNum w:abstractNumId="53">
    <w:nsid w:val="A0382C5"/>
    <w:multiLevelType w:val="hybridMultilevel"/>
    <w:lvl w:ilvl="0">
      <w:lvlJc w:val="left"/>
      <w:lvlText w:val="%1."/>
      <w:numFmt w:val="upperLetter"/>
      <w:start w:val="6"/>
    </w:lvl>
  </w:abstractNum>
  <w:abstractNum w:abstractNumId="54">
    <w:nsid w:val="8F2B15E"/>
    <w:multiLevelType w:val="hybridMultilevel"/>
    <w:lvl w:ilvl="0">
      <w:lvlJc w:val="left"/>
      <w:lvlText w:val="%1."/>
      <w:numFmt w:val="upperLetter"/>
      <w:start w:val="8"/>
    </w:lvl>
  </w:abstractNum>
  <w:abstractNum w:abstractNumId="55">
    <w:nsid w:val="1A32234B"/>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56">
    <w:nsid w:val="3B0FD379"/>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3"/>
    </w:lvl>
  </w:abstractNum>
  <w:abstractNum w:abstractNumId="57">
    <w:nsid w:val="68EB2F63"/>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4"/>
    </w:lvl>
  </w:abstractNum>
  <w:abstractNum w:abstractNumId="58">
    <w:nsid w:val="4962813B"/>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5"/>
    </w:lvl>
  </w:abstractNum>
  <w:abstractNum w:abstractNumId="59">
    <w:nsid w:val="60B6DF70"/>
    <w:multiLevelType w:val="hybridMultilevel"/>
    <w:lvl w:ilvl="0">
      <w:lvlJc w:val="left"/>
      <w:lvlText w:val="(%1)"/>
      <w:numFmt w:val="upperLetter"/>
      <w:start w:val="6"/>
    </w:lvl>
  </w:abstractNum>
  <w:abstractNum w:abstractNumId="60">
    <w:nsid w:val="6A5EE64"/>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6"/>
    </w:lvl>
  </w:abstractNum>
  <w:abstractNum w:abstractNumId="61">
    <w:nsid w:val="14330624"/>
    <w:multiLevelType w:val="hybridMultilevel"/>
    <w:lvl w:ilvl="0">
      <w:lvlJc w:val="left"/>
      <w:lvlText w:val="%1."/>
      <w:numFmt w:val="upperLetter"/>
      <w:start w:val="2"/>
    </w:lvl>
    <w:lvl w:ilvl="1">
      <w:lvlJc w:val="left"/>
      <w:lvlText w:val="(%2)"/>
      <w:numFmt w:val="decimal"/>
      <w:start w:val="2"/>
    </w:lvl>
  </w:abstractNum>
  <w:abstractNum w:abstractNumId="62">
    <w:nsid w:val="7FFFCA11"/>
    <w:multiLevelType w:val="hybridMultilevel"/>
    <w:lvl w:ilvl="0">
      <w:lvlJc w:val="left"/>
      <w:lvlText w:val="%1."/>
      <w:numFmt w:val="upperLetter"/>
      <w:start w:val="2"/>
    </w:lvl>
    <w:lvl w:ilvl="1">
      <w:lvlJc w:val="left"/>
      <w:lvlText w:val="(%2)"/>
      <w:numFmt w:val="decimal"/>
      <w:start w:val="3"/>
    </w:lvl>
  </w:abstractNum>
  <w:abstractNum w:abstractNumId="63">
    <w:nsid w:val="1A27709E"/>
    <w:multiLevelType w:val="hybridMultilevel"/>
    <w:lvl w:ilvl="0">
      <w:lvlJc w:val="left"/>
      <w:lvlText w:val="(%1)"/>
      <w:numFmt w:val="decimal"/>
      <w:start w:val="4"/>
    </w:lvl>
  </w:abstractNum>
  <w:abstractNum w:abstractNumId="64">
    <w:nsid w:val="71EA1109"/>
    <w:multiLevelType w:val="hybridMultilevel"/>
    <w:lvl w:ilvl="0">
      <w:lvlJc w:val="left"/>
      <w:lvlText w:val="%1."/>
      <w:numFmt w:val="upperLetter"/>
      <w:start w:val="2"/>
    </w:lvl>
    <w:lvl w:ilvl="1">
      <w:lvlJc w:val="left"/>
      <w:lvlText w:val="(%2)"/>
      <w:numFmt w:val="decimal"/>
      <w:start w:val="5"/>
    </w:lvl>
    <w:lvl w:ilvl="2">
      <w:lvlJc w:val="left"/>
      <w:lvlText w:val="(%3)"/>
      <w:numFmt w:val="upperLetter"/>
      <w:start w:val="1"/>
    </w:lvl>
  </w:abstractNum>
  <w:abstractNum w:abstractNumId="65">
    <w:nsid w:val="100F59DC"/>
    <w:multiLevelType w:val="hybridMultilevel"/>
    <w:lvl w:ilvl="0">
      <w:lvlJc w:val="left"/>
      <w:lvlText w:val="%1."/>
      <w:numFmt w:val="upperLetter"/>
      <w:start w:val="2"/>
    </w:lvl>
    <w:lvl w:ilvl="1">
      <w:lvlJc w:val="left"/>
      <w:lvlText w:val="(%2)"/>
      <w:numFmt w:val="decimal"/>
      <w:start w:val="5"/>
    </w:lvl>
    <w:lvl w:ilvl="2">
      <w:lvlJc w:val="left"/>
      <w:lvlText w:val="(%3)"/>
      <w:numFmt w:val="upperLetter"/>
      <w:start w:val="1"/>
    </w:lvl>
  </w:abstractNum>
  <w:abstractNum w:abstractNumId="66">
    <w:nsid w:val="7FB7E0AA"/>
    <w:multiLevelType w:val="hybridMultilevel"/>
    <w:lvl w:ilvl="0">
      <w:lvlJc w:val="left"/>
      <w:lvlText w:val="%1."/>
      <w:numFmt w:val="upperLetter"/>
      <w:start w:val="2"/>
    </w:lvl>
    <w:lvl w:ilvl="1">
      <w:lvlJc w:val="left"/>
      <w:lvlText w:val="(%2)"/>
      <w:numFmt w:val="decimal"/>
      <w:start w:val="6"/>
    </w:lvl>
  </w:abstractNum>
  <w:abstractNum w:abstractNumId="67">
    <w:nsid w:val="6EB5BD4"/>
    <w:multiLevelType w:val="hybridMultilevel"/>
    <w:lvl w:ilvl="0">
      <w:lvlJc w:val="left"/>
      <w:lvlText w:val="(%1)"/>
      <w:numFmt w:val="decimal"/>
      <w:start w:val="1"/>
    </w:lvl>
  </w:abstractNum>
  <w:abstractNum w:abstractNumId="68">
    <w:nsid w:val="6F6DD9AC"/>
    <w:multiLevelType w:val="hybridMultilevel"/>
    <w:lvl w:ilvl="0">
      <w:lvlJc w:val="left"/>
      <w:lvlText w:val="%1."/>
      <w:numFmt w:val="upperLetter"/>
      <w:start w:val="4"/>
    </w:lvl>
  </w:abstractNum>
  <w:abstractNum w:abstractNumId="69">
    <w:nsid w:val="94211F2"/>
    <w:multiLevelType w:val="hybridMultilevel"/>
    <w:lvl w:ilvl="0">
      <w:lvlJc w:val="left"/>
      <w:lvlText w:val="%1."/>
      <w:numFmt w:val="upperLetter"/>
      <w:start w:val="9"/>
    </w:lvl>
  </w:abstractNum>
  <w:abstractNum w:abstractNumId="70">
    <w:nsid w:val="885E1B"/>
    <w:multiLevelType w:val="hybridMultilevel"/>
    <w:lvl w:ilvl="0">
      <w:lvlJc w:val="left"/>
      <w:lvlText w:val="%1."/>
      <w:numFmt w:val="upperLetter"/>
      <w:start w:val="10"/>
    </w:lvl>
  </w:abstractNum>
  <w:abstractNum w:abstractNumId="71">
    <w:nsid w:val="76272110"/>
    <w:multiLevelType w:val="hybridMultilevel"/>
    <w:lvl w:ilvl="0">
      <w:lvlJc w:val="left"/>
      <w:lvlText w:val="%1."/>
      <w:numFmt w:val="upperLetter"/>
      <w:start w:val="11"/>
    </w:lvl>
  </w:abstractNum>
  <w:abstractNum w:abstractNumId="72">
    <w:nsid w:val="4C04A8AF"/>
    <w:multiLevelType w:val="hybridMultilevel"/>
    <w:lvl w:ilvl="0">
      <w:lvlJc w:val="left"/>
      <w:lvlText w:val="%1."/>
      <w:numFmt w:val="upperLetter"/>
      <w:start w:val="1"/>
    </w:lvl>
  </w:abstractNum>
  <w:abstractNum w:abstractNumId="73">
    <w:nsid w:val="1716703B"/>
    <w:multiLevelType w:val="hybridMultilevel"/>
    <w:lvl w:ilvl="0">
      <w:lvlJc w:val="left"/>
      <w:lvlText w:val="%1."/>
      <w:numFmt w:val="upperLetter"/>
      <w:start w:val="2"/>
    </w:lvl>
  </w:abstractNum>
  <w:abstractNum w:abstractNumId="74">
    <w:nsid w:val="14E17E33"/>
    <w:multiLevelType w:val="hybridMultilevel"/>
    <w:lvl w:ilvl="0">
      <w:lvlJc w:val="left"/>
      <w:lvlText w:val="%1."/>
      <w:numFmt w:val="upperLetter"/>
      <w:start w:val="3"/>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1."/>
      <w:numFmt w:val="upperLetter"/>
      <w:start w:val="1"/>
    </w:lvl>
  </w:abstractNum>
  <w:abstractNum w:abstractNumId="77">
    <w:nsid w:val="68EBC550"/>
    <w:multiLevelType w:val="hybridMultilevel"/>
    <w:lvl w:ilvl="0">
      <w:lvlJc w:val="left"/>
      <w:lvlText w:val="%1."/>
      <w:numFmt w:val="upperLetter"/>
      <w:start w:val="2"/>
    </w:lvl>
  </w:abstractNum>
  <w:abstractNum w:abstractNumId="78">
    <w:nsid w:val="2DF6D648"/>
    <w:multiLevelType w:val="hybridMultilevel"/>
    <w:lvl w:ilvl="0">
      <w:lvlJc w:val="left"/>
      <w:lvlText w:val="%1."/>
      <w:numFmt w:val="upperLetter"/>
      <w:start w:val="3"/>
    </w:lvl>
  </w:abstractNum>
  <w:abstractNum w:abstractNumId="79">
    <w:nsid w:val="46B7D447"/>
    <w:multiLevelType w:val="hybridMultilevel"/>
    <w:lvl w:ilvl="0">
      <w:lvlJc w:val="left"/>
      <w:lvlText w:val="%1."/>
      <w:numFmt w:val="upperLetter"/>
      <w:start w:val="4"/>
    </w:lvl>
  </w:abstractNum>
  <w:abstractNum w:abstractNumId="80">
    <w:nsid w:val="4A2AC315"/>
    <w:multiLevelType w:val="hybridMultilevel"/>
    <w:lvl w:ilvl="0">
      <w:lvlJc w:val="left"/>
      <w:lvlText w:val="%1."/>
      <w:numFmt w:val="upperLetter"/>
      <w:start w:val="5"/>
    </w:lvl>
  </w:abstractNum>
  <w:abstractNum w:abstractNumId="81">
    <w:nsid w:val="39EE015C"/>
    <w:multiLevelType w:val="hybridMultilevel"/>
    <w:lvl w:ilvl="0">
      <w:lvlJc w:val="left"/>
      <w:lvlText w:val="%1."/>
      <w:numFmt w:val="upperLetter"/>
      <w:start w:val="1"/>
    </w:lvl>
  </w:abstractNum>
  <w:abstractNum w:abstractNumId="82">
    <w:nsid w:val="57FC4FBB"/>
    <w:multiLevelType w:val="hybridMultilevel"/>
    <w:lvl w:ilvl="0">
      <w:lvlJc w:val="left"/>
      <w:lvlText w:val="%1."/>
      <w:numFmt w:val="upperLetter"/>
      <w:start w:val="2"/>
    </w:lvl>
  </w:abstractNum>
  <w:abstractNum w:abstractNumId="83">
    <w:nsid w:val="CC1016F"/>
    <w:multiLevelType w:val="hybridMultilevel"/>
    <w:lvl w:ilvl="0">
      <w:lvlJc w:val="left"/>
      <w:lvlText w:val="%1."/>
      <w:numFmt w:val="upperLetter"/>
      <w:start w:val="3"/>
    </w:lvl>
  </w:abstractNum>
  <w:abstractNum w:abstractNumId="84">
    <w:nsid w:val="43F18422"/>
    <w:multiLevelType w:val="hybridMultilevel"/>
    <w:lvl w:ilvl="0">
      <w:lvlJc w:val="left"/>
      <w:lvlText w:val="%1."/>
      <w:numFmt w:val="upperLetter"/>
      <w:start w:val="1"/>
    </w:lvl>
    <w:lvl w:ilvl="1">
      <w:lvlJc w:val="left"/>
      <w:lvlText w:val="(%2)"/>
      <w:numFmt w:val="decimal"/>
      <w:start w:val="1"/>
    </w:lvl>
  </w:abstractNum>
  <w:abstractNum w:abstractNumId="85">
    <w:nsid w:val="60EF0119"/>
    <w:multiLevelType w:val="hybridMultilevel"/>
    <w:lvl w:ilvl="0">
      <w:lvlJc w:val="left"/>
      <w:lvlText w:val="%1."/>
      <w:numFmt w:val="upperLetter"/>
      <w:start w:val="1"/>
    </w:lvl>
    <w:lvl w:ilvl="1">
      <w:lvlJc w:val="left"/>
      <w:lvlText w:val="(%2)"/>
      <w:numFmt w:val="decimal"/>
      <w:start w:val="2"/>
    </w:lvl>
  </w:abstractNum>
  <w:abstractNum w:abstractNumId="86">
    <w:nsid w:val="26F324BA"/>
    <w:multiLevelType w:val="hybridMultilevel"/>
    <w:lvl w:ilvl="0">
      <w:lvlJc w:val="left"/>
      <w:lvlText w:val="(%1)"/>
      <w:numFmt w:val="decimal"/>
      <w:start w:val="3"/>
    </w:lvl>
  </w:abstractNum>
  <w:abstractNum w:abstractNumId="87">
    <w:nsid w:val="7F01579B"/>
    <w:multiLevelType w:val="hybridMultilevel"/>
    <w:lvl w:ilvl="0">
      <w:lvlJc w:val="left"/>
      <w:lvlText w:val="%1."/>
      <w:numFmt w:val="upperLetter"/>
      <w:start w:val="1"/>
    </w:lvl>
    <w:lvl w:ilvl="1">
      <w:lvlJc w:val="left"/>
      <w:lvlText w:val="(%2)"/>
      <w:numFmt w:val="decimal"/>
      <w:start w:val="5"/>
    </w:lvl>
  </w:abstractNum>
  <w:abstractNum w:abstractNumId="88">
    <w:nsid w:val="49DA307D"/>
    <w:multiLevelType w:val="hybridMultilevel"/>
    <w:lvl w:ilvl="0">
      <w:lvlJc w:val="left"/>
      <w:lvlText w:val="%1."/>
      <w:numFmt w:val="upperLetter"/>
      <w:start w:val="2"/>
    </w:lvl>
  </w:abstractNum>
  <w:abstractNum w:abstractNumId="89">
    <w:nsid w:val="7055A5F5"/>
    <w:multiLevelType w:val="hybridMultilevel"/>
    <w:lvl w:ilvl="0">
      <w:lvlJc w:val="left"/>
      <w:lvlText w:val="%1."/>
      <w:numFmt w:val="upperLetter"/>
      <w:start w:val="3"/>
    </w:lvl>
    <w:lvl w:ilvl="1">
      <w:lvlJc w:val="left"/>
      <w:lvlText w:val="(%2)"/>
      <w:numFmt w:val="decimal"/>
      <w:start w:val="1"/>
    </w:lvl>
  </w:abstractNum>
  <w:abstractNum w:abstractNumId="90">
    <w:nsid w:val="5FB8370B"/>
    <w:multiLevelType w:val="hybridMultilevel"/>
    <w:lvl w:ilvl="0">
      <w:lvlJc w:val="left"/>
      <w:lvlText w:val="%1."/>
      <w:numFmt w:val="upperLetter"/>
      <w:start w:val="4"/>
    </w:lvl>
    <w:lvl w:ilvl="1">
      <w:lvlJc w:val="left"/>
      <w:lvlText w:val="(%2)"/>
      <w:numFmt w:val="decimal"/>
      <w:start w:val="2"/>
    </w:lvl>
  </w:abstractNum>
  <w:abstractNum w:abstractNumId="91">
    <w:nsid w:val="50801EE1"/>
    <w:multiLevelType w:val="hybridMultilevel"/>
    <w:lvl w:ilvl="0">
      <w:lvlJc w:val="left"/>
      <w:lvlText w:val="%1."/>
      <w:numFmt w:val="upperLetter"/>
      <w:start w:val="5"/>
    </w:lvl>
  </w:abstractNum>
  <w:abstractNum w:abstractNumId="92">
    <w:nsid w:val="488AC1A"/>
    <w:multiLevelType w:val="hybridMultilevel"/>
    <w:lvl w:ilvl="0">
      <w:lvlJc w:val="left"/>
      <w:lvlText w:val="%1."/>
      <w:numFmt w:val="upperLetter"/>
      <w:start w:val="6"/>
    </w:lvl>
  </w:abstractNum>
  <w:abstractNum w:abstractNumId="93">
    <w:nsid w:val="5FB8011C"/>
    <w:multiLevelType w:val="hybridMultilevel"/>
    <w:lvl w:ilvl="0">
      <w:lvlJc w:val="left"/>
      <w:lvlText w:val="%1."/>
      <w:numFmt w:val="upperLetter"/>
      <w:start w:val="6"/>
    </w:lvl>
  </w:abstractNum>
  <w:abstractNum w:abstractNumId="94">
    <w:nsid w:val="6AA78F7F"/>
    <w:multiLevelType w:val="hybridMultilevel"/>
    <w:lvl w:ilvl="0">
      <w:lvlJc w:val="left"/>
      <w:lvlText w:val="%1."/>
      <w:numFmt w:val="upperLetter"/>
      <w:start w:val="8"/>
    </w:lvl>
  </w:abstractNum>
  <w:abstractNum w:abstractNumId="95">
    <w:nsid w:val="7672BD23"/>
    <w:multiLevelType w:val="hybridMultilevel"/>
    <w:lvl w:ilvl="0">
      <w:lvlJc w:val="left"/>
      <w:lvlText w:val="%1."/>
      <w:numFmt w:val="upperLetter"/>
      <w:start w:val="9"/>
    </w:lvl>
  </w:abstractNum>
  <w:abstractNum w:abstractNumId="96">
    <w:nsid w:val="6FC75AF8"/>
    <w:multiLevelType w:val="hybridMultilevel"/>
    <w:lvl w:ilvl="0">
      <w:lvlJc w:val="left"/>
      <w:lvlText w:val="%1."/>
      <w:numFmt w:val="upperLetter"/>
      <w:start w:val="10"/>
    </w:lvl>
  </w:abstractNum>
  <w:abstractNum w:abstractNumId="97">
    <w:nsid w:val="6A5F7029"/>
    <w:multiLevelType w:val="hybridMultilevel"/>
    <w:lvl w:ilvl="0">
      <w:lvlJc w:val="left"/>
      <w:lvlText w:val="%1."/>
      <w:numFmt w:val="upperLetter"/>
      <w:start w:val="11"/>
    </w:lvl>
  </w:abstractNum>
  <w:abstractNum w:abstractNumId="98">
    <w:nsid w:val="7D5E18F8"/>
    <w:multiLevelType w:val="hybridMultilevel"/>
    <w:lvl w:ilvl="0">
      <w:lvlJc w:val="left"/>
      <w:lvlText w:val="%1."/>
      <w:numFmt w:val="upperLetter"/>
      <w:start w:val="13"/>
    </w:lvl>
  </w:abstractNum>
  <w:abstractNum w:abstractNumId="99">
    <w:nsid w:val="5F3534A4"/>
    <w:multiLevelType w:val="hybridMultilevel"/>
    <w:lvl w:ilvl="0">
      <w:lvlJc w:val="left"/>
      <w:lvlText w:val="%1."/>
      <w:numFmt w:val="upperLetter"/>
      <w:start w:val="13"/>
    </w:lvl>
  </w:abstractNum>
  <w:abstractNum w:abstractNumId="100">
    <w:nsid w:val="73A1821B"/>
    <w:multiLevelType w:val="hybridMultilevel"/>
    <w:lvl w:ilvl="0">
      <w:lvlJc w:val="left"/>
      <w:lvlText w:val="%1."/>
      <w:numFmt w:val="upperLetter"/>
      <w:start w:val="14"/>
    </w:lvl>
  </w:abstractNum>
  <w:abstractNum w:abstractNumId="101">
    <w:nsid w:val="7DE6771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2019-12-14T03:38:54Z</dcterms:created>
  <dcterms:modified xsi:type="dcterms:W3CDTF">2019-12-14T03:38:54Z</dcterms:modified>
</cp:coreProperties>
</file>