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As filed with the Securities and Exchange Commission on February 15, 2008</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Registration No. 333-148747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3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73" w:lineRule="exact"/>
        <w:rPr>
          <w:sz w:val="24"/>
          <w:szCs w:val="24"/>
          <w:color w:val="auto"/>
        </w:rPr>
      </w:pPr>
    </w:p>
    <w:p>
      <w:pPr>
        <w:ind w:left="4560"/>
        <w:spacing w:after="0"/>
        <w:rPr>
          <w:sz w:val="20"/>
          <w:szCs w:val="20"/>
          <w:color w:val="auto"/>
        </w:rPr>
      </w:pPr>
      <w:r>
        <w:rPr>
          <w:rFonts w:ascii="Arial" w:cs="Arial" w:eastAsia="Arial" w:hAnsi="Arial"/>
          <w:sz w:val="24"/>
          <w:szCs w:val="24"/>
          <w:b w:val="1"/>
          <w:bCs w:val="1"/>
          <w:color w:val="auto"/>
        </w:rPr>
        <w:t>AMENDMENT NO.1</w:t>
      </w:r>
    </w:p>
    <w:p>
      <w:pPr>
        <w:spacing w:after="0" w:line="36" w:lineRule="exact"/>
        <w:rPr>
          <w:sz w:val="24"/>
          <w:szCs w:val="24"/>
          <w:color w:val="auto"/>
        </w:rPr>
      </w:pPr>
    </w:p>
    <w:p>
      <w:pPr>
        <w:ind w:left="5520"/>
        <w:spacing w:after="0"/>
        <w:rPr>
          <w:sz w:val="20"/>
          <w:szCs w:val="20"/>
          <w:color w:val="auto"/>
        </w:rPr>
      </w:pPr>
      <w:r>
        <w:rPr>
          <w:rFonts w:ascii="Arial" w:cs="Arial" w:eastAsia="Arial" w:hAnsi="Arial"/>
          <w:sz w:val="24"/>
          <w:szCs w:val="24"/>
          <w:b w:val="1"/>
          <w:bCs w:val="1"/>
          <w:color w:val="auto"/>
        </w:rPr>
        <w:t>TO</w:t>
      </w:r>
    </w:p>
    <w:p>
      <w:pPr>
        <w:spacing w:after="0" w:line="8" w:lineRule="exact"/>
        <w:rPr>
          <w:sz w:val="24"/>
          <w:szCs w:val="24"/>
          <w:color w:val="auto"/>
        </w:rPr>
      </w:pPr>
    </w:p>
    <w:p>
      <w:pPr>
        <w:ind w:left="5140"/>
        <w:spacing w:after="0"/>
        <w:rPr>
          <w:sz w:val="20"/>
          <w:szCs w:val="20"/>
          <w:color w:val="auto"/>
        </w:rPr>
      </w:pPr>
      <w:r>
        <w:rPr>
          <w:rFonts w:ascii="Arial" w:cs="Arial" w:eastAsia="Arial" w:hAnsi="Arial"/>
          <w:sz w:val="24"/>
          <w:szCs w:val="24"/>
          <w:b w:val="1"/>
          <w:bCs w:val="1"/>
          <w:color w:val="auto"/>
        </w:rPr>
        <w:t>FORM F-3</w:t>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0" w:orient="portrait"/>
          <w:cols w:equalWidth="0" w:num="1">
            <w:col w:w="11400"/>
          </w:cols>
          <w:pgMar w:left="240" w:top="233" w:right="259" w:bottom="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900" w:orient="portrait"/>
          <w:cols w:equalWidth="0" w:num="2">
            <w:col w:w="6580" w:space="720"/>
            <w:col w:w="4100"/>
          </w:cols>
          <w:pgMar w:left="240" w:top="233" w:right="259" w:bottom="0" w:gutter="0" w:footer="0" w:header="0"/>
          <w:type w:val="continuous"/>
        </w:sectPr>
      </w:pP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address and telephone number of agent for service)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Copies of all Correspondence to:</w:t>
      </w:r>
    </w:p>
    <w:p>
      <w:pPr>
        <w:spacing w:after="0" w:line="213" w:lineRule="exact"/>
        <w:rPr>
          <w:sz w:val="24"/>
          <w:szCs w:val="24"/>
          <w:color w:val="auto"/>
        </w:rPr>
      </w:pPr>
    </w:p>
    <w:tbl>
      <w:tblPr>
        <w:tblLayout w:type="fixed"/>
        <w:tblInd w:w="1740" w:type="dxa"/>
        <w:tblCellMar>
          <w:top w:w="0" w:type="dxa"/>
          <w:left w:w="0" w:type="dxa"/>
          <w:bottom w:w="0" w:type="dxa"/>
          <w:right w:w="0" w:type="dxa"/>
        </w:tblCellMar>
      </w:tblPr>
      <w:tr>
        <w:trPr>
          <w:trHeight w:val="228"/>
        </w:trPr>
        <w:tc>
          <w:tcPr>
            <w:tcW w:w="4000" w:type="dxa"/>
            <w:vAlign w:val="bottom"/>
          </w:tcPr>
          <w:p>
            <w:pPr>
              <w:jc w:val="center"/>
              <w:ind w:right="1672"/>
              <w:spacing w:after="0"/>
              <w:rPr>
                <w:sz w:val="20"/>
                <w:szCs w:val="20"/>
                <w:color w:val="auto"/>
              </w:rPr>
            </w:pPr>
            <w:r>
              <w:rPr>
                <w:rFonts w:ascii="Arial" w:cs="Arial" w:eastAsia="Arial" w:hAnsi="Arial"/>
                <w:sz w:val="18"/>
                <w:szCs w:val="18"/>
                <w:b w:val="1"/>
                <w:bCs w:val="1"/>
                <w:color w:val="auto"/>
                <w:w w:val="96"/>
              </w:rPr>
              <w:t>DAVID H. SCHAPIRO, ESQ.</w:t>
            </w:r>
          </w:p>
        </w:tc>
        <w:tc>
          <w:tcPr>
            <w:tcW w:w="3900" w:type="dxa"/>
            <w:vAlign w:val="bottom"/>
          </w:tcPr>
          <w:p>
            <w:pPr>
              <w:jc w:val="center"/>
              <w:ind w:left="1672"/>
              <w:spacing w:after="0"/>
              <w:rPr>
                <w:sz w:val="20"/>
                <w:szCs w:val="20"/>
                <w:color w:val="auto"/>
              </w:rPr>
            </w:pPr>
            <w:r>
              <w:rPr>
                <w:rFonts w:ascii="Arial" w:cs="Arial" w:eastAsia="Arial" w:hAnsi="Arial"/>
                <w:sz w:val="18"/>
                <w:szCs w:val="18"/>
                <w:b w:val="1"/>
                <w:bCs w:val="1"/>
                <w:color w:val="auto"/>
                <w:w w:val="94"/>
              </w:rPr>
              <w:t>SHELDON KRAUSE, ESQ.</w:t>
            </w:r>
          </w:p>
        </w:tc>
      </w:tr>
      <w:tr>
        <w:trPr>
          <w:trHeight w:val="427"/>
        </w:trPr>
        <w:tc>
          <w:tcPr>
            <w:tcW w:w="4000" w:type="dxa"/>
            <w:vAlign w:val="bottom"/>
          </w:tcPr>
          <w:p>
            <w:pPr>
              <w:jc w:val="center"/>
              <w:ind w:right="1652"/>
              <w:spacing w:after="0"/>
              <w:rPr>
                <w:sz w:val="20"/>
                <w:szCs w:val="20"/>
                <w:color w:val="auto"/>
              </w:rPr>
            </w:pPr>
            <w:r>
              <w:rPr>
                <w:rFonts w:ascii="Arial" w:cs="Arial" w:eastAsia="Arial" w:hAnsi="Arial"/>
                <w:sz w:val="18"/>
                <w:szCs w:val="18"/>
                <w:color w:val="auto"/>
                <w:w w:val="93"/>
              </w:rPr>
              <w:t>Yigal Arnon &amp; Co.</w:t>
            </w:r>
          </w:p>
        </w:tc>
        <w:tc>
          <w:tcPr>
            <w:tcW w:w="3900" w:type="dxa"/>
            <w:vAlign w:val="bottom"/>
          </w:tcPr>
          <w:p>
            <w:pPr>
              <w:jc w:val="center"/>
              <w:ind w:left="1672"/>
              <w:spacing w:after="0"/>
              <w:rPr>
                <w:sz w:val="20"/>
                <w:szCs w:val="20"/>
                <w:color w:val="auto"/>
              </w:rPr>
            </w:pPr>
            <w:r>
              <w:rPr>
                <w:rFonts w:ascii="Arial" w:cs="Arial" w:eastAsia="Arial" w:hAnsi="Arial"/>
                <w:sz w:val="18"/>
                <w:szCs w:val="18"/>
                <w:color w:val="auto"/>
                <w:w w:val="89"/>
              </w:rPr>
              <w:t>Eilenberg, Krause &amp; Paul LLP</w:t>
            </w:r>
          </w:p>
        </w:tc>
      </w:tr>
      <w:tr>
        <w:trPr>
          <w:trHeight w:val="255"/>
        </w:trPr>
        <w:tc>
          <w:tcPr>
            <w:tcW w:w="4000" w:type="dxa"/>
            <w:vAlign w:val="bottom"/>
          </w:tcPr>
          <w:p>
            <w:pPr>
              <w:jc w:val="center"/>
              <w:ind w:right="1652"/>
              <w:spacing w:after="0"/>
              <w:rPr>
                <w:sz w:val="20"/>
                <w:szCs w:val="20"/>
                <w:color w:val="auto"/>
              </w:rPr>
            </w:pPr>
            <w:r>
              <w:rPr>
                <w:rFonts w:ascii="Arial" w:cs="Arial" w:eastAsia="Arial" w:hAnsi="Arial"/>
                <w:sz w:val="18"/>
                <w:szCs w:val="18"/>
                <w:color w:val="auto"/>
                <w:w w:val="92"/>
              </w:rPr>
              <w:t>1 Azrieli Center</w:t>
            </w:r>
          </w:p>
        </w:tc>
        <w:tc>
          <w:tcPr>
            <w:tcW w:w="3900" w:type="dxa"/>
            <w:vAlign w:val="bottom"/>
          </w:tcPr>
          <w:p>
            <w:pPr>
              <w:jc w:val="center"/>
              <w:ind w:left="16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4000" w:type="dxa"/>
            <w:vAlign w:val="bottom"/>
          </w:tcPr>
          <w:p>
            <w:pPr>
              <w:jc w:val="center"/>
              <w:ind w:right="1672"/>
              <w:spacing w:after="0"/>
              <w:rPr>
                <w:sz w:val="20"/>
                <w:szCs w:val="20"/>
                <w:color w:val="auto"/>
              </w:rPr>
            </w:pPr>
            <w:r>
              <w:rPr>
                <w:rFonts w:ascii="Arial" w:cs="Arial" w:eastAsia="Arial" w:hAnsi="Arial"/>
                <w:sz w:val="18"/>
                <w:szCs w:val="18"/>
                <w:color w:val="auto"/>
                <w:w w:val="90"/>
              </w:rPr>
              <w:t>Tel Aviv, 67021 Israel</w:t>
            </w:r>
          </w:p>
        </w:tc>
        <w:tc>
          <w:tcPr>
            <w:tcW w:w="3900" w:type="dxa"/>
            <w:vAlign w:val="bottom"/>
          </w:tcPr>
          <w:p>
            <w:pPr>
              <w:jc w:val="center"/>
              <w:ind w:left="1672"/>
              <w:spacing w:after="0"/>
              <w:rPr>
                <w:sz w:val="20"/>
                <w:szCs w:val="20"/>
                <w:color w:val="auto"/>
              </w:rPr>
            </w:pPr>
            <w:r>
              <w:rPr>
                <w:rFonts w:ascii="Arial" w:cs="Arial" w:eastAsia="Arial" w:hAnsi="Arial"/>
                <w:sz w:val="18"/>
                <w:szCs w:val="18"/>
                <w:color w:val="auto"/>
                <w:w w:val="91"/>
              </w:rPr>
              <w:t>New York, NY 10017</w:t>
            </w:r>
          </w:p>
        </w:tc>
      </w:tr>
      <w:tr>
        <w:trPr>
          <w:trHeight w:val="222"/>
        </w:trPr>
        <w:tc>
          <w:tcPr>
            <w:tcW w:w="4000" w:type="dxa"/>
            <w:vAlign w:val="bottom"/>
          </w:tcPr>
          <w:p>
            <w:pPr>
              <w:jc w:val="center"/>
              <w:ind w:right="1652"/>
              <w:spacing w:after="0"/>
              <w:rPr>
                <w:sz w:val="20"/>
                <w:szCs w:val="20"/>
                <w:color w:val="auto"/>
              </w:rPr>
            </w:pPr>
            <w:r>
              <w:rPr>
                <w:rFonts w:ascii="Arial" w:cs="Arial" w:eastAsia="Arial" w:hAnsi="Arial"/>
                <w:sz w:val="18"/>
                <w:szCs w:val="18"/>
                <w:color w:val="auto"/>
                <w:w w:val="89"/>
              </w:rPr>
              <w:t>Tel: 972-3-608-7856</w:t>
            </w:r>
          </w:p>
        </w:tc>
        <w:tc>
          <w:tcPr>
            <w:tcW w:w="3900" w:type="dxa"/>
            <w:vAlign w:val="bottom"/>
          </w:tcPr>
          <w:p>
            <w:pPr>
              <w:jc w:val="center"/>
              <w:ind w:left="1672"/>
              <w:spacing w:after="0"/>
              <w:rPr>
                <w:sz w:val="20"/>
                <w:szCs w:val="20"/>
                <w:color w:val="auto"/>
              </w:rPr>
            </w:pPr>
            <w:r>
              <w:rPr>
                <w:rFonts w:ascii="Arial" w:cs="Arial" w:eastAsia="Arial" w:hAnsi="Arial"/>
                <w:sz w:val="18"/>
                <w:szCs w:val="18"/>
                <w:color w:val="auto"/>
                <w:w w:val="88"/>
              </w:rPr>
              <w:t>Tel: 212-986-9700</w:t>
            </w: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Calculation of Registration Fee</w:t>
      </w:r>
    </w:p>
    <w:p>
      <w:pPr>
        <w:spacing w:after="0" w:line="208"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5"/>
              </w:rPr>
              <w:t>Title of each</w:t>
            </w:r>
          </w:p>
        </w:tc>
        <w:tc>
          <w:tcPr>
            <w:tcW w:w="14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to be</w:t>
            </w:r>
          </w:p>
        </w:tc>
        <w:tc>
          <w:tcPr>
            <w:tcW w:w="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0"/>
              </w:rPr>
              <w:t>Proposed</w:t>
            </w:r>
          </w:p>
        </w:tc>
        <w:tc>
          <w:tcPr>
            <w:tcW w:w="6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4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class of securities</w:t>
            </w:r>
          </w:p>
        </w:tc>
        <w:tc>
          <w:tcPr>
            <w:tcW w:w="1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registered(1)</w:t>
            </w: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w:t>
            </w:r>
          </w:p>
        </w:tc>
        <w:tc>
          <w:tcPr>
            <w:tcW w:w="6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registration fee</w:t>
            </w:r>
          </w:p>
        </w:tc>
      </w:tr>
      <w:tr>
        <w:trPr>
          <w:trHeight w:val="121"/>
        </w:trPr>
        <w:tc>
          <w:tcPr>
            <w:tcW w:w="45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to be registered</w:t>
            </w:r>
          </w:p>
        </w:tc>
        <w:tc>
          <w:tcPr>
            <w:tcW w:w="140" w:type="dxa"/>
            <w:vAlign w:val="bottom"/>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offering price</w:t>
            </w:r>
          </w:p>
        </w:tc>
        <w:tc>
          <w:tcPr>
            <w:tcW w:w="60" w:type="dxa"/>
            <w:vAlign w:val="bottom"/>
          </w:tcPr>
          <w:p>
            <w:pPr>
              <w:spacing w:after="0"/>
              <w:rPr>
                <w:sz w:val="10"/>
                <w:szCs w:val="10"/>
                <w:color w:val="auto"/>
              </w:rPr>
            </w:pPr>
          </w:p>
        </w:tc>
        <w:tc>
          <w:tcPr>
            <w:tcW w:w="15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7"/>
              </w:rPr>
              <w:t>aggregate</w:t>
            </w:r>
          </w:p>
        </w:tc>
        <w:tc>
          <w:tcPr>
            <w:tcW w:w="60" w:type="dxa"/>
            <w:vAlign w:val="bottom"/>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r>
        <w:trPr>
          <w:trHeight w:val="129"/>
        </w:trPr>
        <w:tc>
          <w:tcPr>
            <w:tcW w:w="4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per unit(2)</w:t>
            </w:r>
          </w:p>
        </w:tc>
        <w:tc>
          <w:tcPr>
            <w:tcW w:w="6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offering</w:t>
            </w:r>
          </w:p>
        </w:tc>
        <w:tc>
          <w:tcPr>
            <w:tcW w:w="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9"/>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price(1)(2)</w:t>
            </w:r>
          </w:p>
        </w:tc>
        <w:tc>
          <w:tcPr>
            <w:tcW w:w="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29"/>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tcPr>
          <w:p>
            <w:pPr>
              <w:spacing w:after="0"/>
              <w:rPr>
                <w:sz w:val="11"/>
                <w:szCs w:val="11"/>
                <w:color w:val="auto"/>
              </w:rPr>
            </w:pPr>
          </w:p>
        </w:tc>
      </w:tr>
    </w:tbl>
    <w:p>
      <w:pPr>
        <w:sectPr>
          <w:pgSz w:w="11900" w:h="16900" w:orient="portrait"/>
          <w:cols w:equalWidth="0" w:num="1">
            <w:col w:w="11400"/>
          </w:cols>
          <w:pgMar w:left="240" w:top="233" w:right="25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Ordinary Shares, par value NIS 1.00 per share</w:t>
            </w:r>
          </w:p>
        </w:tc>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Capital Notes</w:t>
            </w:r>
          </w:p>
        </w:tc>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Debt Securities</w:t>
            </w:r>
          </w:p>
        </w:tc>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Purchase Contracts</w:t>
            </w:r>
          </w:p>
        </w:tc>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Warrants</w:t>
            </w:r>
          </w:p>
        </w:tc>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Units</w:t>
            </w:r>
          </w:p>
        </w:tc>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2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40,000,000</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1,572.00 (3)(4)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line="290"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covers offers, sales and distributions of an indeterminate number or aggregate principal amount of the registered securities which the registrant may from time to time issue at indeterminate prices. The aggregate maximum offering price of all securities covered by this registration statement will not exceed $40,000,000 or if the registrant issues any debt securities at an original issuance discount, such greater amount as shall result in proceeds of $40,000,000 to the registrant. The securities covered by this registration statement may be sold separately or as units with other classes of the registered securities. The securities covered by this registration statement also include such indeterminate numbers of ordinary shares and amount of capital notes and debt securities as may be issued upon conversion of or exchange for capital notes, debt securities or purchase contracts that provide for conversion or exchange, upon exercise of warrants or pursuant to the anti-dilution provisions of any such securities.</w:t>
      </w:r>
    </w:p>
    <w:p>
      <w:pPr>
        <w:spacing w:after="0" w:line="199" w:lineRule="exact"/>
        <w:rPr>
          <w:rFonts w:ascii="Arial" w:cs="Arial" w:eastAsia="Arial" w:hAnsi="Arial"/>
          <w:sz w:val="16"/>
          <w:szCs w:val="16"/>
          <w:color w:val="auto"/>
        </w:rPr>
      </w:pPr>
    </w:p>
    <w:p>
      <w:pPr>
        <w:ind w:left="580" w:right="16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will determine the proposed maximum offering price per unit and the proposed maximum aggregate offering price per class from time to time in connection with the issuance of the registered securities. The proposed maximum aggregate offering price for each class is omitted pursuant to General Instruction II.C of Form F-3 under the Securities Act of 1933.</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under the Securities Act of 1933.</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$1,179.00 previously paid with prior filing.</w:t>
      </w:r>
    </w:p>
    <w:p>
      <w:pPr>
        <w:spacing w:after="0" w:line="246" w:lineRule="exact"/>
        <w:rPr>
          <w:rFonts w:ascii="Arial" w:cs="Arial" w:eastAsia="Arial" w:hAnsi="Arial"/>
          <w:sz w:val="18"/>
          <w:szCs w:val="18"/>
          <w:color w:val="auto"/>
        </w:rPr>
      </w:pPr>
    </w:p>
    <w:p>
      <w:pPr>
        <w:ind w:left="580" w:right="660"/>
        <w:spacing w:after="0" w:line="301" w:lineRule="auto"/>
        <w:rPr>
          <w:rFonts w:ascii="Arial" w:cs="Arial" w:eastAsia="Arial" w:hAnsi="Arial"/>
          <w:sz w:val="18"/>
          <w:szCs w:val="18"/>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w:t>
      </w:r>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DATED ____ __, 2008</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203835</wp:posOffset>
            </wp:positionV>
            <wp:extent cx="2058035" cy="67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$40,000,000</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Ordinary Shares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Notes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Units</w:t>
      </w:r>
    </w:p>
    <w:p>
      <w:pPr>
        <w:spacing w:after="0" w:line="219"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color w:val="auto"/>
        </w:rPr>
        <w:t>We may offer under this prospectus from time to time, at prices and on terms to be determined by market conditions at the time we make the offer, up to an aggregate of $40,000,000 of our:</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ordinary shares;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capital notes;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debt securities (including convertible debt securities);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purchase contracts;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warrants to purchase ordinary shares or debt securities;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combination of the above, separately or as units.</w:t>
      </w:r>
    </w:p>
    <w:p>
      <w:pPr>
        <w:sectPr>
          <w:pgSz w:w="11900" w:h="16838" w:orient="portrait"/>
          <w:cols w:equalWidth="0" w:num="1">
            <w:col w:w="11380"/>
          </w:cols>
          <w:pgMar w:left="240" w:top="388" w:right="279" w:bottom="161" w:gutter="0" w:footer="0" w:header="0"/>
        </w:sectPr>
      </w:pPr>
    </w:p>
    <w:bookmarkStart w:id="2" w:name="page3"/>
    <w:bookmarkEnd w:id="2"/>
    <w:p>
      <w:pPr>
        <w:ind w:right="420" w:firstLine="348"/>
        <w:spacing w:after="0" w:line="268" w:lineRule="auto"/>
        <w:rPr>
          <w:sz w:val="20"/>
          <w:szCs w:val="20"/>
          <w:color w:val="auto"/>
        </w:rPr>
      </w:pPr>
      <w:r>
        <w:rPr>
          <w:rFonts w:ascii="Arial" w:cs="Arial" w:eastAsia="Arial" w:hAnsi="Arial"/>
          <w:sz w:val="18"/>
          <w:szCs w:val="18"/>
          <w:color w:val="auto"/>
        </w:rPr>
        <w:t>This prospectus may not be used to sell our securities unless accompanied by a prospectus supplement. Before you invest in our securities, you should carefully read both this prospectus and the prospectus supplement related to the offering of the securities.</w:t>
      </w:r>
    </w:p>
    <w:p>
      <w:pPr>
        <w:spacing w:after="0" w:line="186" w:lineRule="exact"/>
        <w:rPr>
          <w:sz w:val="20"/>
          <w:szCs w:val="20"/>
          <w:color w:val="auto"/>
        </w:rPr>
      </w:pPr>
    </w:p>
    <w:p>
      <w:pPr>
        <w:ind w:right="100" w:firstLine="395"/>
        <w:spacing w:after="0" w:line="294" w:lineRule="auto"/>
        <w:rPr>
          <w:sz w:val="20"/>
          <w:szCs w:val="20"/>
          <w:color w:val="auto"/>
        </w:rPr>
      </w:pPr>
      <w:r>
        <w:rPr>
          <w:rFonts w:ascii="Arial" w:cs="Arial" w:eastAsia="Arial" w:hAnsi="Arial"/>
          <w:sz w:val="16"/>
          <w:szCs w:val="16"/>
          <w:color w:val="auto"/>
        </w:rPr>
        <w:t>Our ordinary shares are listed on the NASDAQ Global Market under the symbol “TSEM” and on the Tel Aviv Stock Exchange in Israel under the symbol “TSEM.” On February 12, 2008, the last reported sale price of our ordinary shares on the NASDAQ Global Market was $1.07 per share and on the Tel Aviv Stock Exchange was NIS 3.80 per share. We have not yet determined whether any of the other securities that may be offered by this prospectus will be listed on any exchange, inter-dealer quotation system or over-the-counter market. If we decide to seek listing of any such securities, a prospectus supplement relating to those securities will disclose the exchange, quotation system or market on which the securities will be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sell securities through agents or underwriters, we will include their names and the fees, commissions and discounts they will receive, as well as the net proceeds to us, in the applicable prospectus supplement.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on page 2.</w:t>
      </w:r>
    </w:p>
    <w:p>
      <w:pPr>
        <w:spacing w:after="0" w:line="225" w:lineRule="exact"/>
        <w:rPr>
          <w:sz w:val="20"/>
          <w:szCs w:val="20"/>
          <w:color w:val="auto"/>
        </w:rPr>
      </w:pPr>
    </w:p>
    <w:p>
      <w:pPr>
        <w:jc w:val="both"/>
        <w:ind w:right="50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date of this prospectus is ________,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00" w:type="dxa"/>
            <w:vAlign w:val="bottom"/>
            <w:tcBorders>
              <w:bottom w:val="single" w:sz="8" w:color="0000EE"/>
            </w:tcBorders>
            <w:gridSpan w:val="10"/>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Prospectus Summary</w:t>
              </w:r>
            </w:hyperlink>
          </w:p>
        </w:tc>
        <w:tc>
          <w:tcPr>
            <w:tcW w:w="4640" w:type="dxa"/>
            <w:vAlign w:val="bottom"/>
            <w:gridSpan w:val="10"/>
          </w:tcPr>
          <w:p>
            <w:pPr>
              <w:spacing w:after="0"/>
              <w:rPr>
                <w:sz w:val="17"/>
                <w:szCs w:val="17"/>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Risk Factors</w:t>
              </w:r>
            </w:hyperlink>
          </w:p>
        </w:tc>
        <w:tc>
          <w:tcPr>
            <w:tcW w:w="5240" w:type="dxa"/>
            <w:vAlign w:val="bottom"/>
            <w:gridSpan w:val="17"/>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3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Note Concerning Forward-Looking Statements</w:t>
              </w:r>
            </w:hyperlink>
          </w:p>
        </w:tc>
        <w:tc>
          <w:tcPr>
            <w:tcW w:w="2820" w:type="dxa"/>
            <w:vAlign w:val="bottom"/>
            <w:gridSpan w:val="3"/>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6140" w:type="dxa"/>
            <w:vAlign w:val="bottom"/>
            <w:gridSpan w:val="2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Where You Can Find More Information; Incorporation of Information by Reference</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5900" w:type="dxa"/>
            <w:vAlign w:val="bottom"/>
            <w:tcBorders>
              <w:top w:val="single" w:sz="8" w:color="0000EE"/>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Ratio of Earnings to Fixed Charges</w:t>
              </w:r>
            </w:hyperlink>
          </w:p>
        </w:tc>
        <w:tc>
          <w:tcPr>
            <w:tcW w:w="24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1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1"/>
          </w:tcPr>
          <w:p>
            <w:pPr>
              <w:spacing w:after="0"/>
              <w:rPr>
                <w:sz w:val="24"/>
                <w:szCs w:val="24"/>
                <w:color w:val="auto"/>
              </w:rPr>
            </w:pPr>
          </w:p>
        </w:tc>
        <w:tc>
          <w:tcPr>
            <w:tcW w:w="3660" w:type="dxa"/>
            <w:vAlign w:val="bottom"/>
            <w:gridSpan w:val="4"/>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Price Range of Ordinary Shares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224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900" w:type="dxa"/>
            <w:vAlign w:val="bottom"/>
            <w:gridSpan w:val="6"/>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Dilution</w:t>
              </w:r>
            </w:hyperlink>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14"/>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2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Description of Share Capital</w:t>
              </w:r>
            </w:hyperlink>
          </w:p>
        </w:tc>
        <w:tc>
          <w:tcPr>
            <w:tcW w:w="4120" w:type="dxa"/>
            <w:vAlign w:val="bottom"/>
            <w:gridSpan w:val="8"/>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Description of Capital Notes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77"/>
        </w:trPr>
        <w:tc>
          <w:tcPr>
            <w:tcW w:w="21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Description of Debt Securities</w:t>
              </w:r>
            </w:hyperlink>
          </w:p>
        </w:tc>
        <w:tc>
          <w:tcPr>
            <w:tcW w:w="4000" w:type="dxa"/>
            <w:vAlign w:val="bottom"/>
            <w:gridSpan w:val="7"/>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24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Description of Purchase Contracts</w:t>
              </w:r>
            </w:hyperlink>
          </w:p>
        </w:tc>
        <w:tc>
          <w:tcPr>
            <w:tcW w:w="3720" w:type="dxa"/>
            <w:vAlign w:val="bottom"/>
            <w:gridSpan w:val="5"/>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Description of Units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77"/>
        </w:trPr>
        <w:tc>
          <w:tcPr>
            <w:tcW w:w="17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Description of Warrants</w:t>
              </w:r>
            </w:hyperlink>
          </w:p>
        </w:tc>
        <w:tc>
          <w:tcPr>
            <w:tcW w:w="4440" w:type="dxa"/>
            <w:vAlign w:val="bottom"/>
            <w:gridSpan w:val="9"/>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35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Foreign Exchange Controls and Other Limitations</w:t>
              </w:r>
            </w:hyperlink>
          </w:p>
        </w:tc>
        <w:tc>
          <w:tcPr>
            <w:tcW w:w="2600" w:type="dxa"/>
            <w:vAlign w:val="bottom"/>
            <w:gridSpan w:val="2"/>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1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Dividend Policy</w:t>
              </w:r>
            </w:hyperlink>
          </w:p>
        </w:tc>
        <w:tc>
          <w:tcPr>
            <w:tcW w:w="280" w:type="dxa"/>
            <w:vAlign w:val="bottom"/>
            <w:tcBorders>
              <w:top w:val="single" w:sz="8" w:color="0000EE"/>
            </w:tcBorders>
            <w:gridSpan w:val="2"/>
          </w:tcPr>
          <w:p>
            <w:pPr>
              <w:spacing w:after="0"/>
              <w:rPr>
                <w:sz w:val="24"/>
                <w:szCs w:val="24"/>
                <w:color w:val="auto"/>
              </w:rPr>
            </w:pPr>
          </w:p>
        </w:tc>
        <w:tc>
          <w:tcPr>
            <w:tcW w:w="4700" w:type="dxa"/>
            <w:vAlign w:val="bottom"/>
            <w:gridSpan w:val="11"/>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13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Offering Expenses</w:t>
              </w:r>
            </w:hyperlink>
          </w:p>
        </w:tc>
        <w:tc>
          <w:tcPr>
            <w:tcW w:w="4820" w:type="dxa"/>
            <w:vAlign w:val="bottom"/>
            <w:gridSpan w:val="12"/>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980" w:type="dxa"/>
            <w:vAlign w:val="bottom"/>
            <w:tcBorders>
              <w:top w:val="single" w:sz="8" w:color="0000EE"/>
            </w:tcBorders>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5160" w:type="dxa"/>
            <w:vAlign w:val="bottom"/>
            <w:gridSpan w:val="16"/>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5600" w:type="dxa"/>
            <w:vAlign w:val="bottom"/>
            <w:gridSpan w:val="19"/>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77"/>
        </w:trPr>
        <w:tc>
          <w:tcPr>
            <w:tcW w:w="61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Enforceability of Civil Liabilities and Agent for Service of Process in the United States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 SUMMARY</w:t>
      </w:r>
    </w:p>
    <w:p>
      <w:pPr>
        <w:spacing w:after="0" w:line="312"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This is a summary of our business and this offering. For a more complete understanding of our business and this offering, you should read the entire prospectus and the documents incorporated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312"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w:t>
      </w:r>
    </w:p>
    <w:p>
      <w:pPr>
        <w:sectPr>
          <w:pgSz w:w="11900" w:h="16838" w:orient="portrait"/>
          <w:cols w:equalWidth="0" w:num="1">
            <w:col w:w="11340"/>
          </w:cols>
          <w:pgMar w:left="240" w:top="131" w:right="319" w:bottom="0" w:gutter="0" w:footer="0" w:header="0"/>
        </w:sectPr>
      </w:pPr>
    </w:p>
    <w:bookmarkStart w:id="3" w:name="page4"/>
    <w:bookmarkEnd w:id="3"/>
    <w:p>
      <w:pPr>
        <w:ind w:right="60"/>
        <w:spacing w:after="0" w:line="268" w:lineRule="auto"/>
        <w:rPr>
          <w:sz w:val="20"/>
          <w:szCs w:val="20"/>
          <w:color w:val="auto"/>
        </w:rPr>
      </w:pPr>
      <w:r>
        <w:rPr>
          <w:rFonts w:ascii="Arial" w:cs="Arial" w:eastAsia="Arial" w:hAnsi="Arial"/>
          <w:sz w:val="18"/>
          <w:szCs w:val="18"/>
          <w:color w:val="auto"/>
        </w:rPr>
        <w:t>ICs manufactured by us are incorporated into a wide range of products in diverse markets, including consumer electronics, personal computers, communications, automotive, industrial and medical device products.</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December 31, 2007, Fab 1 is able to achieve capacity levels of approximately 16,000 wafers per month.</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December 31, 2007 was approximately 24,000 wafers per month. Depending on the process technology and product mix, when fully ramped-up we estimate that Fab 2 will be able to achieve capacity levels of up to approximately 40,000 wafers per month.</w:t>
      </w:r>
    </w:p>
    <w:p>
      <w:pPr>
        <w:spacing w:after="0" w:line="17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12" w:lineRule="exact"/>
        <w:rPr>
          <w:sz w:val="20"/>
          <w:szCs w:val="20"/>
          <w:color w:val="auto"/>
        </w:rPr>
      </w:pPr>
    </w:p>
    <w:p>
      <w:pPr>
        <w:ind w:firstLine="395"/>
        <w:spacing w:after="0" w:line="253" w:lineRule="auto"/>
        <w:rPr>
          <w:sz w:val="20"/>
          <w:szCs w:val="20"/>
          <w:color w:val="auto"/>
        </w:rPr>
      </w:pPr>
      <w:r>
        <w:rPr>
          <w:rFonts w:ascii="Arial" w:cs="Arial" w:eastAsia="Arial" w:hAnsi="Arial"/>
          <w:sz w:val="18"/>
          <w:szCs w:val="18"/>
          <w:color w:val="auto"/>
        </w:rPr>
        <w:t>This prospectus is part of a registration statement on Form F-3 that we filed with the Securities and Exchange Commission utilizing a “shelf” registration process. Under this process, we may sell any combination of the securities described in this prospectus in one or more offerings up to a total dollar amount of $40 million. This prospectus provides you with a general description of the securities we may offer. Each time we offer to sell securities under this prospectus, we will provide a prospectus supplement containing specific information about the terms of that offering. The prospectus supplement may also add, update or change information contained in this prospectus. To the extent that any information we provide in a prospectus supplement is inconsistent with information in this prospectus, the information in the prospectus supplement will modify or supersede this prospectus. You should read both this prospectus and any prospectus supplement together with the additional information described under the headings “Where You Can Find More Information; Incorporation of Information by Reference.”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Investing in our securities involves risks which you should consider carefully. We have set forth below risk factors related specifically to this offering. For risks related to our business operations as well as other risks associated with our company, see “Risk Factors” in the prospectus included in our registration statement on Form S-8 filed with the Securities and Exchange Commission (“SEC”) on November 1, 2007 which is incorporated by reference herein, as well as all reports that we file with the SEC that we incorporate by reference into this prospectus. See “Where You Can Find More Information; Incorporation of Information by Reference” below. We may also include risk factors in a prospectus supplement.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holders of our outstanding share options, warrants or convertible securities exercise or convert such securities, the value of your shares may decrease.</w:t>
      </w:r>
    </w:p>
    <w:p>
      <w:pPr>
        <w:spacing w:after="0" w:line="266"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As of December 31, 2007, we have reserved an aggregate of approximately 244 million ordinary shares for issuance upon exercise or conversion of outstanding share options, warrants and convertible securities as follows: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29.6 million shares issuable on the exercise of share options, at exercise prices ranging from $1.16 to $25 per share, and expiring through 2015;</w:t>
      </w:r>
    </w:p>
    <w:p>
      <w:pPr>
        <w:spacing w:after="0" w:line="252" w:lineRule="exact"/>
        <w:rPr>
          <w:sz w:val="20"/>
          <w:szCs w:val="20"/>
          <w:color w:val="auto"/>
        </w:rPr>
      </w:pPr>
    </w:p>
    <w:p>
      <w:pPr>
        <w:ind w:left="1160" w:right="300" w:hanging="567"/>
        <w:spacing w:after="0" w:line="268" w:lineRule="auto"/>
        <w:rPr>
          <w:sz w:val="20"/>
          <w:szCs w:val="20"/>
          <w:color w:val="auto"/>
        </w:rPr>
      </w:pPr>
      <w:r>
        <w:rPr>
          <w:rFonts w:ascii="Arial" w:cs="Arial" w:eastAsia="Arial" w:hAnsi="Arial"/>
          <w:sz w:val="18"/>
          <w:szCs w:val="18"/>
          <w:color w:val="auto"/>
        </w:rPr>
        <w:t>—37.4 million shares issuable on the exercise of warrants, at exercise prices ranging from $1.21 to $6.17 per share, and expiring through March 2012;</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117.8 million shares issuable upon the conversion, for no additional consideration, of capital notes;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67"/>
        <w:spacing w:after="0" w:line="256" w:lineRule="auto"/>
        <w:rPr>
          <w:sz w:val="20"/>
          <w:szCs w:val="20"/>
          <w:color w:val="auto"/>
        </w:rPr>
      </w:pPr>
      <w:r>
        <w:rPr>
          <w:rFonts w:ascii="Arial" w:cs="Arial" w:eastAsia="Arial" w:hAnsi="Arial"/>
          <w:sz w:val="18"/>
          <w:szCs w:val="18"/>
          <w:color w:val="auto"/>
        </w:rPr>
        <w:t>—59.2 million shares issuable upon the conversion of convertible debentures, $29.1 million principal amount of which is convertible at $1.10 per share through January 2012, $53.6 million principal amount of which is convertible at $2.21 per share through December 2011, $32.4 million principal amount of which is convertible at $4.58 per share through December 2012 and $16.0 million principal amount of which is convertible at $11..85per share through January 2009.</w:t>
      </w:r>
    </w:p>
    <w:p>
      <w:pPr>
        <w:sectPr>
          <w:pgSz w:w="11900" w:h="16838" w:orient="portrait"/>
          <w:cols w:equalWidth="0" w:num="1">
            <w:col w:w="11400"/>
          </w:cols>
          <w:pgMar w:left="240" w:top="131" w:right="259" w:bottom="120" w:gutter="0" w:footer="0" w:header="0"/>
        </w:sectPr>
      </w:pPr>
    </w:p>
    <w:bookmarkStart w:id="4" w:name="page5"/>
    <w:bookmarkEnd w:id="4"/>
    <w:p>
      <w:pPr>
        <w:ind w:right="60"/>
        <w:spacing w:after="0" w:line="290" w:lineRule="auto"/>
        <w:rPr>
          <w:sz w:val="20"/>
          <w:szCs w:val="20"/>
          <w:color w:val="auto"/>
        </w:rPr>
      </w:pPr>
      <w:r>
        <w:rPr>
          <w:rFonts w:ascii="Arial" w:cs="Arial" w:eastAsia="Arial" w:hAnsi="Arial"/>
          <w:sz w:val="16"/>
          <w:szCs w:val="16"/>
          <w:color w:val="auto"/>
        </w:rPr>
        <w:t>If the holders exercise those securities, or similar equity-based instruments we may issue in the future, you may experience dilution in the net tangible book value of your ordinary shares. In addition, the sale or availability for sale of the underlying shares in the marketplace could depress our share price. Of the underlying shares listed above, all but approximately 65.7 million of the shares underlying the capital notes and 5.4 million shares underlying warrants exercisable at $2.04 per share, are covered by an effective resale registration or are eligible for sale without restriction pursuant to Rule 144 or Regulation S under the Securities Act. Holders of these shares are entitled to resell the shares immediately upon issuance, potentially resulting in downward pressure on our stock. Holders of the balance of the underlying shares are entitled to resale registration rights which, if exercised, could permit the resale of these shares immediately upon issuance, adding to downward pressure on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have broad discretion over the use of the proceeds of this offering and may not realize a return.</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will have considerable discretion in the application of the net proceeds of this offering. We have not determined the amount of net proceeds that we will apply to various corporate purposes, including potential acquisitions. We may use the net proceeds for purposes that do not yield a significant return, if any, for our shareholders.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312"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This prospectus, any prospectus supplement and the documents we incorporate by reference into this prospectus and any prospectus supplement contain statements which constitute forward-looking statements within the meaning of the Private Securities Litigation Reform Act of 1995. Statements which are not strictly statements of historical fact constitute forward-looking statements. These include, without limitation, statements regarding future cash requirements, financial performance and production capacity. Forward-looking statements are often identified by words such as “anticipates,” “believes,” “estimates,” “expects,” “plans,” “projects,” “targets” and similar expressions. Forward-looking statements involve known and unknown risks, uncertainties and other factors that may cause the actual results, performance or achievements of our company, or industry results, to be materially different from any future results, performance, or achievements expressed or implied by such forward-looking statements. Such risks and uncertainties include but are not limited to (i) the completion of the equipment installation, technology transfer and ramp-up of production in Fab 2 and raising the funds therefor, (ii) the cyclical nature of the semiconductor industry and resulting periodic overcapacity, fluctuations in operating results and future average selling price erosion, (iii) having sufficient capital to satisfy our short-term and long-term debt obligations and other liabilities, (iv) operating our facilities at high utilization rates which is critical in order to defray the high level of fixed costs associated with operating a foundry and reduce our losses, (v) our ability to satisfy the covenants stipulated in our amended credit facility agreement, (vi) our ability to capitalize on increases in demand for foundry services, (vii) meeting the conditions to receive Israeli government grants and tax benefits approved for Fab 2, the possibility of the government requiring us to repay all or a portion of the grants already received, and obtaining the approval of the Israeli Investment Center for a new expansion program, (viii) our ability to accurately forecast financial performance, which is affected by limited order backlog and lengthy sales cycles, (vix) maintaining existing customers and attracting additional customers, (x) not receiving orders from our wafer partners and customers, which can result in excess capacity, (xi) our dependence on a relatively small number of products for a significant portion of our revenue, (xii) product returns, (xiii) our ability to maintain and develop our technology processes and services to keep pace with new technology, evolving standards, changing customer and end-user requirements, new product introductions and short product life cycles, (xiv) competing effectively, (xv) our large amount of debt and our ability to repay our short-term and long-term debt on a timely basis, (xvi) achieving acceptable device yields, product performance and delivery times, (xvii) our ability to manufacture products on a timely basis and to purchase equipment to increase Fab2 capacity beyond 24,000 wafers per month and timely installation thereof,</w:t>
      </w:r>
    </w:p>
    <w:p>
      <w:pPr>
        <w:spacing w:after="0" w:line="4" w:lineRule="exact"/>
        <w:rPr>
          <w:sz w:val="20"/>
          <w:szCs w:val="20"/>
          <w:color w:val="auto"/>
        </w:rPr>
      </w:pPr>
    </w:p>
    <w:p>
      <w:pPr>
        <w:ind w:right="40" w:firstLine="8"/>
        <w:spacing w:after="0" w:line="287" w:lineRule="auto"/>
        <w:tabs>
          <w:tab w:leader="none" w:pos="483"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dependence on intellectual property rights of others and our ability to operate our business without infringing others’ intellectual property rights, (xix) exposure to inflation, currency exchange and interest rate fluctuations and risks associated with doing business internationally and in Israel and (xx) business interruption due to fire, the security situation in Israel and other events beyond our control . These and other risks are described in greater detail in the documents that we incorporate by reference in this prospectus. You should consider these risks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You are cautioned not to place undue reliance on these forward-looking statements, which are based on the information available to management at the time and which speak only as of the date made. While we may elect to update or revise any forward-looking statements, we do not assume, and we expressly disclaim, any obligation to do so, whether as a result of new information, future events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30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t>
      </w:r>
      <w:r>
        <w:rPr>
          <w:rFonts w:ascii="Arial" w:cs="Arial" w:eastAsia="Arial" w:hAnsi="Arial"/>
          <w:sz w:val="16"/>
          <w:szCs w:val="16"/>
          <w:u w:val="single" w:color="auto"/>
          <w:color w:val="auto"/>
        </w:rPr>
        <w:t>www.magna.isa.gov.il</w:t>
      </w:r>
      <w:r>
        <w:rPr>
          <w:rFonts w:ascii="Arial" w:cs="Arial" w:eastAsia="Arial" w:hAnsi="Arial"/>
          <w:sz w:val="16"/>
          <w:szCs w:val="16"/>
          <w:color w:val="auto"/>
        </w:rPr>
        <w:t xml:space="preserve"> and from commercial document retrieval services. We also generally make available on our own web site (www.towersemi.com) our quarterly and year-end financial statements as well as other information.</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The following documents filed with the Securities and Exchange Commission by our company are incorporated by reference in this registration statement:</w:t>
      </w:r>
    </w:p>
    <w:p>
      <w:pPr>
        <w:spacing w:after="0" w:line="161" w:lineRule="exact"/>
        <w:rPr>
          <w:sz w:val="20"/>
          <w:szCs w:val="20"/>
          <w:color w:val="auto"/>
        </w:rPr>
      </w:pPr>
    </w:p>
    <w:p>
      <w:pPr>
        <w:ind w:left="1160" w:right="280" w:hanging="567"/>
        <w:spacing w:after="0" w:line="268" w:lineRule="auto"/>
        <w:rPr>
          <w:sz w:val="20"/>
          <w:szCs w:val="20"/>
          <w:color w:val="auto"/>
        </w:rPr>
      </w:pPr>
      <w:r>
        <w:rPr>
          <w:rFonts w:ascii="Arial" w:cs="Arial" w:eastAsia="Arial" w:hAnsi="Arial"/>
          <w:sz w:val="18"/>
          <w:szCs w:val="18"/>
          <w:color w:val="auto"/>
        </w:rPr>
        <w:t>—Annual report on Form 20-F for the year ended December 31, 2006, filed on June 25, 2007, to the extent the information in that report has not been updated or superseded by this prospectus;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May 2007 No. 2 (filed on May 2, 2007).</w:t>
      </w:r>
    </w:p>
    <w:p>
      <w:pPr>
        <w:sectPr>
          <w:pgSz w:w="11900" w:h="16838" w:orient="portrait"/>
          <w:cols w:equalWidth="0" w:num="1">
            <w:col w:w="11420"/>
          </w:cols>
          <w:pgMar w:left="240" w:top="131" w:right="239" w:bottom="40" w:gutter="0" w:footer="0" w:header="0"/>
        </w:sectPr>
      </w:pPr>
    </w:p>
    <w:bookmarkStart w:id="5" w:name="page6"/>
    <w:bookmarkEnd w:id="5"/>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June 2007 No. 2 (filed on June 13,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2007 No. 3 (filed on July 16,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2007 No. 5 (filed on July 26,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2 (filed on August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3 (filed on August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4 (filed on August 20,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2007 (filed on September 10,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2007 No. 3 (filed on September 25,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October 2007 No. 3 (filed on October 22,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2007 No. 2 (filed on November 7,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2007 No. 3 (filed on November 13,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2007 No.4 (filed on November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2007 No. 5 (filed on November 28,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December 2007 (filed on December 4,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December 2007 No. 2 (filed on December 17,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December 2007 No. 3 (filed on December 19,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December 2007 No. 4 (filed on December 19,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January 2008 (filed on January 4,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February 2008 No. 1 (filed on February 6,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February 2008 No. 2 (filed on February 7, 2008).</w:t>
      </w:r>
    </w:p>
    <w:p>
      <w:pPr>
        <w:spacing w:after="0" w:line="252" w:lineRule="exact"/>
        <w:rPr>
          <w:sz w:val="20"/>
          <w:szCs w:val="20"/>
          <w:color w:val="auto"/>
        </w:rPr>
      </w:pPr>
    </w:p>
    <w:p>
      <w:pPr>
        <w:ind w:left="1160" w:right="180" w:hanging="567"/>
        <w:spacing w:after="0" w:line="268" w:lineRule="auto"/>
        <w:rPr>
          <w:sz w:val="20"/>
          <w:szCs w:val="20"/>
          <w:color w:val="auto"/>
        </w:rPr>
      </w:pPr>
      <w:r>
        <w:rPr>
          <w:rFonts w:ascii="Arial" w:cs="Arial" w:eastAsia="Arial" w:hAnsi="Arial"/>
          <w:sz w:val="18"/>
          <w:szCs w:val="18"/>
          <w:color w:val="auto"/>
        </w:rPr>
        <w:t>—The description of the Company’s Ordinary Shares which is contained in its Registration Statement on Form 8-A declared effective on October 25, 1994.</w:t>
      </w:r>
    </w:p>
    <w:p>
      <w:pPr>
        <w:spacing w:after="0" w:line="200" w:lineRule="exact"/>
        <w:rPr>
          <w:sz w:val="20"/>
          <w:szCs w:val="20"/>
          <w:color w:val="auto"/>
        </w:rPr>
      </w:pPr>
    </w:p>
    <w:p>
      <w:pPr>
        <w:spacing w:after="0" w:line="229"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subsequent annual reports filed by our company pursuant to the Securities Exchange Act of 1934 on Form 20-F prior to the termination of the offering shall be deemed to be incorporated by reference in this prospectus and to be a part hereof from the date of filing of such documents. We may also incorporate any Form 6-K subsequently submitted by us to the Commission prior to the termination of the offering by identifying in such Forms 6-K that they are being incorporated by reference herein, and any Forms 6-K so identified shall be deemed to be incorporated by reference in this prospectus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Shaul Amor Street, Ramat Gavriel Industrial Park, Migdal Haemek, 23105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39"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ratios of earnings to fixed charges for the periods indicated below were as follows:</w:t>
      </w:r>
    </w:p>
    <w:p>
      <w:pPr>
        <w:sectPr>
          <w:pgSz w:w="11900" w:h="16874" w:orient="portrait"/>
          <w:cols w:equalWidth="0" w:num="1">
            <w:col w:w="11400"/>
          </w:cols>
          <w:pgMar w:left="240" w:top="131" w:right="259" w:bottom="0" w:gutter="0" w:footer="0" w:header="0"/>
        </w:sectPr>
      </w:pPr>
    </w:p>
    <w:p>
      <w:pPr>
        <w:spacing w:after="0" w:line="221" w:lineRule="exact"/>
        <w:rPr>
          <w:sz w:val="20"/>
          <w:szCs w:val="20"/>
          <w:color w:val="auto"/>
        </w:rPr>
      </w:pPr>
    </w:p>
    <w:p>
      <w:pPr>
        <w:ind w:left="8360"/>
        <w:spacing w:after="0"/>
        <w:rPr>
          <w:sz w:val="20"/>
          <w:szCs w:val="20"/>
          <w:color w:val="auto"/>
        </w:rPr>
      </w:pPr>
      <w:r>
        <w:rPr>
          <w:rFonts w:ascii="Arial" w:cs="Arial" w:eastAsia="Arial" w:hAnsi="Arial"/>
          <w:sz w:val="12"/>
          <w:szCs w:val="12"/>
          <w:b w:val="1"/>
          <w:bCs w:val="1"/>
          <w:color w:val="auto"/>
        </w:rPr>
        <w:t>Year Ended December 31,</w:t>
      </w:r>
    </w:p>
    <w:p>
      <w:pPr>
        <w:sectPr>
          <w:pgSz w:w="11900" w:h="16874" w:orient="portrait"/>
          <w:cols w:equalWidth="0" w:num="1">
            <w:col w:w="11400"/>
          </w:cols>
          <w:pgMar w:left="240" w:top="131" w:right="25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4"/>
        </w:trPr>
        <w:tc>
          <w:tcPr>
            <w:tcW w:w="686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9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2003</w:t>
            </w:r>
          </w:p>
        </w:tc>
      </w:tr>
      <w:tr>
        <w:trPr>
          <w:trHeight w:val="95"/>
        </w:trPr>
        <w:tc>
          <w:tcPr>
            <w:tcW w:w="68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464"/>
        </w:trPr>
        <w:tc>
          <w:tcPr>
            <w:tcW w:w="6860" w:type="dxa"/>
            <w:vAlign w:val="bottom"/>
          </w:tcPr>
          <w:p>
            <w:pPr>
              <w:spacing w:after="0"/>
              <w:rPr>
                <w:sz w:val="20"/>
                <w:szCs w:val="20"/>
                <w:color w:val="auto"/>
              </w:rPr>
            </w:pPr>
            <w:r>
              <w:rPr>
                <w:rFonts w:ascii="Arial" w:cs="Arial" w:eastAsia="Arial" w:hAnsi="Arial"/>
                <w:sz w:val="18"/>
                <w:szCs w:val="18"/>
                <w:color w:val="auto"/>
              </w:rPr>
              <w:t>Ratio of Earnings to Fixed Charges (1)</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4522470</wp:posOffset>
            </wp:positionH>
            <wp:positionV relativeFrom="page">
              <wp:posOffset>88900</wp:posOffset>
            </wp:positionV>
            <wp:extent cx="28384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right="20" w:hanging="572"/>
        <w:spacing w:after="0" w:line="26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earnings as adjusted were inadequate to cover fixed charges by $143.7 million, $167.0 million, $201.7 million, $134.2 million and $127.3 million for the years ended December 31, 2007, 2006, 2005, 2004 and 2003, respectively.</w:t>
      </w:r>
    </w:p>
    <w:p>
      <w:pPr>
        <w:spacing w:after="0" w:line="200" w:lineRule="exact"/>
        <w:rPr>
          <w:sz w:val="20"/>
          <w:szCs w:val="20"/>
          <w:color w:val="auto"/>
        </w:rPr>
      </w:pPr>
    </w:p>
    <w:p>
      <w:pPr>
        <w:spacing w:after="0" w:line="229"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For the purpose of these computations, earnings have been calculated as the sum of (i) pretax income from continuing operations and (ii) amortization of capitalized interest offset by interest capitalized. Fixed charges consist of the sum of (i) interest expensed and capitalized, amortized premiums, discounts and capitalized expenses related to indebtedness and (ii) an estimate of the interest within rental expense (calculated based on a reasonable approximation of the interest factor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420" w:firstLine="395"/>
        <w:spacing w:after="0" w:line="332" w:lineRule="auto"/>
        <w:rPr>
          <w:sz w:val="20"/>
          <w:szCs w:val="20"/>
          <w:color w:val="auto"/>
        </w:rPr>
      </w:pPr>
      <w:r>
        <w:rPr>
          <w:rFonts w:ascii="Arial" w:cs="Arial" w:eastAsia="Arial" w:hAnsi="Arial"/>
          <w:sz w:val="16"/>
          <w:szCs w:val="16"/>
          <w:color w:val="auto"/>
        </w:rPr>
        <w:t>The following table sets forth our long-term debt, convertible debentures and capitalization as of December 31, 2007 on an actual basis. This table was prepared in accordance with the US GAAP. The financial data is derived from our audited consolidated financial statements as of December 31, 2007.</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(US dollars 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gridSpan w:val="2"/>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8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of convertibles debentures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100" w:type="dxa"/>
            <w:vAlign w:val="bottom"/>
            <w:gridSpan w:val="3"/>
          </w:tcPr>
          <w:p>
            <w:pPr>
              <w:spacing w:after="0"/>
              <w:rPr>
                <w:sz w:val="20"/>
                <w:szCs w:val="20"/>
                <w:color w:val="auto"/>
              </w:rPr>
            </w:pPr>
            <w:r>
              <w:rPr>
                <w:rFonts w:ascii="Arial" w:cs="Arial" w:eastAsia="Arial" w:hAnsi="Arial"/>
                <w:sz w:val="18"/>
                <w:szCs w:val="18"/>
                <w:color w:val="auto"/>
              </w:rPr>
              <w:t>Long-term bank debt from Banks</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379,314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8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Debentures excluding current maturities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100" w:type="dxa"/>
            <w:vAlign w:val="bottom"/>
            <w:gridSpan w:val="3"/>
          </w:tcPr>
          <w:p>
            <w:pPr>
              <w:spacing w:after="0"/>
              <w:rPr>
                <w:sz w:val="20"/>
                <w:szCs w:val="20"/>
                <w:color w:val="auto"/>
              </w:rPr>
            </w:pPr>
            <w:r>
              <w:rPr>
                <w:rFonts w:ascii="Arial" w:cs="Arial" w:eastAsia="Arial" w:hAnsi="Arial"/>
                <w:sz w:val="18"/>
                <w:szCs w:val="18"/>
                <w:color w:val="auto"/>
              </w:rPr>
              <w:t>Long-term customers' advances</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8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1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Ordinary Shares, NIS 1.00 par value per share; 800,000,000</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authorized shares, 125,526,116 issued shares* and 124,226,116 outstanding shares</w:t>
            </w: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notes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rPr>
              <w:t>Stock based compensation</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(796,640)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stock, 1,300,000 shares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10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80" w:type="dxa"/>
            <w:vAlign w:val="bottom"/>
            <w:gridSpan w:val="2"/>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900" w:type="dxa"/>
            <w:vAlign w:val="bottom"/>
          </w:tcPr>
          <w:p>
            <w:pPr>
              <w:ind w:left="380"/>
              <w:spacing w:after="0"/>
              <w:rPr>
                <w:sz w:val="20"/>
                <w:szCs w:val="20"/>
                <w:color w:val="auto"/>
              </w:rPr>
            </w:pPr>
            <w:r>
              <w:rPr>
                <w:rFonts w:ascii="Arial" w:cs="Arial" w:eastAsia="Arial" w:hAnsi="Arial"/>
                <w:sz w:val="18"/>
                <w:szCs w:val="18"/>
                <w:color w:val="auto"/>
              </w:rPr>
              <w:t>Includes 1,300,000 treasury shares.</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December 31, 2007:</w:t>
      </w:r>
    </w:p>
    <w:p>
      <w:pPr>
        <w:spacing w:after="0" w:line="225" w:lineRule="exact"/>
        <w:rPr>
          <w:sz w:val="20"/>
          <w:szCs w:val="20"/>
          <w:color w:val="auto"/>
        </w:rPr>
      </w:pPr>
    </w:p>
    <w:p>
      <w:pPr>
        <w:ind w:left="1160" w:right="12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14.7 million ordinary shares issuable upon exercise of options granted to employees and directors at a weighted average exercise price of $1.94;</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14,872,087 ordinary shares issuable upon exercise of options granted to our Chief Executive Officer at a weighted average exercise price of $1.64;</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1,348,527 ordinary shares issuable upon conversion of unsecured, subordinated convertible debentures, net, that we issued in January 2002, which are convertible through December 31, 2008;</w:t>
      </w:r>
    </w:p>
    <w:p>
      <w:pPr>
        <w:sectPr>
          <w:pgSz w:w="11900" w:h="16838" w:orient="portrait"/>
          <w:cols w:equalWidth="0" w:num="1">
            <w:col w:w="11420"/>
          </w:cols>
          <w:pgMar w:left="240" w:top="248" w:right="239"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4763"/>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248" w:right="239" w:bottom="0" w:gutter="0" w:footer="0" w:header="0"/>
          <w:type w:val="continuous"/>
        </w:sectPr>
      </w:pPr>
    </w:p>
    <w:bookmarkStart w:id="7" w:name="page8"/>
    <w:bookmarkEnd w:id="7"/>
    <w:p>
      <w:pPr>
        <w:ind w:left="1160" w:right="34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7940"/>
                    </a:xfrm>
                    <a:prstGeom prst="rect">
                      <a:avLst/>
                    </a:prstGeom>
                    <a:noFill/>
                  </pic:spPr>
                </pic:pic>
              </a:graphicData>
            </a:graphic>
          </wp:anchor>
        </w:drawing>
        <w:t>896,596 ordinary shares issuable upon exercise of warrants issued to our banks in connection with our credit facility with an exercise price of $6.17 per share exercisable until September 2011;</w:t>
      </w:r>
    </w:p>
    <w:p>
      <w:pPr>
        <w:spacing w:after="0" w:line="212"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12"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8,264,464 ordinary shares issuable upon exercise of warrants we issued to our banks with an exercise price of $1.21 in connection with the July 2005 amendment to our facility agreement exercisable until September 2011;</w:t>
      </w:r>
    </w:p>
    <w:p>
      <w:pPr>
        <w:spacing w:after="0" w:line="212" w:lineRule="exact"/>
        <w:rPr>
          <w:rFonts w:ascii="Arial" w:cs="Arial" w:eastAsia="Arial" w:hAnsi="Arial"/>
          <w:sz w:val="18"/>
          <w:szCs w:val="18"/>
          <w:color w:val="auto"/>
        </w:rPr>
      </w:pPr>
    </w:p>
    <w:p>
      <w:pPr>
        <w:ind w:left="1160" w:right="5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26,467,697 ordinary shares issuable upon conversion of our debentures convertible until December 2011, pursuant to the prospectus dated December 15, 2005;</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117,763,158 ordinary shares issuable upon conversion of the equity equivalent convertible capital notes we issued to our banks and to Israel Corp., in September 2006;</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5,481,000 ordinary shares issuable upon exercise of warrants issued in our June 2006 public offering in Israel with an exercise price of NIS 7.40 (approximately $1.90) per share and exercisable until June 2009;</w:t>
      </w:r>
    </w:p>
    <w:p>
      <w:pPr>
        <w:spacing w:after="0" w:line="212"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5,227,500 ordinary shares issuable upon exercise of warrants sold in our private placements completed in November 2006, with an exercise price of NIS 9.48 (approximately $2.50) per share and exercisable until December 2010;</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24,232,464 ordinary shares issuable upon conversion of our debentures convertible until December 2011, issued pursuant to our June 2006 public offering in Israel;</w:t>
      </w:r>
    </w:p>
    <w:p>
      <w:pPr>
        <w:spacing w:after="0" w:line="212" w:lineRule="exact"/>
        <w:rPr>
          <w:rFonts w:ascii="Arial" w:cs="Arial" w:eastAsia="Arial" w:hAnsi="Arial"/>
          <w:sz w:val="18"/>
          <w:szCs w:val="18"/>
          <w:color w:val="auto"/>
        </w:rPr>
      </w:pPr>
    </w:p>
    <w:p>
      <w:pPr>
        <w:ind w:left="1160" w:right="10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9,402,599 ordinary shares issuable upon exercise of the warrants issued in our March 2007 private placement with an exercise price of $2.04 per share and exercisable until March 2012;</w:t>
      </w:r>
    </w:p>
    <w:p>
      <w:pPr>
        <w:spacing w:after="0" w:line="212" w:lineRule="exact"/>
        <w:rPr>
          <w:rFonts w:ascii="Arial" w:cs="Arial" w:eastAsia="Arial" w:hAnsi="Arial"/>
          <w:sz w:val="18"/>
          <w:szCs w:val="18"/>
          <w:color w:val="auto"/>
        </w:rPr>
      </w:pPr>
    </w:p>
    <w:p>
      <w:pPr>
        <w:ind w:left="1160" w:right="72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7,068,881 ordinary shares issuable upon conversion of our debentures convertible until December 2012, issued in our June 2007 private placement and September 2007 public offering in Israel;</w:t>
      </w:r>
    </w:p>
    <w:p>
      <w:pPr>
        <w:spacing w:after="0" w:line="212"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2,686,444 ordinary shares issuable upon exercise of warrants issued in our June 2007 private placement and September 2007 public offering in Israel; and</w:t>
      </w:r>
    </w:p>
    <w:p>
      <w:pPr>
        <w:spacing w:after="0" w:line="212" w:lineRule="exact"/>
        <w:rPr>
          <w:rFonts w:ascii="Arial" w:cs="Arial" w:eastAsia="Arial" w:hAnsi="Arial"/>
          <w:sz w:val="18"/>
          <w:szCs w:val="18"/>
          <w:color w:val="auto"/>
        </w:rPr>
      </w:pPr>
    </w:p>
    <w:p>
      <w:pPr>
        <w:ind w:left="1160" w:right="30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5,411,764 ordinary shares issuable upon exercise of warrants issued to our banks and Israel Corp. in connection with our September 2007 $60 million credit facilities with an exercise price of $2.04 per share exercisable until March 2010.</w:t>
      </w:r>
    </w:p>
    <w:p>
      <w:pPr>
        <w:spacing w:after="0" w:line="200" w:lineRule="exact"/>
        <w:rPr>
          <w:sz w:val="20"/>
          <w:szCs w:val="20"/>
          <w:color w:val="auto"/>
        </w:rPr>
      </w:pPr>
    </w:p>
    <w:p>
      <w:pPr>
        <w:spacing w:after="0" w:line="229"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securities we may be required to issue in connection with a rights offering and outside investor provisions agreed to in the November 2003 amendment to our facility agreement; (ii) ordinary shares issuable to our banks in January 2011 as a result of the reduction of the interest rate applicable to the quarterly actual interest payments on our outstanding loans and (iii) anti-dilution options that may be granted to our Chief Executive Officer.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31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ordinary shares are listed and traded on the NASDAQ Global Market under the symbol “TSEM”. In addition, in January 2001, our ordinary shares commenced trading on the Tel Aviv Stock Exchange (TASE) under the symbol “TSEM”.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for the periods indicated, the high and low reported sales prices of the ordinary shares on the NASDAQ Global Market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Tel Aviv Stock Exchange: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3"/>
          </w:tcPr>
          <w:p>
            <w:pPr>
              <w:ind w:left="340"/>
              <w:spacing w:after="0"/>
              <w:rPr>
                <w:sz w:val="20"/>
                <w:szCs w:val="20"/>
                <w:color w:val="auto"/>
              </w:rPr>
            </w:pPr>
            <w:r>
              <w:rPr>
                <w:rFonts w:ascii="Arial" w:cs="Arial" w:eastAsia="Arial" w:hAnsi="Arial"/>
                <w:sz w:val="14"/>
                <w:szCs w:val="14"/>
                <w:b w:val="1"/>
                <w:bCs w:val="1"/>
                <w:color w:val="auto"/>
              </w:rPr>
              <w:t>NASDAQ GLOBAL MARKET</w:t>
            </w:r>
          </w:p>
        </w:tc>
        <w:tc>
          <w:tcPr>
            <w:tcW w:w="20" w:type="dxa"/>
            <w:vAlign w:val="bottom"/>
          </w:tcPr>
          <w:p>
            <w:pPr>
              <w:spacing w:after="0"/>
              <w:rPr>
                <w:sz w:val="15"/>
                <w:szCs w:val="15"/>
                <w:color w:val="auto"/>
              </w:rPr>
            </w:pPr>
          </w:p>
        </w:tc>
        <w:tc>
          <w:tcPr>
            <w:tcW w:w="2440" w:type="dxa"/>
            <w:vAlign w:val="bottom"/>
            <w:gridSpan w:val="3"/>
          </w:tcPr>
          <w:p>
            <w:pPr>
              <w:ind w:left="240"/>
              <w:spacing w:after="0"/>
              <w:rPr>
                <w:sz w:val="20"/>
                <w:szCs w:val="20"/>
                <w:color w:val="auto"/>
              </w:rPr>
            </w:pPr>
            <w:r>
              <w:rPr>
                <w:rFonts w:ascii="Arial" w:cs="Arial" w:eastAsia="Arial" w:hAnsi="Arial"/>
                <w:sz w:val="14"/>
                <w:szCs w:val="14"/>
                <w:b w:val="1"/>
                <w:bCs w:val="1"/>
                <w:color w:val="auto"/>
              </w:rPr>
              <w:t>TEL AVIV STOCK EXCHANGE</w:t>
            </w:r>
          </w:p>
        </w:tc>
      </w:tr>
      <w:tr>
        <w:trPr>
          <w:trHeight w:val="95"/>
        </w:trPr>
        <w:tc>
          <w:tcPr>
            <w:tcW w:w="1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63"/>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HIGH ($)</w:t>
            </w:r>
          </w:p>
        </w:tc>
        <w:tc>
          <w:tcPr>
            <w:tcW w:w="40" w:type="dxa"/>
            <w:vAlign w:val="bottom"/>
          </w:tcPr>
          <w:p>
            <w:pPr>
              <w:spacing w:after="0"/>
              <w:rPr>
                <w:sz w:val="22"/>
                <w:szCs w:val="22"/>
                <w:color w:val="auto"/>
              </w:rPr>
            </w:pP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LOW ($)</w:t>
            </w:r>
          </w:p>
        </w:tc>
        <w:tc>
          <w:tcPr>
            <w:tcW w:w="20" w:type="dxa"/>
            <w:vAlign w:val="bottom"/>
          </w:tcPr>
          <w:p>
            <w:pPr>
              <w:spacing w:after="0"/>
              <w:rPr>
                <w:sz w:val="22"/>
                <w:szCs w:val="22"/>
                <w:color w:val="auto"/>
              </w:rPr>
            </w:pPr>
          </w:p>
        </w:tc>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HIGH (NIS)</w:t>
            </w:r>
          </w:p>
        </w:tc>
        <w:tc>
          <w:tcPr>
            <w:tcW w:w="20" w:type="dxa"/>
            <w:vAlign w:val="bottom"/>
          </w:tcPr>
          <w:p>
            <w:pPr>
              <w:spacing w:after="0"/>
              <w:rPr>
                <w:sz w:val="22"/>
                <w:szCs w:val="22"/>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LOW (NIS)</w:t>
            </w:r>
          </w:p>
        </w:tc>
      </w:tr>
      <w:tr>
        <w:trPr>
          <w:trHeight w:val="95"/>
        </w:trPr>
        <w:tc>
          <w:tcPr>
            <w:tcW w:w="160" w:type="dxa"/>
            <w:vAlign w:val="bottom"/>
          </w:tcPr>
          <w:p>
            <w:pPr>
              <w:spacing w:after="0"/>
              <w:rPr>
                <w:sz w:val="8"/>
                <w:szCs w:val="8"/>
                <w:color w:val="auto"/>
              </w:rPr>
            </w:pPr>
          </w:p>
        </w:tc>
        <w:tc>
          <w:tcPr>
            <w:tcW w:w="6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Last Six Months:</w:t>
            </w:r>
          </w:p>
        </w:tc>
        <w:tc>
          <w:tcPr>
            <w:tcW w:w="3100" w:type="dxa"/>
            <w:vAlign w:val="bottom"/>
            <w:tcBorders>
              <w:bottom w:val="single" w:sz="8" w:color="CCEEFF"/>
            </w:tcBorders>
            <w:gridSpan w:val="2"/>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January 2008</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1.45</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0.74</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5.50</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1.58</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1.35</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6.17</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November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1.71</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1.44</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6.89</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1.80</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1.57</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7.25</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September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1.84</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1.33</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7.16</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1.70</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1.20</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7.09</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419"/>
        </w:trPr>
        <w:tc>
          <w:tcPr>
            <w:tcW w:w="4320" w:type="dxa"/>
            <w:vAlign w:val="bottom"/>
            <w:gridSpan w:val="4"/>
          </w:tcPr>
          <w:p>
            <w:pPr>
              <w:spacing w:after="0"/>
              <w:rPr>
                <w:sz w:val="20"/>
                <w:szCs w:val="20"/>
                <w:color w:val="auto"/>
              </w:rPr>
            </w:pPr>
            <w:r>
              <w:rPr>
                <w:rFonts w:ascii="Arial" w:cs="Arial" w:eastAsia="Arial" w:hAnsi="Arial"/>
                <w:sz w:val="18"/>
                <w:szCs w:val="18"/>
                <w:color w:val="auto"/>
              </w:rPr>
              <w:t>Last Ten Quarters:</w:t>
            </w:r>
          </w:p>
        </w:tc>
        <w:tc>
          <w:tcPr>
            <w:tcW w:w="3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1.35</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7.25</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Third Quarter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1.87</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1.20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7.97</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1.94</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1.42</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7.63</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First quarter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2.08</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1.64</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8.88</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2006</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2.18</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1.41</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9.14</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60" w:type="dxa"/>
            <w:vAlign w:val="bottom"/>
            <w:gridSpan w:val="3"/>
          </w:tcPr>
          <w:p>
            <w:pPr>
              <w:spacing w:after="0"/>
              <w:rPr>
                <w:sz w:val="20"/>
                <w:szCs w:val="20"/>
                <w:color w:val="auto"/>
              </w:rPr>
            </w:pPr>
            <w:r>
              <w:rPr>
                <w:rFonts w:ascii="Arial" w:cs="Arial" w:eastAsia="Arial" w:hAnsi="Arial"/>
                <w:sz w:val="18"/>
                <w:szCs w:val="18"/>
                <w:color w:val="auto"/>
              </w:rPr>
              <w:t>Third quarter 2006</w:t>
            </w:r>
          </w:p>
        </w:tc>
        <w:tc>
          <w:tcPr>
            <w:tcW w:w="3680" w:type="dxa"/>
            <w:vAlign w:val="bottom"/>
          </w:tcPr>
          <w:p>
            <w:pPr>
              <w:jc w:val="right"/>
              <w:ind w:right="412"/>
              <w:spacing w:after="0"/>
              <w:rPr>
                <w:sz w:val="20"/>
                <w:szCs w:val="20"/>
                <w:color w:val="auto"/>
              </w:rPr>
            </w:pPr>
            <w:r>
              <w:rPr>
                <w:rFonts w:ascii="Arial" w:cs="Arial" w:eastAsia="Arial" w:hAnsi="Arial"/>
                <w:sz w:val="18"/>
                <w:szCs w:val="18"/>
                <w:color w:val="auto"/>
              </w:rPr>
              <w:t>1.51</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1.24</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6.69</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2006</w:t>
            </w:r>
          </w:p>
        </w:tc>
        <w:tc>
          <w:tcPr>
            <w:tcW w:w="36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1.75</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1.22</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7.91</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2006</w:t>
            </w:r>
          </w:p>
        </w:tc>
        <w:tc>
          <w:tcPr>
            <w:tcW w:w="3680" w:type="dxa"/>
            <w:vAlign w:val="bottom"/>
          </w:tcPr>
          <w:p>
            <w:pPr>
              <w:jc w:val="right"/>
              <w:ind w:right="412"/>
              <w:spacing w:after="0"/>
              <w:rPr>
                <w:sz w:val="20"/>
                <w:szCs w:val="20"/>
                <w:color w:val="auto"/>
              </w:rPr>
            </w:pPr>
            <w:r>
              <w:rPr>
                <w:rFonts w:ascii="Arial" w:cs="Arial" w:eastAsia="Arial" w:hAnsi="Arial"/>
                <w:sz w:val="18"/>
                <w:szCs w:val="18"/>
                <w:color w:val="auto"/>
              </w:rPr>
              <w:t>1.93</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1.22</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8.54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2005</w:t>
            </w:r>
          </w:p>
        </w:tc>
        <w:tc>
          <w:tcPr>
            <w:tcW w:w="36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1.80</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1.02</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8.30</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2005</w:t>
            </w:r>
          </w:p>
        </w:tc>
        <w:tc>
          <w:tcPr>
            <w:tcW w:w="3680" w:type="dxa"/>
            <w:vAlign w:val="bottom"/>
          </w:tcPr>
          <w:p>
            <w:pPr>
              <w:jc w:val="right"/>
              <w:ind w:right="412"/>
              <w:spacing w:after="0"/>
              <w:rPr>
                <w:sz w:val="20"/>
                <w:szCs w:val="20"/>
                <w:color w:val="auto"/>
              </w:rPr>
            </w:pPr>
            <w:r>
              <w:rPr>
                <w:rFonts w:ascii="Arial" w:cs="Arial" w:eastAsia="Arial" w:hAnsi="Arial"/>
                <w:sz w:val="18"/>
                <w:szCs w:val="18"/>
                <w:color w:val="auto"/>
              </w:rPr>
              <w:t>1.40</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0.92</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6.04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Last Five Years:</w:t>
            </w:r>
          </w:p>
        </w:tc>
        <w:tc>
          <w:tcPr>
            <w:tcW w:w="3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2007</w:t>
            </w:r>
          </w:p>
        </w:tc>
        <w:tc>
          <w:tcPr>
            <w:tcW w:w="310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auto"/>
              </w:rPr>
              <w:t>2.08</w:t>
            </w:r>
          </w:p>
        </w:tc>
        <w:tc>
          <w:tcPr>
            <w:tcW w:w="1200" w:type="dxa"/>
            <w:vAlign w:val="bottom"/>
            <w:tcBorders>
              <w:top w:val="single" w:sz="8" w:color="CCEEFF"/>
            </w:tcBorders>
          </w:tcPr>
          <w:p>
            <w:pPr>
              <w:jc w:val="right"/>
              <w:ind w:right="332"/>
              <w:spacing w:after="0"/>
              <w:rPr>
                <w:sz w:val="20"/>
                <w:szCs w:val="20"/>
                <w:color w:val="auto"/>
              </w:rPr>
            </w:pPr>
            <w:r>
              <w:rPr>
                <w:rFonts w:ascii="Arial" w:cs="Arial" w:eastAsia="Arial" w:hAnsi="Arial"/>
                <w:sz w:val="18"/>
                <w:szCs w:val="18"/>
                <w:color w:val="auto"/>
              </w:rPr>
              <w:t>1.2</w:t>
            </w:r>
          </w:p>
        </w:tc>
        <w:tc>
          <w:tcPr>
            <w:tcW w:w="1260" w:type="dxa"/>
            <w:vAlign w:val="bottom"/>
            <w:tcBorders>
              <w:top w:val="single" w:sz="8" w:color="CCEEFF"/>
            </w:tcBorders>
          </w:tcPr>
          <w:p>
            <w:pPr>
              <w:jc w:val="right"/>
              <w:ind w:right="332"/>
              <w:spacing w:after="0"/>
              <w:rPr>
                <w:sz w:val="20"/>
                <w:szCs w:val="20"/>
                <w:color w:val="auto"/>
              </w:rPr>
            </w:pPr>
            <w:r>
              <w:rPr>
                <w:rFonts w:ascii="Arial" w:cs="Arial" w:eastAsia="Arial" w:hAnsi="Arial"/>
                <w:sz w:val="18"/>
                <w:szCs w:val="18"/>
                <w:color w:val="auto"/>
              </w:rPr>
              <w:t>8.88</w:t>
            </w:r>
          </w:p>
        </w:tc>
        <w:tc>
          <w:tcPr>
            <w:tcW w:w="102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100" w:type="dxa"/>
            <w:vAlign w:val="bottom"/>
            <w:shd w:val="clear" w:color="auto" w:fill="CCEEFF"/>
          </w:tcPr>
          <w:p>
            <w:pPr>
              <w:spacing w:after="0"/>
              <w:rPr>
                <w:sz w:val="18"/>
                <w:szCs w:val="18"/>
                <w:color w:val="auto"/>
              </w:rPr>
            </w:pPr>
          </w:p>
        </w:tc>
        <w:tc>
          <w:tcPr>
            <w:tcW w:w="36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2.18</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1.22</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9.14</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2005</w:t>
            </w:r>
          </w:p>
        </w:tc>
        <w:tc>
          <w:tcPr>
            <w:tcW w:w="3100" w:type="dxa"/>
            <w:vAlign w:val="bottom"/>
          </w:tcPr>
          <w:p>
            <w:pPr>
              <w:spacing w:after="0"/>
              <w:rPr>
                <w:sz w:val="18"/>
                <w:szCs w:val="18"/>
                <w:color w:val="auto"/>
              </w:rPr>
            </w:pPr>
          </w:p>
        </w:tc>
        <w:tc>
          <w:tcPr>
            <w:tcW w:w="3680" w:type="dxa"/>
            <w:vAlign w:val="bottom"/>
          </w:tcPr>
          <w:p>
            <w:pPr>
              <w:jc w:val="right"/>
              <w:ind w:right="412"/>
              <w:spacing w:after="0"/>
              <w:rPr>
                <w:sz w:val="20"/>
                <w:szCs w:val="20"/>
                <w:color w:val="auto"/>
              </w:rPr>
            </w:pPr>
            <w:r>
              <w:rPr>
                <w:rFonts w:ascii="Arial" w:cs="Arial" w:eastAsia="Arial" w:hAnsi="Arial"/>
                <w:sz w:val="18"/>
                <w:szCs w:val="18"/>
                <w:color w:val="auto"/>
              </w:rPr>
              <w:t>2.38</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0.92</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10.30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100" w:type="dxa"/>
            <w:vAlign w:val="bottom"/>
            <w:shd w:val="clear" w:color="auto" w:fill="CCEEFF"/>
          </w:tcPr>
          <w:p>
            <w:pPr>
              <w:spacing w:after="0"/>
              <w:rPr>
                <w:sz w:val="18"/>
                <w:szCs w:val="18"/>
                <w:color w:val="auto"/>
              </w:rPr>
            </w:pPr>
          </w:p>
        </w:tc>
        <w:tc>
          <w:tcPr>
            <w:tcW w:w="36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10.80</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1.62</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46.39</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2003</w:t>
            </w:r>
          </w:p>
        </w:tc>
        <w:tc>
          <w:tcPr>
            <w:tcW w:w="3100" w:type="dxa"/>
            <w:vAlign w:val="bottom"/>
          </w:tcPr>
          <w:p>
            <w:pPr>
              <w:spacing w:after="0"/>
              <w:rPr>
                <w:sz w:val="19"/>
                <w:szCs w:val="19"/>
                <w:color w:val="auto"/>
              </w:rPr>
            </w:pPr>
          </w:p>
        </w:tc>
        <w:tc>
          <w:tcPr>
            <w:tcW w:w="3680" w:type="dxa"/>
            <w:vAlign w:val="bottom"/>
          </w:tcPr>
          <w:p>
            <w:pPr>
              <w:jc w:val="right"/>
              <w:ind w:right="412"/>
              <w:spacing w:after="0"/>
              <w:rPr>
                <w:sz w:val="20"/>
                <w:szCs w:val="20"/>
                <w:color w:val="auto"/>
              </w:rPr>
            </w:pPr>
            <w:r>
              <w:rPr>
                <w:rFonts w:ascii="Arial" w:cs="Arial" w:eastAsia="Arial" w:hAnsi="Arial"/>
                <w:sz w:val="18"/>
                <w:szCs w:val="18"/>
                <w:color w:val="auto"/>
              </w:rPr>
              <w:t>7.90</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2.16</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35.00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right="540" w:firstLine="395"/>
        <w:spacing w:after="0" w:line="268" w:lineRule="auto"/>
        <w:rPr>
          <w:sz w:val="20"/>
          <w:szCs w:val="20"/>
          <w:color w:val="auto"/>
        </w:rPr>
      </w:pPr>
      <w:r>
        <w:rPr>
          <w:rFonts w:ascii="Arial" w:cs="Arial" w:eastAsia="Arial" w:hAnsi="Arial"/>
          <w:sz w:val="18"/>
          <w:szCs w:val="18"/>
          <w:color w:val="auto"/>
        </w:rPr>
        <w:t>On February 12, 2008, the last reported sale price of the ordinary shares was $1.07 on the Nasdaq Global Market and NIS 3.80 on the Tel Aviv Stock Exchange.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260" w:firstLine="395"/>
        <w:spacing w:after="0" w:line="256" w:lineRule="auto"/>
        <w:rPr>
          <w:sz w:val="20"/>
          <w:szCs w:val="20"/>
          <w:color w:val="auto"/>
        </w:rPr>
      </w:pPr>
      <w:r>
        <w:rPr>
          <w:rFonts w:ascii="Arial" w:cs="Arial" w:eastAsia="Arial" w:hAnsi="Arial"/>
          <w:sz w:val="18"/>
          <w:szCs w:val="18"/>
          <w:color w:val="auto"/>
        </w:rPr>
        <w:t>Unless we state otherwise in a prospectus supplement, we will use the net proceeds from the sale of securities under this prospectus for general corporate purposes including the ramp-up of Fab 2. From time to time, we may evaluate the possibility of acquiring businesses, products, equipment tools and technologies, and we may use a portion of the proceeds as consideration for acquisitions. Until we use net proceeds for these purposes, we may invest them in interest-bearing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12"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net tangible book value per share of our equity securities before and after the offering;</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amount of the increase in such net tangible book value per share attributable to the cash payments made by purchasers in the offering;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amount of the immediate dilution from the public offering price which will be absorbed by such purchasers.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ectPr>
          <w:pgSz w:w="11900" w:h="16838" w:orient="portrait"/>
          <w:cols w:equalWidth="0" w:num="1">
            <w:col w:w="11420"/>
          </w:cols>
          <w:pgMar w:left="240" w:top="131" w:right="239" w:bottom="0" w:gutter="0" w:footer="0" w:header="0"/>
        </w:sectPr>
      </w:pPr>
    </w:p>
    <w:bookmarkStart w:id="9" w:name="page10"/>
    <w:bookmarkEnd w:id="9"/>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200" w:firstLine="395"/>
        <w:spacing w:after="0" w:line="268" w:lineRule="auto"/>
        <w:rPr>
          <w:sz w:val="20"/>
          <w:szCs w:val="20"/>
          <w:color w:val="auto"/>
        </w:rPr>
      </w:pPr>
      <w:r>
        <w:rPr>
          <w:rFonts w:ascii="Arial" w:cs="Arial" w:eastAsia="Arial" w:hAnsi="Arial"/>
          <w:sz w:val="18"/>
          <w:szCs w:val="18"/>
          <w:color w:val="auto"/>
        </w:rPr>
        <w:t>We had 124,226,116 ordinary shares outstanding as of December 31, 2007. The above number of outstanding ordinary shares does not include 1.3 million treasury shares held by us through a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NOTES</w:t>
      </w:r>
    </w:p>
    <w:p>
      <w:pPr>
        <w:spacing w:after="0" w:line="312"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may from time to time offer and sell under this prospectus capital notes, which we sometimes refer to as equity equivalent capital notes. When we offer to sell a particular series of capital notes, we will describe the specific terms of the series in a prospectus supplement. We will also indicate in the prospectus supplement whether the general terms and provisions described in this prospectus apply to a particular series of capital notes.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capital notes are instruments of equity and not debt. Unless otherwise specified in a prospectus supplement, (i) the face amounts of the capital notes will not bear interest nor will they be linked to any index, (ii) the face amounts of the capital notes will only payable by us out of distributions made upon the winding-up, liquidation or dissolution of our company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the holders of our ordinary shares and (iii) we will have no right to prepay or redeem the equity equivalent capital notes. In addition, the holder may at any time, convert the face amount of the equity equivalent capital notes, in whole or in part, without payment of any additional consideration, into ordinary shares at a conversion price agreed with the holder. The equity equivalent capital notes have no maturity date and the right to convert into shares does not expire.</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terms of any particular series of equity equivalent capital notes will be set forth in the purchase agreement with the purchasers and the governing capital note certificate, each of which will be incorporated by reference as an exhibit to the registration statement of which this prospectus forms a part. The foregoing summary of the equity equivalent capital notes is not complete. We encourage you to read the purchase agreement and capital note certificate, because they, and not this summary, will govern your rights as a holder of equity equivalent capital notes.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312"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This prospectus describes the general terms and provisions of the debt securities we may offer and sell by this prospectus. When we offer to sell a particular series of debt securities, we will describe the specific terms of the series in a prospectus supplement. We will also indicate in the prospectus supplement whether the general terms and provisions described in this prospectus apply to a particular series of debt securities.</w:t>
      </w:r>
    </w:p>
    <w:p>
      <w:pPr>
        <w:spacing w:after="0" w:line="161" w:lineRule="exact"/>
        <w:rPr>
          <w:sz w:val="20"/>
          <w:szCs w:val="20"/>
          <w:color w:val="auto"/>
        </w:rPr>
      </w:pPr>
    </w:p>
    <w:p>
      <w:pPr>
        <w:jc w:val="both"/>
        <w:ind w:firstLine="395"/>
        <w:spacing w:after="0" w:line="254" w:lineRule="auto"/>
        <w:rPr>
          <w:sz w:val="20"/>
          <w:szCs w:val="20"/>
          <w:color w:val="auto"/>
        </w:rPr>
      </w:pPr>
      <w:r>
        <w:rPr>
          <w:rFonts w:ascii="Arial" w:cs="Arial" w:eastAsia="Arial" w:hAnsi="Arial"/>
          <w:sz w:val="18"/>
          <w:szCs w:val="18"/>
          <w:color w:val="auto"/>
        </w:rPr>
        <w:t>We may offer under this prospectus up to $40,000,000 in aggregate principal amount of debt securities, or if debt securities are issued at a discount, or in a foreign currency or composite currency, such principal amount as may be sold for an initial offering price of up to $40,000,000. We may offer debt securities in the form of either senior debt securities or subordinated debt securities. The senior debt securities and the subordinated debt securities are together referred to in this prospectus as the “debt securities.” Unless otherwise specified in a prospectus supplement, the senior debt securities will be our direct, unsecured obligations and will rank equally with all of our other unsecured and unsubordinated indebtedness. The subordinated debt securities generally will be entitled to payment only after payment of our senior debt.</w:t>
      </w:r>
    </w:p>
    <w:p>
      <w:pPr>
        <w:spacing w:after="0" w:line="198"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debt securities will be issued under an indenture between us and a trustee, the form of which is filed as an exhibit to the registration statement of which this prospectus forms a part. We have summarized the general features of the debt securities to be governed by the indenture. The summary is not complete. The executed indenture will be incorporated by reference from a report on Form 6-K. We encourage you to read the indenture, because the indenture, and not this summary, will govern your rights as a holder of debt securities. Capitalized terms used in this summary will have the meanings specified in the indenture. References to “we,” “us” and “our” in this section, unless the context otherwise requires or as otherwise expressly stated, refer to Tower Semiconductor Ltd., excluding its subsidiaries.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31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an unlimited amount of debt securities under the indenture, and the debt securities may be in one or more series with the same or various maturities, at par, at a premium or at a discount. Except as set forth in any prospectus supplement, we will also have the right to “reopen” a previous series of debt securities by issuing additional debt securities of such series without the consent of the holders of debt securities of the series being reopened or any other series. Any additional debt securities of the series being reopened will have the same ranking, interest rate, maturity and other terms as the previously issued debt securities of that series. These additional debt securities, together with the previously issued debt securities of that series, will constitute a single series of debt securities under the terms of the applicable indenture.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set forth in a prospectus supplement, including any pricing supplement, relating to any series of debt securities being offered, the aggregate principal amount and other terms of the debt securities, which will include some or all of the following:</w:t>
      </w:r>
    </w:p>
    <w:p>
      <w:pPr>
        <w:sectPr>
          <w:pgSz w:w="11900" w:h="16838" w:orient="portrait"/>
          <w:cols w:equalWidth="0" w:num="1">
            <w:col w:w="11420"/>
          </w:cols>
          <w:pgMar w:left="240" w:top="131" w:right="239" w:bottom="0" w:gutter="0" w:footer="0" w:header="0"/>
        </w:sectPr>
      </w:pPr>
    </w:p>
    <w:bookmarkStart w:id="10" w:name="page11"/>
    <w:bookmarkEnd w:id="10"/>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title;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limit on the amount that may be issued;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whether or not we will issue the series of debt securities in global form, and, if so, the terms and the name of the depository;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maturity date;</w:t>
      </w:r>
    </w:p>
    <w:p>
      <w:pPr>
        <w:spacing w:after="0" w:line="252" w:lineRule="exact"/>
        <w:rPr>
          <w:sz w:val="20"/>
          <w:szCs w:val="20"/>
          <w:color w:val="auto"/>
        </w:rPr>
      </w:pPr>
    </w:p>
    <w:p>
      <w:pPr>
        <w:ind w:left="1160" w:right="5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whether or not the debt securities will be secured or unsecured, and the terms of any securities;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classification as senior or subordinated debt securities;</w:t>
      </w:r>
    </w:p>
    <w:p>
      <w:pPr>
        <w:spacing w:after="0" w:line="252" w:lineRule="exact"/>
        <w:rPr>
          <w:sz w:val="20"/>
          <w:szCs w:val="20"/>
          <w:color w:val="auto"/>
        </w:rPr>
      </w:pPr>
    </w:p>
    <w:p>
      <w:pPr>
        <w:ind w:left="1160" w:right="60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case of subordinated debt securities, the degree, if any, to which the subordinated debt securities of the series will be senior to or be subordinated to other indebtedness of our in right of payment, whether the other indebtedness is outstanding or not;</w:t>
      </w:r>
    </w:p>
    <w:p>
      <w:pPr>
        <w:spacing w:after="0" w:line="166" w:lineRule="exact"/>
        <w:rPr>
          <w:sz w:val="20"/>
          <w:szCs w:val="20"/>
          <w:color w:val="auto"/>
        </w:rPr>
      </w:pPr>
    </w:p>
    <w:p>
      <w:pPr>
        <w:ind w:left="1160" w:right="100" w:hanging="567"/>
        <w:spacing w:after="0" w:line="256" w:lineRule="auto"/>
        <w:rPr>
          <w:sz w:val="20"/>
          <w:szCs w:val="20"/>
          <w:color w:val="auto"/>
        </w:rPr>
      </w:pPr>
      <w:r>
        <w:rPr>
          <w:rFonts w:ascii="Arial" w:cs="Arial" w:eastAsia="Arial" w:hAnsi="Arial"/>
          <w:sz w:val="18"/>
          <w:szCs w:val="18"/>
          <w:color w:val="auto"/>
        </w:rPr>
        <w:t>—the terms on which any series of debt securities may be convertible into or exchangeable for our common stock or other of our securities, including (a) provisions as to whether conversion or exchange is mandatory, at the option of the holder or at our option and (b) provisions pursuant to which the number of shares of common stock or other securities of ours that the holders of the series of debt securities receive would be subject to adjustment;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place where payments will be payable;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right, if any, to defer payment of interest and the maximum length of any such deferral period;</w:t>
      </w:r>
    </w:p>
    <w:p>
      <w:pPr>
        <w:spacing w:after="0" w:line="252" w:lineRule="exact"/>
        <w:rPr>
          <w:sz w:val="20"/>
          <w:szCs w:val="20"/>
          <w:color w:val="auto"/>
        </w:rPr>
      </w:pPr>
    </w:p>
    <w:p>
      <w:pPr>
        <w:ind w:left="1160" w:right="800" w:hanging="567"/>
        <w:spacing w:after="0" w:line="268" w:lineRule="auto"/>
        <w:rPr>
          <w:sz w:val="20"/>
          <w:szCs w:val="20"/>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212" w:lineRule="exact"/>
        <w:rPr>
          <w:sz w:val="20"/>
          <w:szCs w:val="20"/>
          <w:color w:val="auto"/>
        </w:rPr>
      </w:pPr>
    </w:p>
    <w:p>
      <w:pPr>
        <w:ind w:left="1160" w:right="60" w:hanging="567"/>
        <w:spacing w:after="0" w:line="268" w:lineRule="auto"/>
        <w:rPr>
          <w:sz w:val="20"/>
          <w:szCs w:val="20"/>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whether the indenture will restrict our ability to pay dividends, or will require us to maintain any asset ratios or reserves;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whether we will be restricted from incurring any additional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listing of a series of debt securities on a securities exchange or market;</w:t>
      </w:r>
    </w:p>
    <w:p>
      <w:pPr>
        <w:spacing w:after="0" w:line="252" w:lineRule="exact"/>
        <w:rPr>
          <w:sz w:val="20"/>
          <w:szCs w:val="20"/>
          <w:color w:val="auto"/>
        </w:rPr>
      </w:pPr>
    </w:p>
    <w:p>
      <w:pPr>
        <w:ind w:left="1160" w:right="280" w:hanging="567"/>
        <w:spacing w:after="0" w:line="268" w:lineRule="auto"/>
        <w:rPr>
          <w:sz w:val="20"/>
          <w:szCs w:val="20"/>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specific terms, preferences, rights or limitations of, or restrictions on, the debt securities.</w:t>
      </w:r>
    </w:p>
    <w:p>
      <w:pPr>
        <w:spacing w:after="0" w:line="200" w:lineRule="exact"/>
        <w:rPr>
          <w:sz w:val="20"/>
          <w:szCs w:val="20"/>
          <w:color w:val="auto"/>
        </w:rPr>
      </w:pPr>
    </w:p>
    <w:p>
      <w:pPr>
        <w:spacing w:after="0" w:line="26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provide information on the applicable United States and Israeli income tax considerations and other special considerations applicable to any of these debt securities in the applicable prospectus supplement.</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31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debt security will be represented by either one or more global securities registered in the name of The Depositary Trust Company, as Depositary, or a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w:t>
      </w:r>
    </w:p>
    <w:p>
      <w:pPr>
        <w:spacing w:after="0" w:line="161"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94" w:lineRule="exact"/>
        <w:rPr>
          <w:sz w:val="20"/>
          <w:szCs w:val="20"/>
          <w:color w:val="auto"/>
        </w:rPr>
      </w:pPr>
    </w:p>
    <w:p>
      <w:pPr>
        <w:ind w:right="16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ectPr>
          <w:pgSz w:w="11900" w:h="16838" w:orient="portrait"/>
          <w:cols w:equalWidth="0" w:num="1">
            <w:col w:w="11420"/>
          </w:cols>
          <w:pgMar w:left="240" w:top="131" w:right="239" w:bottom="0" w:gutter="0" w:footer="0" w:header="0"/>
        </w:sectPr>
      </w:pPr>
    </w:p>
    <w:bookmarkStart w:id="11" w:name="page12"/>
    <w:bookmarkEnd w:id="11"/>
    <w:p>
      <w:pPr>
        <w:spacing w:after="0" w:line="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undergo a change in control or in the event of a highly leveraged transaction (whether or not such transaction results in a change in control) which could adversely affect holders of debt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31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186" w:lineRule="exact"/>
        <w:rPr>
          <w:sz w:val="20"/>
          <w:szCs w:val="20"/>
          <w:color w:val="auto"/>
        </w:rPr>
      </w:pPr>
    </w:p>
    <w:p>
      <w:pPr>
        <w:ind w:left="1160" w:right="120" w:hanging="567"/>
        <w:spacing w:after="0" w:line="268" w:lineRule="auto"/>
        <w:rPr>
          <w:sz w:val="20"/>
          <w:szCs w:val="20"/>
          <w:color w:val="auto"/>
        </w:rPr>
      </w:pPr>
      <w:r>
        <w:rPr>
          <w:rFonts w:ascii="Arial" w:cs="Arial" w:eastAsia="Arial" w:hAnsi="Arial"/>
          <w:sz w:val="18"/>
          <w:szCs w:val="18"/>
          <w:color w:val="auto"/>
        </w:rPr>
        <w:t>—we are the surviving corporation or the successor person (if other than us) expressly assumes our obligations on the debt securities and under the indenture;</w:t>
      </w:r>
    </w:p>
    <w:p>
      <w:pPr>
        <w:spacing w:after="0" w:line="21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certain other conditions are met, including any additional conditions described in the applicable prospectus supplement.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1160" w:right="20" w:hanging="567"/>
        <w:spacing w:after="0" w:line="259" w:lineRule="auto"/>
        <w:rPr>
          <w:sz w:val="20"/>
          <w:szCs w:val="20"/>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default in the payment of principal of or premium on any debt security of that series when due and payable;</w:t>
      </w:r>
    </w:p>
    <w:p>
      <w:pPr>
        <w:spacing w:after="0" w:line="252" w:lineRule="exact"/>
        <w:rPr>
          <w:sz w:val="20"/>
          <w:szCs w:val="20"/>
          <w:color w:val="auto"/>
        </w:rPr>
      </w:pPr>
    </w:p>
    <w:p>
      <w:pPr>
        <w:jc w:val="both"/>
        <w:ind w:left="1160" w:right="2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a majority in principal amount of the outstanding debt securities of that series as provided in the indenture;</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certain events of bankruptcy, insolvency or reorganization of our company;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event of default provided with respect to debt securities of that series that is described in the applicable prospectus supplement.</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6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ectPr>
          <w:pgSz w:w="11900" w:h="16933" w:orient="portrait"/>
          <w:cols w:equalWidth="0" w:num="1">
            <w:col w:w="11420"/>
          </w:cols>
          <w:pgMar w:left="240" w:top="131" w:right="239" w:bottom="0" w:gutter="0" w:footer="0" w:header="0"/>
        </w:sectPr>
      </w:pPr>
    </w:p>
    <w:bookmarkStart w:id="12" w:name="page13"/>
    <w:bookmarkEnd w:id="12"/>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that holder has previously given to the trustee written notice of a continuing event of default with respect to debt securities of that series; and</w:t>
      </w:r>
    </w:p>
    <w:p>
      <w:pPr>
        <w:spacing w:after="0" w:line="252" w:lineRule="exact"/>
        <w:rPr>
          <w:sz w:val="20"/>
          <w:szCs w:val="20"/>
          <w:color w:val="auto"/>
        </w:rPr>
      </w:pPr>
    </w:p>
    <w:p>
      <w:pPr>
        <w:ind w:left="1160" w:right="500" w:hanging="567"/>
        <w:spacing w:after="0" w:line="256" w:lineRule="auto"/>
        <w:rPr>
          <w:sz w:val="20"/>
          <w:szCs w:val="20"/>
          <w:color w:val="auto"/>
        </w:rPr>
      </w:pPr>
      <w:r>
        <w:rPr>
          <w:rFonts w:ascii="Arial" w:cs="Arial" w:eastAsia="Arial" w:hAnsi="Arial"/>
          <w:sz w:val="18"/>
          <w:szCs w:val="18"/>
          <w:color w:val="auto"/>
        </w:rPr>
        <w:t>—the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200" w:lineRule="exact"/>
        <w:rPr>
          <w:sz w:val="20"/>
          <w:szCs w:val="20"/>
          <w:color w:val="auto"/>
        </w:rPr>
      </w:pPr>
    </w:p>
    <w:p>
      <w:pPr>
        <w:spacing w:after="0" w:line="24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Notwithstanding the foregoing, the holder of any debt security will have an absolute and unconditional right to receive payment of the principal of, and any premium and interest on, that debt security on or after the due dates expressed in that debt security and to institute suit for the enforcement of payment.</w:t>
      </w:r>
    </w:p>
    <w:p>
      <w:pPr>
        <w:spacing w:after="0" w:line="13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312"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 the amount of debt securities whose holders must consent to an amendment or waiver;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reduce the rate of or extend the time for payment of interest (including default interest) on any debt security;</w:t>
      </w:r>
    </w:p>
    <w:p>
      <w:pPr>
        <w:spacing w:after="0" w:line="252" w:lineRule="exact"/>
        <w:rPr>
          <w:sz w:val="20"/>
          <w:szCs w:val="20"/>
          <w:color w:val="auto"/>
        </w:rPr>
      </w:pPr>
    </w:p>
    <w:p>
      <w:pPr>
        <w:ind w:left="1160" w:right="80" w:hanging="567"/>
        <w:spacing w:after="0" w:line="268" w:lineRule="auto"/>
        <w:rPr>
          <w:sz w:val="20"/>
          <w:szCs w:val="20"/>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 the principal amount of discount securities payable upon acceleration of maturity;</w:t>
      </w:r>
    </w:p>
    <w:p>
      <w:pPr>
        <w:spacing w:after="0" w:line="252" w:lineRule="exact"/>
        <w:rPr>
          <w:sz w:val="20"/>
          <w:szCs w:val="20"/>
          <w:color w:val="auto"/>
        </w:rPr>
      </w:pPr>
    </w:p>
    <w:p>
      <w:pPr>
        <w:ind w:left="1160" w:right="40" w:hanging="567"/>
        <w:spacing w:after="0" w:line="259" w:lineRule="auto"/>
        <w:rPr>
          <w:sz w:val="20"/>
          <w:szCs w:val="20"/>
          <w:color w:val="auto"/>
        </w:rPr>
      </w:pPr>
      <w:r>
        <w:rPr>
          <w:rFonts w:ascii="Arial" w:cs="Arial" w:eastAsia="Arial" w:hAnsi="Arial"/>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make the principal of, or premium or interest on, any debt security payable in currency other than that stated in the debt security;</w:t>
      </w:r>
    </w:p>
    <w:p>
      <w:pPr>
        <w:spacing w:after="0" w:line="252" w:lineRule="exact"/>
        <w:rPr>
          <w:sz w:val="20"/>
          <w:szCs w:val="20"/>
          <w:color w:val="auto"/>
        </w:rPr>
      </w:pPr>
    </w:p>
    <w:p>
      <w:pPr>
        <w:ind w:left="1160" w:hanging="567"/>
        <w:spacing w:after="0" w:line="259" w:lineRule="auto"/>
        <w:rPr>
          <w:sz w:val="20"/>
          <w:szCs w:val="20"/>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waive a redemption payment with respect to any debt security.</w:t>
      </w:r>
    </w:p>
    <w:p>
      <w:pPr>
        <w:spacing w:after="0" w:line="200" w:lineRule="exact"/>
        <w:rPr>
          <w:sz w:val="20"/>
          <w:szCs w:val="20"/>
          <w:color w:val="auto"/>
        </w:rPr>
      </w:pPr>
    </w:p>
    <w:p>
      <w:pPr>
        <w:spacing w:after="0" w:line="26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premium or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holders of a majority in principal amount of the outstanding debt securities of any series may rescind an acceleration of the debt securities of such series and its consequences, including any related payment default that resulted from the acceleration.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Discharging Our Obligations</w:t>
      </w:r>
    </w:p>
    <w:p>
      <w:pPr>
        <w:spacing w:after="0" w:line="31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may choose to either discharge our obligations on the debt securities of any series in a legal defeasance, or to release ourselves from our covenant restrictions on the debt securities of any series in a covenant defeasance. We may do so at any time after we deposit with the trustee sufficient cash or government securities to pay the principal, interest, any premium and any other sums due to the stated maturity date or a redemption date of the debt securities of the series. If we choose the legal defeasance option, the holders of the debt securities of the series will not be entitled to the benefits of the indenture except for registration of transfer and exchange of debt securities, replacement of lost, stolen, destroyed or mutilated debt securities, conversion or exchange of debt securities, sinking fund payments and receipt of principal and interest on the original stated due dates or specified redemption dates.</w:t>
      </w:r>
    </w:p>
    <w:p>
      <w:pPr>
        <w:spacing w:after="0" w:line="174"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may discharge our obligations under the indenture or release ourselves from covenant restrictions only if, in addition to making the deposit with the trustee, we meet some specific requirements. Among other things:</w:t>
      </w:r>
    </w:p>
    <w:p>
      <w:pPr>
        <w:spacing w:after="0" w:line="186" w:lineRule="exact"/>
        <w:rPr>
          <w:sz w:val="20"/>
          <w:szCs w:val="20"/>
          <w:color w:val="auto"/>
        </w:rPr>
      </w:pPr>
    </w:p>
    <w:p>
      <w:pPr>
        <w:ind w:left="1160" w:right="100" w:hanging="567"/>
        <w:spacing w:after="0" w:line="259" w:lineRule="auto"/>
        <w:rPr>
          <w:sz w:val="20"/>
          <w:szCs w:val="20"/>
          <w:color w:val="auto"/>
        </w:rPr>
      </w:pPr>
      <w:r>
        <w:rPr>
          <w:rFonts w:ascii="Arial" w:cs="Arial" w:eastAsia="Arial" w:hAnsi="Arial"/>
          <w:sz w:val="18"/>
          <w:szCs w:val="18"/>
          <w:color w:val="auto"/>
        </w:rPr>
        <w:t>—we must deliver an opinion of our legal counsel that the discharge will not result in holders having to recognize taxable income or loss or subject them to different tax treatment. In the case of legal defeasance, this opinion must be based on either an IRS letter ruling or change in federal tax law;</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may not have a default on the debt securities discharged on the date of deposit;</w:t>
      </w:r>
    </w:p>
    <w:p>
      <w:pPr>
        <w:sectPr>
          <w:pgSz w:w="11900" w:h="16838" w:orient="portrait"/>
          <w:cols w:equalWidth="0" w:num="1">
            <w:col w:w="11420"/>
          </w:cols>
          <w:pgMar w:left="240" w:top="131" w:right="239" w:bottom="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discharge may not violate any of our agreements;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discharge may not result in our becoming an investment company in violation of the Investment Company Act of 1940.</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312"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without regard to conflict of law principles that would result in the application of any law other than the laws of the State of New York.</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PURCHASE CONTRACTS</w:t>
      </w:r>
    </w:p>
    <w:p>
      <w:pPr>
        <w:spacing w:after="0" w:line="312"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may issue purchase contracts for the purchase or sale of debt or equity securities (including capital notes) issued by us or securities of third parties, a basket of such securities, an index or indices of such securities or any combination of the above as specified in the applicable prospectus supplement.</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31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applicable prospectus supplement will describe:</w:t>
      </w:r>
    </w:p>
    <w:p>
      <w:pPr>
        <w:spacing w:after="0" w:line="225"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20" w:hanging="567"/>
        <w:spacing w:after="0" w:line="268" w:lineRule="auto"/>
        <w:rPr>
          <w:sz w:val="20"/>
          <w:szCs w:val="20"/>
          <w:color w:val="auto"/>
        </w:rPr>
      </w:pPr>
      <w:r>
        <w:rPr>
          <w:rFonts w:ascii="Arial" w:cs="Arial" w:eastAsia="Arial" w:hAnsi="Arial"/>
          <w:sz w:val="18"/>
          <w:szCs w:val="18"/>
          <w:color w:val="auto"/>
        </w:rPr>
        <w:t>—any material provisions relating to the issuance, payment, settlement, transfer or exchange of the units or of the securities comprising the units;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material provisions of the governing unit agreement that differ from those described above.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31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may issue warrants to purchase debt or equity securities (including capital notes) or securities of third parties or other rights, including rights to receive payment in cash or securities based on the value, rate or price of one or more specified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the prospectus is being delivered:</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title of such warrants;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aggregate number of such warrants;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price or prices at which such warrants will be issued;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currency or currencies, in which the price of such warrants will be payable;</w:t>
      </w:r>
    </w:p>
    <w:p>
      <w:pPr>
        <w:spacing w:after="0" w:line="252" w:lineRule="exact"/>
        <w:rPr>
          <w:sz w:val="20"/>
          <w:szCs w:val="20"/>
          <w:color w:val="auto"/>
        </w:rPr>
      </w:pPr>
    </w:p>
    <w:p>
      <w:pPr>
        <w:ind w:left="1160" w:right="2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ectPr>
          <w:pgSz w:w="11900" w:h="16838" w:orient="portrait"/>
          <w:cols w:equalWidth="0" w:num="1">
            <w:col w:w="11400"/>
          </w:cols>
          <w:pgMar w:left="240" w:top="131" w:right="259" w:bottom="0" w:gutter="0" w:footer="0" w:header="0"/>
        </w:sectPr>
      </w:pPr>
    </w:p>
    <w:bookmarkStart w:id="14" w:name="page15"/>
    <w:bookmarkEnd w:id="1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date on which the right to exercise such warrants shall commence and the date on which such right shall expire;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applicable, the minimum or maximum amount of such warrants which may be exercised at any one time;</w:t>
      </w:r>
    </w:p>
    <w:p>
      <w:pPr>
        <w:spacing w:after="0" w:line="252" w:lineRule="exact"/>
        <w:rPr>
          <w:sz w:val="20"/>
          <w:szCs w:val="20"/>
          <w:color w:val="auto"/>
        </w:rPr>
      </w:pPr>
    </w:p>
    <w:p>
      <w:pPr>
        <w:ind w:left="1160" w:right="200" w:hanging="567"/>
        <w:spacing w:after="0" w:line="268" w:lineRule="auto"/>
        <w:rPr>
          <w:sz w:val="20"/>
          <w:szCs w:val="20"/>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applicable, the date on and after which such warrants and the related securities will be separately transferable;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information with respect to book-entry procedures, if any;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material Israeli and U.S. federal income tax consequences;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anti-dilution provisions of the warrants;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 under this prospectus in offerings: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through one or more underwriters or dealers;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through other agents;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directly to investors.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price the securities we sell under this prospectus: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at a fixed public offering price or prices, which we may change from time to time;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market prices prevailing at the times of sale;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prices calculated by a formula based on prevailing market prices;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negotiated prices;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a combination of any of the above pricing methods.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we use underwriters for an offering, they will acquire securities for their own account and may resell them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and except as otherwise set forth in the applicable prospectus supplement, the underwriters will be obligated to purchase all the securities of the series offered by the prospectus supplement. The public offering price and any discounts or concessions allowed or re-allowed or paid to dealers may change from time to time. Only underwriters named in a prospectus supplement are underwriters of the securities offered by that prospectus supplement.</w:t>
      </w:r>
    </w:p>
    <w:p>
      <w:pPr>
        <w:sectPr>
          <w:pgSz w:w="11900" w:h="16838" w:orient="portrait"/>
          <w:cols w:equalWidth="0" w:num="1">
            <w:col w:w="11400"/>
          </w:cols>
          <w:pgMar w:left="240" w:top="374" w:right="259" w:bottom="0" w:gutter="0" w:footer="0" w:header="0"/>
        </w:sectPr>
      </w:pPr>
    </w:p>
    <w:bookmarkStart w:id="15" w:name="page16"/>
    <w:bookmarkEnd w:id="15"/>
    <w:p>
      <w:pPr>
        <w:spacing w:after="0" w:line="150" w:lineRule="exact"/>
        <w:rPr>
          <w:sz w:val="20"/>
          <w:szCs w:val="20"/>
          <w:color w:val="auto"/>
        </w:rPr>
      </w:pPr>
    </w:p>
    <w:p>
      <w:pPr>
        <w:ind w:right="560" w:firstLine="348"/>
        <w:spacing w:after="0" w:line="259" w:lineRule="auto"/>
        <w:rPr>
          <w:sz w:val="20"/>
          <w:szCs w:val="20"/>
          <w:color w:val="auto"/>
        </w:rPr>
      </w:pPr>
      <w:r>
        <w:rPr>
          <w:rFonts w:ascii="Arial" w:cs="Arial" w:eastAsia="Arial" w:hAnsi="Arial"/>
          <w:sz w:val="18"/>
          <w:szCs w:val="18"/>
          <w:color w:val="auto"/>
        </w:rPr>
        <w:t>We may grant to the underwriters options to purchase additional securities to cover over-allotments, if any, at the public offering price with additional underwriting discounts or commissions. If we grant any over-allotment option, the terms of any over-allotment option will be set forth in the prospectus supplement relating to those securities.</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also sell securities directly or through agents. We will name any agent involved in an offering and we will describe any commissions we will pay the agent in the prospectus supplement. Unless the prospectus supplement states otherwise, our agents will act on a best-efforts basis.</w:t>
      </w:r>
    </w:p>
    <w:p>
      <w:pPr>
        <w:spacing w:after="0" w:line="139"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of these contracts and the commissions we must pay for solicitation of these contracts in the prospectus supplement.</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provide agents and underwriters with indemnification against certain civil liabilities, including liabilities under the Securities Act of 1933, or contribution with respect to payments that the agents or underwriters may make with respect to such liabilities. Underwriters or agents may engage in transactions with us, or perform services for us, in the ordinary course of business. We may also use underwriters or agents with whom we have a material relationship. We will describe the nature of any such relationship in the prospectus supplement.</w:t>
      </w:r>
    </w:p>
    <w:p>
      <w:pPr>
        <w:spacing w:after="0" w:line="197" w:lineRule="exact"/>
        <w:rPr>
          <w:sz w:val="20"/>
          <w:szCs w:val="20"/>
          <w:color w:val="auto"/>
        </w:rPr>
      </w:pPr>
    </w:p>
    <w:p>
      <w:pPr>
        <w:ind w:right="20" w:firstLine="385"/>
        <w:spacing w:after="0" w:line="291" w:lineRule="auto"/>
        <w:rPr>
          <w:sz w:val="20"/>
          <w:szCs w:val="20"/>
          <w:color w:val="auto"/>
        </w:rPr>
      </w:pPr>
      <w:r>
        <w:rPr>
          <w:rFonts w:ascii="Arial" w:cs="Arial" w:eastAsia="Arial" w:hAnsi="Arial"/>
          <w:sz w:val="16"/>
          <w:szCs w:val="16"/>
          <w:color w:val="auto"/>
        </w:rPr>
        <w:t>An underwriter may engage in overallotment, stabilizing transactions, short covering transactions and penalty bids in accordance with Regulation M under the Securities Exchange Act of 1934.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 to reclaim a selling concession from a dealer when the securities originally sold by the dealer are purchased in a covering transaction to cover short positions. These activities may cause the price of our securities to be higher than it would otherwise be on the open market. The underwriter may discontinue any of these activities at any time.</w:t>
      </w:r>
    </w:p>
    <w:p>
      <w:pPr>
        <w:spacing w:after="0" w:line="17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Underwriters may make a market in these securities, but will not be obligated to do so and may discontinue market making at any time without notice. We cannot guarantee the liquidity of the trading markets for any securities.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1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OFFERING EXPENSES</w:t>
      </w:r>
    </w:p>
    <w:p>
      <w:pPr>
        <w:spacing w:after="0" w:line="31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1,572.00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25,000.00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Printing expenses</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3,000.00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6,428.00</w:t>
            </w:r>
          </w:p>
        </w:tc>
      </w:tr>
      <w:tr>
        <w:trPr>
          <w:trHeight w:val="430"/>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41,000.00</w:t>
            </w: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jc w:val="both"/>
        <w:ind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and by Eilenberg Krause &amp; Paul LLP, our U.S. counsel. Any underwriters will be advised with respect to other issues relating to any offering by their own legal counsel.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400" w:firstLine="395"/>
        <w:spacing w:after="0" w:line="256" w:lineRule="auto"/>
        <w:rPr>
          <w:sz w:val="20"/>
          <w:szCs w:val="20"/>
          <w:color w:val="auto"/>
        </w:rPr>
      </w:pPr>
      <w:r>
        <w:rPr>
          <w:rFonts w:ascii="Arial" w:cs="Arial" w:eastAsia="Arial" w:hAnsi="Arial"/>
          <w:sz w:val="18"/>
          <w:szCs w:val="18"/>
          <w:color w:val="auto"/>
        </w:rPr>
        <w:t>The financial statements as of December 31, 2007 and 2006, and for each of the three years in the period ended December 31, 2007, incorporated by reference in this Prospectus have been audited by Brightman Almagor &amp; Co. A member of Deloitte Touche Tohmatsu, an independent registered public accounting firm, as stated in their reports, which are incorporated by reference herein, and have been so incorporated in reliance upon the report of such firm given upon their authority as experts in accounting and auditing.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286"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We are incorporated in Israel, most of our executive officers and directors and the Israeli experts named herein are nonresidents of the United States, and a substantial portion of our assets and of such persons’ assets are located outside the United States. For further information regarding enforceability of civil</w:t>
      </w:r>
    </w:p>
    <w:p>
      <w:pPr>
        <w:sectPr>
          <w:pgSz w:w="11900" w:h="16989" w:orient="portrait"/>
          <w:cols w:equalWidth="0" w:num="1">
            <w:col w:w="11420"/>
          </w:cols>
          <w:pgMar w:left="240" w:top="131" w:right="239" w:bottom="0" w:gutter="0" w:footer="0" w:header="0"/>
        </w:sectPr>
      </w:pPr>
    </w:p>
    <w:bookmarkStart w:id="16" w:name="page17"/>
    <w:bookmarkEnd w:id="16"/>
    <w:p>
      <w:pPr>
        <w:jc w:val="both"/>
        <w:ind w:right="260"/>
        <w:spacing w:after="0" w:line="259" w:lineRule="auto"/>
        <w:rPr>
          <w:sz w:val="20"/>
          <w:szCs w:val="20"/>
          <w:color w:val="auto"/>
        </w:rPr>
      </w:pPr>
      <w:r>
        <w:rPr>
          <w:rFonts w:ascii="Arial" w:cs="Arial" w:eastAsia="Arial" w:hAnsi="Arial"/>
          <w:sz w:val="18"/>
          <w:szCs w:val="18"/>
          <w:color w:val="auto"/>
        </w:rPr>
        <w:t>liabilities against us and other persons, see “Risk Factors– It may be difficult to enforce a U.S. judgment against us, our officers and directors and some of the experts named in this prospectus or to assert U.S. securities law claims in Israel”, included in our annual report on Form 20-F for the year ended December 31, 2006, which is incorporated by reference herein.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rely only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these securities in any state where the offer is not permitted. You should not assume that the information in this prospectus or any accompanying prospectus supplement is accurate as of any date other than the date on the front of the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111125</wp:posOffset>
            </wp:positionV>
            <wp:extent cx="2058035" cy="677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$40,000,000</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Ordinary Shares</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Notes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Units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___________,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pacing w:after="0" w:line="248" w:lineRule="exact"/>
        <w:rPr>
          <w:sz w:val="20"/>
          <w:szCs w:val="20"/>
          <w:color w:val="auto"/>
        </w:rPr>
      </w:pPr>
    </w:p>
    <w:p>
      <w:pPr>
        <w:ind w:left="1160" w:right="20" w:hanging="571"/>
        <w:spacing w:after="0" w:line="259"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720" w:right="260" w:hanging="564"/>
        <w:spacing w:after="0" w:line="268" w:lineRule="auto"/>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720" w:right="80" w:hanging="564"/>
        <w:spacing w:after="0" w:line="259" w:lineRule="auto"/>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21" w:lineRule="exact"/>
        <w:rPr>
          <w:rFonts w:ascii="Arial" w:cs="Arial" w:eastAsia="Arial" w:hAnsi="Arial"/>
          <w:sz w:val="18"/>
          <w:szCs w:val="18"/>
          <w:color w:val="auto"/>
        </w:rPr>
      </w:pPr>
    </w:p>
    <w:p>
      <w:pPr>
        <w:ind w:left="1720" w:hanging="564"/>
        <w:spacing w:after="0" w:line="298" w:lineRule="auto"/>
        <w:tabs>
          <w:tab w:leader="none" w:pos="1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93" w:lineRule="exact"/>
        <w:rPr>
          <w:rFonts w:ascii="Arial" w:cs="Arial" w:eastAsia="Arial" w:hAnsi="Arial"/>
          <w:sz w:val="16"/>
          <w:szCs w:val="16"/>
          <w:color w:val="auto"/>
        </w:rPr>
      </w:pPr>
    </w:p>
    <w:p>
      <w:pPr>
        <w:ind w:left="1720" w:hanging="564"/>
        <w:spacing w:after="0" w:line="291" w:lineRule="auto"/>
        <w:tabs>
          <w:tab w:leader="none" w:pos="1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ectPr>
          <w:pgSz w:w="11900" w:h="16838" w:orient="portrait"/>
          <w:cols w:equalWidth="0" w:num="1">
            <w:col w:w="11420"/>
          </w:cols>
          <w:pgMar w:left="240" w:top="131" w:right="239" w:bottom="211"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211" w:gutter="0" w:footer="0" w:header="0"/>
          <w:type w:val="continuous"/>
        </w:sectPr>
      </w:pPr>
    </w:p>
    <w:bookmarkStart w:id="17" w:name="page18"/>
    <w:bookmarkEnd w:id="17"/>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jc w:val="both"/>
        <w:ind w:right="180" w:firstLine="184"/>
        <w:spacing w:after="0" w:line="306" w:lineRule="auto"/>
        <w:tabs>
          <w:tab w:leader="none" w:pos="619"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60" w:lineRule="exact"/>
        <w:rPr>
          <w:rFonts w:ascii="Arial" w:cs="Arial" w:eastAsia="Arial" w:hAnsi="Arial"/>
          <w:sz w:val="16"/>
          <w:szCs w:val="16"/>
          <w:color w:val="auto"/>
        </w:rPr>
      </w:pPr>
    </w:p>
    <w:p>
      <w:pPr>
        <w:ind w:left="680" w:hanging="49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160" w:right="76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9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registration statement: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Arial" w:cs="Arial" w:eastAsia="Arial" w:hAnsi="Arial"/>
                <w:sz w:val="18"/>
                <w:szCs w:val="18"/>
                <w:color w:val="auto"/>
              </w:rPr>
              <w:t>No.</w:t>
            </w:r>
          </w:p>
        </w:tc>
        <w:tc>
          <w:tcPr>
            <w:tcW w:w="99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478"/>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Articles of Association of the Registrant, approved by shareholders on November 14, 2000, as amended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 "Form F-1No. 333-126909").</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No. 333-117565 ("Form S-8 No. 333-117565").</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Amendment to the Articles of Association of the Registrant (approved by shareholders on September 28, 2006) (incorporated by reference to</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capital note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indenture relating to debt securities.****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debt securities.*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unit agreement (including form of unit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4.7</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Yigal Arnon &amp; Co., Israeli counsel to the registrant, re legality.**</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Eilenberg Krause &amp; Paul LLP, U.S. counsel to the registrant, re legality.**</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12.1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Computation of Ratio of Earnings to Fixed Charges.**</w:t>
            </w:r>
          </w:p>
        </w:tc>
      </w:tr>
    </w:tbl>
    <w:p>
      <w:pPr>
        <w:sectPr>
          <w:pgSz w:w="11900" w:h="16838" w:orient="portrait"/>
          <w:cols w:equalWidth="0" w:num="1">
            <w:col w:w="11400"/>
          </w:cols>
          <w:pgMar w:left="240" w:top="131" w:right="25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23.1</w:t>
            </w:r>
          </w:p>
        </w:tc>
        <w:tc>
          <w:tcPr>
            <w:tcW w:w="6780" w:type="dxa"/>
            <w:vAlign w:val="bottom"/>
          </w:tcPr>
          <w:p>
            <w:pPr>
              <w:ind w:left="520"/>
              <w:spacing w:after="0"/>
              <w:rPr>
                <w:sz w:val="20"/>
                <w:szCs w:val="20"/>
                <w:color w:val="auto"/>
              </w:rPr>
            </w:pPr>
            <w:r>
              <w:rPr>
                <w:rFonts w:ascii="Arial" w:cs="Arial" w:eastAsia="Arial" w:hAnsi="Arial"/>
                <w:sz w:val="18"/>
                <w:szCs w:val="18"/>
                <w:color w:val="auto"/>
              </w:rPr>
              <w:t>Consent of Yigal Arnon &amp; Co., included in Exhibit 5.1.**</w:t>
            </w:r>
          </w:p>
        </w:tc>
      </w:tr>
      <w:tr>
        <w:trPr>
          <w:trHeight w:val="459"/>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23.2</w:t>
            </w:r>
          </w:p>
        </w:tc>
        <w:tc>
          <w:tcPr>
            <w:tcW w:w="6780" w:type="dxa"/>
            <w:vAlign w:val="bottom"/>
          </w:tcPr>
          <w:p>
            <w:pPr>
              <w:ind w:left="520"/>
              <w:spacing w:after="0"/>
              <w:rPr>
                <w:sz w:val="20"/>
                <w:szCs w:val="20"/>
                <w:color w:val="auto"/>
              </w:rPr>
            </w:pPr>
            <w:r>
              <w:rPr>
                <w:rFonts w:ascii="Arial" w:cs="Arial" w:eastAsia="Arial" w:hAnsi="Arial"/>
                <w:sz w:val="18"/>
                <w:szCs w:val="18"/>
                <w:color w:val="auto"/>
              </w:rPr>
              <w:t>Consent of Eilenberg Krause &amp; Paul LLP, included in Exhibit 5.2.**</w:t>
            </w:r>
          </w:p>
        </w:tc>
      </w:tr>
      <w:tr>
        <w:trPr>
          <w:trHeight w:val="459"/>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23.3</w:t>
            </w:r>
          </w:p>
        </w:tc>
        <w:tc>
          <w:tcPr>
            <w:tcW w:w="6780" w:type="dxa"/>
            <w:vAlign w:val="bottom"/>
          </w:tcPr>
          <w:p>
            <w:pPr>
              <w:ind w:left="520"/>
              <w:spacing w:after="0"/>
              <w:rPr>
                <w:sz w:val="20"/>
                <w:szCs w:val="20"/>
                <w:color w:val="auto"/>
              </w:rPr>
            </w:pPr>
            <w:r>
              <w:rPr>
                <w:rFonts w:ascii="Arial" w:cs="Arial" w:eastAsia="Arial" w:hAnsi="Arial"/>
                <w:sz w:val="18"/>
                <w:szCs w:val="18"/>
                <w:color w:val="auto"/>
                <w:w w:val="90"/>
              </w:rPr>
              <w:t>Consent of Brightman Almagor &amp; Co., independent registered public accounting firm.**</w:t>
            </w:r>
          </w:p>
        </w:tc>
      </w:tr>
      <w:tr>
        <w:trPr>
          <w:trHeight w:val="459"/>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24.1</w:t>
            </w:r>
          </w:p>
        </w:tc>
        <w:tc>
          <w:tcPr>
            <w:tcW w:w="6780" w:type="dxa"/>
            <w:vAlign w:val="bottom"/>
          </w:tcPr>
          <w:p>
            <w:pPr>
              <w:ind w:left="520"/>
              <w:spacing w:after="0"/>
              <w:rPr>
                <w:sz w:val="20"/>
                <w:szCs w:val="20"/>
                <w:color w:val="auto"/>
              </w:rPr>
            </w:pPr>
            <w:r>
              <w:rPr>
                <w:rFonts w:ascii="Arial" w:cs="Arial" w:eastAsia="Arial" w:hAnsi="Arial"/>
                <w:sz w:val="18"/>
                <w:szCs w:val="18"/>
                <w:color w:val="auto"/>
              </w:rPr>
              <w:t>Power of attorney.****</w:t>
            </w:r>
          </w:p>
        </w:tc>
      </w:tr>
      <w:tr>
        <w:trPr>
          <w:trHeight w:val="459"/>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25.1</w:t>
            </w:r>
          </w:p>
        </w:tc>
        <w:tc>
          <w:tcPr>
            <w:tcW w:w="6780" w:type="dxa"/>
            <w:vAlign w:val="bottom"/>
          </w:tcPr>
          <w:p>
            <w:pPr>
              <w:ind w:left="520"/>
              <w:spacing w:after="0"/>
              <w:rPr>
                <w:sz w:val="20"/>
                <w:szCs w:val="20"/>
                <w:color w:val="auto"/>
              </w:rPr>
            </w:pPr>
            <w:r>
              <w:rPr>
                <w:rFonts w:ascii="Arial" w:cs="Arial" w:eastAsia="Arial" w:hAnsi="Arial"/>
                <w:sz w:val="18"/>
                <w:szCs w:val="18"/>
                <w:color w:val="auto"/>
                <w:w w:val="93"/>
              </w:rPr>
              <w:t>Statement of Eligibility of Trustee for Indenture under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3860" w:firstLine="8"/>
        <w:spacing w:after="0" w:line="501" w:lineRule="auto"/>
        <w:tabs>
          <w:tab w:leader="none" w:pos="1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6-K and incorporated herein by reference. ** Filed with this registration statement.</w:t>
      </w:r>
    </w:p>
    <w:p>
      <w:pPr>
        <w:spacing w:after="0"/>
        <w:rPr>
          <w:rFonts w:ascii="Arial" w:cs="Arial" w:eastAsia="Arial" w:hAnsi="Arial"/>
          <w:sz w:val="18"/>
          <w:szCs w:val="18"/>
          <w:color w:val="auto"/>
        </w:rPr>
      </w:pPr>
      <w:r>
        <w:rPr>
          <w:rFonts w:ascii="Arial" w:cs="Arial" w:eastAsia="Arial" w:hAnsi="Arial"/>
          <w:sz w:val="18"/>
          <w:szCs w:val="18"/>
          <w:color w:val="auto"/>
        </w:rPr>
        <w:t>*** To be incorporated by reference from a subsequent filing in accordance with Section 305(b)(2) of the Trust Indenture Act of 1939.</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312" w:lineRule="exact"/>
        <w:rPr>
          <w:sz w:val="20"/>
          <w:szCs w:val="20"/>
          <w:color w:val="auto"/>
        </w:rPr>
      </w:pPr>
    </w:p>
    <w:p>
      <w:pPr>
        <w:ind w:left="720" w:hanging="53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20" w:hanging="556"/>
        <w:spacing w:after="0"/>
        <w:tabs>
          <w:tab w:leader="none" w:pos="13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840" w:hanging="508"/>
        <w:spacing w:after="0"/>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60" w:firstLine="172"/>
        <w:spacing w:after="0" w:line="290" w:lineRule="auto"/>
        <w:tabs>
          <w:tab w:leader="none" w:pos="18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160" w:right="260" w:firstLine="172"/>
        <w:spacing w:after="0" w:line="268" w:lineRule="auto"/>
        <w:tabs>
          <w:tab w:leader="none" w:pos="19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3" w:lineRule="exact"/>
        <w:rPr>
          <w:sz w:val="20"/>
          <w:szCs w:val="20"/>
          <w:color w:val="auto"/>
        </w:rPr>
      </w:pPr>
    </w:p>
    <w:p>
      <w:pPr>
        <w:ind w:left="1160" w:right="240" w:firstLine="351"/>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paragraphs (a)(1)(i), (a)(1)(ii) and (a)(1)(iii) of this section do not apply if the registration statement is on Form S-3 or</w:t>
      </w:r>
      <w:r>
        <w:rPr>
          <w:rFonts w:ascii="Arial" w:cs="Arial" w:eastAsia="Arial" w:hAnsi="Arial"/>
          <w:sz w:val="18"/>
          <w:szCs w:val="18"/>
          <w:i w:val="1"/>
          <w:iCs w:val="1"/>
          <w:color w:val="auto"/>
        </w:rPr>
        <w:t xml:space="preserve"> </w:t>
      </w:r>
      <w:r>
        <w:rPr>
          <w:rFonts w:ascii="Arial" w:cs="Arial" w:eastAsia="Arial" w:hAnsi="Arial"/>
          <w:sz w:val="18"/>
          <w:szCs w:val="18"/>
          <w:color w:val="auto"/>
        </w:rPr>
        <w:t>Form F-3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24" w:lineRule="exact"/>
        <w:rPr>
          <w:sz w:val="20"/>
          <w:szCs w:val="20"/>
          <w:color w:val="auto"/>
        </w:rPr>
      </w:pPr>
    </w:p>
    <w:p>
      <w:pPr>
        <w:jc w:val="both"/>
        <w:ind w:left="580" w:right="180" w:firstLine="184"/>
        <w:spacing w:after="0" w:line="259" w:lineRule="auto"/>
        <w:tabs>
          <w:tab w:leader="none" w:pos="13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21" w:lineRule="exact"/>
        <w:rPr>
          <w:rFonts w:ascii="Arial" w:cs="Arial" w:eastAsia="Arial" w:hAnsi="Arial"/>
          <w:sz w:val="18"/>
          <w:szCs w:val="18"/>
          <w:color w:val="auto"/>
        </w:rPr>
      </w:pPr>
    </w:p>
    <w:p>
      <w:pPr>
        <w:ind w:left="580" w:right="640" w:firstLine="184"/>
        <w:spacing w:after="0" w:line="268" w:lineRule="auto"/>
        <w:tabs>
          <w:tab w:leader="none" w:pos="13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580" w:firstLine="184"/>
        <w:spacing w:after="0" w:line="288" w:lineRule="auto"/>
        <w:tabs>
          <w:tab w:leader="none" w:pos="13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as amended,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as amended, or Rule 3-19 of Regulation S-K if such financial statements and information are contained in periodic reports filed with or furnished to the SEC by the Registrant pursuant to Section 13 or Section 15(d) of the Securities Exchange Act of 1934, as amended, that are incorporated by reference in this Form F-3.</w:t>
      </w:r>
    </w:p>
    <w:p>
      <w:pPr>
        <w:spacing w:after="0" w:line="200" w:lineRule="exact"/>
        <w:rPr>
          <w:rFonts w:ascii="Arial" w:cs="Arial" w:eastAsia="Arial" w:hAnsi="Arial"/>
          <w:sz w:val="16"/>
          <w:szCs w:val="16"/>
          <w:color w:val="auto"/>
        </w:rPr>
      </w:pPr>
    </w:p>
    <w:p>
      <w:pPr>
        <w:ind w:left="1320" w:hanging="556"/>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1840" w:hanging="508"/>
        <w:spacing w:after="0"/>
        <w:tabs>
          <w:tab w:leader="none" w:pos="18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347" w:lineRule="exact"/>
        <w:rPr>
          <w:sz w:val="20"/>
          <w:szCs w:val="20"/>
          <w:color w:val="auto"/>
        </w:rPr>
      </w:pPr>
    </w:p>
    <w:p>
      <w:pPr>
        <w:ind w:left="2500" w:hanging="601"/>
        <w:spacing w:after="0"/>
        <w:tabs>
          <w:tab w:leader="none" w:pos="25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Each prospectus filed by the registrant pursuant to Rule 424(b)(3) shall be deemed to be part of the registration statement as of</w:t>
      </w:r>
    </w:p>
    <w:p>
      <w:pPr>
        <w:sectPr>
          <w:pgSz w:w="11900" w:h="16838" w:orient="portrait"/>
          <w:cols w:equalWidth="0" w:num="1">
            <w:col w:w="11400"/>
          </w:cols>
          <w:pgMar w:left="240" w:top="131" w:right="259" w:bottom="0" w:gutter="0" w:footer="0" w:header="0"/>
          <w:type w:val="continuous"/>
        </w:sectPr>
      </w:pPr>
    </w:p>
    <w:bookmarkStart w:id="19" w:name="page20"/>
    <w:bookmarkEnd w:id="19"/>
    <w:p>
      <w:pPr>
        <w:ind w:left="1712"/>
        <w:spacing w:after="0"/>
        <w:rPr>
          <w:sz w:val="20"/>
          <w:szCs w:val="20"/>
          <w:color w:val="auto"/>
        </w:rPr>
      </w:pPr>
      <w:r>
        <w:rPr>
          <w:rFonts w:ascii="Arial" w:cs="Arial" w:eastAsia="Arial" w:hAnsi="Arial"/>
          <w:sz w:val="18"/>
          <w:szCs w:val="18"/>
          <w:color w:val="auto"/>
        </w:rPr>
        <w:t>the date the filed prospectus was deemed part of and included in the registration statement; and</w:t>
      </w:r>
    </w:p>
    <w:p>
      <w:pPr>
        <w:spacing w:after="0" w:line="252" w:lineRule="exact"/>
        <w:rPr>
          <w:sz w:val="20"/>
          <w:szCs w:val="20"/>
          <w:color w:val="auto"/>
        </w:rPr>
      </w:pPr>
    </w:p>
    <w:p>
      <w:pPr>
        <w:ind w:left="1712" w:right="60" w:firstLine="179"/>
        <w:spacing w:after="0" w:line="286" w:lineRule="auto"/>
        <w:tabs>
          <w:tab w:leader="none" w:pos="2473" w:val="left"/>
        </w:tabs>
        <w:numPr>
          <w:ilvl w:val="2"/>
          <w:numId w:val="3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5" w:lineRule="exact"/>
        <w:rPr>
          <w:rFonts w:ascii="Arial" w:cs="Arial" w:eastAsia="Arial" w:hAnsi="Arial"/>
          <w:sz w:val="16"/>
          <w:szCs w:val="16"/>
          <w:color w:val="auto"/>
        </w:rPr>
      </w:pPr>
    </w:p>
    <w:p>
      <w:pPr>
        <w:ind w:left="1152" w:right="20" w:firstLine="172"/>
        <w:spacing w:after="0" w:line="290" w:lineRule="auto"/>
        <w:tabs>
          <w:tab w:leader="none" w:pos="1893"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9" w:lineRule="exact"/>
        <w:rPr>
          <w:rFonts w:ascii="Arial" w:cs="Arial" w:eastAsia="Arial" w:hAnsi="Arial"/>
          <w:sz w:val="16"/>
          <w:szCs w:val="16"/>
          <w:color w:val="auto"/>
        </w:rPr>
      </w:pPr>
    </w:p>
    <w:p>
      <w:pPr>
        <w:ind w:left="572" w:right="40" w:firstLine="184"/>
        <w:spacing w:after="0" w:line="25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23" w:lineRule="exact"/>
        <w:rPr>
          <w:rFonts w:ascii="Arial" w:cs="Arial" w:eastAsia="Arial" w:hAnsi="Arial"/>
          <w:sz w:val="18"/>
          <w:szCs w:val="18"/>
          <w:color w:val="auto"/>
        </w:rPr>
      </w:pPr>
    </w:p>
    <w:p>
      <w:pPr>
        <w:ind w:left="1832" w:hanging="508"/>
        <w:spacing w:after="0"/>
        <w:tabs>
          <w:tab w:leader="none" w:pos="183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w:t>
      </w:r>
    </w:p>
    <w:p>
      <w:pPr>
        <w:spacing w:after="0" w:line="38" w:lineRule="exact"/>
        <w:rPr>
          <w:rFonts w:ascii="Arial" w:cs="Arial" w:eastAsia="Arial" w:hAnsi="Arial"/>
          <w:sz w:val="16"/>
          <w:szCs w:val="16"/>
          <w:color w:val="auto"/>
        </w:rPr>
      </w:pPr>
    </w:p>
    <w:p>
      <w:pPr>
        <w:ind w:left="1152"/>
        <w:spacing w:after="0"/>
        <w:rPr>
          <w:rFonts w:ascii="Arial" w:cs="Arial" w:eastAsia="Arial" w:hAnsi="Arial"/>
          <w:sz w:val="16"/>
          <w:szCs w:val="16"/>
          <w:color w:val="auto"/>
        </w:rPr>
      </w:pPr>
      <w:r>
        <w:rPr>
          <w:rFonts w:ascii="Arial" w:cs="Arial" w:eastAsia="Arial" w:hAnsi="Arial"/>
          <w:sz w:val="18"/>
          <w:szCs w:val="18"/>
          <w:color w:val="auto"/>
        </w:rPr>
        <w:t>424;</w:t>
      </w:r>
    </w:p>
    <w:p>
      <w:pPr>
        <w:spacing w:after="0" w:line="245" w:lineRule="exact"/>
        <w:rPr>
          <w:rFonts w:ascii="Arial" w:cs="Arial" w:eastAsia="Arial" w:hAnsi="Arial"/>
          <w:sz w:val="16"/>
          <w:szCs w:val="16"/>
          <w:color w:val="auto"/>
        </w:rPr>
      </w:pPr>
    </w:p>
    <w:p>
      <w:pPr>
        <w:ind w:left="1152" w:right="20" w:firstLine="172"/>
        <w:spacing w:after="0" w:line="268" w:lineRule="auto"/>
        <w:tabs>
          <w:tab w:leader="none" w:pos="188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1152" w:right="560" w:firstLine="172"/>
        <w:spacing w:after="0" w:line="268" w:lineRule="auto"/>
        <w:tabs>
          <w:tab w:leader="none" w:pos="193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912" w:hanging="588"/>
        <w:spacing w:after="0"/>
        <w:tabs>
          <w:tab w:leader="none" w:pos="19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6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 w:right="100" w:firstLine="184"/>
        <w:spacing w:after="0" w:line="255" w:lineRule="auto"/>
        <w:tabs>
          <w:tab w:leader="none" w:pos="72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left="-8" w:right="160" w:firstLine="184"/>
        <w:spacing w:after="0" w:line="312" w:lineRule="auto"/>
        <w:tabs>
          <w:tab w:leader="none" w:pos="714" w:val="left"/>
        </w:tabs>
        <w:numPr>
          <w:ilvl w:val="1"/>
          <w:numId w:val="40"/>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rFonts w:ascii="Arial" w:cs="Arial" w:eastAsia="Arial" w:hAnsi="Arial"/>
          <w:sz w:val="15"/>
          <w:szCs w:val="15"/>
          <w:color w:val="auto"/>
        </w:rPr>
      </w:pPr>
    </w:p>
    <w:p>
      <w:pPr>
        <w:ind w:left="732" w:hanging="556"/>
        <w:spacing w:after="0"/>
        <w:tabs>
          <w:tab w:leader="none" w:pos="7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1152" w:firstLine="172"/>
        <w:spacing w:after="0" w:line="256" w:lineRule="auto"/>
        <w:tabs>
          <w:tab w:leader="none" w:pos="1844" w:val="left"/>
        </w:tabs>
        <w:numPr>
          <w:ilvl w:val="2"/>
          <w:numId w:val="4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224" w:lineRule="exact"/>
        <w:rPr>
          <w:rFonts w:ascii="Arial" w:cs="Arial" w:eastAsia="Arial" w:hAnsi="Arial"/>
          <w:sz w:val="18"/>
          <w:szCs w:val="18"/>
          <w:color w:val="auto"/>
        </w:rPr>
      </w:pPr>
    </w:p>
    <w:p>
      <w:pPr>
        <w:jc w:val="both"/>
        <w:ind w:left="1152" w:right="140" w:firstLine="172"/>
        <w:spacing w:after="0" w:line="259" w:lineRule="auto"/>
        <w:tabs>
          <w:tab w:leader="none" w:pos="1893" w:val="left"/>
        </w:tabs>
        <w:numPr>
          <w:ilvl w:val="2"/>
          <w:numId w:val="4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712" w:hanging="536"/>
        <w:spacing w:after="0"/>
        <w:tabs>
          <w:tab w:leader="none" w:pos="71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left="-8" w:right="180" w:firstLine="8"/>
        <w:spacing w:after="0" w:line="261" w:lineRule="auto"/>
        <w:tabs>
          <w:tab w:leader="none" w:pos="2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Section 310 of the Trust Indenture Act in accordance with the rules and regulations prescribed by the SEC under Section 305(b)(2) of the Trust Indenture Act.</w:t>
      </w:r>
    </w:p>
    <w:p>
      <w:pPr>
        <w:spacing w:after="0" w:line="19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246620" cy="4763"/>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372"/>
          </w:cols>
          <w:pgMar w:left="248" w:top="131" w:right="279" w:bottom="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7940"/>
                    </a:xfrm>
                    <a:prstGeom prst="rect">
                      <a:avLst/>
                    </a:prstGeom>
                    <a:noFill/>
                  </pic:spPr>
                </pic:pic>
              </a:graphicData>
            </a:graphic>
          </wp:anchor>
        </w:drawing>
        <w:t>SIGNATURES</w:t>
      </w:r>
    </w:p>
    <w:p>
      <w:pPr>
        <w:spacing w:after="0" w:line="312" w:lineRule="exact"/>
        <w:rPr>
          <w:sz w:val="20"/>
          <w:szCs w:val="20"/>
          <w:color w:val="auto"/>
        </w:rPr>
      </w:pPr>
    </w:p>
    <w:p>
      <w:pPr>
        <w:jc w:val="both"/>
        <w:ind w:right="700" w:firstLine="395"/>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F-3 and has duly caused this Amendment No.1 to Registration Statement on Form F-3 to be signed on its behalf by the undersigned, thereunto duly authorized, in the City of Migdal Haemek, Israel, on February 15, 2008.</w:t>
      </w:r>
    </w:p>
    <w:p>
      <w:pPr>
        <w:spacing w:after="0" w:line="15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ind w:left="1380"/>
              <w:spacing w:after="0"/>
              <w:rPr>
                <w:sz w:val="20"/>
                <w:szCs w:val="20"/>
                <w:color w:val="auto"/>
              </w:rPr>
            </w:pPr>
            <w:r>
              <w:rPr>
                <w:rFonts w:ascii="Arial" w:cs="Arial" w:eastAsia="Arial" w:hAnsi="Arial"/>
                <w:sz w:val="18"/>
                <w:szCs w:val="18"/>
                <w:b w:val="1"/>
                <w:bCs w:val="1"/>
                <w:color w:val="auto"/>
              </w:rPr>
              <w:t>SIGNATURE</w:t>
            </w:r>
          </w:p>
        </w:tc>
        <w:tc>
          <w:tcPr>
            <w:tcW w:w="360" w:type="dxa"/>
            <w:vAlign w:val="bottom"/>
          </w:tcPr>
          <w:p>
            <w:pPr>
              <w:spacing w:after="0"/>
              <w:rPr>
                <w:sz w:val="19"/>
                <w:szCs w:val="19"/>
                <w:color w:val="auto"/>
              </w:rPr>
            </w:pPr>
          </w:p>
        </w:tc>
        <w:tc>
          <w:tcPr>
            <w:tcW w:w="3520" w:type="dxa"/>
            <w:vAlign w:val="bottom"/>
          </w:tcPr>
          <w:p>
            <w:pPr>
              <w:ind w:left="1680"/>
              <w:spacing w:after="0"/>
              <w:rPr>
                <w:sz w:val="20"/>
                <w:szCs w:val="20"/>
                <w:color w:val="auto"/>
              </w:rPr>
            </w:pPr>
            <w:r>
              <w:rPr>
                <w:rFonts w:ascii="Arial" w:cs="Arial" w:eastAsia="Arial" w:hAnsi="Arial"/>
                <w:sz w:val="18"/>
                <w:szCs w:val="18"/>
                <w:b w:val="1"/>
                <w:bCs w:val="1"/>
                <w:color w:val="auto"/>
              </w:rPr>
              <w:t>TITLE</w:t>
            </w:r>
          </w:p>
        </w:tc>
        <w:tc>
          <w:tcPr>
            <w:tcW w:w="360" w:type="dxa"/>
            <w:vAlign w:val="bottom"/>
          </w:tcPr>
          <w:p>
            <w:pPr>
              <w:spacing w:after="0"/>
              <w:rPr>
                <w:sz w:val="19"/>
                <w:szCs w:val="19"/>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b w:val="1"/>
                <w:bCs w:val="1"/>
                <w:color w:val="auto"/>
                <w:w w:val="97"/>
              </w:rPr>
              <w:t>DATE</w:t>
            </w:r>
          </w:p>
        </w:tc>
      </w:tr>
      <w:tr>
        <w:trPr>
          <w:trHeight w:val="110"/>
        </w:trPr>
        <w:tc>
          <w:tcPr>
            <w:tcW w:w="3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552"/>
        </w:trPr>
        <w:tc>
          <w:tcPr>
            <w:tcW w:w="342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Chairman of the Board</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February 15, 2008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Dov Moran</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/s/ Russell C. Ellwanger</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February 15, 2008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Russell C. Ellwanger</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/s/ Oren Shirazi</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Vice President of Finance and Acting</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February 15, 2008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Oren Shirazi</w:t>
            </w:r>
          </w:p>
        </w:tc>
        <w:tc>
          <w:tcPr>
            <w:tcW w:w="3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ind w:left="1380"/>
              <w:spacing w:after="0"/>
              <w:rPr>
                <w:sz w:val="20"/>
                <w:szCs w:val="20"/>
                <w:color w:val="auto"/>
              </w:rPr>
            </w:pPr>
            <w:r>
              <w:rPr>
                <w:rFonts w:ascii="Arial" w:cs="Arial" w:eastAsia="Arial" w:hAnsi="Arial"/>
                <w:sz w:val="18"/>
                <w:szCs w:val="18"/>
                <w:b w:val="1"/>
                <w:bCs w:val="1"/>
                <w:color w:val="auto"/>
              </w:rPr>
              <w:t>SIGNATURE</w:t>
            </w:r>
          </w:p>
        </w:tc>
        <w:tc>
          <w:tcPr>
            <w:tcW w:w="360" w:type="dxa"/>
            <w:vAlign w:val="bottom"/>
          </w:tcPr>
          <w:p>
            <w:pPr>
              <w:spacing w:after="0"/>
              <w:rPr>
                <w:sz w:val="19"/>
                <w:szCs w:val="19"/>
                <w:color w:val="auto"/>
              </w:rPr>
            </w:pPr>
          </w:p>
        </w:tc>
        <w:tc>
          <w:tcPr>
            <w:tcW w:w="3520" w:type="dxa"/>
            <w:vAlign w:val="bottom"/>
          </w:tcPr>
          <w:p>
            <w:pPr>
              <w:ind w:left="1680"/>
              <w:spacing w:after="0"/>
              <w:rPr>
                <w:sz w:val="20"/>
                <w:szCs w:val="20"/>
                <w:color w:val="auto"/>
              </w:rPr>
            </w:pPr>
            <w:r>
              <w:rPr>
                <w:rFonts w:ascii="Arial" w:cs="Arial" w:eastAsia="Arial" w:hAnsi="Arial"/>
                <w:sz w:val="18"/>
                <w:szCs w:val="18"/>
                <w:b w:val="1"/>
                <w:bCs w:val="1"/>
                <w:color w:val="auto"/>
              </w:rPr>
              <w:t>TITLE</w:t>
            </w:r>
          </w:p>
        </w:tc>
        <w:tc>
          <w:tcPr>
            <w:tcW w:w="360" w:type="dxa"/>
            <w:vAlign w:val="bottom"/>
          </w:tcPr>
          <w:p>
            <w:pPr>
              <w:spacing w:after="0"/>
              <w:rPr>
                <w:sz w:val="19"/>
                <w:szCs w:val="19"/>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10"/>
        </w:trPr>
        <w:tc>
          <w:tcPr>
            <w:tcW w:w="3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3420" w:type="dxa"/>
            <w:vAlign w:val="bottom"/>
            <w:vMerge w:val="restart"/>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Nir Gilad</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February 15, 2008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Dr. Eli Harari</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20" w:type="dxa"/>
            <w:vAlign w:val="bottom"/>
            <w:vMerge w:val="restart"/>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Miin Wu</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February 15, 2008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Kalman Kaufman</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February 15, 2008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Hans Rohrer</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20" w:type="dxa"/>
            <w:vAlign w:val="bottom"/>
            <w:vMerge w:val="restart"/>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Miri Katz</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February 15, 2008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Ron Moskovitz</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 By: /s/ Russell C. Ellwanger</w:t>
            </w:r>
          </w:p>
        </w:tc>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Russell C. Ellwanger</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Attorney-in-fact</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February 15, 2008</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 IN THE UNITED STATES</w:t>
      </w:r>
    </w:p>
    <w:p>
      <w:pPr>
        <w:sectPr>
          <w:pgSz w:w="11900" w:h="16838" w:orient="portrait"/>
          <w:cols w:equalWidth="0" w:num="1">
            <w:col w:w="11320"/>
          </w:cols>
          <w:pgMar w:left="240" w:top="449" w:right="3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Tower Semiconductor USA, Inc.</w:t>
      </w:r>
    </w:p>
    <w:p>
      <w:pPr>
        <w:spacing w:after="0" w:line="225" w:lineRule="exact"/>
        <w:rPr>
          <w:sz w:val="20"/>
          <w:szCs w:val="20"/>
          <w:color w:val="auto"/>
        </w:rPr>
      </w:pPr>
    </w:p>
    <w:p>
      <w:pPr>
        <w:spacing w:after="0"/>
        <w:tabs>
          <w:tab w:leader="none" w:pos="8880" w:val="left"/>
        </w:tabs>
        <w:rPr>
          <w:sz w:val="20"/>
          <w:szCs w:val="20"/>
          <w:color w:val="auto"/>
        </w:rPr>
      </w:pPr>
      <w:r>
        <w:rPr>
          <w:rFonts w:ascii="Arial" w:cs="Arial" w:eastAsia="Arial" w:hAnsi="Arial"/>
          <w:sz w:val="18"/>
          <w:szCs w:val="18"/>
          <w:color w:val="auto"/>
        </w:rPr>
        <w:t>By: /s/ Russell C. Ellwanger</w:t>
      </w:r>
      <w:r>
        <w:rPr>
          <w:sz w:val="20"/>
          <w:szCs w:val="20"/>
          <w:color w:val="auto"/>
        </w:rPr>
        <w:tab/>
      </w:r>
      <w:r>
        <w:rPr>
          <w:rFonts w:ascii="Arial" w:cs="Arial" w:eastAsia="Arial" w:hAnsi="Arial"/>
          <w:sz w:val="15"/>
          <w:szCs w:val="15"/>
          <w:color w:val="auto"/>
        </w:rPr>
        <w:t>February 15,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475"/>
        </w:trPr>
        <w:tc>
          <w:tcPr>
            <w:tcW w:w="1380" w:type="dxa"/>
            <w:vAlign w:val="bottom"/>
            <w:gridSpan w:val="2"/>
          </w:tcPr>
          <w:p>
            <w:pPr>
              <w:spacing w:after="0"/>
              <w:rPr>
                <w:sz w:val="20"/>
                <w:szCs w:val="20"/>
                <w:color w:val="auto"/>
              </w:rPr>
            </w:pPr>
            <w:r>
              <w:rPr>
                <w:rFonts w:ascii="Arial" w:cs="Arial" w:eastAsia="Arial" w:hAnsi="Arial"/>
                <w:sz w:val="18"/>
                <w:szCs w:val="18"/>
                <w:color w:val="auto"/>
              </w:rPr>
              <w:t>No.</w:t>
            </w:r>
          </w:p>
        </w:tc>
        <w:tc>
          <w:tcPr>
            <w:tcW w:w="99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478"/>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Articles of Association of the Registrant, approved by shareholders on November 14, 2000, as amended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 "Form F-1No. 333-126909").</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No. 333-117565 ("Form S-8 No. 333-117565").</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Amendment to the Articles of Association of the Registrant (approved by shareholders on September 28, 2006) (incorporated by reference to</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capital note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indenture relating to debt securities. ****</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debt securities.*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unit agreement (including form of unit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4.7</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Yigal Arnon &amp; Co., Israeli counsel to the registrant, re legality. **</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Eilenberg Krause &amp; Paul LLP, U.S. counsel to the registrant, re legality.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12.1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Computation of Ratio of Earnings to Fixed Charges.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23.1</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Yigal Arnon &amp; Co., included in Exhibit 5.1.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23.2</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Eilenberg Krause &amp; Paul LLP, included in Exhibit 5.2.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23.3</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Brightman Almagor &amp; Co., independent registered public accounting firm.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24.1</w:t>
            </w:r>
          </w:p>
        </w:tc>
        <w:tc>
          <w:tcPr>
            <w:tcW w:w="9960" w:type="dxa"/>
            <w:vAlign w:val="bottom"/>
            <w:gridSpan w:val="2"/>
          </w:tcPr>
          <w:p>
            <w:pPr>
              <w:spacing w:after="0"/>
              <w:rPr>
                <w:sz w:val="20"/>
                <w:szCs w:val="20"/>
                <w:color w:val="auto"/>
              </w:rPr>
            </w:pPr>
            <w:r>
              <w:rPr>
                <w:rFonts w:ascii="Arial" w:cs="Arial" w:eastAsia="Arial" w:hAnsi="Arial"/>
                <w:sz w:val="18"/>
                <w:szCs w:val="18"/>
                <w:color w:val="auto"/>
              </w:rPr>
              <w:t>Power of attorney.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25.1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Eligibility of Trustee for Indenture under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3800" w:firstLine="8"/>
        <w:spacing w:after="0" w:line="501" w:lineRule="auto"/>
        <w:tabs>
          <w:tab w:leader="none" w:pos="1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6-K and incorporated herein by reference. ** Filed with this registration statement.</w:t>
      </w:r>
    </w:p>
    <w:p>
      <w:pPr>
        <w:spacing w:after="0"/>
        <w:rPr>
          <w:rFonts w:ascii="Arial" w:cs="Arial" w:eastAsia="Arial" w:hAnsi="Arial"/>
          <w:sz w:val="18"/>
          <w:szCs w:val="18"/>
          <w:color w:val="auto"/>
        </w:rPr>
      </w:pPr>
      <w:r>
        <w:rPr>
          <w:rFonts w:ascii="Arial" w:cs="Arial" w:eastAsia="Arial" w:hAnsi="Arial"/>
          <w:sz w:val="18"/>
          <w:szCs w:val="18"/>
          <w:color w:val="auto"/>
        </w:rPr>
        <w:t>*** To be incorporated by reference from a subsequent filing in accordance with Section 305(b)(2) of the Trust Indenture Act of 1939.</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1441450</wp:posOffset>
            </wp:positionV>
            <wp:extent cx="726757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YIGAL ARNON &amp; CO.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ADVOCATES AND NOTARY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Aviv 67021</w:t>
      </w:r>
    </w:p>
    <w:p>
      <w:pPr>
        <w:spacing w:after="0" w:line="219"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13, 2008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have acted as Israeli counsel to Tower Semiconductor Ltd., a company limited by shares organized under the laws of the State of Israel (the “Company”), in connection with the Registration Statement on Form F-3 (the “Registration Statement”), to be filed by the Company on or about the date hereof with the Securities and Exchange Commission (the “Commission”) under the Securities Act of 1933, as amended (the “Act”). The Registration Statement relates to the proposed offer and sale by the Company from time to time, as set forth in the prospectus contained in the Registration Statement (the “Prospectus”) and as shall be set forth in one or more supplements to the Prospectus (each, a “Prospectus Supplement”), of up to an $40,000,000 aggregate amount of any or all of the following securities (the “Securities”): (i) ordinary shares, par value NIS 1.00 per share, of the Company (the “Ordinary Shares”); (ii) capital notes (the “Capital Notes”), (iii) unsecured debt securities, which may be senior (“Senior Debt Securities”) or subordinated (“Subordinated Debt Securities” and, collectively with the Senior Debt Securities, the “Debt Securities”); (iii) purchase contracts obligating holders to purchase Securities (as hereinafter defined) at a future date or dates (“Purchase Contracts”); (iv) warrants to purchase Ordinary Shares, Capital Notes, Debt Securities and Purchase Contracts of the Company (the “Warrants”); and (v) units comprised of one or more of the Ordinary Shares, Capital Notes, Debt Securities, Purchase Contracts and Warrants in any combination (the “Units”).</w:t>
      </w:r>
    </w:p>
    <w:p>
      <w:pPr>
        <w:spacing w:after="0" w:line="17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series of Debt Securities will be issued under an indenture, substantially in the form of the exhibit to the Registration Statement (the ” Indenture”) between the Company and a trustee named in the applicable Prospectus Supplement (each, a “Trustee”). The Purchase Contracts will be issued pursuant to a purchase contract agreement (the “Purchase Contract Agreement”) between the Company and a purchase contract agent (the “Purchase Contract Agent”). The Warrants will be issued under a warrant agreement (the “Warrant Agreement”) between the Company and a warrant agent (the “Warrant Agent”). The Units will be issued under a unit agreement (the “Unit Agreement”) between the Company and a unit agent (the “Unit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connection herewith, we have examined and relied without investigation as to matters of fact upon the Registration Statement and the exhibits thereto, including the form of Indenture,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17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each series of Debt Securities, the related Indenture will be the valid and legally binding obligation of the applicable Trustee, enforceable against such party in accordance with its terms; (2) at the time of execution, issuance and delivery of the Purchase Contracts, the Purchase Contract Agreement will be the valid and legally binding obligation of the Purchase Contract Agent, enforceable against such party in accordance with its terms; (3) at the time of execution, issuance and delivery of any Warrants, the related Warrant Agreement will be the valid and legally binding obligation of the Warrant Agent, enforceable against such party in accordance with its terms; and (4) at the time of the execution, issuance and delivery of the Units, the related Unit Agreement will be the valid and legally binding obligation of the Unit Agent, enforceable against such party in accordance with its terms.</w:t>
      </w:r>
    </w:p>
    <w:p>
      <w:pPr>
        <w:spacing w:after="0" w:line="172"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have assumed further that: (1) at the time of execution, issuance and delivery of the Capital Notes, the Capital Notes will have been duly authorized, executed and delivered by the Company; (2) at the time of execution, authentication, issuance and delivery of each series of Debt Securities, the related Indenture will have been duly authorized, executed and delivered by the Company and the applicable Trustee; (3) at the time of execution, issuance and delivery of the Purchase Contracts, the Purchase Contract Agreement will have been duly authorized, executed and delivered by the Company and the Purchase Contract Agent;</w:t>
      </w:r>
    </w:p>
    <w:p>
      <w:pPr>
        <w:spacing w:after="0" w:line="3" w:lineRule="exact"/>
        <w:rPr>
          <w:sz w:val="20"/>
          <w:szCs w:val="20"/>
          <w:color w:val="auto"/>
        </w:rPr>
      </w:pPr>
    </w:p>
    <w:p>
      <w:pPr>
        <w:ind w:right="100" w:firstLine="8"/>
        <w:spacing w:after="0" w:line="315" w:lineRule="auto"/>
        <w:tabs>
          <w:tab w:leader="none" w:pos="249" w:val="left"/>
        </w:tabs>
        <w:numPr>
          <w:ilvl w:val="0"/>
          <w:numId w:val="43"/>
        </w:numPr>
        <w:rPr>
          <w:rFonts w:ascii="Arial" w:cs="Arial" w:eastAsia="Arial" w:hAnsi="Arial"/>
          <w:sz w:val="15"/>
          <w:szCs w:val="15"/>
          <w:color w:val="auto"/>
        </w:rPr>
      </w:pPr>
      <w:r>
        <w:rPr>
          <w:rFonts w:ascii="Arial" w:cs="Arial" w:eastAsia="Arial" w:hAnsi="Arial"/>
          <w:sz w:val="15"/>
          <w:szCs w:val="15"/>
          <w:color w:val="auto"/>
        </w:rPr>
        <w:t>at the time of execution, issuance and delivery of any Warrants, the related Warrant Agreement will have been duly authorized, executed and delivered by the Company and the Warrant Agent; (5) at the time of execution, issuance and delivery of the Units, the Unit Agreement will have been duly authorized, executed and delivered by the Company and the Unit Agent; and (6)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5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we are of the opinion that:</w:t>
      </w:r>
    </w:p>
    <w:p>
      <w:pPr>
        <w:spacing w:after="0" w:line="186" w:lineRule="exact"/>
        <w:rPr>
          <w:sz w:val="20"/>
          <w:szCs w:val="20"/>
          <w:color w:val="auto"/>
        </w:rPr>
      </w:pPr>
    </w:p>
    <w:p>
      <w:pPr>
        <w:ind w:left="660" w:hanging="47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validly existing under the laws of the State of Israel.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20" w:firstLine="184"/>
        <w:spacing w:after="0" w:line="256" w:lineRule="auto"/>
        <w:tabs>
          <w:tab w:leader="none" w:pos="6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the Ordinary Shares, assuming the taking of all necessary corporate action to authorize and approve the issuance of any Ordinary Shares, the terms of the offering thereof and related matters, upon payment of the consideration therefor provided for in the applicable definitive purchase, underwriting or similar agreement approved by the board of directors and otherwise in accordance with the provisions of the applicable convertible Securities, if any, such Ordinary Shares will be validly issued, fully paid and non-assessable.</w:t>
      </w:r>
    </w:p>
    <w:p>
      <w:pPr>
        <w:spacing w:after="0" w:line="197" w:lineRule="exact"/>
        <w:rPr>
          <w:rFonts w:ascii="Arial" w:cs="Arial" w:eastAsia="Arial" w:hAnsi="Arial"/>
          <w:sz w:val="18"/>
          <w:szCs w:val="18"/>
          <w:color w:val="auto"/>
        </w:rPr>
      </w:pPr>
    </w:p>
    <w:p>
      <w:pPr>
        <w:jc w:val="both"/>
        <w:ind w:right="440" w:firstLine="184"/>
        <w:spacing w:after="0" w:line="298" w:lineRule="auto"/>
        <w:tabs>
          <w:tab w:leader="none" w:pos="65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respect to the Capital Notes, assuming the (a) taking of all necessary corporate action to authorize and approve the issuance and terms of any Capital Notes, the terms of the offering thereof and related matters and (b) due execution, issuance and delivery of such Capital Notes upon payment of the consideration therefor provided for in the applicable definitive purchase, underwriting or similar agreement approved by the board of directors, such Capital Notes will constitute valid and legally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-1433830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3" w:name="page24"/>
    <w:bookmarkEnd w:id="23"/>
    <w:p>
      <w:pPr>
        <w:ind w:firstLine="184"/>
        <w:spacing w:after="0" w:line="255" w:lineRule="auto"/>
        <w:tabs>
          <w:tab w:leader="none" w:pos="6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of directors and otherwise in accordance with the provisions of the applicable Indenture, such Debt Securities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ind w:right="80" w:firstLine="184"/>
        <w:spacing w:after="0" w:line="294" w:lineRule="auto"/>
        <w:tabs>
          <w:tab w:leader="none" w:pos="65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respect to the Purchase Contracts, assuming the (a) taking of all necessary corporate action to authorize and approve the issuance and terms of any Purchase Contracts, the terms of the offering thereof and related matters and (b) due execution, authentication, issuance and delivery of such Purchase Contracts upon payment of the consideration therefor provided for in the applicable definitive purchase, underwriting or similar agreement approved by the board of directors and otherwise in accordance with the provisions of the applicable Purchase Contract Agreement, such Purchase Contracts will constitute valid and legally binding obligations of the Company, enforceable against the Company in accordance with their terms.</w:t>
      </w:r>
    </w:p>
    <w:p>
      <w:pPr>
        <w:spacing w:after="0" w:line="169" w:lineRule="exact"/>
        <w:rPr>
          <w:rFonts w:ascii="Arial" w:cs="Arial" w:eastAsia="Arial" w:hAnsi="Arial"/>
          <w:sz w:val="16"/>
          <w:szCs w:val="16"/>
          <w:color w:val="auto"/>
        </w:rPr>
      </w:pPr>
    </w:p>
    <w:p>
      <w:pPr>
        <w:ind w:right="100" w:firstLine="184"/>
        <w:spacing w:after="0" w:line="255" w:lineRule="auto"/>
        <w:tabs>
          <w:tab w:leader="none" w:pos="6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any Warrants, the terms of the offering thereof and related matters and (b) due execution, authentication, issuance and delivery of such Warrants upon payment of the consideration therefor provided for in the applicable definitive purchase, underwriting or similar agreement approved by the board of directors and otherwise in accordance with the provisions of the applicable Warrant Agreement, such Warrants will constitute valid and legally binding obligations of the Company, enforceable against the Company in accordance with their terms.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right="60" w:firstLine="184"/>
        <w:spacing w:after="0" w:line="290" w:lineRule="auto"/>
        <w:tabs>
          <w:tab w:leader="none" w:pos="65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the related Unit Agreement and any Securities which are components of the Units, the terms of the offering thereof and related matters and (b) due execution, countersignature (where applicable), authentication, issuance and delivery of the Units and the Securities that are components of such Units in each case upon the payment of the consideration therefor provided for in the applicable definitive purchase, underwriting or similar agreement approved by the board of directors, and otherwise in accordance with the provisions of the applicable (i) Capital Notes, in the case of Capital Notes, (ii) Indenture, in the case of Debt Securities, (iii) Purchase Contract Agreement, in the case of Purchase Contracts and (iv) Warrant Agreement, in the case of Warrants, such Units will be validly issued and will entitle the holders thereof to the rights specified in the Unit Agreements.</w:t>
      </w:r>
    </w:p>
    <w:p>
      <w:pPr>
        <w:spacing w:after="0" w:line="172" w:lineRule="exact"/>
        <w:rPr>
          <w:rFonts w:ascii="Arial" w:cs="Arial" w:eastAsia="Arial" w:hAnsi="Arial"/>
          <w:sz w:val="16"/>
          <w:szCs w:val="16"/>
          <w:color w:val="auto"/>
        </w:rPr>
      </w:pPr>
    </w:p>
    <w:p>
      <w:pPr>
        <w:ind w:right="40" w:firstLine="184"/>
        <w:spacing w:after="0" w:line="256" w:lineRule="auto"/>
        <w:tabs>
          <w:tab w:leader="none" w:pos="6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the laws of Israel, the designation of the law of the State of New York to apply to the Indentures, the Warrant Agreement, the Purchase Contract Agreement, and the Unit Agreement will be binding upon the Company and, if properly brought to the attention of the court or administrative body in accordance with the laws of Israel, would be enforceable in any judicial or administrative proceeding in Israel subject to the existence of special circumstances or considerations, and subject generally to the discretion of the Israeli court ruling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-1826260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7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186" w:lineRule="exact"/>
        <w:rPr>
          <w:sz w:val="20"/>
          <w:szCs w:val="20"/>
          <w:color w:val="auto"/>
        </w:rPr>
      </w:pPr>
    </w:p>
    <w:p>
      <w:pPr>
        <w:ind w:right="60" w:firstLine="184"/>
        <w:spacing w:after="0" w:line="289" w:lineRule="auto"/>
        <w:tabs>
          <w:tab w:leader="none" w:pos="7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are members of the Israel Bar and we express no opinion as to any matter relating to the laws of any jurisdiction other than the laws of Israel and have not, for the purpose of giving this opinion, made any investigation of the laws of any other jurisdiction than Israel.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 This opinion is expressly limited to the matters set forth above, and we render no opinion, whether by implication or otherwise, as to any other matters.</w:t>
      </w:r>
    </w:p>
    <w:p>
      <w:pPr>
        <w:spacing w:after="0" w:line="172" w:lineRule="exact"/>
        <w:rPr>
          <w:rFonts w:ascii="Arial" w:cs="Arial" w:eastAsia="Arial" w:hAnsi="Arial"/>
          <w:sz w:val="16"/>
          <w:szCs w:val="16"/>
          <w:color w:val="auto"/>
        </w:rPr>
      </w:pPr>
    </w:p>
    <w:p>
      <w:pPr>
        <w:ind w:right="80" w:firstLine="184"/>
        <w:spacing w:after="0" w:line="298" w:lineRule="auto"/>
        <w:tabs>
          <w:tab w:leader="none" w:pos="731" w:val="left"/>
        </w:tabs>
        <w:numPr>
          <w:ilvl w:val="0"/>
          <w:numId w:val="46"/>
        </w:numPr>
        <w:rPr>
          <w:rFonts w:ascii="Arial" w:cs="Arial" w:eastAsia="Arial" w:hAnsi="Arial"/>
          <w:sz w:val="16"/>
          <w:szCs w:val="16"/>
          <w:color w:val="auto"/>
        </w:rPr>
      </w:pPr>
      <w:r>
        <w:rPr>
          <w:rFonts w:ascii="Arial" w:cs="Arial" w:eastAsia="Arial" w:hAnsi="Arial"/>
          <w:sz w:val="16"/>
          <w:szCs w:val="16"/>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(if any) as we may reasonably consider necessary or appropriate by reason of the terms of such Securities.</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Eilenberg Krause &amp; Paul LLP may rely upon this opinion for the purpose of rendering their opinion dated February 13, 2008, with respect to certain matters concerning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hereby consent to the filing of this opinion as Exhibit 5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2234565</wp:posOffset>
            </wp:positionV>
            <wp:extent cx="72675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Eilenberg Krause &amp; Paul LLP]</w:t>
      </w:r>
    </w:p>
    <w:p>
      <w:pPr>
        <w:spacing w:after="0" w:line="225"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13, 2008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95"/>
        <w:spacing w:after="0" w:line="308" w:lineRule="auto"/>
        <w:rPr>
          <w:sz w:val="20"/>
          <w:szCs w:val="20"/>
          <w:color w:val="auto"/>
        </w:rPr>
      </w:pPr>
      <w:r>
        <w:rPr>
          <w:rFonts w:ascii="Arial" w:cs="Arial" w:eastAsia="Arial" w:hAnsi="Arial"/>
          <w:sz w:val="15"/>
          <w:szCs w:val="15"/>
          <w:color w:val="auto"/>
        </w:rPr>
        <w:t>We have acted as United States counsel to Tower Semiconductor Ltd., a company limited by shares organized under the laws of the State of Israel (the “Company”), in connection with the Registration Statement on Form F-3 (the “Registration Statement”), to be filed by the Company on or about the date hereof with the Securities and Exchange Commission (the “Commission”) under the Securities Act of 1933, as amended (the “Act”). The Registration Statement relates to the proposed offer and sale by the Company from time to time, as set forth in the prospectus contained in the Registration Statement (the “Prospectus”) and as shall be set forth in one or more supplements to the Prospectus (each, a “Prospectus Supplement”), of up to an $40,000,000 aggregate amount of any or all of the following securities (the “Securities”): (i) ordinary shares, par value NIS 1.00 per share, of the Company (the “Ordinary Shares”); (ii) capital notes (the “Capital Notes”), (iii) unsecured debt securities, which may be senior (“Senior Debt Securities”) or subordinated (“Subordinated Debt Securities” and, collectively with the Senior Debt Securities, the “Debt Securities”); (iii) purchase contracts obligating holders to purchase Securities (as hereinafter defined) at a future date or dates (“Purchase Contracts”); (iv) warrants to purchase Ordinary Shares, Capital Notes, Debt Securities and Purchase Contracts of the Company (the “Warrants”); and (v) units comprised of one or more of the Ordinary Shares, Capital Notes, Debt Securities, Purchase Contracts and Warrants in any combination (the “Units”).</w:t>
      </w:r>
    </w:p>
    <w:p>
      <w:pPr>
        <w:spacing w:after="0" w:line="163"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series of Debt Securities will be issued under an indenture, substantially in the form of the exhibit to the Registration Statement (the ” Indenture”) between the Company and a trustee named in the applicable Prospectus Supplement (each, a “Trustee”). The Purchase Contracts will be issued pursuant to a purchase contract agreement (the “Purchase Contract Agreement”) between the Company and a purchase contract agent (the “Purchase Contract Agent”). The Warrants will be issued under a warrant agreement (the “Warrant Agreement”) between the Company and a warrant agent (the “Warrant Agent”). The Units will be issued under a unit agreement (the “Unit Agreement”) between the Company and a unit agent (the “Unit Agent”).</w:t>
      </w:r>
    </w:p>
    <w:p>
      <w:pPr>
        <w:spacing w:after="0" w:line="170" w:lineRule="exact"/>
        <w:rPr>
          <w:sz w:val="20"/>
          <w:szCs w:val="20"/>
          <w:color w:val="auto"/>
        </w:rPr>
      </w:pPr>
    </w:p>
    <w:p>
      <w:pPr>
        <w:ind w:firstLine="395"/>
        <w:spacing w:after="0" w:line="290" w:lineRule="auto"/>
        <w:rPr>
          <w:sz w:val="20"/>
          <w:szCs w:val="20"/>
          <w:color w:val="auto"/>
        </w:rPr>
      </w:pPr>
      <w:r>
        <w:rPr>
          <w:rFonts w:ascii="Arial" w:cs="Arial" w:eastAsia="Arial" w:hAnsi="Arial"/>
          <w:sz w:val="16"/>
          <w:szCs w:val="16"/>
          <w:color w:val="auto"/>
        </w:rPr>
        <w:t>In connection herewith, we have examined and relied without investigation as to matters of fact upon the Registration Statement and the exhibits thereto, including the form of Indenture,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also relied, with the permission of Yigal Arnon &amp; Co., upon the legal opinion letter of Yigal Arnon &amp; Co. to the Company dated February 13, 2008 with respect to certain matters concerning the Company and the Securities.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each series of Debt Securities, the related Indenture will be the valid and legally binding obligation of the applicable Trustee, enforceable against such party in accordance with its terms; (2) at the time of execution, issuance and delivery of the Purchase Contracts, the Purchase Contract Agreement will be the valid and legally binding obligation of the Purchase Contract Agent, enforceable against such party in accordance with its terms; (3) at the time of execution, issuance and delivery of any Warrants, the related Warrant Agreement will be the valid and legally binding obligation of the Warrant Agent, enforceable against such party in accordance with its terms; and (4) at the time of the execution, issuance and delivery of the Units, the related Unit Agreement will be the valid and legally binding obligation of the Unit Agent, enforceable against such party in accordance with its terms.</w:t>
      </w:r>
    </w:p>
    <w:p>
      <w:pPr>
        <w:spacing w:after="0" w:line="172"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have assumed further that: (1) at the time of execution, issuance and delivery of the Capital Notes, the Capital Notes will have been duly authorized, executed and delivered by the Company; (2) at the time of execution, authentication, issuance and delivery of each series of Debt Securities, the related Indenture will have been duly authorized, executed and delivered by the Company and the applicable Trustee; (3) at the time of execution, issuance and delivery of the Purchase Contracts, the Purchase Contract Agreement will have been duly authorized, executed and delivered by the Company and the Purchase Contract Agent;</w:t>
      </w:r>
    </w:p>
    <w:p>
      <w:pPr>
        <w:spacing w:after="0" w:line="3" w:lineRule="exact"/>
        <w:rPr>
          <w:sz w:val="20"/>
          <w:szCs w:val="20"/>
          <w:color w:val="auto"/>
        </w:rPr>
      </w:pPr>
    </w:p>
    <w:p>
      <w:pPr>
        <w:ind w:right="100" w:firstLine="8"/>
        <w:spacing w:after="0" w:line="315" w:lineRule="auto"/>
        <w:tabs>
          <w:tab w:leader="none" w:pos="249" w:val="left"/>
        </w:tabs>
        <w:numPr>
          <w:ilvl w:val="0"/>
          <w:numId w:val="47"/>
        </w:numPr>
        <w:rPr>
          <w:rFonts w:ascii="Arial" w:cs="Arial" w:eastAsia="Arial" w:hAnsi="Arial"/>
          <w:sz w:val="15"/>
          <w:szCs w:val="15"/>
          <w:color w:val="auto"/>
        </w:rPr>
      </w:pPr>
      <w:r>
        <w:rPr>
          <w:rFonts w:ascii="Arial" w:cs="Arial" w:eastAsia="Arial" w:hAnsi="Arial"/>
          <w:sz w:val="15"/>
          <w:szCs w:val="15"/>
          <w:color w:val="auto"/>
        </w:rPr>
        <w:t>at the time of execution, issuance and delivery of any Warrants, the related Warrant Agreement will have been duly authorized, executed and delivered by the Company and the Warrant Agent; (5) at the time of execution, issuance and delivery of the Units, the Unit Agreement will have been duly authorized, executed and delivered by the Company and the Unit Agent; and (6)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5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we are of the opinion that:</w:t>
      </w:r>
    </w:p>
    <w:p>
      <w:pPr>
        <w:spacing w:after="0" w:line="186" w:lineRule="exact"/>
        <w:rPr>
          <w:sz w:val="20"/>
          <w:szCs w:val="20"/>
          <w:color w:val="auto"/>
        </w:rPr>
      </w:pPr>
    </w:p>
    <w:p>
      <w:pPr>
        <w:jc w:val="both"/>
        <w:ind w:right="440" w:firstLine="184"/>
        <w:spacing w:after="0" w:line="298" w:lineRule="auto"/>
        <w:tabs>
          <w:tab w:leader="none" w:pos="658"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 respect to the Capital Notes, assuming the (a) taking of all necessary corporate action to authorize and approve the issuance and terms of any Capital Notes, the terms of the offering thereof and related matters and (b) due execution, issuance and delivery of such Capital Notes upon payment of the consideration therefor provided for in the applicable definitive purchase, underwriting or similar agreement approved by the board of directors, such Capital Notes will constitute valid and legally binding obligations of the Company, enforceable against the Company in accordance with their terms.</w:t>
      </w:r>
    </w:p>
    <w:p>
      <w:pPr>
        <w:spacing w:after="0" w:line="396" w:lineRule="exact"/>
        <w:rPr>
          <w:rFonts w:ascii="Arial" w:cs="Arial" w:eastAsia="Arial" w:hAnsi="Arial"/>
          <w:sz w:val="16"/>
          <w:szCs w:val="16"/>
          <w:color w:val="auto"/>
        </w:rPr>
      </w:pPr>
    </w:p>
    <w:p>
      <w:pPr>
        <w:ind w:firstLine="184"/>
        <w:spacing w:after="0" w:line="255" w:lineRule="auto"/>
        <w:tabs>
          <w:tab w:leader="none" w:pos="6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of directors and otherwise in accordance with the provisions of the applicable Indenture, such Debt Securities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jc w:val="both"/>
        <w:ind w:right="80" w:firstLine="184"/>
        <w:spacing w:after="0" w:line="335" w:lineRule="auto"/>
        <w:tabs>
          <w:tab w:leader="none" w:pos="658" w:val="left"/>
        </w:tabs>
        <w:numPr>
          <w:ilvl w:val="0"/>
          <w:numId w:val="48"/>
        </w:numPr>
        <w:rPr>
          <w:rFonts w:ascii="Arial" w:cs="Arial" w:eastAsia="Arial" w:hAnsi="Arial"/>
          <w:sz w:val="15"/>
          <w:szCs w:val="15"/>
          <w:color w:val="auto"/>
        </w:rPr>
      </w:pPr>
      <w:r>
        <w:rPr>
          <w:rFonts w:ascii="Arial" w:cs="Arial" w:eastAsia="Arial" w:hAnsi="Arial"/>
          <w:sz w:val="15"/>
          <w:szCs w:val="15"/>
          <w:color w:val="auto"/>
        </w:rPr>
        <w:t>With respect to the Purchase Contracts, assuming the (a) taking of all necessary corporate action to authorize and approve the issuance and terms of any Purchase Contracts, the terms of the offering thereof and related matters and (b) due execution, authentication, issuance and delivery of such Purchase Contracts upon payment of the consideration therefor provided for in the applicable definitive purchase, underwriting or similar agreement approved by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-1449705</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5" w:name="page26"/>
    <w:bookmarkEnd w:id="25"/>
    <w:p>
      <w:pPr>
        <w:ind w:right="440"/>
        <w:spacing w:after="0" w:line="268" w:lineRule="auto"/>
        <w:rPr>
          <w:sz w:val="20"/>
          <w:szCs w:val="20"/>
          <w:color w:val="auto"/>
        </w:rPr>
      </w:pPr>
      <w:r>
        <w:rPr>
          <w:rFonts w:ascii="Arial" w:cs="Arial" w:eastAsia="Arial" w:hAnsi="Arial"/>
          <w:sz w:val="18"/>
          <w:szCs w:val="18"/>
          <w:color w:val="auto"/>
        </w:rPr>
        <w:t>directors and otherwise in accordance with the provisions of the applicable Purchase Contract Agreement, such Purchase Contracts will constitute valid and legally binding obligations of the Company, enforceable against the Company in accordance with their terms.</w:t>
      </w:r>
    </w:p>
    <w:p>
      <w:pPr>
        <w:spacing w:after="0" w:line="186" w:lineRule="exact"/>
        <w:rPr>
          <w:sz w:val="20"/>
          <w:szCs w:val="20"/>
          <w:color w:val="auto"/>
        </w:rPr>
      </w:pPr>
    </w:p>
    <w:p>
      <w:pPr>
        <w:ind w:right="80" w:firstLine="184"/>
        <w:spacing w:after="0" w:line="255" w:lineRule="auto"/>
        <w:tabs>
          <w:tab w:leader="none" w:pos="6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any Warrants, the terms of the offering thereof and related matters and (b) due execution, authentication, issuance and delivery of such Warrants upon payment of the consideration therefor provided for in the applicable definitive purchase, underwriting or similar agreement approved by the board of directors and otherwise in accordance with the provisions of the applicable Warrant Agreement, such Warrants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ind w:right="40" w:firstLine="184"/>
        <w:spacing w:after="0" w:line="290" w:lineRule="auto"/>
        <w:tabs>
          <w:tab w:leader="none" w:pos="6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the related Unit Agreement and any Securities which are components of the Units, the terms of the offering thereof and related matters and (b) due execution, countersignature (where applicable), authentication, issuance and delivery of the Units and the Securities that are components of such Units in each case upon the payment of the consideration therefor provided for in the applicable definitive purchase, underwriting or similar agreement approved by the board of directors, and otherwise in accordance with the provisions of the applicable (i) Capital Notes, in the case of Capital Notes, (ii) Indenture, in the case of Debt Securities, (iii) Purchase Contract Agreement, in the case of Purchase Contracts and (iv) Warrant Agreement, in the case of Warrants, such Units will be validly issued and will entitle the holders thereof to the rights specified in the Unit Agreements.</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20" w:firstLine="184"/>
        <w:spacing w:after="0" w:line="291" w:lineRule="auto"/>
        <w:tabs>
          <w:tab w:leader="none" w:pos="722"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opinions herein reflect only the application of applicable laws of the State of New York and the federal laws of the United States of America.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74" w:lineRule="exact"/>
        <w:rPr>
          <w:rFonts w:ascii="Arial" w:cs="Arial" w:eastAsia="Arial" w:hAnsi="Arial"/>
          <w:sz w:val="16"/>
          <w:szCs w:val="16"/>
          <w:color w:val="auto"/>
        </w:rPr>
      </w:pPr>
    </w:p>
    <w:p>
      <w:pPr>
        <w:ind w:right="40" w:firstLine="184"/>
        <w:spacing w:after="0" w:line="290" w:lineRule="auto"/>
        <w:tabs>
          <w:tab w:leader="none" w:pos="731"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opinions herein are subject to and may be limited by (i) applicable bankruptcy, insolvency, reorganization, receivership, moratorium and other similar laws affecting or relating to the rights and remedies of creditors generally including, without limitation, laws relative to fraudulent conveyances, preference and equitable subordination, (ii) general principles or equity (regardless of whether considered in a proceeding in equity or at law), (iii) an implied covenant of good faith and fair dealing, (iv) requirements that a claim with respect to any Securities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72" w:lineRule="exact"/>
        <w:rPr>
          <w:rFonts w:ascii="Arial" w:cs="Arial" w:eastAsia="Arial" w:hAnsi="Arial"/>
          <w:sz w:val="16"/>
          <w:szCs w:val="16"/>
          <w:color w:val="auto"/>
        </w:rPr>
      </w:pPr>
    </w:p>
    <w:p>
      <w:pPr>
        <w:ind w:firstLine="184"/>
        <w:spacing w:after="0" w:line="290" w:lineRule="auto"/>
        <w:tabs>
          <w:tab w:leader="none" w:pos="722"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opinions are further subject to the effect of generally applicable rules of law arising from statutes, judicial and administrative decisions, and the rules and regulations of governmental authorities that: (i) limit or affect the enforcement of provisions of a contract that purport to require waiver of the obligations of good faith, fair dealing, diligence and reasonableness;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(iv) may, where less than all of the contract may be unenforceable, limit the enforceability of the balance of the contract to circumstances in which the unenforceable portion is not an essential part of the agreed exchange and (v) govern and afford judicial discretion regarding the determination of damages and entitlement to attorneys’ fees.</w:t>
      </w:r>
    </w:p>
    <w:p>
      <w:pPr>
        <w:spacing w:after="0" w:line="172" w:lineRule="exact"/>
        <w:rPr>
          <w:rFonts w:ascii="Arial" w:cs="Arial" w:eastAsia="Arial" w:hAnsi="Arial"/>
          <w:sz w:val="16"/>
          <w:szCs w:val="16"/>
          <w:color w:val="auto"/>
        </w:rPr>
      </w:pPr>
    </w:p>
    <w:p>
      <w:pPr>
        <w:ind w:right="220" w:firstLine="184"/>
        <w:spacing w:after="0" w:line="291" w:lineRule="auto"/>
        <w:tabs>
          <w:tab w:leader="none" w:pos="73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 in any Capital Note, Indenture, Purchase Contract Agreement, Warrant Agreement, Unit Agreement or other agreement purporting or attempting to (A) confer exclusive jurisdiction and/or venue upon certain courts or otherwise waive the defenses of forum non conveniens or improper venue, (B) confer subject matter jurisdiction on a court not having independent grounds therefor, (C) modify or waive the requirements for effective service of process for any action that may be brought, (D) waive the right of the Company or any other person to a trial by jury, (E) provide that remedies are cumulative or that decisions by a party are conclusive, or (F) modify or waive the rights to notice, legal defenses, statutes of limitations or other benefits that cannot be waived under applicable law.</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right="260" w:firstLine="184"/>
        <w:spacing w:after="0" w:line="259" w:lineRule="auto"/>
        <w:tabs>
          <w:tab w:leader="none" w:pos="7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express no opinion as to the enforceability of any rights to indemnification or contribution provided for in any Capital Note, Indenture, Purchase Contract Agreement, Warrant Agreement, Unit Agreement or other agreement which are violative of public policy underlying any law, rule or regulation (including any federal or state securities law, rule or regulation) or the legality of such rights.</w:t>
      </w:r>
    </w:p>
    <w:p>
      <w:pPr>
        <w:spacing w:after="0" w:line="194" w:lineRule="exact"/>
        <w:rPr>
          <w:rFonts w:ascii="Arial" w:cs="Arial" w:eastAsia="Arial" w:hAnsi="Arial"/>
          <w:sz w:val="18"/>
          <w:szCs w:val="18"/>
          <w:color w:val="auto"/>
        </w:rPr>
      </w:pPr>
    </w:p>
    <w:p>
      <w:pPr>
        <w:jc w:val="both"/>
        <w:ind w:right="100" w:firstLine="184"/>
        <w:spacing w:after="0" w:line="298" w:lineRule="auto"/>
        <w:tabs>
          <w:tab w:leader="none" w:pos="7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(if any) as we may reasonably consider necessary or appropriate by reason of the terms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-1296670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4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hereby consent to the filing of this opinion as Exhibit 5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Eilenberg Krause &amp; Paul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1003935</wp:posOffset>
            </wp:positionV>
            <wp:extent cx="72675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EXHIBIT 12.1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8"/>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22"/>
                <w:szCs w:val="22"/>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2"/>
                <w:szCs w:val="22"/>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10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(losses):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Losses before income taxes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(134,196)</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(86,928)</w:t>
            </w:r>
          </w:p>
        </w:tc>
        <w:tc>
          <w:tcPr>
            <w:tcW w:w="1520" w:type="dxa"/>
            <w:vAlign w:val="bottom"/>
            <w:gridSpan w:val="5"/>
          </w:tcPr>
          <w:p>
            <w:pPr>
              <w:jc w:val="right"/>
              <w:ind w:right="260"/>
              <w:spacing w:after="0"/>
              <w:rPr>
                <w:sz w:val="20"/>
                <w:szCs w:val="20"/>
                <w:color w:val="auto"/>
              </w:rPr>
            </w:pPr>
            <w:r>
              <w:rPr>
                <w:rFonts w:ascii="Arial" w:cs="Arial" w:eastAsia="Arial" w:hAnsi="Arial"/>
                <w:sz w:val="18"/>
                <w:szCs w:val="18"/>
                <w:color w:val="auto"/>
              </w:rPr>
              <w:t>(203,082)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(137,768)</w:t>
            </w: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(114,261)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debt restructuring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(80,071)</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Amortization of capitalized</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4"/>
          </w:tcPr>
          <w:p>
            <w:pPr>
              <w:spacing w:after="0"/>
              <w:rPr>
                <w:sz w:val="20"/>
                <w:szCs w:val="20"/>
                <w:color w:val="auto"/>
              </w:rPr>
            </w:pPr>
            <w:r>
              <w:rPr>
                <w:rFonts w:ascii="Arial" w:cs="Arial" w:eastAsia="Arial" w:hAnsi="Arial"/>
                <w:sz w:val="18"/>
                <w:szCs w:val="18"/>
                <w:color w:val="auto"/>
              </w:rPr>
              <w:t>interest (a)</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4,206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3,557</w:t>
            </w: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capitalized (d)</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(9,465)</w:t>
            </w: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(5,692)</w:t>
            </w:r>
          </w:p>
        </w:tc>
        <w:tc>
          <w:tcPr>
            <w:tcW w:w="15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(2,793)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(14,042)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(143,661)</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(167,037)</w:t>
            </w:r>
          </w:p>
        </w:tc>
        <w:tc>
          <w:tcPr>
            <w:tcW w:w="1520" w:type="dxa"/>
            <w:vAlign w:val="bottom"/>
            <w:gridSpan w:val="5"/>
          </w:tcPr>
          <w:p>
            <w:pPr>
              <w:jc w:val="right"/>
              <w:ind w:right="260"/>
              <w:spacing w:after="0"/>
              <w:rPr>
                <w:sz w:val="20"/>
                <w:szCs w:val="20"/>
                <w:color w:val="auto"/>
              </w:rPr>
            </w:pPr>
            <w:r>
              <w:rPr>
                <w:rFonts w:ascii="Arial" w:cs="Arial" w:eastAsia="Arial" w:hAnsi="Arial"/>
                <w:sz w:val="18"/>
                <w:szCs w:val="18"/>
                <w:color w:val="auto"/>
              </w:rPr>
              <w:t>(201,669)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(134,211)</w:t>
            </w: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(127,349)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Amortization of expenses related to indebtedness (b)</w:t>
            </w:r>
          </w:p>
        </w:tc>
        <w:tc>
          <w:tcPr>
            <w:tcW w:w="980" w:type="dxa"/>
            <w:vAlign w:val="bottom"/>
          </w:tcPr>
          <w:p>
            <w:pPr>
              <w:jc w:val="right"/>
              <w:spacing w:after="0"/>
              <w:rPr>
                <w:sz w:val="20"/>
                <w:szCs w:val="20"/>
                <w:color w:val="auto"/>
              </w:rPr>
            </w:pPr>
            <w:r>
              <w:rPr>
                <w:rFonts w:ascii="Arial" w:cs="Arial" w:eastAsia="Arial" w:hAnsi="Arial"/>
                <w:sz w:val="18"/>
                <w:szCs w:val="18"/>
                <w:color w:val="auto"/>
              </w:rPr>
              <w:t>7,811</w:t>
            </w:r>
          </w:p>
        </w:tc>
        <w:tc>
          <w:tcPr>
            <w:tcW w:w="3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4,589</w:t>
            </w:r>
          </w:p>
        </w:tc>
        <w:tc>
          <w:tcPr>
            <w:tcW w:w="1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expenses (c)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33,444</w:t>
            </w:r>
          </w:p>
        </w:tc>
        <w:tc>
          <w:tcPr>
            <w:tcW w:w="3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39,264</w:t>
            </w: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32,360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26,582</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Interest capitalized (d)</w:t>
            </w:r>
          </w:p>
        </w:tc>
        <w:tc>
          <w:tcPr>
            <w:tcW w:w="980" w:type="dxa"/>
            <w:vAlign w:val="bottom"/>
          </w:tcPr>
          <w:p>
            <w:pPr>
              <w:jc w:val="right"/>
              <w:spacing w:after="0"/>
              <w:rPr>
                <w:sz w:val="20"/>
                <w:szCs w:val="20"/>
                <w:color w:val="auto"/>
              </w:rPr>
            </w:pPr>
            <w:r>
              <w:rPr>
                <w:rFonts w:ascii="Arial" w:cs="Arial" w:eastAsia="Arial" w:hAnsi="Arial"/>
                <w:sz w:val="18"/>
                <w:szCs w:val="18"/>
                <w:color w:val="auto"/>
              </w:rPr>
              <w:t>9,465</w:t>
            </w:r>
          </w:p>
        </w:tc>
        <w:tc>
          <w:tcPr>
            <w:tcW w:w="32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5,692</w:t>
            </w:r>
          </w:p>
        </w:tc>
        <w:tc>
          <w:tcPr>
            <w:tcW w:w="14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2,793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14,042</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50,720</w:t>
            </w:r>
          </w:p>
        </w:tc>
        <w:tc>
          <w:tcPr>
            <w:tcW w:w="3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49,545</w:t>
            </w: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35,676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00" w:type="dxa"/>
            <w:vAlign w:val="bottom"/>
            <w:gridSpan w:val="2"/>
          </w:tcPr>
          <w:p>
            <w:pPr>
              <w:spacing w:after="0"/>
              <w:rPr>
                <w:sz w:val="11"/>
                <w:szCs w:val="11"/>
                <w:color w:val="auto"/>
              </w:rPr>
            </w:pPr>
          </w:p>
        </w:tc>
        <w:tc>
          <w:tcPr>
            <w:tcW w:w="60" w:type="dxa"/>
            <w:vAlign w:val="bottom"/>
            <w:tcBorders>
              <w:bottom w:val="single" w:sz="8" w:color="808080"/>
            </w:tcBorders>
            <w:gridSpan w:val="2"/>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Borders>
              <w:bottom w:val="single" w:sz="8" w:color="808080"/>
            </w:tcBorders>
            <w:gridSpan w:val="3"/>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020" w:type="dxa"/>
            <w:vAlign w:val="bottom"/>
            <w:tcBorders>
              <w:bottom w:val="single" w:sz="8" w:color="808080"/>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Earnings (losses), as adjusted</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(92,941)</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(117,492)</w:t>
            </w:r>
          </w:p>
        </w:tc>
        <w:tc>
          <w:tcPr>
            <w:tcW w:w="1520" w:type="dxa"/>
            <w:vAlign w:val="bottom"/>
            <w:gridSpan w:val="5"/>
          </w:tcPr>
          <w:p>
            <w:pPr>
              <w:jc w:val="right"/>
              <w:ind w:right="260"/>
              <w:spacing w:after="0"/>
              <w:rPr>
                <w:sz w:val="20"/>
                <w:szCs w:val="20"/>
                <w:color w:val="auto"/>
              </w:rPr>
            </w:pPr>
            <w:r>
              <w:rPr>
                <w:rFonts w:ascii="Arial" w:cs="Arial" w:eastAsia="Arial" w:hAnsi="Arial"/>
                <w:sz w:val="18"/>
                <w:szCs w:val="18"/>
                <w:color w:val="auto"/>
              </w:rPr>
              <w:t>(165,993)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(107,105)</w:t>
            </w: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(105,145)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5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-507365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-507365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-507365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-507365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-507365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-507365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-507365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-507365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-507365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-507365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04"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$143.7 million in 2007.</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5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$167.0 million in 2006.</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5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$201.7 million in 2005.</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5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5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pacing w:after="0" w:line="237" w:lineRule="exact"/>
        <w:rPr>
          <w:sz w:val="20"/>
          <w:szCs w:val="20"/>
          <w:color w:val="auto"/>
        </w:rPr>
      </w:pPr>
    </w:p>
    <w:p>
      <w:pPr>
        <w:ind w:left="580" w:right="500" w:hanging="572"/>
        <w:spacing w:after="0" w:line="194" w:lineRule="auto"/>
        <w:tabs>
          <w:tab w:leader="none" w:pos="5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deferred financing charges in connection with obtaining long-term bank loans which are comprised mainly of stock-based compensation related to warrants issued to banks.</w:t>
      </w:r>
    </w:p>
    <w:p>
      <w:pPr>
        <w:spacing w:after="0" w:line="127"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convertible debentures discount and deferred issuance expenses.</w:t>
      </w:r>
    </w:p>
    <w:p>
      <w:pPr>
        <w:spacing w:after="0" w:line="236" w:lineRule="exact"/>
        <w:rPr>
          <w:rFonts w:ascii="Arial" w:cs="Arial" w:eastAsia="Arial" w:hAnsi="Arial"/>
          <w:sz w:val="29"/>
          <w:szCs w:val="29"/>
          <w:color w:val="auto"/>
          <w:vertAlign w:val="superscript"/>
        </w:rPr>
      </w:pPr>
    </w:p>
    <w:p>
      <w:pPr>
        <w:ind w:left="580" w:right="180" w:hanging="572"/>
        <w:spacing w:after="0" w:line="194" w:lineRule="auto"/>
        <w:tabs>
          <w:tab w:leader="none" w:pos="5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Includes, mainly, the effective interest of long-term loans based on their terms and the effect of hedge agreements with knock-out and knock-in features and interest expenses in relation to convertible debentures.</w:t>
      </w:r>
    </w:p>
    <w:p>
      <w:pPr>
        <w:spacing w:after="0" w:line="238" w:lineRule="exact"/>
        <w:rPr>
          <w:rFonts w:ascii="Arial" w:cs="Arial" w:eastAsia="Arial" w:hAnsi="Arial"/>
          <w:sz w:val="29"/>
          <w:szCs w:val="29"/>
          <w:color w:val="auto"/>
          <w:vertAlign w:val="superscript"/>
        </w:rPr>
      </w:pPr>
    </w:p>
    <w:p>
      <w:pPr>
        <w:ind w:left="580" w:right="240" w:hanging="572"/>
        <w:spacing w:after="0" w:line="210" w:lineRule="auto"/>
        <w:tabs>
          <w:tab w:leader="none" w:pos="5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Includes, mainly, the effective capitalized interest of long-term loans based on their terms and the effect of hedge agreements with a knock-out feature, capitalized interest in relation to convertible debentures and deferred financing charges in connection with obtaining long-term bank loans which are comprised mainly of stock-based compensation related to warrants issued to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4278630</wp:posOffset>
            </wp:positionV>
            <wp:extent cx="726757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auto"/>
        </w:rPr>
        <w:t>EXHIBIT 23.3</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Deloitte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Azrielli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67021</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P.O.B. 16593, Tel Aviv 61164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00" w:lineRule="exact"/>
        <w:rPr>
          <w:sz w:val="20"/>
          <w:szCs w:val="20"/>
          <w:color w:val="auto"/>
        </w:rPr>
      </w:pPr>
    </w:p>
    <w:p>
      <w:pPr>
        <w:sectPr>
          <w:pgSz w:w="11900" w:h="16838" w:orient="portrait"/>
          <w:cols w:equalWidth="0" w:num="2">
            <w:col w:w="7280" w:space="720"/>
            <w:col w:w="3420"/>
          </w:cols>
          <w:pgMar w:left="240" w:top="125" w:right="239" w:bottom="1440" w:gutter="0" w:footer="0" w:header="0"/>
          <w:type w:val="continuous"/>
        </w:sectPr>
      </w:pPr>
    </w:p>
    <w:p>
      <w:pPr>
        <w:spacing w:after="0" w:line="19"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Tel: +972 (3) 608 5555</w:t>
      </w:r>
    </w:p>
    <w:p>
      <w:pPr>
        <w:spacing w:after="0" w:line="38"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Fax: +972 (3) 609 4022</w:t>
      </w:r>
    </w:p>
    <w:p>
      <w:pPr>
        <w:spacing w:after="0" w:line="3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info@deloitte.co.il</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www.deloitte.com</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firstLine="395"/>
        <w:spacing w:after="0" w:line="306" w:lineRule="auto"/>
        <w:rPr>
          <w:sz w:val="20"/>
          <w:szCs w:val="20"/>
          <w:color w:val="auto"/>
        </w:rPr>
      </w:pPr>
      <w:r>
        <w:rPr>
          <w:rFonts w:ascii="Arial" w:cs="Arial" w:eastAsia="Arial" w:hAnsi="Arial"/>
          <w:sz w:val="16"/>
          <w:szCs w:val="16"/>
          <w:color w:val="auto"/>
        </w:rPr>
        <w:t>We consent to the incorporation by reference in this Amendment No. 1 to Registration Statement No. 333-148747 on Form F-3 of our report dated February 6, 2008, relating to the financial statements of Tower Semiconductor Ltd. appearing in Form 6-K of Tower Semiconductor Ltd. filed with the commission on February 7, 2008 and to the reference to us under the heading “Experts” in the Prospectus, which is part of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Deloitte Touche Tohmatsu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emdash "/>
      <w:numFmt w:val="bullet"/>
      <w:start w:val="1"/>
    </w:lvl>
  </w:abstractNum>
  <w:abstractNum w:abstractNumId="2">
    <w:nsid w:val="71F32454"/>
    <w:multiLevelType w:val="hybridMultilevel"/>
    <w:lvl w:ilvl="0">
      <w:lvlJc w:val="left"/>
      <w:lvlText w:val="\emdash "/>
      <w:numFmt w:val="bullet"/>
      <w:start w:val="1"/>
    </w:lvl>
  </w:abstractNum>
  <w:abstractNum w:abstractNumId="3">
    <w:nsid w:val="2CA88611"/>
    <w:multiLevelType w:val="hybridMultilevel"/>
    <w:lvl w:ilvl="0">
      <w:lvlJc w:val="left"/>
      <w:lvlText w:val="\emdash "/>
      <w:numFmt w:val="bullet"/>
      <w:start w:val="1"/>
    </w:lvl>
  </w:abstractNum>
  <w:abstractNum w:abstractNumId="4">
    <w:nsid w:val="836C40E"/>
    <w:multiLevelType w:val="hybridMultilevel"/>
    <w:lvl w:ilvl="0">
      <w:lvlJc w:val="left"/>
      <w:lvlText w:val="(%1)"/>
      <w:numFmt w:val="lowerRoman"/>
      <w:start w:val="18"/>
    </w:lvl>
  </w:abstractNum>
  <w:abstractNum w:abstractNumId="5">
    <w:nsid w:val="2901D82"/>
    <w:multiLevelType w:val="hybridMultilevel"/>
    <w:lvl w:ilvl="0">
      <w:lvlJc w:val="left"/>
      <w:lvlText w:val="\emdash "/>
      <w:numFmt w:val="bullet"/>
      <w:start w:val="1"/>
    </w:lvl>
  </w:abstractNum>
  <w:abstractNum w:abstractNumId="6">
    <w:nsid w:val="3A95F874"/>
    <w:multiLevelType w:val="hybridMultilevel"/>
    <w:lvl w:ilvl="0">
      <w:lvlJc w:val="left"/>
      <w:lvlText w:val="\emdash "/>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lowerRoman"/>
      <w:start w:val="1"/>
    </w:lvl>
  </w:abstractNum>
  <w:abstractNum w:abstractNumId="9">
    <w:nsid w:val="7C3DBD3D"/>
    <w:multiLevelType w:val="hybridMultilevel"/>
    <w:lvl w:ilvl="0">
      <w:lvlJc w:val="left"/>
      <w:lvlText w:val="(%1)"/>
      <w:numFmt w:val="lowerRoman"/>
      <w:start w:val="4"/>
    </w:lvl>
  </w:abstractNum>
  <w:abstractNum w:abstractNumId="10">
    <w:nsid w:val="737B8DDC"/>
    <w:multiLevelType w:val="hybridMultilevel"/>
    <w:lvl w:ilvl="0">
      <w:lvlJc w:val="left"/>
      <w:lvlText w:val="\emdash "/>
      <w:numFmt w:val="bullet"/>
      <w:start w:val="1"/>
    </w:lvl>
  </w:abstractNum>
  <w:abstractNum w:abstractNumId="11">
    <w:nsid w:val="6CEAF087"/>
    <w:multiLevelType w:val="hybridMultilevel"/>
    <w:lvl w:ilvl="0">
      <w:lvlJc w:val="left"/>
      <w:lvlText w:val="\emdash "/>
      <w:numFmt w:val="bullet"/>
      <w:start w:val="1"/>
    </w:lvl>
  </w:abstractNum>
  <w:abstractNum w:abstractNumId="12">
    <w:nsid w:val="22221A70"/>
    <w:multiLevelType w:val="hybridMultilevel"/>
    <w:lvl w:ilvl="0">
      <w:lvlJc w:val="left"/>
      <w:lvlText w:val="\emdash "/>
      <w:numFmt w:val="bullet"/>
      <w:start w:val="1"/>
    </w:lvl>
  </w:abstractNum>
  <w:abstractNum w:abstractNumId="13">
    <w:nsid w:val="4516DDE9"/>
    <w:multiLevelType w:val="hybridMultilevel"/>
    <w:lvl w:ilvl="0">
      <w:lvlJc w:val="left"/>
      <w:lvlText w:val="\emdash "/>
      <w:numFmt w:val="bullet"/>
      <w:start w:val="1"/>
    </w:lvl>
  </w:abstractNum>
  <w:abstractNum w:abstractNumId="14">
    <w:nsid w:val="3006C83E"/>
    <w:multiLevelType w:val="hybridMultilevel"/>
    <w:lvl w:ilvl="0">
      <w:lvlJc w:val="left"/>
      <w:lvlText w:val="\emdash "/>
      <w:numFmt w:val="bullet"/>
      <w:start w:val="1"/>
    </w:lvl>
  </w:abstractNum>
  <w:abstractNum w:abstractNumId="15">
    <w:nsid w:val="614FD4A1"/>
    <w:multiLevelType w:val="hybridMultilevel"/>
    <w:lvl w:ilvl="0">
      <w:lvlJc w:val="left"/>
      <w:lvlText w:val="\emdash "/>
      <w:numFmt w:val="bullet"/>
      <w:start w:val="1"/>
    </w:lvl>
  </w:abstractNum>
  <w:abstractNum w:abstractNumId="16">
    <w:nsid w:val="419AC241"/>
    <w:multiLevelType w:val="hybridMultilevel"/>
    <w:lvl w:ilvl="0">
      <w:lvlJc w:val="left"/>
      <w:lvlText w:val="\emdash "/>
      <w:numFmt w:val="bullet"/>
      <w:start w:val="1"/>
    </w:lvl>
  </w:abstractNum>
  <w:abstractNum w:abstractNumId="17">
    <w:nsid w:val="5577F8E1"/>
    <w:multiLevelType w:val="hybridMultilevel"/>
    <w:lvl w:ilvl="0">
      <w:lvlJc w:val="left"/>
      <w:lvlText w:val="\emdash "/>
      <w:numFmt w:val="bullet"/>
      <w:start w:val="1"/>
    </w:lvl>
  </w:abstractNum>
  <w:abstractNum w:abstractNumId="18">
    <w:nsid w:val="440BADFC"/>
    <w:multiLevelType w:val="hybridMultilevel"/>
    <w:lvl w:ilvl="0">
      <w:lvlJc w:val="left"/>
      <w:lvlText w:val="\emdash "/>
      <w:numFmt w:val="bullet"/>
      <w:start w:val="1"/>
    </w:lvl>
  </w:abstractNum>
  <w:abstractNum w:abstractNumId="19">
    <w:nsid w:val="5072367"/>
    <w:multiLevelType w:val="hybridMultilevel"/>
    <w:lvl w:ilvl="0">
      <w:lvlJc w:val="left"/>
      <w:lvlText w:val="\emdash "/>
      <w:numFmt w:val="bullet"/>
      <w:start w:val="1"/>
    </w:lvl>
  </w:abstractNum>
  <w:abstractNum w:abstractNumId="20">
    <w:nsid w:val="3804823E"/>
    <w:multiLevelType w:val="hybridMultilevel"/>
    <w:lvl w:ilvl="0">
      <w:lvlJc w:val="left"/>
      <w:lvlText w:val="\emdash "/>
      <w:numFmt w:val="bullet"/>
      <w:start w:val="1"/>
    </w:lvl>
  </w:abstractNum>
  <w:abstractNum w:abstractNumId="21">
    <w:nsid w:val="77465F01"/>
    <w:multiLevelType w:val="hybridMultilevel"/>
    <w:lvl w:ilvl="0">
      <w:lvlJc w:val="left"/>
      <w:lvlText w:val="\emdash "/>
      <w:numFmt w:val="bullet"/>
      <w:start w:val="1"/>
    </w:lvl>
  </w:abstractNum>
  <w:abstractNum w:abstractNumId="22">
    <w:nsid w:val="7724C67E"/>
    <w:multiLevelType w:val="hybridMultilevel"/>
    <w:lvl w:ilvl="0">
      <w:lvlJc w:val="left"/>
      <w:lvlText w:val="\emdash "/>
      <w:numFmt w:val="bullet"/>
      <w:start w:val="1"/>
    </w:lvl>
  </w:abstractNum>
  <w:abstractNum w:abstractNumId="23">
    <w:nsid w:val="5C482A97"/>
    <w:multiLevelType w:val="hybridMultilevel"/>
    <w:lvl w:ilvl="0">
      <w:lvlJc w:val="left"/>
      <w:lvlText w:val="\emdash "/>
      <w:numFmt w:val="bullet"/>
      <w:start w:val="1"/>
    </w:lvl>
  </w:abstractNum>
  <w:abstractNum w:abstractNumId="24">
    <w:nsid w:val="2463B9EA"/>
    <w:multiLevelType w:val="hybridMultilevel"/>
    <w:lvl w:ilvl="0">
      <w:lvlJc w:val="left"/>
      <w:lvlText w:val="\emdash "/>
      <w:numFmt w:val="bullet"/>
      <w:start w:val="1"/>
    </w:lvl>
  </w:abstractNum>
  <w:abstractNum w:abstractNumId="25">
    <w:nsid w:val="5E884ADC"/>
    <w:multiLevelType w:val="hybridMultilevel"/>
    <w:lvl w:ilvl="0">
      <w:lvlJc w:val="left"/>
      <w:lvlText w:val="\emdash "/>
      <w:numFmt w:val="bullet"/>
      <w:start w:val="1"/>
    </w:lvl>
  </w:abstractNum>
  <w:abstractNum w:abstractNumId="26">
    <w:nsid w:val="51EAD36B"/>
    <w:multiLevelType w:val="hybridMultilevel"/>
    <w:lvl w:ilvl="0">
      <w:lvlJc w:val="left"/>
      <w:lvlText w:val="\emdash "/>
      <w:numFmt w:val="bullet"/>
      <w:start w:val="1"/>
    </w:lvl>
  </w:abstractNum>
  <w:abstractNum w:abstractNumId="27">
    <w:nsid w:val="2D517796"/>
    <w:multiLevelType w:val="hybridMultilevel"/>
    <w:lvl w:ilvl="0">
      <w:lvlJc w:val="left"/>
      <w:lvlText w:val="\emdash "/>
      <w:numFmt w:val="bullet"/>
      <w:start w:val="1"/>
    </w:lvl>
  </w:abstractNum>
  <w:abstractNum w:abstractNumId="28">
    <w:nsid w:val="580BD78F"/>
    <w:multiLevelType w:val="hybridMultilevel"/>
    <w:lvl w:ilvl="0">
      <w:lvlJc w:val="left"/>
      <w:lvlText w:val="%1."/>
      <w:numFmt w:val="decimal"/>
      <w:start w:val="1"/>
    </w:lvl>
    <w:lvl w:ilvl="1">
      <w:lvlJc w:val="left"/>
      <w:lvlText w:val="(%2)"/>
      <w:numFmt w:val="lowerLetter"/>
      <w:start w:val="1"/>
    </w:lvl>
  </w:abstractNum>
  <w:abstractNum w:abstractNumId="29">
    <w:nsid w:val="153EA438"/>
    <w:multiLevelType w:val="hybridMultilevel"/>
    <w:lvl w:ilvl="0">
      <w:lvlJc w:val="left"/>
      <w:lvlText w:val="%1."/>
      <w:numFmt w:val="lowerRoman"/>
      <w:start w:val="1"/>
    </w:lvl>
  </w:abstractNum>
  <w:abstractNum w:abstractNumId="30">
    <w:nsid w:val="3855585C"/>
    <w:multiLevelType w:val="hybridMultilevel"/>
    <w:lvl w:ilvl="0">
      <w:lvlJc w:val="left"/>
      <w:lvlText w:val="\emdash "/>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3">
    <w:nsid w:val="2A487CB0"/>
    <w:multiLevelType w:val="hybridMultilevel"/>
    <w:lvl w:ilvl="0">
      <w:lvlJc w:val="left"/>
      <w:lvlText w:val="(%1)"/>
      <w:numFmt w:val="lowerRoman"/>
      <w:start w:val="2"/>
    </w:lvl>
  </w:abstractNum>
  <w:abstractNum w:abstractNumId="34">
    <w:nsid w:val="1D4ED43B"/>
    <w:multiLevelType w:val="hybridMultilevel"/>
    <w:lvl w:ilvl="0">
      <w:lvlJc w:val="left"/>
      <w:lvlText w:val="(%1)"/>
      <w:numFmt w:val="decimal"/>
      <w:start w:val="2"/>
    </w:lvl>
    <w:lvl w:ilvl="1">
      <w:lvlJc w:val="left"/>
      <w:lvlText w:val="(%2)"/>
      <w:numFmt w:val="lowerRoman"/>
      <w:start w:val="1"/>
    </w:lvl>
  </w:abstractNum>
  <w:abstractNum w:abstractNumId="35">
    <w:nsid w:val="725A06FB"/>
    <w:multiLevelType w:val="hybridMultilevel"/>
    <w:lvl w:ilvl="0">
      <w:lvlJc w:val="left"/>
      <w:lvlText w:val="(%1)"/>
      <w:numFmt w:val="upperLetter"/>
      <w:start w:val="1"/>
    </w:lvl>
  </w:abstractNum>
  <w:abstractNum w:abstractNumId="36">
    <w:nsid w:val="2CD89A3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37">
    <w:nsid w:val="57E4CCAF"/>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8">
    <w:nsid w:val="7A6D8D3C"/>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39">
    <w:nsid w:val="4B588F5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0">
    <w:nsid w:val="542289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4"/>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4"/>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4"/>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4"/>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2019-12-14T03:27:22Z</dcterms:created>
  <dcterms:modified xsi:type="dcterms:W3CDTF">2019-12-14T03:27:22Z</dcterms:modified>
</cp:coreProperties>
</file>