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154940</wp:posOffset>
            </wp:positionH>
            <wp:positionV relativeFrom="page">
              <wp:posOffset>154940</wp:posOffset>
            </wp:positionV>
            <wp:extent cx="725233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33020"/>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269875</wp:posOffset>
            </wp:positionV>
            <wp:extent cx="7252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8255"/>
                    </a:xfrm>
                    <a:prstGeom prst="rect">
                      <a:avLst/>
                    </a:prstGeom>
                    <a:noFill/>
                  </pic:spPr>
                </pic:pic>
              </a:graphicData>
            </a:graphic>
          </wp:anchor>
        </w:drawing>
        <w:t>FORM 6-K</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Washington, D.C. 20549</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For the month of July 2019 No.5</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TOWER SEMICONDUCTOR LTD.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(Translation of registrant's name into English)</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Ramat Gavriel Industrial Park</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P.O. Box 619, Migdal Haemek, Israel 2310502</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(Address of principal executive offices)</w:t>
      </w:r>
    </w:p>
    <w:p>
      <w:pPr>
        <w:spacing w:after="0" w:line="272" w:lineRule="exact"/>
        <w:rPr>
          <w:sz w:val="24"/>
          <w:szCs w:val="24"/>
          <w:color w:val="auto"/>
        </w:rPr>
      </w:pPr>
    </w:p>
    <w:p>
      <w:pPr>
        <w:ind w:left="62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39" w:lineRule="exact"/>
        <w:rPr>
          <w:sz w:val="24"/>
          <w:szCs w:val="24"/>
          <w:color w:val="auto"/>
        </w:rPr>
      </w:pPr>
    </w:p>
    <w:p>
      <w:pPr>
        <w:jc w:val="center"/>
        <w:ind w:right="-19"/>
        <w:spacing w:after="0" w:line="242" w:lineRule="exact"/>
        <w:tabs>
          <w:tab w:leader="none" w:pos="240" w:val="left"/>
        </w:tabs>
        <w:rPr>
          <w:sz w:val="20"/>
          <w:szCs w:val="20"/>
          <w:color w:val="auto"/>
        </w:rPr>
      </w:pPr>
      <w:r>
        <w:rPr>
          <w:rFonts w:ascii="Arial" w:cs="Arial" w:eastAsia="Arial" w:hAnsi="Arial"/>
          <w:sz w:val="21"/>
          <w:szCs w:val="21"/>
          <w:color w:val="auto"/>
        </w:rPr>
        <w:t xml:space="preserve">Form 20-F </w:t>
      </w:r>
      <w:r>
        <w:rPr>
          <w:rFonts w:ascii="MS PGothic" w:cs="MS PGothic" w:eastAsia="MS PGothic" w:hAnsi="MS PGothic"/>
          <w:sz w:val="21"/>
          <w:szCs w:val="21"/>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15" w:lineRule="exact"/>
        <w:rPr>
          <w:sz w:val="24"/>
          <w:szCs w:val="24"/>
          <w:color w:val="auto"/>
        </w:rPr>
      </w:pPr>
    </w:p>
    <w:p>
      <w:pPr>
        <w:ind w:left="62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 ____</w:t>
      </w:r>
    </w:p>
    <w:p>
      <w:pPr>
        <w:spacing w:after="0" w:line="300" w:lineRule="exact"/>
        <w:rPr>
          <w:sz w:val="24"/>
          <w:szCs w:val="24"/>
          <w:color w:val="auto"/>
        </w:rPr>
      </w:pPr>
    </w:p>
    <w:p>
      <w:pPr>
        <w:ind w:left="62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 ____</w:t>
      </w:r>
    </w:p>
    <w:p>
      <w:pPr>
        <w:spacing w:after="0" w:line="300" w:lineRule="exact"/>
        <w:rPr>
          <w:sz w:val="24"/>
          <w:szCs w:val="24"/>
          <w:color w:val="auto"/>
        </w:rPr>
      </w:pPr>
    </w:p>
    <w:p>
      <w:pPr>
        <w:ind w:firstLine="613"/>
        <w:spacing w:after="0" w:line="280"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7" w:lineRule="exact"/>
        <w:rPr>
          <w:sz w:val="24"/>
          <w:szCs w:val="24"/>
          <w:color w:val="auto"/>
        </w:rPr>
      </w:pPr>
    </w:p>
    <w:p>
      <w:pPr>
        <w:jc w:val="center"/>
        <w:spacing w:after="0" w:line="242" w:lineRule="exact"/>
        <w:tabs>
          <w:tab w:leader="none" w:pos="300" w:val="left"/>
        </w:tabs>
        <w:rPr>
          <w:sz w:val="20"/>
          <w:szCs w:val="20"/>
          <w:color w:val="auto"/>
        </w:rPr>
      </w:pPr>
      <w:r>
        <w:rPr>
          <w:rFonts w:ascii="Arial" w:cs="Arial" w:eastAsia="Arial" w:hAnsi="Arial"/>
          <w:sz w:val="21"/>
          <w:szCs w:val="21"/>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5233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sectPr>
      </w:pPr>
    </w:p>
    <w:bookmarkStart w:id="1" w:name="page2"/>
    <w:bookmarkEnd w:id="1"/>
    <w:p>
      <w:pPr>
        <w:ind w:firstLine="613"/>
        <w:spacing w:after="0" w:line="280" w:lineRule="auto"/>
        <w:rPr>
          <w:sz w:val="20"/>
          <w:szCs w:val="20"/>
          <w:color w:val="auto"/>
        </w:rPr>
      </w:pPr>
      <w:r>
        <w:rPr>
          <w:rFonts w:ascii="Arial" w:cs="Arial" w:eastAsia="Arial" w:hAnsi="Arial"/>
          <w:sz w:val="21"/>
          <w:szCs w:val="21"/>
          <w:color w:val="auto"/>
        </w:rPr>
        <w:t>On July 30, 2019, the Registrant issued unaudited condensed interim consolidated financial statements as of June 30, 2019, and for the six and three month’s periods then ended. Attached hereto are the following 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20" w:type="dxa"/>
            <w:vAlign w:val="bottom"/>
            <w:gridSpan w:val="2"/>
          </w:tcPr>
          <w:p>
            <w:pPr>
              <w:spacing w:after="0"/>
              <w:rPr>
                <w:sz w:val="20"/>
                <w:szCs w:val="20"/>
                <w:color w:val="auto"/>
              </w:rPr>
            </w:pPr>
            <w:r>
              <w:rPr>
                <w:rFonts w:ascii="Arial" w:cs="Arial" w:eastAsia="Arial" w:hAnsi="Arial"/>
                <w:sz w:val="17"/>
                <w:szCs w:val="17"/>
                <w:color w:val="0000EE"/>
              </w:rPr>
              <w:t>Exhibit 99.1</w:t>
            </w:r>
          </w:p>
        </w:tc>
        <w:tc>
          <w:tcPr>
            <w:tcW w:w="9700" w:type="dxa"/>
            <w:vAlign w:val="bottom"/>
            <w:gridSpan w:val="3"/>
          </w:tcPr>
          <w:p>
            <w:pPr>
              <w:spacing w:after="0"/>
              <w:rPr>
                <w:sz w:val="20"/>
                <w:szCs w:val="20"/>
                <w:color w:val="auto"/>
              </w:rPr>
            </w:pPr>
            <w:r>
              <w:rPr>
                <w:rFonts w:ascii="Arial" w:cs="Arial" w:eastAsia="Arial" w:hAnsi="Arial"/>
                <w:sz w:val="17"/>
                <w:szCs w:val="17"/>
                <w:color w:val="0000EE"/>
                <w:w w:val="93"/>
              </w:rPr>
              <w:t>Registrant’s unaudited condensed interim consolidated financial statements as of June 30, 2019 and for the six and three months periods</w:t>
            </w:r>
          </w:p>
        </w:tc>
      </w:tr>
      <w:tr>
        <w:trPr>
          <w:trHeight w:val="187"/>
        </w:trPr>
        <w:tc>
          <w:tcPr>
            <w:tcW w:w="86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9700" w:type="dxa"/>
            <w:vAlign w:val="bottom"/>
            <w:tcBorders>
              <w:top w:val="single" w:sz="8" w:color="0000EE"/>
            </w:tcBorders>
            <w:gridSpan w:val="3"/>
          </w:tcPr>
          <w:p>
            <w:pPr>
              <w:spacing w:after="0" w:line="188" w:lineRule="exact"/>
              <w:rPr>
                <w:sz w:val="20"/>
                <w:szCs w:val="20"/>
                <w:color w:val="auto"/>
              </w:rPr>
            </w:pPr>
            <w:r>
              <w:rPr>
                <w:rFonts w:ascii="Arial" w:cs="Arial" w:eastAsia="Arial" w:hAnsi="Arial"/>
                <w:sz w:val="17"/>
                <w:szCs w:val="17"/>
                <w:color w:val="0000EE"/>
              </w:rPr>
              <w:t>then ended</w:t>
            </w:r>
          </w:p>
        </w:tc>
      </w:tr>
      <w:tr>
        <w:trPr>
          <w:trHeight w:val="20"/>
        </w:trPr>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87"/>
        </w:trPr>
        <w:tc>
          <w:tcPr>
            <w:tcW w:w="860" w:type="dxa"/>
            <w:vAlign w:val="bottom"/>
          </w:tcPr>
          <w:p>
            <w:pPr>
              <w:spacing w:after="0" w:line="188" w:lineRule="exact"/>
              <w:rPr>
                <w:sz w:val="20"/>
                <w:szCs w:val="20"/>
                <w:color w:val="auto"/>
              </w:rPr>
            </w:pPr>
            <w:r>
              <w:rPr>
                <w:rFonts w:ascii="Arial" w:cs="Arial" w:eastAsia="Arial" w:hAnsi="Arial"/>
                <w:sz w:val="17"/>
                <w:szCs w:val="17"/>
                <w:color w:val="0000EE"/>
                <w:w w:val="94"/>
              </w:rPr>
              <w:t>Exhibit 99.2</w:t>
            </w:r>
          </w:p>
        </w:tc>
        <w:tc>
          <w:tcPr>
            <w:tcW w:w="860" w:type="dxa"/>
            <w:vAlign w:val="bottom"/>
          </w:tcPr>
          <w:p>
            <w:pPr>
              <w:spacing w:after="0"/>
              <w:rPr>
                <w:sz w:val="16"/>
                <w:szCs w:val="16"/>
                <w:color w:val="auto"/>
              </w:rPr>
            </w:pPr>
          </w:p>
        </w:tc>
        <w:tc>
          <w:tcPr>
            <w:tcW w:w="9700" w:type="dxa"/>
            <w:vAlign w:val="bottom"/>
            <w:gridSpan w:val="3"/>
          </w:tcPr>
          <w:p>
            <w:pPr>
              <w:spacing w:after="0" w:line="188" w:lineRule="exact"/>
              <w:rPr>
                <w:sz w:val="20"/>
                <w:szCs w:val="20"/>
                <w:color w:val="auto"/>
              </w:rPr>
            </w:pPr>
            <w:r>
              <w:rPr>
                <w:rFonts w:ascii="Arial" w:cs="Arial" w:eastAsia="Arial" w:hAnsi="Arial"/>
                <w:sz w:val="17"/>
                <w:szCs w:val="17"/>
                <w:color w:val="0000EE"/>
              </w:rPr>
              <w:t>Management’s Discussion and Analysis of Financial Condition and Results of Operations</w:t>
            </w:r>
          </w:p>
        </w:tc>
      </w:tr>
      <w:tr>
        <w:trPr>
          <w:trHeight w:val="20"/>
        </w:trPr>
        <w:tc>
          <w:tcPr>
            <w:tcW w:w="8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40" w:type="dxa"/>
            <w:vAlign w:val="bottom"/>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277" w:lineRule="exact"/>
        <w:rPr>
          <w:sz w:val="20"/>
          <w:szCs w:val="20"/>
          <w:color w:val="auto"/>
        </w:rPr>
      </w:pPr>
    </w:p>
    <w:p>
      <w:pPr>
        <w:ind w:right="400" w:firstLine="48"/>
        <w:spacing w:after="0" w:line="280" w:lineRule="auto"/>
        <w:rPr>
          <w:sz w:val="20"/>
          <w:szCs w:val="20"/>
          <w:color w:val="auto"/>
        </w:rPr>
      </w:pPr>
      <w:r>
        <w:rPr>
          <w:rFonts w:ascii="Arial" w:cs="Arial" w:eastAsia="Arial" w:hAnsi="Arial"/>
          <w:sz w:val="21"/>
          <w:szCs w:val="21"/>
          <w:color w:val="auto"/>
        </w:rPr>
        <w:t>This Form 6-K, including all exhibits hereto, is hereby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83820</wp:posOffset>
            </wp:positionV>
            <wp:extent cx="725233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SIGNATURES</w:t>
      </w:r>
    </w:p>
    <w:p>
      <w:pPr>
        <w:spacing w:after="0" w:line="283" w:lineRule="exact"/>
        <w:rPr>
          <w:sz w:val="20"/>
          <w:szCs w:val="20"/>
          <w:color w:val="auto"/>
        </w:rPr>
      </w:pPr>
    </w:p>
    <w:p>
      <w:pPr>
        <w:ind w:right="100" w:firstLine="613"/>
        <w:spacing w:after="0" w:line="280"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80" w:type="dxa"/>
            <w:vAlign w:val="bottom"/>
          </w:tcPr>
          <w:p>
            <w:pPr>
              <w:spacing w:after="0"/>
              <w:rPr>
                <w:sz w:val="19"/>
                <w:szCs w:val="19"/>
                <w:color w:val="auto"/>
              </w:rPr>
            </w:pPr>
          </w:p>
        </w:tc>
        <w:tc>
          <w:tcPr>
            <w:tcW w:w="7840" w:type="dxa"/>
            <w:vAlign w:val="bottom"/>
            <w:gridSpan w:val="3"/>
          </w:tcPr>
          <w:p>
            <w:pPr>
              <w:ind w:left="2140"/>
              <w:spacing w:after="0"/>
              <w:rPr>
                <w:sz w:val="20"/>
                <w:szCs w:val="20"/>
                <w:color w:val="auto"/>
              </w:rPr>
            </w:pPr>
            <w:r>
              <w:rPr>
                <w:rFonts w:ascii="Arial" w:cs="Arial" w:eastAsia="Arial" w:hAnsi="Arial"/>
                <w:sz w:val="17"/>
                <w:szCs w:val="17"/>
                <w:b w:val="1"/>
                <w:bCs w:val="1"/>
                <w:color w:val="auto"/>
              </w:rPr>
              <w:t>TOWER SEMICONDUCTOR LTD.</w:t>
            </w:r>
          </w:p>
        </w:tc>
      </w:tr>
      <w:tr>
        <w:trPr>
          <w:trHeight w:val="376"/>
        </w:trPr>
        <w:tc>
          <w:tcPr>
            <w:tcW w:w="3580" w:type="dxa"/>
            <w:vAlign w:val="bottom"/>
          </w:tcPr>
          <w:p>
            <w:pPr>
              <w:spacing w:after="0"/>
              <w:rPr>
                <w:sz w:val="20"/>
                <w:szCs w:val="20"/>
                <w:color w:val="auto"/>
              </w:rPr>
            </w:pPr>
            <w:r>
              <w:rPr>
                <w:rFonts w:ascii="Arial" w:cs="Arial" w:eastAsia="Arial" w:hAnsi="Arial"/>
                <w:sz w:val="21"/>
                <w:szCs w:val="21"/>
                <w:color w:val="auto"/>
              </w:rPr>
              <w:t xml:space="preserve">Date: </w:t>
            </w:r>
            <w:r>
              <w:rPr>
                <w:rFonts w:ascii="Arial" w:cs="Arial" w:eastAsia="Arial" w:hAnsi="Arial"/>
                <w:sz w:val="17"/>
                <w:szCs w:val="17"/>
                <w:color w:val="auto"/>
              </w:rPr>
              <w:t>July 30, 2019</w:t>
            </w:r>
          </w:p>
        </w:tc>
        <w:tc>
          <w:tcPr>
            <w:tcW w:w="7840" w:type="dxa"/>
            <w:vAlign w:val="bottom"/>
            <w:gridSpan w:val="3"/>
          </w:tcPr>
          <w:p>
            <w:pPr>
              <w:ind w:left="2140"/>
              <w:spacing w:after="0"/>
              <w:rPr>
                <w:sz w:val="20"/>
                <w:szCs w:val="20"/>
                <w:color w:val="auto"/>
              </w:rPr>
            </w:pPr>
            <w:r>
              <w:rPr>
                <w:rFonts w:ascii="Arial" w:cs="Arial" w:eastAsia="Arial" w:hAnsi="Arial"/>
                <w:sz w:val="17"/>
                <w:szCs w:val="17"/>
                <w:color w:val="auto"/>
              </w:rPr>
              <w:t>By:  /s/ Nati Somekh</w:t>
            </w:r>
          </w:p>
        </w:tc>
      </w:tr>
      <w:tr>
        <w:trPr>
          <w:trHeight w:val="20"/>
        </w:trPr>
        <w:tc>
          <w:tcPr>
            <w:tcW w:w="3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14"/>
        </w:trPr>
        <w:tc>
          <w:tcPr>
            <w:tcW w:w="3580" w:type="dxa"/>
            <w:vAlign w:val="bottom"/>
          </w:tcPr>
          <w:p>
            <w:pPr>
              <w:spacing w:after="0"/>
              <w:rPr>
                <w:sz w:val="18"/>
                <w:szCs w:val="18"/>
                <w:color w:val="auto"/>
              </w:rPr>
            </w:pPr>
          </w:p>
        </w:tc>
        <w:tc>
          <w:tcPr>
            <w:tcW w:w="7840" w:type="dxa"/>
            <w:vAlign w:val="bottom"/>
            <w:gridSpan w:val="3"/>
          </w:tcPr>
          <w:p>
            <w:pPr>
              <w:ind w:left="2500"/>
              <w:spacing w:after="0"/>
              <w:rPr>
                <w:sz w:val="20"/>
                <w:szCs w:val="20"/>
                <w:color w:val="auto"/>
              </w:rPr>
            </w:pPr>
            <w:r>
              <w:rPr>
                <w:rFonts w:ascii="Arial" w:cs="Arial" w:eastAsia="Arial" w:hAnsi="Arial"/>
                <w:sz w:val="17"/>
                <w:szCs w:val="17"/>
                <w:color w:val="auto"/>
              </w:rPr>
              <w:t>Name: Nati Somekh</w:t>
            </w:r>
          </w:p>
        </w:tc>
      </w:tr>
      <w:tr>
        <w:trPr>
          <w:trHeight w:val="220"/>
        </w:trPr>
        <w:tc>
          <w:tcPr>
            <w:tcW w:w="3580" w:type="dxa"/>
            <w:vAlign w:val="bottom"/>
          </w:tcPr>
          <w:p>
            <w:pPr>
              <w:spacing w:after="0"/>
              <w:rPr>
                <w:sz w:val="19"/>
                <w:szCs w:val="19"/>
                <w:color w:val="auto"/>
              </w:rPr>
            </w:pPr>
          </w:p>
        </w:tc>
        <w:tc>
          <w:tcPr>
            <w:tcW w:w="7840" w:type="dxa"/>
            <w:vAlign w:val="bottom"/>
            <w:gridSpan w:val="3"/>
          </w:tcPr>
          <w:p>
            <w:pPr>
              <w:ind w:left="2500"/>
              <w:spacing w:after="0"/>
              <w:rPr>
                <w:sz w:val="20"/>
                <w:szCs w:val="20"/>
                <w:color w:val="auto"/>
              </w:rPr>
            </w:pPr>
            <w:r>
              <w:rPr>
                <w:rFonts w:ascii="Arial" w:cs="Arial" w:eastAsia="Arial" w:hAnsi="Arial"/>
                <w:sz w:val="17"/>
                <w:szCs w:val="17"/>
                <w:color w:val="auto"/>
              </w:rPr>
              <w:t>Title: Corporate Secretary</w:t>
            </w:r>
          </w:p>
        </w:tc>
      </w:tr>
      <w:tr>
        <w:trPr>
          <w:trHeight w:val="363"/>
        </w:trPr>
        <w:tc>
          <w:tcPr>
            <w:tcW w:w="35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r>
        <w:trPr>
          <w:trHeight w:val="154"/>
        </w:trPr>
        <w:tc>
          <w:tcPr>
            <w:tcW w:w="35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200" w:type="dxa"/>
            <w:vAlign w:val="bottom"/>
            <w:tcBorders>
              <w:bottom w:val="single" w:sz="8" w:color="auto"/>
            </w:tcBorders>
          </w:tcPr>
          <w:p>
            <w:pPr>
              <w:spacing w:after="0"/>
              <w:rPr>
                <w:sz w:val="13"/>
                <w:szCs w:val="13"/>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u w:val="single" w:color="auto"/>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52335"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2335" cy="33020"/>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203835</wp:posOffset>
            </wp:positionV>
            <wp:extent cx="7252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8255"/>
                    </a:xfrm>
                    <a:prstGeom prst="rect">
                      <a:avLst/>
                    </a:prstGeom>
                    <a:noFill/>
                  </pic:spPr>
                </pic:pic>
              </a:graphicData>
            </a:graphic>
          </wp:anchor>
        </w:drawing>
        <w:t>Exhibit 99.1</w:t>
      </w:r>
    </w:p>
    <w:p>
      <w:pPr>
        <w:spacing w:after="0" w:line="277" w:lineRule="exact"/>
        <w:rPr>
          <w:sz w:val="20"/>
          <w:szCs w:val="20"/>
          <w:color w:val="auto"/>
        </w:rPr>
      </w:pPr>
    </w:p>
    <w:p>
      <w:pPr>
        <w:jc w:val="center"/>
        <w:ind w:right="1160"/>
        <w:spacing w:after="0"/>
        <w:rPr>
          <w:sz w:val="20"/>
          <w:szCs w:val="20"/>
          <w:color w:val="auto"/>
        </w:rPr>
      </w:pPr>
      <w:r>
        <w:rPr>
          <w:rFonts w:ascii="Arial" w:cs="Arial" w:eastAsia="Arial" w:hAnsi="Arial"/>
          <w:sz w:val="21"/>
          <w:szCs w:val="21"/>
          <w:b w:val="1"/>
          <w:bCs w:val="1"/>
          <w:color w:val="auto"/>
        </w:rPr>
        <w:t>TOWER SEMICONDUCTOR LTD.</w:t>
      </w:r>
    </w:p>
    <w:p>
      <w:pPr>
        <w:spacing w:after="0" w:line="29" w:lineRule="exact"/>
        <w:rPr>
          <w:sz w:val="20"/>
          <w:szCs w:val="20"/>
          <w:color w:val="auto"/>
        </w:rPr>
      </w:pPr>
    </w:p>
    <w:p>
      <w:pPr>
        <w:jc w:val="center"/>
        <w:ind w:right="1160"/>
        <w:spacing w:after="0"/>
        <w:rPr>
          <w:sz w:val="20"/>
          <w:szCs w:val="20"/>
          <w:color w:val="auto"/>
        </w:rPr>
      </w:pPr>
      <w:r>
        <w:rPr>
          <w:rFonts w:ascii="Arial" w:cs="Arial" w:eastAsia="Arial" w:hAnsi="Arial"/>
          <w:sz w:val="21"/>
          <w:szCs w:val="21"/>
          <w:b w:val="1"/>
          <w:bCs w:val="1"/>
          <w:color w:val="auto"/>
        </w:rPr>
        <w:t>AND SUBSIDIARIES</w:t>
      </w:r>
    </w:p>
    <w:p>
      <w:pPr>
        <w:spacing w:after="0" w:line="1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UNAUDITED CONDENSED INTERIM</w:t>
      </w:r>
    </w:p>
    <w:p>
      <w:pPr>
        <w:spacing w:after="0" w:line="1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CONSOLIDATED FINANCIAL STATEMENTS</w:t>
      </w:r>
    </w:p>
    <w:p>
      <w:pPr>
        <w:spacing w:after="0" w:line="29"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284480</wp:posOffset>
            </wp:positionV>
            <wp:extent cx="725233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0220"/>
          </w:cols>
          <w:pgMar w:left="1440" w:top="42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1"/>
          <w:szCs w:val="21"/>
          <w:b w:val="1"/>
          <w:bCs w:val="1"/>
          <w:color w:val="auto"/>
        </w:rPr>
        <w:t>TOWER SEMICONDUCTOR LTD. AND SUBSIDIARIES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INDEX TO UNAUDITED CONDENSED INTERIM</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OF JUNE 30,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5"/>
              </w:rPr>
              <w:t>Page</w:t>
            </w:r>
          </w:p>
        </w:tc>
      </w:tr>
      <w:tr>
        <w:trPr>
          <w:trHeight w:val="376"/>
        </w:trPr>
        <w:tc>
          <w:tcPr>
            <w:tcW w:w="1500" w:type="dxa"/>
            <w:vAlign w:val="bottom"/>
            <w:tcBorders>
              <w:bottom w:val="single" w:sz="8" w:color="0000EE"/>
            </w:tcBorders>
          </w:tcPr>
          <w:p>
            <w:pPr>
              <w:spacing w:after="0"/>
              <w:rPr>
                <w:rFonts w:ascii="Arial" w:cs="Arial" w:eastAsia="Arial" w:hAnsi="Arial"/>
                <w:sz w:val="17"/>
                <w:szCs w:val="17"/>
                <w:color w:val="0000EE"/>
                <w:w w:val="97"/>
              </w:rPr>
            </w:pPr>
            <w:hyperlink w:anchor="page6">
              <w:r>
                <w:rPr>
                  <w:rFonts w:ascii="Arial" w:cs="Arial" w:eastAsia="Arial" w:hAnsi="Arial"/>
                  <w:sz w:val="17"/>
                  <w:szCs w:val="17"/>
                  <w:color w:val="0000EE"/>
                  <w:w w:val="97"/>
                </w:rPr>
                <w:t>BALANCE SHEETS</w:t>
              </w:r>
            </w:hyperlink>
          </w:p>
        </w:tc>
        <w:tc>
          <w:tcPr>
            <w:tcW w:w="7940" w:type="dxa"/>
            <w:vAlign w:val="bottom"/>
            <w:gridSpan w:val="6"/>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w w:val="97"/>
              </w:rPr>
              <w:t>F - 2</w:t>
            </w:r>
          </w:p>
        </w:tc>
      </w:tr>
      <w:tr>
        <w:trPr>
          <w:trHeight w:val="395"/>
        </w:trPr>
        <w:tc>
          <w:tcPr>
            <w:tcW w:w="2460" w:type="dxa"/>
            <w:vAlign w:val="bottom"/>
            <w:tcBorders>
              <w:bottom w:val="single" w:sz="8" w:color="0000EE"/>
            </w:tcBorders>
            <w:gridSpan w:val="2"/>
          </w:tcPr>
          <w:p>
            <w:pPr>
              <w:spacing w:after="0"/>
              <w:rPr>
                <w:rFonts w:ascii="Arial" w:cs="Arial" w:eastAsia="Arial" w:hAnsi="Arial"/>
                <w:sz w:val="17"/>
                <w:szCs w:val="17"/>
                <w:color w:val="0000EE"/>
                <w:w w:val="94"/>
              </w:rPr>
            </w:pPr>
            <w:hyperlink w:anchor="page7">
              <w:r>
                <w:rPr>
                  <w:rFonts w:ascii="Arial" w:cs="Arial" w:eastAsia="Arial" w:hAnsi="Arial"/>
                  <w:sz w:val="17"/>
                  <w:szCs w:val="17"/>
                  <w:color w:val="0000EE"/>
                  <w:w w:val="94"/>
                </w:rPr>
                <w:t>STATEMENTS OF OPERATIONS</w:t>
              </w:r>
            </w:hyperlink>
          </w:p>
        </w:tc>
        <w:tc>
          <w:tcPr>
            <w:tcW w:w="6980" w:type="dxa"/>
            <w:vAlign w:val="bottom"/>
            <w:gridSpan w:val="5"/>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w w:val="97"/>
              </w:rPr>
              <w:t>F - 3</w:t>
            </w:r>
          </w:p>
        </w:tc>
      </w:tr>
      <w:tr>
        <w:trPr>
          <w:trHeight w:val="395"/>
        </w:trPr>
        <w:tc>
          <w:tcPr>
            <w:tcW w:w="3580" w:type="dxa"/>
            <w:vAlign w:val="bottom"/>
            <w:tcBorders>
              <w:bottom w:val="single" w:sz="8" w:color="0000EE"/>
            </w:tcBorders>
            <w:gridSpan w:val="5"/>
          </w:tcPr>
          <w:p>
            <w:pPr>
              <w:spacing w:after="0"/>
              <w:rPr>
                <w:rFonts w:ascii="Arial" w:cs="Arial" w:eastAsia="Arial" w:hAnsi="Arial"/>
                <w:sz w:val="17"/>
                <w:szCs w:val="17"/>
                <w:color w:val="0000EE"/>
                <w:w w:val="96"/>
              </w:rPr>
            </w:pPr>
            <w:hyperlink w:anchor="page8">
              <w:r>
                <w:rPr>
                  <w:rFonts w:ascii="Arial" w:cs="Arial" w:eastAsia="Arial" w:hAnsi="Arial"/>
                  <w:sz w:val="17"/>
                  <w:szCs w:val="17"/>
                  <w:color w:val="0000EE"/>
                  <w:w w:val="96"/>
                </w:rPr>
                <w:t>STATEMENTS OF COMPREHENSIVE INCOME</w:t>
              </w:r>
            </w:hyperlink>
          </w:p>
        </w:tc>
        <w:tc>
          <w:tcPr>
            <w:tcW w:w="5860" w:type="dxa"/>
            <w:vAlign w:val="bottom"/>
            <w:gridSpan w:val="2"/>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w w:val="97"/>
              </w:rPr>
              <w:t>F - 4</w:t>
            </w:r>
          </w:p>
        </w:tc>
      </w:tr>
      <w:tr>
        <w:trPr>
          <w:trHeight w:val="395"/>
        </w:trPr>
        <w:tc>
          <w:tcPr>
            <w:tcW w:w="9440" w:type="dxa"/>
            <w:vAlign w:val="bottom"/>
            <w:gridSpan w:val="7"/>
          </w:tcPr>
          <w:p>
            <w:pPr>
              <w:spacing w:after="0"/>
              <w:rPr>
                <w:rFonts w:ascii="Arial" w:cs="Arial" w:eastAsia="Arial" w:hAnsi="Arial"/>
                <w:sz w:val="17"/>
                <w:szCs w:val="17"/>
                <w:color w:val="0000EE"/>
              </w:rPr>
            </w:pPr>
            <w:hyperlink w:anchor="page9">
              <w:r>
                <w:rPr>
                  <w:rFonts w:ascii="Arial" w:cs="Arial" w:eastAsia="Arial" w:hAnsi="Arial"/>
                  <w:sz w:val="17"/>
                  <w:szCs w:val="17"/>
                  <w:color w:val="0000EE"/>
                </w:rPr>
                <w:t>STATEMENT OF CHANGES IN SHAREHOLDERS' EQUITY</w:t>
              </w:r>
            </w:hyperlink>
          </w:p>
        </w:tc>
        <w:tc>
          <w:tcPr>
            <w:tcW w:w="1980" w:type="dxa"/>
            <w:vAlign w:val="bottom"/>
          </w:tcPr>
          <w:p>
            <w:pPr>
              <w:jc w:val="center"/>
              <w:spacing w:after="0"/>
              <w:rPr>
                <w:sz w:val="20"/>
                <w:szCs w:val="20"/>
                <w:color w:val="auto"/>
              </w:rPr>
            </w:pPr>
            <w:r>
              <w:rPr>
                <w:rFonts w:ascii="Arial" w:cs="Arial" w:eastAsia="Arial" w:hAnsi="Arial"/>
                <w:sz w:val="17"/>
                <w:szCs w:val="17"/>
                <w:color w:val="auto"/>
                <w:w w:val="97"/>
              </w:rPr>
              <w:t>F - 5</w:t>
            </w:r>
          </w:p>
        </w:tc>
      </w:tr>
      <w:tr>
        <w:trPr>
          <w:trHeight w:val="395"/>
        </w:trPr>
        <w:tc>
          <w:tcPr>
            <w:tcW w:w="250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95"/>
              </w:rPr>
            </w:pPr>
            <w:hyperlink w:anchor="page10">
              <w:r>
                <w:rPr>
                  <w:rFonts w:ascii="Arial" w:cs="Arial" w:eastAsia="Arial" w:hAnsi="Arial"/>
                  <w:sz w:val="17"/>
                  <w:szCs w:val="17"/>
                  <w:color w:val="0000EE"/>
                  <w:w w:val="95"/>
                </w:rPr>
                <w:t>STATEMENTS OF CASH FLOWS</w:t>
              </w:r>
            </w:hyperlink>
          </w:p>
        </w:tc>
        <w:tc>
          <w:tcPr>
            <w:tcW w:w="1960" w:type="dxa"/>
            <w:vAlign w:val="bottom"/>
            <w:tcBorders>
              <w:top w:val="single" w:sz="8" w:color="0000EE"/>
            </w:tcBorders>
            <w:gridSpan w:val="3"/>
          </w:tcPr>
          <w:p>
            <w:pPr>
              <w:spacing w:after="0"/>
              <w:rPr>
                <w:sz w:val="24"/>
                <w:szCs w:val="24"/>
                <w:color w:val="auto"/>
              </w:rPr>
            </w:pPr>
          </w:p>
        </w:tc>
        <w:tc>
          <w:tcPr>
            <w:tcW w:w="49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w w:val="94"/>
              </w:rPr>
              <w:t>F - 6 - F - 7</w:t>
            </w:r>
          </w:p>
        </w:tc>
      </w:tr>
      <w:tr>
        <w:trPr>
          <w:trHeight w:val="395"/>
        </w:trPr>
        <w:tc>
          <w:tcPr>
            <w:tcW w:w="9440" w:type="dxa"/>
            <w:vAlign w:val="bottom"/>
            <w:gridSpan w:val="7"/>
          </w:tcPr>
          <w:p>
            <w:pPr>
              <w:spacing w:after="0"/>
              <w:rPr>
                <w:rFonts w:ascii="Arial" w:cs="Arial" w:eastAsia="Arial" w:hAnsi="Arial"/>
                <w:sz w:val="17"/>
                <w:szCs w:val="17"/>
                <w:color w:val="0000EE"/>
              </w:rPr>
            </w:pPr>
            <w:hyperlink w:anchor="page12">
              <w:r>
                <w:rPr>
                  <w:rFonts w:ascii="Arial" w:cs="Arial" w:eastAsia="Arial" w:hAnsi="Arial"/>
                  <w:sz w:val="17"/>
                  <w:szCs w:val="17"/>
                  <w:color w:val="0000EE"/>
                </w:rPr>
                <w:t>NOTES TO FINANCIAL STATEMENTS</w:t>
              </w:r>
            </w:hyperlink>
          </w:p>
        </w:tc>
        <w:tc>
          <w:tcPr>
            <w:tcW w:w="1980" w:type="dxa"/>
            <w:vAlign w:val="bottom"/>
          </w:tcPr>
          <w:p>
            <w:pPr>
              <w:jc w:val="center"/>
              <w:spacing w:after="0"/>
              <w:rPr>
                <w:sz w:val="20"/>
                <w:szCs w:val="20"/>
                <w:color w:val="auto"/>
              </w:rPr>
            </w:pPr>
            <w:r>
              <w:rPr>
                <w:rFonts w:ascii="Arial" w:cs="Arial" w:eastAsia="Arial" w:hAnsi="Arial"/>
                <w:sz w:val="17"/>
                <w:szCs w:val="17"/>
                <w:color w:val="auto"/>
                <w:w w:val="94"/>
              </w:rPr>
              <w:t>F - 8 - F - 9</w:t>
            </w:r>
          </w:p>
        </w:tc>
      </w:tr>
      <w:tr>
        <w:trPr>
          <w:trHeight w:val="453"/>
        </w:trPr>
        <w:tc>
          <w:tcPr>
            <w:tcW w:w="1500" w:type="dxa"/>
            <w:vAlign w:val="bottom"/>
            <w:tcBorders>
              <w:top w:val="single" w:sz="8" w:color="0000EE"/>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INTERIM 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As of</w:t>
            </w:r>
          </w:p>
        </w:tc>
        <w:tc>
          <w:tcPr>
            <w:tcW w:w="2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As of</w:t>
            </w:r>
          </w:p>
        </w:tc>
        <w:tc>
          <w:tcPr>
            <w:tcW w:w="0" w:type="dxa"/>
            <w:vAlign w:val="bottom"/>
          </w:tcPr>
          <w:p>
            <w:pPr>
              <w:spacing w:after="0"/>
              <w:rPr>
                <w:sz w:val="1"/>
                <w:szCs w:val="1"/>
                <w:color w:val="auto"/>
              </w:rPr>
            </w:pPr>
          </w:p>
        </w:tc>
      </w:tr>
      <w:tr>
        <w:trPr>
          <w:trHeight w:val="232"/>
        </w:trPr>
        <w:tc>
          <w:tcPr>
            <w:tcW w:w="8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June 30,</w:t>
            </w:r>
          </w:p>
        </w:tc>
        <w:tc>
          <w:tcPr>
            <w:tcW w:w="12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0"/>
              </w:rPr>
              <w:t>December 31,</w:t>
            </w:r>
          </w:p>
        </w:tc>
        <w:tc>
          <w:tcPr>
            <w:tcW w:w="0" w:type="dxa"/>
            <w:vAlign w:val="bottom"/>
          </w:tcPr>
          <w:p>
            <w:pPr>
              <w:spacing w:after="0"/>
              <w:rPr>
                <w:sz w:val="1"/>
                <w:szCs w:val="1"/>
                <w:color w:val="auto"/>
              </w:rPr>
            </w:pPr>
          </w:p>
        </w:tc>
      </w:tr>
      <w:tr>
        <w:trPr>
          <w:trHeight w:val="213"/>
        </w:trPr>
        <w:tc>
          <w:tcPr>
            <w:tcW w:w="88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95"/>
              </w:rPr>
              <w:t>2019</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54"/>
              <w:spacing w:after="0"/>
              <w:rPr>
                <w:sz w:val="20"/>
                <w:szCs w:val="20"/>
                <w:color w:val="auto"/>
              </w:rPr>
            </w:pPr>
            <w:r>
              <w:rPr>
                <w:rFonts w:ascii="Arial" w:cs="Arial" w:eastAsia="Arial" w:hAnsi="Arial"/>
                <w:sz w:val="17"/>
                <w:szCs w:val="17"/>
                <w:b w:val="1"/>
                <w:bCs w:val="1"/>
                <w:color w:val="auto"/>
                <w:w w:val="89"/>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92"/>
              </w:rPr>
              <w:t>(unaudited)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CURRENT ASSETS</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tcPr>
          <w:p>
            <w:pPr>
              <w:ind w:left="320"/>
              <w:spacing w:after="0"/>
              <w:rPr>
                <w:sz w:val="20"/>
                <w:szCs w:val="20"/>
                <w:color w:val="auto"/>
              </w:rPr>
            </w:pPr>
            <w:r>
              <w:rPr>
                <w:rFonts w:ascii="Arial" w:cs="Arial" w:eastAsia="Arial" w:hAnsi="Arial"/>
                <w:sz w:val="17"/>
                <w:szCs w:val="17"/>
                <w:b w:val="1"/>
                <w:bCs w:val="1"/>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405,158</w:t>
            </w:r>
          </w:p>
        </w:tc>
        <w:tc>
          <w:tcPr>
            <w:tcW w:w="22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385,091</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Short-term interest-bearing deposits</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147,032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120,079</w:t>
            </w:r>
          </w:p>
        </w:tc>
        <w:tc>
          <w:tcPr>
            <w:tcW w:w="0" w:type="dxa"/>
            <w:vAlign w:val="bottom"/>
          </w:tcPr>
          <w:p>
            <w:pPr>
              <w:spacing w:after="0"/>
              <w:rPr>
                <w:sz w:val="1"/>
                <w:szCs w:val="1"/>
                <w:color w:val="auto"/>
              </w:rPr>
            </w:pPr>
          </w:p>
        </w:tc>
      </w:tr>
      <w:tr>
        <w:trPr>
          <w:trHeight w:val="207"/>
        </w:trPr>
        <w:tc>
          <w:tcPr>
            <w:tcW w:w="8800" w:type="dxa"/>
            <w:vAlign w:val="bottom"/>
          </w:tcPr>
          <w:p>
            <w:pPr>
              <w:ind w:left="320"/>
              <w:spacing w:after="0"/>
              <w:rPr>
                <w:sz w:val="20"/>
                <w:szCs w:val="20"/>
                <w:color w:val="auto"/>
              </w:rPr>
            </w:pPr>
            <w:r>
              <w:rPr>
                <w:rFonts w:ascii="Arial" w:cs="Arial" w:eastAsia="Arial" w:hAnsi="Arial"/>
                <w:sz w:val="17"/>
                <w:szCs w:val="17"/>
                <w:b w:val="1"/>
                <w:bCs w:val="1"/>
                <w:color w:val="auto"/>
              </w:rPr>
              <w:t>Marketable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146,893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135,850</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Trade accounts receivable</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123,789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153,409</w:t>
            </w:r>
          </w:p>
        </w:tc>
        <w:tc>
          <w:tcPr>
            <w:tcW w:w="0" w:type="dxa"/>
            <w:vAlign w:val="bottom"/>
          </w:tcPr>
          <w:p>
            <w:pPr>
              <w:spacing w:after="0"/>
              <w:rPr>
                <w:sz w:val="1"/>
                <w:szCs w:val="1"/>
                <w:color w:val="auto"/>
              </w:rPr>
            </w:pPr>
          </w:p>
        </w:tc>
      </w:tr>
      <w:tr>
        <w:trPr>
          <w:trHeight w:val="207"/>
        </w:trPr>
        <w:tc>
          <w:tcPr>
            <w:tcW w:w="8800" w:type="dxa"/>
            <w:vAlign w:val="bottom"/>
          </w:tcPr>
          <w:p>
            <w:pPr>
              <w:ind w:left="320"/>
              <w:spacing w:after="0"/>
              <w:rPr>
                <w:sz w:val="20"/>
                <w:szCs w:val="20"/>
                <w:color w:val="auto"/>
              </w:rPr>
            </w:pPr>
            <w:r>
              <w:rPr>
                <w:rFonts w:ascii="Arial" w:cs="Arial" w:eastAsia="Arial" w:hAnsi="Arial"/>
                <w:sz w:val="17"/>
                <w:szCs w:val="17"/>
                <w:b w:val="1"/>
                <w:bCs w:val="1"/>
                <w:color w:val="auto"/>
              </w:rPr>
              <w:t>Inventories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174,806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170,778</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Other current assets</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22,374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22,752</w:t>
            </w:r>
          </w:p>
        </w:tc>
        <w:tc>
          <w:tcPr>
            <w:tcW w:w="0" w:type="dxa"/>
            <w:vAlign w:val="bottom"/>
          </w:tcPr>
          <w:p>
            <w:pPr>
              <w:spacing w:after="0"/>
              <w:rPr>
                <w:sz w:val="1"/>
                <w:szCs w:val="1"/>
                <w:color w:val="auto"/>
              </w:rPr>
            </w:pPr>
          </w:p>
        </w:tc>
      </w:tr>
      <w:tr>
        <w:trPr>
          <w:trHeight w:val="26"/>
        </w:trPr>
        <w:tc>
          <w:tcPr>
            <w:tcW w:w="8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800" w:type="dxa"/>
            <w:vAlign w:val="bottom"/>
          </w:tcPr>
          <w:p>
            <w:pPr>
              <w:ind w:left="480"/>
              <w:spacing w:after="0"/>
              <w:rPr>
                <w:sz w:val="20"/>
                <w:szCs w:val="20"/>
                <w:color w:val="auto"/>
              </w:rPr>
            </w:pPr>
            <w:r>
              <w:rPr>
                <w:rFonts w:ascii="Arial" w:cs="Arial" w:eastAsia="Arial" w:hAnsi="Arial"/>
                <w:sz w:val="17"/>
                <w:szCs w:val="17"/>
                <w:b w:val="1"/>
                <w:bCs w:val="1"/>
                <w:color w:val="auto"/>
              </w:rPr>
              <w:t>Total current assets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1,020,052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987,959</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160"/>
              <w:spacing w:after="0"/>
              <w:rPr>
                <w:sz w:val="20"/>
                <w:szCs w:val="20"/>
                <w:color w:val="auto"/>
              </w:rPr>
            </w:pPr>
            <w:r>
              <w:rPr>
                <w:rFonts w:ascii="Arial" w:cs="Arial" w:eastAsia="Arial" w:hAnsi="Arial"/>
                <w:sz w:val="17"/>
                <w:szCs w:val="17"/>
                <w:b w:val="1"/>
                <w:bCs w:val="1"/>
                <w:color w:val="auto"/>
              </w:rPr>
              <w:t>LONG-TERM INVESTMENTS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36,874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35,945</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160"/>
              <w:spacing w:after="0"/>
              <w:rPr>
                <w:sz w:val="20"/>
                <w:szCs w:val="20"/>
                <w:color w:val="auto"/>
              </w:rPr>
            </w:pPr>
            <w:r>
              <w:rPr>
                <w:rFonts w:ascii="Arial" w:cs="Arial" w:eastAsia="Arial" w:hAnsi="Arial"/>
                <w:sz w:val="17"/>
                <w:szCs w:val="17"/>
                <w:b w:val="1"/>
                <w:bCs w:val="1"/>
                <w:color w:val="auto"/>
              </w:rPr>
              <w:t>PROPERTY AND EQUIPMENT,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707,122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657,234</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160"/>
              <w:spacing w:after="0"/>
              <w:rPr>
                <w:sz w:val="20"/>
                <w:szCs w:val="20"/>
                <w:color w:val="auto"/>
              </w:rPr>
            </w:pPr>
            <w:r>
              <w:rPr>
                <w:rFonts w:ascii="Arial" w:cs="Arial" w:eastAsia="Arial" w:hAnsi="Arial"/>
                <w:sz w:val="17"/>
                <w:szCs w:val="17"/>
                <w:b w:val="1"/>
                <w:bCs w:val="1"/>
                <w:color w:val="auto"/>
              </w:rPr>
              <w:t>INTANGIBLE ASSETS,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11,279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13,435</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160"/>
              <w:spacing w:after="0"/>
              <w:rPr>
                <w:sz w:val="20"/>
                <w:szCs w:val="20"/>
                <w:color w:val="auto"/>
              </w:rPr>
            </w:pPr>
            <w:r>
              <w:rPr>
                <w:rFonts w:ascii="Arial" w:cs="Arial" w:eastAsia="Arial" w:hAnsi="Arial"/>
                <w:sz w:val="17"/>
                <w:szCs w:val="17"/>
                <w:b w:val="1"/>
                <w:bCs w:val="1"/>
                <w:color w:val="auto"/>
              </w:rPr>
              <w:t>GOODWILL</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7,000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7,000</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tcPr>
          <w:p>
            <w:pPr>
              <w:ind w:left="160"/>
              <w:spacing w:after="0"/>
              <w:rPr>
                <w:sz w:val="20"/>
                <w:szCs w:val="20"/>
                <w:color w:val="auto"/>
              </w:rPr>
            </w:pPr>
            <w:r>
              <w:rPr>
                <w:rFonts w:ascii="Arial" w:cs="Arial" w:eastAsia="Arial" w:hAnsi="Arial"/>
                <w:sz w:val="17"/>
                <w:szCs w:val="17"/>
                <w:b w:val="1"/>
                <w:bCs w:val="1"/>
                <w:color w:val="auto"/>
              </w:rPr>
              <w:t>DEFERRED TAX AND OTHER LONG-TERM ASSETS,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89,171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88,404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00" w:type="dxa"/>
            <w:vAlign w:val="bottom"/>
          </w:tcPr>
          <w:p>
            <w:pPr>
              <w:ind w:left="620"/>
              <w:spacing w:after="0"/>
              <w:rPr>
                <w:sz w:val="20"/>
                <w:szCs w:val="20"/>
                <w:color w:val="auto"/>
              </w:rPr>
            </w:pPr>
            <w:r>
              <w:rPr>
                <w:rFonts w:ascii="Arial" w:cs="Arial" w:eastAsia="Arial" w:hAnsi="Arial"/>
                <w:sz w:val="17"/>
                <w:szCs w:val="17"/>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1,871,498</w:t>
            </w:r>
          </w:p>
        </w:tc>
        <w:tc>
          <w:tcPr>
            <w:tcW w:w="22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1,789,977</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tcPr>
          <w:p>
            <w:pPr>
              <w:ind w:left="160"/>
              <w:spacing w:after="0"/>
              <w:rPr>
                <w:sz w:val="20"/>
                <w:szCs w:val="20"/>
                <w:color w:val="auto"/>
              </w:rPr>
            </w:pPr>
            <w:r>
              <w:rPr>
                <w:rFonts w:ascii="Arial" w:cs="Arial" w:eastAsia="Arial" w:hAnsi="Arial"/>
                <w:sz w:val="17"/>
                <w:szCs w:val="17"/>
                <w:b w:val="1"/>
                <w:bCs w:val="1"/>
                <w:color w:val="auto"/>
              </w:rPr>
              <w:t>CURRENT LIABILITIES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Current maturities of leases and debentures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45,173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10,814</w:t>
            </w:r>
          </w:p>
        </w:tc>
        <w:tc>
          <w:tcPr>
            <w:tcW w:w="0" w:type="dxa"/>
            <w:vAlign w:val="bottom"/>
          </w:tcPr>
          <w:p>
            <w:pPr>
              <w:spacing w:after="0"/>
              <w:rPr>
                <w:sz w:val="1"/>
                <w:szCs w:val="1"/>
                <w:color w:val="auto"/>
              </w:rPr>
            </w:pPr>
          </w:p>
        </w:tc>
      </w:tr>
      <w:tr>
        <w:trPr>
          <w:trHeight w:val="207"/>
        </w:trPr>
        <w:tc>
          <w:tcPr>
            <w:tcW w:w="8800" w:type="dxa"/>
            <w:vAlign w:val="bottom"/>
          </w:tcPr>
          <w:p>
            <w:pPr>
              <w:ind w:left="320"/>
              <w:spacing w:after="0"/>
              <w:rPr>
                <w:sz w:val="20"/>
                <w:szCs w:val="20"/>
                <w:color w:val="auto"/>
              </w:rPr>
            </w:pPr>
            <w:r>
              <w:rPr>
                <w:rFonts w:ascii="Arial" w:cs="Arial" w:eastAsia="Arial" w:hAnsi="Arial"/>
                <w:sz w:val="17"/>
                <w:szCs w:val="17"/>
                <w:b w:val="1"/>
                <w:bCs w:val="1"/>
                <w:color w:val="auto"/>
              </w:rPr>
              <w:t>Trade accounts payable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92,747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104,329</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Deferred revenue and customers' advances</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7,975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20,711</w:t>
            </w:r>
          </w:p>
        </w:tc>
        <w:tc>
          <w:tcPr>
            <w:tcW w:w="0" w:type="dxa"/>
            <w:vAlign w:val="bottom"/>
          </w:tcPr>
          <w:p>
            <w:pPr>
              <w:spacing w:after="0"/>
              <w:rPr>
                <w:sz w:val="1"/>
                <w:szCs w:val="1"/>
                <w:color w:val="auto"/>
              </w:rPr>
            </w:pPr>
          </w:p>
        </w:tc>
      </w:tr>
      <w:tr>
        <w:trPr>
          <w:trHeight w:val="207"/>
        </w:trPr>
        <w:tc>
          <w:tcPr>
            <w:tcW w:w="8800" w:type="dxa"/>
            <w:vAlign w:val="bottom"/>
          </w:tcPr>
          <w:p>
            <w:pPr>
              <w:ind w:left="320"/>
              <w:spacing w:after="0"/>
              <w:rPr>
                <w:sz w:val="20"/>
                <w:szCs w:val="20"/>
                <w:color w:val="auto"/>
              </w:rPr>
            </w:pPr>
            <w:r>
              <w:rPr>
                <w:rFonts w:ascii="Arial" w:cs="Arial" w:eastAsia="Arial" w:hAnsi="Arial"/>
                <w:sz w:val="17"/>
                <w:szCs w:val="17"/>
                <w:b w:val="1"/>
                <w:bCs w:val="1"/>
                <w:color w:val="auto"/>
              </w:rPr>
              <w:t>Employee related liabilities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57,540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50,750</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Other current liabilities</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17,117</w:t>
            </w:r>
          </w:p>
        </w:tc>
        <w:tc>
          <w:tcPr>
            <w:tcW w:w="0" w:type="dxa"/>
            <w:vAlign w:val="bottom"/>
          </w:tcPr>
          <w:p>
            <w:pPr>
              <w:spacing w:after="0"/>
              <w:rPr>
                <w:sz w:val="1"/>
                <w:szCs w:val="1"/>
                <w:color w:val="auto"/>
              </w:rPr>
            </w:pPr>
          </w:p>
        </w:tc>
      </w:tr>
      <w:tr>
        <w:trPr>
          <w:trHeight w:val="26"/>
        </w:trPr>
        <w:tc>
          <w:tcPr>
            <w:tcW w:w="8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800" w:type="dxa"/>
            <w:vAlign w:val="bottom"/>
          </w:tcPr>
          <w:p>
            <w:pPr>
              <w:ind w:left="480"/>
              <w:spacing w:after="0"/>
              <w:rPr>
                <w:sz w:val="20"/>
                <w:szCs w:val="20"/>
                <w:color w:val="auto"/>
              </w:rPr>
            </w:pPr>
            <w:r>
              <w:rPr>
                <w:rFonts w:ascii="Arial" w:cs="Arial" w:eastAsia="Arial" w:hAnsi="Arial"/>
                <w:sz w:val="17"/>
                <w:szCs w:val="17"/>
                <w:b w:val="1"/>
                <w:bCs w:val="1"/>
                <w:color w:val="auto"/>
              </w:rPr>
              <w:t>Total current liabilities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211,799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203,721</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tcPr>
          <w:p>
            <w:pPr>
              <w:ind w:left="160"/>
              <w:spacing w:after="0"/>
              <w:rPr>
                <w:sz w:val="20"/>
                <w:szCs w:val="20"/>
                <w:color w:val="auto"/>
              </w:rPr>
            </w:pPr>
            <w:r>
              <w:rPr>
                <w:rFonts w:ascii="Arial" w:cs="Arial" w:eastAsia="Arial" w:hAnsi="Arial"/>
                <w:sz w:val="17"/>
                <w:szCs w:val="17"/>
                <w:b w:val="1"/>
                <w:bCs w:val="1"/>
                <w:color w:val="auto"/>
              </w:rPr>
              <w:t>LONG-TERM DEBT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Debentures</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109,079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120,170</w:t>
            </w:r>
          </w:p>
        </w:tc>
        <w:tc>
          <w:tcPr>
            <w:tcW w:w="0" w:type="dxa"/>
            <w:vAlign w:val="bottom"/>
          </w:tcPr>
          <w:p>
            <w:pPr>
              <w:spacing w:after="0"/>
              <w:rPr>
                <w:sz w:val="1"/>
                <w:szCs w:val="1"/>
                <w:color w:val="auto"/>
              </w:rPr>
            </w:pPr>
          </w:p>
        </w:tc>
      </w:tr>
      <w:tr>
        <w:trPr>
          <w:trHeight w:val="207"/>
        </w:trPr>
        <w:tc>
          <w:tcPr>
            <w:tcW w:w="8800" w:type="dxa"/>
            <w:vAlign w:val="bottom"/>
          </w:tcPr>
          <w:p>
            <w:pPr>
              <w:ind w:left="320"/>
              <w:spacing w:after="0"/>
              <w:rPr>
                <w:sz w:val="20"/>
                <w:szCs w:val="20"/>
                <w:color w:val="auto"/>
              </w:rPr>
            </w:pPr>
            <w:r>
              <w:rPr>
                <w:rFonts w:ascii="Arial" w:cs="Arial" w:eastAsia="Arial" w:hAnsi="Arial"/>
                <w:sz w:val="17"/>
                <w:szCs w:val="17"/>
                <w:b w:val="1"/>
                <w:bCs w:val="1"/>
                <w:color w:val="auto"/>
              </w:rPr>
              <w:t>Other long-term debt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166,835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136,499</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tcPr>
          <w:p>
            <w:pPr>
              <w:ind w:left="160"/>
              <w:spacing w:after="0"/>
              <w:rPr>
                <w:sz w:val="20"/>
                <w:szCs w:val="20"/>
                <w:color w:val="auto"/>
              </w:rPr>
            </w:pPr>
            <w:r>
              <w:rPr>
                <w:rFonts w:ascii="Arial" w:cs="Arial" w:eastAsia="Arial" w:hAnsi="Arial"/>
                <w:sz w:val="17"/>
                <w:szCs w:val="17"/>
                <w:b w:val="1"/>
                <w:bCs w:val="1"/>
                <w:color w:val="auto"/>
              </w:rPr>
              <w:t>LONG-TERM CUSTOMERS' ADVANCES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27,230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28,131</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tcPr>
          <w:p>
            <w:pPr>
              <w:ind w:left="160"/>
              <w:spacing w:after="0"/>
              <w:rPr>
                <w:sz w:val="20"/>
                <w:szCs w:val="20"/>
                <w:color w:val="auto"/>
              </w:rPr>
            </w:pPr>
            <w:r>
              <w:rPr>
                <w:rFonts w:ascii="Arial" w:cs="Arial" w:eastAsia="Arial" w:hAnsi="Arial"/>
                <w:sz w:val="17"/>
                <w:szCs w:val="17"/>
                <w:b w:val="1"/>
                <w:bCs w:val="1"/>
                <w:color w:val="auto"/>
              </w:rPr>
              <w:t>EMPLOYEE RELATED LIABILITIES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14,295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13,898</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tcPr>
          <w:p>
            <w:pPr>
              <w:ind w:left="160"/>
              <w:spacing w:after="0"/>
              <w:rPr>
                <w:sz w:val="20"/>
                <w:szCs w:val="20"/>
                <w:color w:val="auto"/>
              </w:rPr>
            </w:pPr>
            <w:r>
              <w:rPr>
                <w:rFonts w:ascii="Arial" w:cs="Arial" w:eastAsia="Arial" w:hAnsi="Arial"/>
                <w:sz w:val="17"/>
                <w:szCs w:val="17"/>
                <w:b w:val="1"/>
                <w:bCs w:val="1"/>
                <w:color w:val="auto"/>
              </w:rPr>
              <w:t>DEFERRED TAX LIABILITY</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46,434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50,401</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160"/>
              <w:spacing w:after="0"/>
              <w:rPr>
                <w:sz w:val="20"/>
                <w:szCs w:val="20"/>
                <w:color w:val="auto"/>
              </w:rPr>
            </w:pPr>
            <w:r>
              <w:rPr>
                <w:rFonts w:ascii="Arial" w:cs="Arial" w:eastAsia="Arial" w:hAnsi="Arial"/>
                <w:sz w:val="17"/>
                <w:szCs w:val="17"/>
                <w:b w:val="1"/>
                <w:bCs w:val="1"/>
                <w:color w:val="auto"/>
              </w:rPr>
              <w:t>OTHER LONG-TERM LIABILITIES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969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952</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480"/>
              <w:spacing w:after="0"/>
              <w:rPr>
                <w:sz w:val="20"/>
                <w:szCs w:val="20"/>
                <w:color w:val="auto"/>
              </w:rPr>
            </w:pPr>
            <w:r>
              <w:rPr>
                <w:rFonts w:ascii="Arial" w:cs="Arial" w:eastAsia="Arial" w:hAnsi="Arial"/>
                <w:sz w:val="17"/>
                <w:szCs w:val="17"/>
                <w:b w:val="1"/>
                <w:bCs w:val="1"/>
                <w:color w:val="auto"/>
              </w:rPr>
              <w:t>TOTAL LIABILITIES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576,641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553,772</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tcPr>
          <w:p>
            <w:pPr>
              <w:ind w:left="160"/>
              <w:spacing w:after="0"/>
              <w:rPr>
                <w:sz w:val="20"/>
                <w:szCs w:val="20"/>
                <w:color w:val="auto"/>
              </w:rPr>
            </w:pPr>
            <w:r>
              <w:rPr>
                <w:rFonts w:ascii="Arial" w:cs="Arial" w:eastAsia="Arial" w:hAnsi="Arial"/>
                <w:sz w:val="17"/>
                <w:szCs w:val="17"/>
                <w:b w:val="1"/>
                <w:bCs w:val="1"/>
                <w:color w:val="auto"/>
              </w:rPr>
              <w:t>THE COMPANY'S SHAREHOLDERS' EQUITY</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1,301,122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1,242,966</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Non-controlling interest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(6,265)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(6,761)</w:t>
            </w:r>
          </w:p>
        </w:tc>
        <w:tc>
          <w:tcPr>
            <w:tcW w:w="0" w:type="dxa"/>
            <w:vAlign w:val="bottom"/>
          </w:tcPr>
          <w:p>
            <w:pPr>
              <w:spacing w:after="0"/>
              <w:rPr>
                <w:sz w:val="1"/>
                <w:szCs w:val="1"/>
                <w:color w:val="auto"/>
              </w:rPr>
            </w:pPr>
          </w:p>
        </w:tc>
      </w:tr>
      <w:tr>
        <w:trPr>
          <w:trHeight w:val="26"/>
        </w:trPr>
        <w:tc>
          <w:tcPr>
            <w:tcW w:w="8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800" w:type="dxa"/>
            <w:vAlign w:val="bottom"/>
          </w:tcPr>
          <w:p>
            <w:pPr>
              <w:ind w:left="480"/>
              <w:spacing w:after="0"/>
              <w:rPr>
                <w:sz w:val="20"/>
                <w:szCs w:val="20"/>
                <w:color w:val="auto"/>
              </w:rPr>
            </w:pPr>
            <w:r>
              <w:rPr>
                <w:rFonts w:ascii="Arial" w:cs="Arial" w:eastAsia="Arial" w:hAnsi="Arial"/>
                <w:sz w:val="17"/>
                <w:szCs w:val="17"/>
                <w:b w:val="1"/>
                <w:bCs w:val="1"/>
                <w:color w:val="auto"/>
              </w:rPr>
              <w:t>TOTAL SHAREHOLDERS' EQUITY</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1,294,857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1,236,205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00" w:type="dxa"/>
            <w:vAlign w:val="bottom"/>
          </w:tcPr>
          <w:p>
            <w:pPr>
              <w:ind w:left="620"/>
              <w:spacing w:after="0"/>
              <w:rPr>
                <w:sz w:val="20"/>
                <w:szCs w:val="20"/>
                <w:color w:val="auto"/>
              </w:rPr>
            </w:pPr>
            <w:r>
              <w:rPr>
                <w:rFonts w:ascii="Arial" w:cs="Arial" w:eastAsia="Arial" w:hAnsi="Arial"/>
                <w:sz w:val="17"/>
                <w:szCs w:val="17"/>
                <w:b w:val="1"/>
                <w:bCs w:val="1"/>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1,871,498</w:t>
            </w:r>
          </w:p>
        </w:tc>
        <w:tc>
          <w:tcPr>
            <w:tcW w:w="22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1,789,977</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See notes to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8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29" w:right="2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64135</wp:posOffset>
            </wp:positionV>
            <wp:extent cx="725233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type w:val="continuous"/>
        </w:sectPr>
      </w:pPr>
    </w:p>
    <w:bookmarkStart w:id="6" w:name="page7"/>
    <w:bookmarkEnd w:id="6"/>
    <w:p>
      <w:pPr>
        <w:jc w:val="center"/>
        <w:ind w:left="260" w:right="2100"/>
        <w:spacing w:after="0" w:line="273" w:lineRule="auto"/>
        <w:rPr>
          <w:sz w:val="20"/>
          <w:szCs w:val="20"/>
          <w:color w:val="auto"/>
        </w:rPr>
      </w:pPr>
      <w:r>
        <w:rPr>
          <w:rFonts w:ascii="Arial" w:cs="Arial" w:eastAsia="Arial" w:hAnsi="Arial"/>
          <w:sz w:val="17"/>
          <w:szCs w:val="17"/>
          <w:b w:val="1"/>
          <w:bCs w:val="1"/>
          <w:color w:val="auto"/>
        </w:rPr>
        <w:t xml:space="preserve">TOWER SEMICONDUCTOR LTD. AND SUBSIDIARIES CONDENSED INTERIM CONSOLIDATED STATEMENTS OF OPERATIONS (UNAUDITED) </w:t>
      </w:r>
      <w:r>
        <w:rPr>
          <w:rFonts w:ascii="Arial" w:cs="Arial" w:eastAsia="Arial" w:hAnsi="Arial"/>
          <w:sz w:val="17"/>
          <w:szCs w:val="17"/>
          <w:color w:val="auto"/>
        </w:rPr>
        <w:t>(dollars and shares 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right"/>
              <w:ind w:right="760"/>
              <w:spacing w:after="0"/>
              <w:rPr>
                <w:sz w:val="20"/>
                <w:szCs w:val="20"/>
                <w:color w:val="auto"/>
              </w:rPr>
            </w:pPr>
            <w:r>
              <w:rPr>
                <w:rFonts w:ascii="Arial" w:cs="Arial" w:eastAsia="Arial" w:hAnsi="Arial"/>
                <w:sz w:val="17"/>
                <w:szCs w:val="17"/>
                <w:b w:val="1"/>
                <w:bCs w:val="1"/>
                <w:color w:val="auto"/>
              </w:rPr>
              <w:t>Six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580"/>
              <w:spacing w:after="0"/>
              <w:rPr>
                <w:sz w:val="20"/>
                <w:szCs w:val="20"/>
                <w:color w:val="auto"/>
              </w:rPr>
            </w:pPr>
            <w:r>
              <w:rPr>
                <w:rFonts w:ascii="Arial" w:cs="Arial" w:eastAsia="Arial" w:hAnsi="Arial"/>
                <w:sz w:val="17"/>
                <w:szCs w:val="17"/>
                <w:b w:val="1"/>
                <w:bCs w:val="1"/>
                <w:color w:val="auto"/>
              </w:rPr>
              <w:t>Three months ended</w:t>
            </w:r>
          </w:p>
        </w:tc>
      </w:tr>
      <w:tr>
        <w:trPr>
          <w:trHeight w:val="232"/>
        </w:trPr>
        <w:tc>
          <w:tcPr>
            <w:tcW w:w="6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7"/>
                <w:szCs w:val="17"/>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2019</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2019</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8"/>
                <w:szCs w:val="18"/>
                <w:color w:val="auto"/>
              </w:rPr>
            </w:pPr>
          </w:p>
        </w:tc>
      </w:tr>
      <w:tr>
        <w:trPr>
          <w:trHeight w:val="207"/>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07"/>
        </w:trPr>
        <w:tc>
          <w:tcPr>
            <w:tcW w:w="6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616,171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647,848</w:t>
            </w:r>
          </w:p>
        </w:tc>
        <w:tc>
          <w:tcPr>
            <w:tcW w:w="3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306,064</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335,138</w:t>
            </w:r>
          </w:p>
        </w:tc>
      </w:tr>
      <w:tr>
        <w:trPr>
          <w:trHeight w:val="207"/>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3"/>
        </w:trPr>
        <w:tc>
          <w:tcPr>
            <w:tcW w:w="6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 OF REVENUES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499,613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503,155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252,657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256,610</w:t>
            </w:r>
          </w:p>
        </w:tc>
      </w:tr>
      <w:tr>
        <w:trPr>
          <w:trHeight w:val="207"/>
        </w:trPr>
        <w:tc>
          <w:tcPr>
            <w:tcW w:w="60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3"/>
        </w:trPr>
        <w:tc>
          <w:tcPr>
            <w:tcW w:w="608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GROSS PROFIT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116,558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144,693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53,407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78,528</w:t>
            </w:r>
          </w:p>
        </w:tc>
      </w:tr>
      <w:tr>
        <w:trPr>
          <w:trHeight w:val="207"/>
        </w:trPr>
        <w:tc>
          <w:tcPr>
            <w:tcW w:w="60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7"/>
        </w:trPr>
        <w:tc>
          <w:tcPr>
            <w:tcW w:w="6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07"/>
        </w:trPr>
        <w:tc>
          <w:tcPr>
            <w:tcW w:w="60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Research and development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37,980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36,439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18,812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18,173</w:t>
            </w:r>
          </w:p>
        </w:tc>
      </w:tr>
      <w:tr>
        <w:trPr>
          <w:trHeight w:val="213"/>
        </w:trPr>
        <w:tc>
          <w:tcPr>
            <w:tcW w:w="6080" w:type="dxa"/>
            <w:vAlign w:val="bottom"/>
          </w:tcPr>
          <w:p>
            <w:pPr>
              <w:ind w:left="160"/>
              <w:spacing w:after="0"/>
              <w:rPr>
                <w:sz w:val="20"/>
                <w:szCs w:val="20"/>
                <w:color w:val="auto"/>
              </w:rPr>
            </w:pPr>
            <w:r>
              <w:rPr>
                <w:rFonts w:ascii="Arial" w:cs="Arial" w:eastAsia="Arial" w:hAnsi="Arial"/>
                <w:sz w:val="17"/>
                <w:szCs w:val="17"/>
                <w:b w:val="1"/>
                <w:bCs w:val="1"/>
                <w:color w:val="auto"/>
              </w:rPr>
              <w:t>Marketing, general and administrative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33,479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32,109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16,838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16,115</w:t>
            </w:r>
          </w:p>
        </w:tc>
      </w:tr>
      <w:tr>
        <w:trPr>
          <w:trHeight w:val="207"/>
        </w:trPr>
        <w:tc>
          <w:tcPr>
            <w:tcW w:w="60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71,459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68,548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35,650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34,288</w:t>
            </w: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6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r>
      <w:tr>
        <w:trPr>
          <w:trHeight w:val="207"/>
        </w:trPr>
        <w:tc>
          <w:tcPr>
            <w:tcW w:w="6080" w:type="dxa"/>
            <w:vAlign w:val="bottom"/>
          </w:tcPr>
          <w:p>
            <w:pPr>
              <w:ind w:left="320"/>
              <w:spacing w:after="0"/>
              <w:rPr>
                <w:sz w:val="20"/>
                <w:szCs w:val="20"/>
                <w:color w:val="auto"/>
              </w:rPr>
            </w:pPr>
            <w:r>
              <w:rPr>
                <w:rFonts w:ascii="Arial" w:cs="Arial" w:eastAsia="Arial" w:hAnsi="Arial"/>
                <w:sz w:val="17"/>
                <w:szCs w:val="17"/>
                <w:b w:val="1"/>
                <w:bCs w:val="1"/>
                <w:color w:val="auto"/>
              </w:rPr>
              <w:t>OPERATING PROFIT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45,099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76,145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17,757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44,240</w:t>
            </w:r>
          </w:p>
        </w:tc>
      </w:tr>
      <w:tr>
        <w:trPr>
          <w:trHeight w:val="207"/>
        </w:trPr>
        <w:tc>
          <w:tcPr>
            <w:tcW w:w="6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13"/>
        </w:trPr>
        <w:tc>
          <w:tcPr>
            <w:tcW w:w="6080" w:type="dxa"/>
            <w:vAlign w:val="bottom"/>
          </w:tcPr>
          <w:p>
            <w:pPr>
              <w:spacing w:after="0"/>
              <w:rPr>
                <w:sz w:val="20"/>
                <w:szCs w:val="20"/>
                <w:color w:val="auto"/>
              </w:rPr>
            </w:pPr>
            <w:r>
              <w:rPr>
                <w:rFonts w:ascii="Arial" w:cs="Arial" w:eastAsia="Arial" w:hAnsi="Arial"/>
                <w:sz w:val="17"/>
                <w:szCs w:val="17"/>
                <w:b w:val="1"/>
                <w:bCs w:val="1"/>
                <w:color w:val="auto"/>
              </w:rPr>
              <w:t>FINANCING AND OTHER INCOME (EXPENSE),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1,672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(9,222)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947</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(5,453)</w:t>
            </w:r>
          </w:p>
        </w:tc>
      </w:tr>
      <w:tr>
        <w:trPr>
          <w:trHeight w:val="207"/>
        </w:trPr>
        <w:tc>
          <w:tcPr>
            <w:tcW w:w="60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6080" w:type="dxa"/>
            <w:vAlign w:val="bottom"/>
          </w:tcPr>
          <w:p>
            <w:pPr>
              <w:ind w:left="620"/>
              <w:spacing w:after="0"/>
              <w:rPr>
                <w:sz w:val="20"/>
                <w:szCs w:val="20"/>
                <w:color w:val="auto"/>
              </w:rPr>
            </w:pPr>
            <w:r>
              <w:rPr>
                <w:rFonts w:ascii="Arial" w:cs="Arial" w:eastAsia="Arial" w:hAnsi="Arial"/>
                <w:sz w:val="17"/>
                <w:szCs w:val="17"/>
                <w:b w:val="1"/>
                <w:bCs w:val="1"/>
                <w:color w:val="auto"/>
              </w:rPr>
              <w:t>PROFIT BEFORE INCOME TAX</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46,771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66,923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18,704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38,787</w:t>
            </w:r>
          </w:p>
        </w:tc>
      </w:tr>
      <w:tr>
        <w:trPr>
          <w:trHeight w:val="207"/>
        </w:trPr>
        <w:tc>
          <w:tcPr>
            <w:tcW w:w="6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13"/>
        </w:trPr>
        <w:tc>
          <w:tcPr>
            <w:tcW w:w="6080" w:type="dxa"/>
            <w:vAlign w:val="bottom"/>
          </w:tcPr>
          <w:p>
            <w:pPr>
              <w:spacing w:after="0"/>
              <w:rPr>
                <w:sz w:val="20"/>
                <w:szCs w:val="20"/>
                <w:color w:val="auto"/>
              </w:rPr>
            </w:pPr>
            <w:r>
              <w:rPr>
                <w:rFonts w:ascii="Arial" w:cs="Arial" w:eastAsia="Arial" w:hAnsi="Arial"/>
                <w:sz w:val="17"/>
                <w:szCs w:val="17"/>
                <w:b w:val="1"/>
                <w:bCs w:val="1"/>
                <w:color w:val="auto"/>
              </w:rPr>
              <w:t>INCOME TAX BENEFIT (EXPENSE), NET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(649)</w:t>
            </w: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(3,733)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1,018</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(2,778)</w:t>
            </w:r>
          </w:p>
        </w:tc>
      </w:tr>
      <w:tr>
        <w:trPr>
          <w:trHeight w:val="207"/>
        </w:trPr>
        <w:tc>
          <w:tcPr>
            <w:tcW w:w="60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080" w:type="dxa"/>
            <w:vAlign w:val="bottom"/>
          </w:tcPr>
          <w:p>
            <w:pPr>
              <w:ind w:left="620"/>
              <w:spacing w:after="0"/>
              <w:rPr>
                <w:sz w:val="20"/>
                <w:szCs w:val="20"/>
                <w:color w:val="auto"/>
              </w:rPr>
            </w:pPr>
            <w:r>
              <w:rPr>
                <w:rFonts w:ascii="Arial" w:cs="Arial" w:eastAsia="Arial" w:hAnsi="Arial"/>
                <w:sz w:val="17"/>
                <w:szCs w:val="17"/>
                <w:b w:val="1"/>
                <w:bCs w:val="1"/>
                <w:color w:val="auto"/>
              </w:rPr>
              <w:t>NET PROFIT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46,122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63,190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19,722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36,009</w:t>
            </w:r>
          </w:p>
        </w:tc>
      </w:tr>
      <w:tr>
        <w:trPr>
          <w:trHeight w:val="207"/>
        </w:trPr>
        <w:tc>
          <w:tcPr>
            <w:tcW w:w="60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080" w:type="dxa"/>
            <w:vAlign w:val="bottom"/>
          </w:tcPr>
          <w:p>
            <w:pPr>
              <w:ind w:left="160"/>
              <w:spacing w:after="0"/>
              <w:rPr>
                <w:sz w:val="20"/>
                <w:szCs w:val="20"/>
                <w:color w:val="auto"/>
              </w:rPr>
            </w:pPr>
            <w:r>
              <w:rPr>
                <w:rFonts w:ascii="Arial" w:cs="Arial" w:eastAsia="Arial" w:hAnsi="Arial"/>
                <w:sz w:val="17"/>
                <w:szCs w:val="17"/>
                <w:b w:val="1"/>
                <w:bCs w:val="1"/>
                <w:color w:val="auto"/>
              </w:rPr>
              <w:t>Net loss attributable to non-controlling interest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1,030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670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1,214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1,733</w:t>
            </w:r>
          </w:p>
        </w:tc>
      </w:tr>
      <w:tr>
        <w:trPr>
          <w:trHeight w:val="207"/>
        </w:trPr>
        <w:tc>
          <w:tcPr>
            <w:tcW w:w="60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6080" w:type="dxa"/>
            <w:vAlign w:val="bottom"/>
          </w:tcPr>
          <w:p>
            <w:pPr>
              <w:ind w:left="620"/>
              <w:spacing w:after="0"/>
              <w:rPr>
                <w:sz w:val="20"/>
                <w:szCs w:val="20"/>
                <w:color w:val="auto"/>
              </w:rPr>
            </w:pPr>
            <w:r>
              <w:rPr>
                <w:rFonts w:ascii="Arial" w:cs="Arial" w:eastAsia="Arial" w:hAnsi="Arial"/>
                <w:sz w:val="17"/>
                <w:szCs w:val="17"/>
                <w:b w:val="1"/>
                <w:bCs w:val="1"/>
                <w:color w:val="auto"/>
              </w:rPr>
              <w:t>NET PROFIT ATTRIBUTABLE TO THE COMPANY</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47,152</w:t>
            </w:r>
          </w:p>
        </w:tc>
        <w:tc>
          <w:tcPr>
            <w:tcW w:w="24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63,860</w:t>
            </w:r>
          </w:p>
        </w:tc>
        <w:tc>
          <w:tcPr>
            <w:tcW w:w="320" w:type="dxa"/>
            <w:vAlign w:val="bottom"/>
            <w:gridSpan w:val="2"/>
          </w:tcPr>
          <w:p>
            <w:pPr>
              <w:jc w:val="right"/>
              <w:ind w:right="54"/>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20,936</w:t>
            </w:r>
          </w:p>
        </w:tc>
        <w:tc>
          <w:tcPr>
            <w:tcW w:w="280" w:type="dxa"/>
            <w:vAlign w:val="bottom"/>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37,742</w:t>
            </w: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6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6080" w:type="dxa"/>
            <w:vAlign w:val="bottom"/>
          </w:tcPr>
          <w:p>
            <w:pPr>
              <w:spacing w:after="0"/>
              <w:rPr>
                <w:sz w:val="20"/>
                <w:szCs w:val="20"/>
                <w:color w:val="auto"/>
              </w:rPr>
            </w:pPr>
            <w:r>
              <w:rPr>
                <w:rFonts w:ascii="Arial" w:cs="Arial" w:eastAsia="Arial" w:hAnsi="Arial"/>
                <w:sz w:val="17"/>
                <w:szCs w:val="17"/>
                <w:b w:val="1"/>
                <w:bCs w:val="1"/>
                <w:color w:val="auto"/>
              </w:rPr>
              <w:t>BASIC EARNINGS PER ORDINARY SHARE: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6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07"/>
        </w:trPr>
        <w:tc>
          <w:tcPr>
            <w:tcW w:w="6080" w:type="dxa"/>
            <w:vAlign w:val="bottom"/>
          </w:tcPr>
          <w:p>
            <w:pPr>
              <w:ind w:left="160"/>
              <w:spacing w:after="0"/>
              <w:rPr>
                <w:sz w:val="20"/>
                <w:szCs w:val="20"/>
                <w:color w:val="auto"/>
              </w:rPr>
            </w:pPr>
            <w:r>
              <w:rPr>
                <w:rFonts w:ascii="Arial" w:cs="Arial" w:eastAsia="Arial" w:hAnsi="Arial"/>
                <w:sz w:val="17"/>
                <w:szCs w:val="17"/>
                <w:b w:val="1"/>
                <w:bCs w:val="1"/>
                <w:color w:val="auto"/>
              </w:rPr>
              <w:t>Earnings per share</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0.45</w:t>
            </w:r>
          </w:p>
        </w:tc>
        <w:tc>
          <w:tcPr>
            <w:tcW w:w="24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0.20</w:t>
            </w:r>
          </w:p>
        </w:tc>
        <w:tc>
          <w:tcPr>
            <w:tcW w:w="280" w:type="dxa"/>
            <w:vAlign w:val="bottom"/>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0.38</w:t>
            </w: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6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r>
      <w:tr>
        <w:trPr>
          <w:trHeight w:val="207"/>
        </w:trPr>
        <w:tc>
          <w:tcPr>
            <w:tcW w:w="6080" w:type="dxa"/>
            <w:vAlign w:val="bottom"/>
          </w:tcPr>
          <w:p>
            <w:pPr>
              <w:ind w:left="160"/>
              <w:spacing w:after="0"/>
              <w:rPr>
                <w:sz w:val="20"/>
                <w:szCs w:val="20"/>
                <w:color w:val="auto"/>
              </w:rPr>
            </w:pPr>
            <w:r>
              <w:rPr>
                <w:rFonts w:ascii="Arial" w:cs="Arial" w:eastAsia="Arial" w:hAnsi="Arial"/>
                <w:sz w:val="17"/>
                <w:szCs w:val="17"/>
                <w:b w:val="1"/>
                <w:bCs w:val="1"/>
                <w:color w:val="auto"/>
              </w:rPr>
              <w:t>Weighted average number of ordinary shares outstanding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105,829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98,693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106,321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98,888</w:t>
            </w: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6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6080" w:type="dxa"/>
            <w:vAlign w:val="bottom"/>
          </w:tcPr>
          <w:p>
            <w:pPr>
              <w:spacing w:after="0"/>
              <w:rPr>
                <w:sz w:val="20"/>
                <w:szCs w:val="20"/>
                <w:color w:val="auto"/>
              </w:rPr>
            </w:pPr>
            <w:r>
              <w:rPr>
                <w:rFonts w:ascii="Arial" w:cs="Arial" w:eastAsia="Arial" w:hAnsi="Arial"/>
                <w:sz w:val="17"/>
                <w:szCs w:val="17"/>
                <w:b w:val="1"/>
                <w:bCs w:val="1"/>
                <w:color w:val="auto"/>
              </w:rPr>
              <w:t>DILUTED EARNINGS PER ORDINARY SHARE: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6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07"/>
        </w:trPr>
        <w:tc>
          <w:tcPr>
            <w:tcW w:w="6080" w:type="dxa"/>
            <w:vAlign w:val="bottom"/>
          </w:tcPr>
          <w:p>
            <w:pPr>
              <w:ind w:left="160"/>
              <w:spacing w:after="0"/>
              <w:rPr>
                <w:sz w:val="20"/>
                <w:szCs w:val="20"/>
                <w:color w:val="auto"/>
              </w:rPr>
            </w:pPr>
            <w:r>
              <w:rPr>
                <w:rFonts w:ascii="Arial" w:cs="Arial" w:eastAsia="Arial" w:hAnsi="Arial"/>
                <w:sz w:val="17"/>
                <w:szCs w:val="17"/>
                <w:b w:val="1"/>
                <w:bCs w:val="1"/>
                <w:color w:val="auto"/>
              </w:rPr>
              <w:t>Earnings per share</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0.44</w:t>
            </w:r>
          </w:p>
        </w:tc>
        <w:tc>
          <w:tcPr>
            <w:tcW w:w="24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0.63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0.20</w:t>
            </w:r>
          </w:p>
        </w:tc>
        <w:tc>
          <w:tcPr>
            <w:tcW w:w="280" w:type="dxa"/>
            <w:vAlign w:val="bottom"/>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0.37</w:t>
            </w: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6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r>
      <w:tr>
        <w:trPr>
          <w:trHeight w:val="207"/>
        </w:trPr>
        <w:tc>
          <w:tcPr>
            <w:tcW w:w="6080" w:type="dxa"/>
            <w:vAlign w:val="bottom"/>
          </w:tcPr>
          <w:p>
            <w:pPr>
              <w:ind w:left="160"/>
              <w:spacing w:after="0"/>
              <w:rPr>
                <w:sz w:val="20"/>
                <w:szCs w:val="20"/>
                <w:color w:val="auto"/>
              </w:rPr>
            </w:pPr>
            <w:r>
              <w:rPr>
                <w:rFonts w:ascii="Arial" w:cs="Arial" w:eastAsia="Arial" w:hAnsi="Arial"/>
                <w:sz w:val="17"/>
                <w:szCs w:val="17"/>
                <w:b w:val="1"/>
                <w:bCs w:val="1"/>
                <w:color w:val="auto"/>
              </w:rPr>
              <w:t>Net profit used for diluted earnings per share</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47,152</w:t>
            </w:r>
          </w:p>
        </w:tc>
        <w:tc>
          <w:tcPr>
            <w:tcW w:w="24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63,860</w:t>
            </w:r>
          </w:p>
        </w:tc>
        <w:tc>
          <w:tcPr>
            <w:tcW w:w="320" w:type="dxa"/>
            <w:vAlign w:val="bottom"/>
            <w:gridSpan w:val="2"/>
          </w:tcPr>
          <w:p>
            <w:pPr>
              <w:jc w:val="right"/>
              <w:ind w:right="54"/>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20,936</w:t>
            </w:r>
          </w:p>
        </w:tc>
        <w:tc>
          <w:tcPr>
            <w:tcW w:w="280" w:type="dxa"/>
            <w:vAlign w:val="bottom"/>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37,742</w:t>
            </w: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6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6080" w:type="dxa"/>
            <w:vAlign w:val="bottom"/>
          </w:tcPr>
          <w:p>
            <w:pPr>
              <w:ind w:left="160"/>
              <w:spacing w:after="0"/>
              <w:rPr>
                <w:sz w:val="20"/>
                <w:szCs w:val="20"/>
                <w:color w:val="auto"/>
              </w:rPr>
            </w:pPr>
            <w:r>
              <w:rPr>
                <w:rFonts w:ascii="Arial" w:cs="Arial" w:eastAsia="Arial" w:hAnsi="Arial"/>
                <w:sz w:val="17"/>
                <w:szCs w:val="17"/>
                <w:b w:val="1"/>
                <w:bCs w:val="1"/>
                <w:color w:val="auto"/>
              </w:rPr>
              <w:t>Weighted average number of ordinary shares outstanding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608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used for diluted earnings per share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107,078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101,090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107,178</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101,066</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See 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233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640" w:right="239" w:bottom="1440" w:gutter="0" w:footer="0" w:header="0"/>
        </w:sectPr>
      </w:pPr>
    </w:p>
    <w:bookmarkStart w:id="7" w:name="page8"/>
    <w:bookmarkEnd w:id="7"/>
    <w:p>
      <w:pPr>
        <w:jc w:val="center"/>
        <w:spacing w:after="0" w:line="284" w:lineRule="auto"/>
        <w:rPr>
          <w:sz w:val="20"/>
          <w:szCs w:val="20"/>
          <w:color w:val="auto"/>
        </w:rPr>
      </w:pPr>
      <w:r>
        <w:rPr>
          <w:rFonts w:ascii="Arial" w:cs="Arial" w:eastAsia="Arial" w:hAnsi="Arial"/>
          <w:sz w:val="17"/>
          <w:szCs w:val="17"/>
          <w:b w:val="1"/>
          <w:bCs w:val="1"/>
          <w:color w:val="auto"/>
        </w:rPr>
        <w:t xml:space="preserve">TOWER SEMICONDUCTOR LTD. AND SUBSIDIARIES CONDENSED INTERIM CONSOLIDATED STATEMENTS OF COMPREHENSIVE INCOME (UNAUDITED) </w:t>
      </w:r>
      <w:r>
        <w:rPr>
          <w:rFonts w:ascii="Arial" w:cs="Arial" w:eastAsia="Arial" w:hAnsi="Arial"/>
          <w:sz w:val="17"/>
          <w:szCs w:val="17"/>
          <w:color w:val="auto"/>
        </w:rPr>
        <w:t>(dollars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right"/>
              <w:ind w:right="760"/>
              <w:spacing w:after="0"/>
              <w:rPr>
                <w:sz w:val="20"/>
                <w:szCs w:val="20"/>
                <w:color w:val="auto"/>
              </w:rPr>
            </w:pPr>
            <w:r>
              <w:rPr>
                <w:rFonts w:ascii="Arial" w:cs="Arial" w:eastAsia="Arial" w:hAnsi="Arial"/>
                <w:sz w:val="17"/>
                <w:szCs w:val="17"/>
                <w:b w:val="1"/>
                <w:bCs w:val="1"/>
                <w:color w:val="auto"/>
              </w:rPr>
              <w:t>Six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580"/>
              <w:spacing w:after="0"/>
              <w:rPr>
                <w:sz w:val="20"/>
                <w:szCs w:val="20"/>
                <w:color w:val="auto"/>
              </w:rPr>
            </w:pPr>
            <w:r>
              <w:rPr>
                <w:rFonts w:ascii="Arial" w:cs="Arial" w:eastAsia="Arial" w:hAnsi="Arial"/>
                <w:sz w:val="17"/>
                <w:szCs w:val="17"/>
                <w:b w:val="1"/>
                <w:bCs w:val="1"/>
                <w:color w:val="auto"/>
              </w:rPr>
              <w:t>Three months ended</w:t>
            </w:r>
          </w:p>
        </w:tc>
      </w:tr>
      <w:tr>
        <w:trPr>
          <w:trHeight w:val="232"/>
        </w:trPr>
        <w:tc>
          <w:tcPr>
            <w:tcW w:w="5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7"/>
                <w:szCs w:val="17"/>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5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2019</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2019</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8"/>
                <w:szCs w:val="18"/>
                <w:color w:val="auto"/>
              </w:rPr>
            </w:pPr>
          </w:p>
        </w:tc>
      </w:tr>
      <w:tr>
        <w:trPr>
          <w:trHeight w:val="207"/>
        </w:trPr>
        <w:tc>
          <w:tcPr>
            <w:tcW w:w="572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07"/>
        </w:trPr>
        <w:tc>
          <w:tcPr>
            <w:tcW w:w="57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Net profit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46,122</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63,190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19,722</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36,009</w:t>
            </w:r>
          </w:p>
        </w:tc>
      </w:tr>
      <w:tr>
        <w:trPr>
          <w:trHeight w:val="207"/>
        </w:trPr>
        <w:tc>
          <w:tcPr>
            <w:tcW w:w="5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57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Other comprehensive income, net of tax:</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5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07"/>
        </w:trPr>
        <w:tc>
          <w:tcPr>
            <w:tcW w:w="572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Foreign currency translation adjustment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2,672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2,301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4,323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(5,689)</w:t>
            </w:r>
          </w:p>
        </w:tc>
      </w:tr>
      <w:tr>
        <w:trPr>
          <w:trHeight w:val="207"/>
        </w:trPr>
        <w:tc>
          <w:tcPr>
            <w:tcW w:w="5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07"/>
        </w:trPr>
        <w:tc>
          <w:tcPr>
            <w:tcW w:w="572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w w:val="94"/>
              </w:rPr>
              <w:t>Change in employees plan assets and benefit obligations, net of taxes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115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172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(217)</w:t>
            </w:r>
          </w:p>
        </w:tc>
      </w:tr>
      <w:tr>
        <w:trPr>
          <w:trHeight w:val="207"/>
        </w:trPr>
        <w:tc>
          <w:tcPr>
            <w:tcW w:w="5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3"/>
        </w:trPr>
        <w:tc>
          <w:tcPr>
            <w:tcW w:w="572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Unrealized gain (loss) on derivatives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1,639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(814)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(431)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117</w:t>
            </w:r>
          </w:p>
        </w:tc>
      </w:tr>
      <w:tr>
        <w:trPr>
          <w:trHeight w:val="207"/>
        </w:trPr>
        <w:tc>
          <w:tcPr>
            <w:tcW w:w="57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7"/>
        </w:trPr>
        <w:tc>
          <w:tcPr>
            <w:tcW w:w="5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Comprehensive income</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50,548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64,242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23,786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30,220</w:t>
            </w:r>
          </w:p>
        </w:tc>
      </w:tr>
      <w:tr>
        <w:trPr>
          <w:trHeight w:val="207"/>
        </w:trPr>
        <w:tc>
          <w:tcPr>
            <w:tcW w:w="5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3"/>
        </w:trPr>
        <w:tc>
          <w:tcPr>
            <w:tcW w:w="57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w w:val="99"/>
              </w:rPr>
              <w:t>Comprehensive loss (income) attributable to non-controlling interest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(496)</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(576)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(939)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4,768</w:t>
            </w:r>
          </w:p>
        </w:tc>
      </w:tr>
      <w:tr>
        <w:trPr>
          <w:trHeight w:val="207"/>
        </w:trPr>
        <w:tc>
          <w:tcPr>
            <w:tcW w:w="57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7"/>
        </w:trPr>
        <w:tc>
          <w:tcPr>
            <w:tcW w:w="5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Comprehensive income attributable to the Company</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50,052</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63,666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22,847</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34,988</w:t>
            </w:r>
          </w:p>
        </w:tc>
      </w:tr>
      <w:tr>
        <w:trPr>
          <w:trHeight w:val="459"/>
        </w:trPr>
        <w:tc>
          <w:tcPr>
            <w:tcW w:w="572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See notes to consolidated financial statements.</w:t>
            </w: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233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8" w:name="page9"/>
    <w:bookmarkEnd w:id="8"/>
    <w:p>
      <w:pPr>
        <w:jc w:val="center"/>
        <w:ind w:right="80"/>
        <w:spacing w:after="0" w:line="284" w:lineRule="auto"/>
        <w:rPr>
          <w:sz w:val="20"/>
          <w:szCs w:val="20"/>
          <w:color w:val="auto"/>
        </w:rPr>
      </w:pPr>
      <w:r>
        <w:rPr>
          <w:rFonts w:ascii="Arial" w:cs="Arial" w:eastAsia="Arial" w:hAnsi="Arial"/>
          <w:sz w:val="17"/>
          <w:szCs w:val="17"/>
          <w:b w:val="1"/>
          <w:bCs w:val="1"/>
          <w:color w:val="auto"/>
        </w:rPr>
        <w:t>TOWER SEMICONDUCTOR LTD. AND SUBSIDIARIES CONDENSED INTERIM STATEMENT OF CHANGES IN SHAREHOLDERS' EQUITY (UNAUDITED) (dollars and share data 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gridSpan w:val="17"/>
          </w:tcPr>
          <w:p>
            <w:pPr>
              <w:jc w:val="right"/>
              <w:ind w:right="480"/>
              <w:spacing w:after="0"/>
              <w:rPr>
                <w:sz w:val="20"/>
                <w:szCs w:val="20"/>
                <w:color w:val="auto"/>
              </w:rPr>
            </w:pPr>
            <w:r>
              <w:rPr>
                <w:rFonts w:ascii="Arial" w:cs="Arial" w:eastAsia="Arial" w:hAnsi="Arial"/>
                <w:sz w:val="16"/>
                <w:szCs w:val="16"/>
                <w:b w:val="1"/>
                <w:bCs w:val="1"/>
                <w:color w:val="auto"/>
              </w:rPr>
              <w:t>THE COMPANY'S SHAREHOLDERS' EQUITY</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7"/>
              </w:rPr>
              <w:t>Accumulated</w:t>
            </w:r>
          </w:p>
        </w:tc>
        <w:tc>
          <w:tcPr>
            <w:tcW w:w="80" w:type="dxa"/>
            <w:vAlign w:val="bottom"/>
          </w:tcPr>
          <w:p>
            <w:pPr>
              <w:spacing w:after="0"/>
              <w:rPr>
                <w:sz w:val="20"/>
                <w:szCs w:val="20"/>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Foreign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7"/>
        </w:trPr>
        <w:tc>
          <w:tcPr>
            <w:tcW w:w="1340" w:type="dxa"/>
            <w:vAlign w:val="bottom"/>
          </w:tcPr>
          <w:p>
            <w:pPr>
              <w:spacing w:after="0"/>
              <w:rPr>
                <w:sz w:val="18"/>
                <w:szCs w:val="18"/>
                <w:color w:val="auto"/>
              </w:rPr>
            </w:pPr>
          </w:p>
        </w:tc>
        <w:tc>
          <w:tcPr>
            <w:tcW w:w="1420" w:type="dxa"/>
            <w:vAlign w:val="bottom"/>
            <w:gridSpan w:val="5"/>
          </w:tcPr>
          <w:p>
            <w:pPr>
              <w:ind w:left="20"/>
              <w:spacing w:after="0"/>
              <w:rPr>
                <w:sz w:val="20"/>
                <w:szCs w:val="20"/>
                <w:color w:val="auto"/>
              </w:rPr>
            </w:pPr>
            <w:r>
              <w:rPr>
                <w:rFonts w:ascii="Arial" w:cs="Arial" w:eastAsia="Arial" w:hAnsi="Arial"/>
                <w:sz w:val="16"/>
                <w:szCs w:val="16"/>
                <w:b w:val="1"/>
                <w:bCs w:val="1"/>
                <w:color w:val="auto"/>
              </w:rPr>
              <w:t>Ordinary Ordinary</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Additional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other</w:t>
            </w:r>
          </w:p>
        </w:tc>
        <w:tc>
          <w:tcPr>
            <w:tcW w:w="80" w:type="dxa"/>
            <w:vAlign w:val="bottom"/>
          </w:tcPr>
          <w:p>
            <w:pPr>
              <w:spacing w:after="0"/>
              <w:rPr>
                <w:sz w:val="18"/>
                <w:szCs w:val="18"/>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currency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Non</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7"/>
        </w:trPr>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6"/>
                <w:szCs w:val="16"/>
                <w:b w:val="1"/>
                <w:bCs w:val="1"/>
                <w:color w:val="auto"/>
                <w:w w:val="96"/>
              </w:rPr>
              <w:t>shares</w:t>
            </w:r>
          </w:p>
        </w:tc>
        <w:tc>
          <w:tcPr>
            <w:tcW w:w="80" w:type="dxa"/>
            <w:vAlign w:val="bottom"/>
          </w:tcPr>
          <w:p>
            <w:pPr>
              <w:spacing w:after="0"/>
              <w:rPr>
                <w:sz w:val="18"/>
                <w:szCs w:val="18"/>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1"/>
              </w:rPr>
              <w:t>shares</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1"/>
              </w:rPr>
              <w:t>paid-in</w:t>
            </w:r>
          </w:p>
        </w:tc>
        <w:tc>
          <w:tcPr>
            <w:tcW w:w="2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7"/>
              </w:rPr>
              <w:t>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Unearned</w:t>
            </w:r>
          </w:p>
        </w:tc>
        <w:tc>
          <w:tcPr>
            <w:tcW w:w="112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85"/>
              </w:rPr>
              <w:t>comprehensive</w:t>
            </w:r>
          </w:p>
        </w:tc>
        <w:tc>
          <w:tcPr>
            <w:tcW w:w="8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7"/>
              </w:rPr>
              <w:t>translation</w:t>
            </w:r>
          </w:p>
        </w:tc>
        <w:tc>
          <w:tcPr>
            <w:tcW w:w="3580" w:type="dxa"/>
            <w:vAlign w:val="bottom"/>
            <w:gridSpan w:val="14"/>
          </w:tcPr>
          <w:p>
            <w:pPr>
              <w:ind w:left="20"/>
              <w:spacing w:after="0"/>
              <w:rPr>
                <w:sz w:val="20"/>
                <w:szCs w:val="20"/>
                <w:color w:val="auto"/>
              </w:rPr>
            </w:pPr>
            <w:r>
              <w:rPr>
                <w:rFonts w:ascii="Arial" w:cs="Arial" w:eastAsia="Arial" w:hAnsi="Arial"/>
                <w:sz w:val="16"/>
                <w:szCs w:val="16"/>
                <w:b w:val="1"/>
                <w:bCs w:val="1"/>
                <w:color w:val="auto"/>
                <w:w w:val="92"/>
              </w:rPr>
              <w:t>Accumulated Treasury Comprehensive controlling</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6"/>
                <w:szCs w:val="16"/>
                <w:b w:val="1"/>
                <w:bCs w:val="1"/>
                <w:color w:val="auto"/>
                <w:w w:val="98"/>
              </w:rPr>
              <w:t>issued</w:t>
            </w:r>
          </w:p>
        </w:tc>
        <w:tc>
          <w:tcPr>
            <w:tcW w:w="80" w:type="dxa"/>
            <w:vAlign w:val="bottom"/>
          </w:tcPr>
          <w:p>
            <w:pPr>
              <w:spacing w:after="0"/>
              <w:rPr>
                <w:sz w:val="18"/>
                <w:szCs w:val="18"/>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amount</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84"/>
              </w:rPr>
              <w:t>notes</w:t>
            </w:r>
          </w:p>
        </w:tc>
        <w:tc>
          <w:tcPr>
            <w:tcW w:w="960" w:type="dxa"/>
            <w:vAlign w:val="bottom"/>
            <w:gridSpan w:val="4"/>
          </w:tcPr>
          <w:p>
            <w:pPr>
              <w:ind w:left="20"/>
              <w:spacing w:after="0"/>
              <w:rPr>
                <w:sz w:val="20"/>
                <w:szCs w:val="20"/>
                <w:color w:val="auto"/>
              </w:rPr>
            </w:pPr>
            <w:r>
              <w:rPr>
                <w:rFonts w:ascii="Arial" w:cs="Arial" w:eastAsia="Arial" w:hAnsi="Arial"/>
                <w:sz w:val="16"/>
                <w:szCs w:val="16"/>
                <w:b w:val="1"/>
                <w:bCs w:val="1"/>
                <w:color w:val="auto"/>
                <w:w w:val="84"/>
              </w:rPr>
              <w:t>compensation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income</w:t>
            </w:r>
          </w:p>
        </w:tc>
        <w:tc>
          <w:tcPr>
            <w:tcW w:w="8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4"/>
              </w:rPr>
              <w:t>adjustments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deficit</w:t>
            </w:r>
          </w:p>
        </w:tc>
        <w:tc>
          <w:tcPr>
            <w:tcW w:w="76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w w:val="81"/>
              </w:rPr>
              <w:t>stock</w:t>
            </w: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income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6"/>
              </w:rPr>
              <w:t>interest</w:t>
            </w:r>
          </w:p>
        </w:tc>
        <w:tc>
          <w:tcPr>
            <w:tcW w:w="74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r>
      <w:tr>
        <w:trPr>
          <w:trHeight w:val="207"/>
        </w:trPr>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80"/>
        </w:trPr>
        <w:tc>
          <w:tcPr>
            <w:tcW w:w="1340" w:type="dxa"/>
            <w:vAlign w:val="bottom"/>
            <w:shd w:val="clear" w:color="auto" w:fill="CCEEFF"/>
          </w:tcPr>
          <w:p>
            <w:pPr>
              <w:ind w:left="320"/>
              <w:spacing w:after="0" w:line="181" w:lineRule="exact"/>
              <w:rPr>
                <w:sz w:val="20"/>
                <w:szCs w:val="20"/>
                <w:color w:val="auto"/>
              </w:rPr>
            </w:pPr>
            <w:r>
              <w:rPr>
                <w:rFonts w:ascii="Arial" w:cs="Arial" w:eastAsia="Arial" w:hAnsi="Arial"/>
                <w:sz w:val="16"/>
                <w:szCs w:val="16"/>
                <w:b w:val="1"/>
                <w:bCs w:val="1"/>
                <w:color w:val="auto"/>
                <w:w w:val="95"/>
              </w:rPr>
              <w:t>BALANCE AS</w:t>
            </w: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94"/>
        </w:trPr>
        <w:tc>
          <w:tcPr>
            <w:tcW w:w="13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OF</w:t>
            </w: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4"/>
        </w:trPr>
        <w:tc>
          <w:tcPr>
            <w:tcW w:w="13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JANUARY 1,</w:t>
            </w: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8"/>
        </w:trPr>
        <w:tc>
          <w:tcPr>
            <w:tcW w:w="13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2019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105,066</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95"/>
              </w:rPr>
              <w:t>$ 418,492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7"/>
              </w:rPr>
              <w:t>$ 1,380,396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20,758</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93,226</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(672)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(22,716)</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(637,446) $</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(9,072)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(6,761)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4"/>
              </w:rPr>
              <w:t>$1,236,205</w:t>
            </w:r>
          </w:p>
        </w:tc>
      </w:tr>
      <w:tr>
        <w:trPr>
          <w:trHeight w:val="207"/>
        </w:trPr>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0"/>
        </w:trPr>
        <w:tc>
          <w:tcPr>
            <w:tcW w:w="134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w w:val="87"/>
              </w:rPr>
              <w:t>Changes during the</w:t>
            </w: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8"/>
        </w:trPr>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period:</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7"/>
        </w:trPr>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0"/>
        </w:trPr>
        <w:tc>
          <w:tcPr>
            <w:tcW w:w="134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w w:val="89"/>
              </w:rPr>
              <w:t>Exercise of options</w:t>
            </w: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8"/>
        </w:trPr>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and RSUs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271</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1,127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397</w:t>
            </w:r>
          </w:p>
        </w:tc>
      </w:tr>
      <w:tr>
        <w:trPr>
          <w:trHeight w:val="180"/>
        </w:trPr>
        <w:tc>
          <w:tcPr>
            <w:tcW w:w="1340" w:type="dxa"/>
            <w:vAlign w:val="bottom"/>
          </w:tcPr>
          <w:p>
            <w:pPr>
              <w:spacing w:after="0" w:line="181" w:lineRule="exact"/>
              <w:rPr>
                <w:sz w:val="20"/>
                <w:szCs w:val="20"/>
                <w:color w:val="auto"/>
              </w:rPr>
            </w:pPr>
            <w:r>
              <w:rPr>
                <w:rFonts w:ascii="Arial" w:cs="Arial" w:eastAsia="Arial" w:hAnsi="Arial"/>
                <w:sz w:val="16"/>
                <w:szCs w:val="16"/>
                <w:b w:val="1"/>
                <w:bCs w:val="1"/>
                <w:color w:val="auto"/>
              </w:rPr>
              <w:t>Capital notes</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4"/>
        </w:trPr>
        <w:tc>
          <w:tcPr>
            <w:tcW w:w="1340" w:type="dxa"/>
            <w:vAlign w:val="bottom"/>
          </w:tcPr>
          <w:p>
            <w:pPr>
              <w:spacing w:after="0"/>
              <w:rPr>
                <w:sz w:val="20"/>
                <w:szCs w:val="20"/>
                <w:color w:val="auto"/>
              </w:rPr>
            </w:pPr>
            <w:r>
              <w:rPr>
                <w:rFonts w:ascii="Arial" w:cs="Arial" w:eastAsia="Arial" w:hAnsi="Arial"/>
                <w:sz w:val="16"/>
                <w:szCs w:val="16"/>
                <w:b w:val="1"/>
                <w:bCs w:val="1"/>
                <w:color w:val="auto"/>
              </w:rPr>
              <w:t>converted into</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6"/>
        </w:trPr>
        <w:tc>
          <w:tcPr>
            <w:tcW w:w="1340" w:type="dxa"/>
            <w:vAlign w:val="bottom"/>
          </w:tcPr>
          <w:p>
            <w:pPr>
              <w:spacing w:after="0"/>
              <w:rPr>
                <w:sz w:val="20"/>
                <w:szCs w:val="20"/>
                <w:color w:val="auto"/>
              </w:rPr>
            </w:pPr>
            <w:r>
              <w:rPr>
                <w:rFonts w:ascii="Arial" w:cs="Arial" w:eastAsia="Arial" w:hAnsi="Arial"/>
                <w:sz w:val="16"/>
                <w:szCs w:val="16"/>
                <w:b w:val="1"/>
                <w:bCs w:val="1"/>
                <w:color w:val="auto"/>
              </w:rPr>
              <w:t>share capital</w:t>
            </w:r>
          </w:p>
        </w:tc>
        <w:tc>
          <w:tcPr>
            <w:tcW w:w="640" w:type="dxa"/>
            <w:vAlign w:val="bottom"/>
            <w:gridSpan w:val="2"/>
          </w:tcPr>
          <w:p>
            <w:pPr>
              <w:jc w:val="right"/>
              <w:spacing w:after="0"/>
              <w:rPr>
                <w:sz w:val="20"/>
                <w:szCs w:val="20"/>
                <w:color w:val="auto"/>
              </w:rPr>
            </w:pPr>
            <w:r>
              <w:rPr>
                <w:rFonts w:ascii="Arial" w:cs="Arial" w:eastAsia="Arial" w:hAnsi="Arial"/>
                <w:sz w:val="16"/>
                <w:szCs w:val="16"/>
                <w:b w:val="1"/>
                <w:bCs w:val="1"/>
                <w:color w:val="auto"/>
              </w:rPr>
              <w:t>1,181</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4,892</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15,866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87"/>
              </w:rPr>
              <w:t>(20,758)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r>
      <w:tr>
        <w:trPr>
          <w:trHeight w:val="183"/>
        </w:trPr>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Employee stock-</w:t>
            </w: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94"/>
        </w:trPr>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based</w:t>
            </w: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8"/>
        </w:trPr>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compensation</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7,707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7,707</w:t>
            </w:r>
          </w:p>
        </w:tc>
      </w:tr>
      <w:tr>
        <w:trPr>
          <w:trHeight w:val="205"/>
        </w:trPr>
        <w:tc>
          <w:tcPr>
            <w:tcW w:w="1340" w:type="dxa"/>
            <w:vAlign w:val="bottom"/>
          </w:tcPr>
          <w:p>
            <w:pPr>
              <w:ind w:left="320"/>
              <w:spacing w:after="0"/>
              <w:rPr>
                <w:sz w:val="20"/>
                <w:szCs w:val="20"/>
                <w:color w:val="auto"/>
              </w:rPr>
            </w:pPr>
            <w:r>
              <w:rPr>
                <w:rFonts w:ascii="Arial" w:cs="Arial" w:eastAsia="Arial" w:hAnsi="Arial"/>
                <w:sz w:val="16"/>
                <w:szCs w:val="16"/>
                <w:b w:val="1"/>
                <w:bCs w:val="1"/>
                <w:color w:val="auto"/>
              </w:rPr>
              <w:t>Profit</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47,152</w:t>
            </w:r>
          </w:p>
        </w:tc>
        <w:tc>
          <w:tcPr>
            <w:tcW w:w="100" w:type="dxa"/>
            <w:vAlign w:val="bottom"/>
          </w:tcPr>
          <w:p>
            <w:pPr>
              <w:spacing w:after="0"/>
              <w:rPr>
                <w:sz w:val="17"/>
                <w:szCs w:val="17"/>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47,152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(1,030)</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46,122</w:t>
            </w:r>
          </w:p>
        </w:tc>
      </w:tr>
      <w:tr>
        <w:trPr>
          <w:trHeight w:val="183"/>
        </w:trPr>
        <w:tc>
          <w:tcPr>
            <w:tcW w:w="134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b w:val="1"/>
                <w:bCs w:val="1"/>
                <w:color w:val="auto"/>
              </w:rPr>
              <w:t>Foreign</w:t>
            </w: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94"/>
        </w:trPr>
        <w:tc>
          <w:tcPr>
            <w:tcW w:w="13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currency</w:t>
            </w: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4"/>
        </w:trPr>
        <w:tc>
          <w:tcPr>
            <w:tcW w:w="13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translation</w:t>
            </w: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8"/>
        </w:trPr>
        <w:tc>
          <w:tcPr>
            <w:tcW w:w="13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adjustments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1,146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1,526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2,672</w:t>
            </w:r>
          </w:p>
        </w:tc>
      </w:tr>
      <w:tr>
        <w:trPr>
          <w:trHeight w:val="180"/>
        </w:trPr>
        <w:tc>
          <w:tcPr>
            <w:tcW w:w="1340" w:type="dxa"/>
            <w:vAlign w:val="bottom"/>
          </w:tcPr>
          <w:p>
            <w:pPr>
              <w:ind w:left="320"/>
              <w:spacing w:after="0" w:line="181" w:lineRule="exact"/>
              <w:rPr>
                <w:sz w:val="20"/>
                <w:szCs w:val="20"/>
                <w:color w:val="auto"/>
              </w:rPr>
            </w:pPr>
            <w:r>
              <w:rPr>
                <w:rFonts w:ascii="Arial" w:cs="Arial" w:eastAsia="Arial" w:hAnsi="Arial"/>
                <w:sz w:val="16"/>
                <w:szCs w:val="16"/>
                <w:b w:val="1"/>
                <w:bCs w:val="1"/>
                <w:color w:val="auto"/>
              </w:rPr>
              <w:t>Change in</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4"/>
        </w:trPr>
        <w:tc>
          <w:tcPr>
            <w:tcW w:w="1340" w:type="dxa"/>
            <w:vAlign w:val="bottom"/>
          </w:tcPr>
          <w:p>
            <w:pPr>
              <w:ind w:left="320"/>
              <w:spacing w:after="0"/>
              <w:rPr>
                <w:sz w:val="20"/>
                <w:szCs w:val="20"/>
                <w:color w:val="auto"/>
              </w:rPr>
            </w:pPr>
            <w:r>
              <w:rPr>
                <w:rFonts w:ascii="Arial" w:cs="Arial" w:eastAsia="Arial" w:hAnsi="Arial"/>
                <w:sz w:val="16"/>
                <w:szCs w:val="16"/>
                <w:b w:val="1"/>
                <w:bCs w:val="1"/>
                <w:color w:val="auto"/>
              </w:rPr>
              <w:t>employees</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1340" w:type="dxa"/>
            <w:vAlign w:val="bottom"/>
          </w:tcPr>
          <w:p>
            <w:pPr>
              <w:ind w:left="320"/>
              <w:spacing w:after="0"/>
              <w:rPr>
                <w:sz w:val="20"/>
                <w:szCs w:val="20"/>
                <w:color w:val="auto"/>
              </w:rPr>
            </w:pPr>
            <w:r>
              <w:rPr>
                <w:rFonts w:ascii="Arial" w:cs="Arial" w:eastAsia="Arial" w:hAnsi="Arial"/>
                <w:sz w:val="16"/>
                <w:szCs w:val="16"/>
                <w:b w:val="1"/>
                <w:bCs w:val="1"/>
                <w:color w:val="auto"/>
              </w:rPr>
              <w:t>plan assets</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1340" w:type="dxa"/>
            <w:vAlign w:val="bottom"/>
          </w:tcPr>
          <w:p>
            <w:pPr>
              <w:ind w:left="320"/>
              <w:spacing w:after="0"/>
              <w:rPr>
                <w:sz w:val="20"/>
                <w:szCs w:val="20"/>
                <w:color w:val="auto"/>
              </w:rPr>
            </w:pPr>
            <w:r>
              <w:rPr>
                <w:rFonts w:ascii="Arial" w:cs="Arial" w:eastAsia="Arial" w:hAnsi="Arial"/>
                <w:sz w:val="16"/>
                <w:szCs w:val="16"/>
                <w:b w:val="1"/>
                <w:bCs w:val="1"/>
                <w:color w:val="auto"/>
              </w:rPr>
              <w:t>and benefit</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6"/>
        </w:trPr>
        <w:tc>
          <w:tcPr>
            <w:tcW w:w="1340" w:type="dxa"/>
            <w:vAlign w:val="bottom"/>
          </w:tcPr>
          <w:p>
            <w:pPr>
              <w:ind w:left="320"/>
              <w:spacing w:after="0"/>
              <w:rPr>
                <w:sz w:val="20"/>
                <w:szCs w:val="20"/>
                <w:color w:val="auto"/>
              </w:rPr>
            </w:pPr>
            <w:r>
              <w:rPr>
                <w:rFonts w:ascii="Arial" w:cs="Arial" w:eastAsia="Arial" w:hAnsi="Arial"/>
                <w:sz w:val="16"/>
                <w:szCs w:val="16"/>
                <w:b w:val="1"/>
                <w:bCs w:val="1"/>
                <w:color w:val="auto"/>
              </w:rPr>
              <w:t>obligations</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115</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115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115</w:t>
            </w:r>
          </w:p>
        </w:tc>
      </w:tr>
      <w:tr>
        <w:trPr>
          <w:trHeight w:val="183"/>
        </w:trPr>
        <w:tc>
          <w:tcPr>
            <w:tcW w:w="13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Unrealized</w:t>
            </w: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94"/>
        </w:trPr>
        <w:tc>
          <w:tcPr>
            <w:tcW w:w="13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gain on</w:t>
            </w: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4"/>
        </w:trPr>
        <w:tc>
          <w:tcPr>
            <w:tcW w:w="1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derivatives</w:t>
            </w:r>
          </w:p>
        </w:tc>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1,639</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1,639</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1,639</w:t>
            </w:r>
          </w:p>
        </w:tc>
      </w:tr>
      <w:tr>
        <w:trPr>
          <w:trHeight w:val="180"/>
        </w:trPr>
        <w:tc>
          <w:tcPr>
            <w:tcW w:w="1340" w:type="dxa"/>
            <w:vAlign w:val="bottom"/>
          </w:tcPr>
          <w:p>
            <w:pPr>
              <w:spacing w:after="0" w:line="181" w:lineRule="exact"/>
              <w:rPr>
                <w:sz w:val="20"/>
                <w:szCs w:val="20"/>
                <w:color w:val="auto"/>
              </w:rPr>
            </w:pPr>
            <w:r>
              <w:rPr>
                <w:rFonts w:ascii="Arial" w:cs="Arial" w:eastAsia="Arial" w:hAnsi="Arial"/>
                <w:sz w:val="16"/>
                <w:szCs w:val="16"/>
                <w:b w:val="1"/>
                <w:bCs w:val="1"/>
                <w:color w:val="auto"/>
              </w:rPr>
              <w:t>Comprehensive</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6"/>
        </w:trPr>
        <w:tc>
          <w:tcPr>
            <w:tcW w:w="1340" w:type="dxa"/>
            <w:vAlign w:val="bottom"/>
          </w:tcPr>
          <w:p>
            <w:pPr>
              <w:spacing w:after="0"/>
              <w:rPr>
                <w:sz w:val="20"/>
                <w:szCs w:val="20"/>
                <w:color w:val="auto"/>
              </w:rPr>
            </w:pPr>
            <w:r>
              <w:rPr>
                <w:rFonts w:ascii="Arial" w:cs="Arial" w:eastAsia="Arial" w:hAnsi="Arial"/>
                <w:sz w:val="16"/>
                <w:szCs w:val="16"/>
                <w:b w:val="1"/>
                <w:bCs w:val="1"/>
                <w:color w:val="auto"/>
              </w:rPr>
              <w:t>income</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50,052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80"/>
        </w:trPr>
        <w:tc>
          <w:tcPr>
            <w:tcW w:w="1340" w:type="dxa"/>
            <w:vAlign w:val="bottom"/>
          </w:tcPr>
          <w:p>
            <w:pPr>
              <w:ind w:left="320"/>
              <w:spacing w:after="0" w:line="181" w:lineRule="exact"/>
              <w:rPr>
                <w:sz w:val="20"/>
                <w:szCs w:val="20"/>
                <w:color w:val="auto"/>
              </w:rPr>
            </w:pPr>
            <w:r>
              <w:rPr>
                <w:rFonts w:ascii="Arial" w:cs="Arial" w:eastAsia="Arial" w:hAnsi="Arial"/>
                <w:sz w:val="16"/>
                <w:szCs w:val="16"/>
                <w:b w:val="1"/>
                <w:bCs w:val="1"/>
                <w:color w:val="auto"/>
                <w:w w:val="95"/>
              </w:rPr>
              <w:t>BALANCE AS</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4"/>
        </w:trPr>
        <w:tc>
          <w:tcPr>
            <w:tcW w:w="1340" w:type="dxa"/>
            <w:vAlign w:val="bottom"/>
          </w:tcPr>
          <w:p>
            <w:pPr>
              <w:ind w:left="320"/>
              <w:spacing w:after="0"/>
              <w:rPr>
                <w:sz w:val="20"/>
                <w:szCs w:val="20"/>
                <w:color w:val="auto"/>
              </w:rPr>
            </w:pPr>
            <w:r>
              <w:rPr>
                <w:rFonts w:ascii="Arial" w:cs="Arial" w:eastAsia="Arial" w:hAnsi="Arial"/>
                <w:sz w:val="16"/>
                <w:szCs w:val="16"/>
                <w:b w:val="1"/>
                <w:bCs w:val="1"/>
                <w:color w:val="auto"/>
              </w:rPr>
              <w:t>OF JUNE 30,</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6"/>
        </w:trPr>
        <w:tc>
          <w:tcPr>
            <w:tcW w:w="1340" w:type="dxa"/>
            <w:vAlign w:val="bottom"/>
          </w:tcPr>
          <w:p>
            <w:pPr>
              <w:ind w:left="320"/>
              <w:spacing w:after="0"/>
              <w:rPr>
                <w:sz w:val="20"/>
                <w:szCs w:val="20"/>
                <w:color w:val="auto"/>
              </w:rPr>
            </w:pPr>
            <w:r>
              <w:rPr>
                <w:rFonts w:ascii="Arial" w:cs="Arial" w:eastAsia="Arial" w:hAnsi="Arial"/>
                <w:sz w:val="16"/>
                <w:szCs w:val="16"/>
                <w:b w:val="1"/>
                <w:bCs w:val="1"/>
                <w:color w:val="auto"/>
              </w:rPr>
              <w:t>2019</w:t>
            </w:r>
          </w:p>
        </w:tc>
        <w:tc>
          <w:tcPr>
            <w:tcW w:w="640" w:type="dxa"/>
            <w:vAlign w:val="bottom"/>
            <w:gridSpan w:val="2"/>
          </w:tcPr>
          <w:p>
            <w:pPr>
              <w:jc w:val="right"/>
              <w:spacing w:after="0"/>
              <w:rPr>
                <w:sz w:val="20"/>
                <w:szCs w:val="20"/>
                <w:color w:val="auto"/>
              </w:rPr>
            </w:pPr>
            <w:r>
              <w:rPr>
                <w:rFonts w:ascii="Arial" w:cs="Arial" w:eastAsia="Arial" w:hAnsi="Arial"/>
                <w:sz w:val="16"/>
                <w:szCs w:val="16"/>
                <w:b w:val="1"/>
                <w:bCs w:val="1"/>
                <w:color w:val="auto"/>
              </w:rPr>
              <w:t>106,518</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5"/>
              </w:rPr>
              <w:t>$ 424,511</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7"/>
              </w:rPr>
              <w:t>$ 1,395,532</w:t>
            </w:r>
          </w:p>
        </w:tc>
        <w:tc>
          <w:tcPr>
            <w:tcW w:w="10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20" w:type="dxa"/>
            <w:vAlign w:val="bottom"/>
            <w:gridSpan w:val="2"/>
          </w:tcPr>
          <w:p>
            <w:pPr>
              <w:ind w:left="20"/>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100,933</w:t>
            </w:r>
          </w:p>
        </w:tc>
        <w:tc>
          <w:tcPr>
            <w:tcW w:w="40" w:type="dxa"/>
            <w:vAlign w:val="bottom"/>
          </w:tcPr>
          <w:p>
            <w:pPr>
              <w:spacing w:after="0"/>
              <w:rPr>
                <w:sz w:val="17"/>
                <w:szCs w:val="17"/>
                <w:color w:val="auto"/>
              </w:rPr>
            </w:pPr>
          </w:p>
        </w:tc>
        <w:tc>
          <w:tcPr>
            <w:tcW w:w="20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1,082</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gridSpan w:val="4"/>
          </w:tcPr>
          <w:p>
            <w:pPr>
              <w:jc w:val="right"/>
              <w:ind w:right="80"/>
              <w:spacing w:after="0"/>
              <w:rPr>
                <w:sz w:val="20"/>
                <w:szCs w:val="20"/>
                <w:color w:val="auto"/>
              </w:rPr>
            </w:pPr>
            <w:r>
              <w:rPr>
                <w:rFonts w:ascii="Arial" w:cs="Arial" w:eastAsia="Arial" w:hAnsi="Arial"/>
                <w:sz w:val="16"/>
                <w:szCs w:val="16"/>
                <w:b w:val="1"/>
                <w:bCs w:val="1"/>
                <w:color w:val="auto"/>
              </w:rPr>
              <w:t>(21,570) $</w:t>
            </w:r>
          </w:p>
        </w:tc>
        <w:tc>
          <w:tcPr>
            <w:tcW w:w="9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(590,294) $</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(9,072)</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 xml:space="preserve">(6,265) </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1,294,857</w:t>
            </w:r>
          </w:p>
        </w:tc>
      </w:tr>
      <w:tr>
        <w:trPr>
          <w:trHeight w:val="22"/>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bl>
    <w:p>
      <w:pPr>
        <w:ind w:left="160"/>
        <w:spacing w:after="0"/>
        <w:rPr>
          <w:sz w:val="20"/>
          <w:szCs w:val="20"/>
          <w:color w:val="auto"/>
        </w:rPr>
      </w:pPr>
      <w:r>
        <w:rPr>
          <w:rFonts w:ascii="Arial" w:cs="Arial" w:eastAsia="Arial" w:hAnsi="Arial"/>
          <w:sz w:val="16"/>
          <w:szCs w:val="16"/>
          <w:b w:val="1"/>
          <w:bCs w:val="1"/>
          <w:color w:val="auto"/>
        </w:rPr>
        <w:t>OUTSTANDING</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SHARES, NET</w:t>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OF TREASURY</w:t>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STOCK</w:t>
      </w:r>
    </w:p>
    <w:p>
      <w:pPr>
        <w:ind w:left="160"/>
        <w:spacing w:after="0" w:line="212" w:lineRule="auto"/>
        <w:rPr>
          <w:sz w:val="20"/>
          <w:szCs w:val="20"/>
          <w:color w:val="auto"/>
        </w:rPr>
      </w:pPr>
      <w:r>
        <w:rPr>
          <w:rFonts w:ascii="Arial" w:cs="Arial" w:eastAsia="Arial" w:hAnsi="Arial"/>
          <w:sz w:val="16"/>
          <w:szCs w:val="16"/>
          <w:b w:val="1"/>
          <w:bCs w:val="1"/>
          <w:color w:val="auto"/>
        </w:rPr>
        <w:t>AS OF JUNE 30,</w:t>
      </w:r>
    </w:p>
    <w:p>
      <w:pPr>
        <w:ind w:left="160"/>
        <w:spacing w:after="0" w:line="183" w:lineRule="auto"/>
        <w:tabs>
          <w:tab w:leader="none" w:pos="1440" w:val="left"/>
        </w:tabs>
        <w:rPr>
          <w:sz w:val="20"/>
          <w:szCs w:val="20"/>
          <w:color w:val="auto"/>
        </w:rPr>
      </w:pPr>
      <w:r>
        <w:rPr>
          <w:rFonts w:ascii="Arial" w:cs="Arial" w:eastAsia="Arial" w:hAnsi="Arial"/>
          <w:sz w:val="21"/>
          <w:szCs w:val="21"/>
          <w:b w:val="1"/>
          <w:bCs w:val="1"/>
          <w:color w:val="auto"/>
          <w:vertAlign w:val="subscript"/>
        </w:rPr>
        <w:t>2019</w:t>
      </w:r>
      <w:r>
        <w:rPr>
          <w:sz w:val="20"/>
          <w:szCs w:val="20"/>
          <w:color w:val="auto"/>
        </w:rPr>
        <w:tab/>
      </w:r>
      <w:r>
        <w:rPr>
          <w:rFonts w:ascii="Arial" w:cs="Arial" w:eastAsia="Arial" w:hAnsi="Arial"/>
          <w:sz w:val="12"/>
          <w:szCs w:val="12"/>
          <w:b w:val="1"/>
          <w:bCs w:val="1"/>
          <w:u w:val="single" w:color="auto"/>
          <w:color w:val="auto"/>
        </w:rPr>
        <w:t>106,432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29210</wp:posOffset>
            </wp:positionV>
            <wp:extent cx="3949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497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See 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233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520"/>
          </w:cols>
          <w:pgMar w:left="240" w:top="640" w:right="139" w:bottom="1440" w:gutter="0" w:footer="0" w:header="0"/>
        </w:sectPr>
      </w:pPr>
    </w:p>
    <w:bookmarkStart w:id="9" w:name="page10"/>
    <w:bookmarkEnd w:id="9"/>
    <w:p>
      <w:pPr>
        <w:jc w:val="center"/>
        <w:spacing w:after="0" w:line="284" w:lineRule="auto"/>
        <w:rPr>
          <w:sz w:val="20"/>
          <w:szCs w:val="20"/>
          <w:color w:val="auto"/>
        </w:rPr>
      </w:pPr>
      <w:r>
        <w:rPr>
          <w:rFonts w:ascii="Arial" w:cs="Arial" w:eastAsia="Arial" w:hAnsi="Arial"/>
          <w:sz w:val="17"/>
          <w:szCs w:val="17"/>
          <w:b w:val="1"/>
          <w:bCs w:val="1"/>
          <w:color w:val="auto"/>
        </w:rPr>
        <w:t xml:space="preserve">TOWER SEMICONDUCTOR LTD. AND SUBSIDIARIES CONDENSED INTERIM CONSOLIDATED STATEMENTS OF CASH FLOWS (UNAUDITED) </w:t>
      </w:r>
      <w:r>
        <w:rPr>
          <w:rFonts w:ascii="Arial" w:cs="Arial" w:eastAsia="Arial" w:hAnsi="Arial"/>
          <w:sz w:val="17"/>
          <w:szCs w:val="17"/>
          <w:color w:val="auto"/>
        </w:rPr>
        <w:t>(dollars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right"/>
              <w:ind w:right="700"/>
              <w:spacing w:after="0"/>
              <w:rPr>
                <w:sz w:val="20"/>
                <w:szCs w:val="20"/>
                <w:color w:val="auto"/>
              </w:rPr>
            </w:pPr>
            <w:r>
              <w:rPr>
                <w:rFonts w:ascii="Arial" w:cs="Arial" w:eastAsia="Arial" w:hAnsi="Arial"/>
                <w:sz w:val="17"/>
                <w:szCs w:val="17"/>
                <w:b w:val="1"/>
                <w:bCs w:val="1"/>
                <w:color w:val="auto"/>
              </w:rPr>
              <w:t>Six months ended</w:t>
            </w:r>
          </w:p>
        </w:tc>
      </w:tr>
      <w:tr>
        <w:trPr>
          <w:trHeight w:val="232"/>
        </w:trPr>
        <w:tc>
          <w:tcPr>
            <w:tcW w:w="8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800" w:type="dxa"/>
            <w:vAlign w:val="bottom"/>
          </w:tcPr>
          <w:p>
            <w:pPr>
              <w:spacing w:after="0"/>
              <w:rPr>
                <w:sz w:val="20"/>
                <w:szCs w:val="20"/>
                <w:color w:val="auto"/>
              </w:rPr>
            </w:pPr>
            <w:r>
              <w:rPr>
                <w:rFonts w:ascii="Arial" w:cs="Arial" w:eastAsia="Arial" w:hAnsi="Arial"/>
                <w:sz w:val="17"/>
                <w:szCs w:val="17"/>
                <w:b w:val="1"/>
                <w:bCs w:val="1"/>
                <w:color w:val="auto"/>
              </w:rPr>
              <w:t>CASH FLOWS - OPERATING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2019</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8"/>
                <w:szCs w:val="18"/>
                <w:color w:val="auto"/>
              </w:rPr>
            </w:pPr>
          </w:p>
        </w:tc>
      </w:tr>
      <w:tr>
        <w:trPr>
          <w:trHeight w:val="207"/>
        </w:trPr>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07"/>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Net profit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46,122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63,190</w:t>
            </w:r>
          </w:p>
        </w:tc>
      </w:tr>
      <w:tr>
        <w:trPr>
          <w:trHeight w:val="207"/>
        </w:trPr>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Adjustments to reconcile net profit for the period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8800" w:type="dxa"/>
            <w:vAlign w:val="bottom"/>
          </w:tcPr>
          <w:p>
            <w:pPr>
              <w:ind w:left="320"/>
              <w:spacing w:after="0"/>
              <w:rPr>
                <w:sz w:val="20"/>
                <w:szCs w:val="20"/>
                <w:color w:val="auto"/>
              </w:rPr>
            </w:pPr>
            <w:r>
              <w:rPr>
                <w:rFonts w:ascii="Arial" w:cs="Arial" w:eastAsia="Arial" w:hAnsi="Arial"/>
                <w:sz w:val="17"/>
                <w:szCs w:val="17"/>
                <w:b w:val="1"/>
                <w:bCs w:val="1"/>
                <w:color w:val="auto"/>
              </w:rPr>
              <w:t>to net cash provided by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88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Income and expense items not involving cash flows: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8800" w:type="dxa"/>
            <w:vAlign w:val="bottom"/>
          </w:tcPr>
          <w:p>
            <w:pPr>
              <w:ind w:left="620"/>
              <w:spacing w:after="0"/>
              <w:rPr>
                <w:sz w:val="20"/>
                <w:szCs w:val="20"/>
                <w:color w:val="auto"/>
              </w:rPr>
            </w:pPr>
            <w:r>
              <w:rPr>
                <w:rFonts w:ascii="Arial" w:cs="Arial" w:eastAsia="Arial" w:hAnsi="Arial"/>
                <w:sz w:val="17"/>
                <w:szCs w:val="17"/>
                <w:b w:val="1"/>
                <w:bCs w:val="1"/>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104,867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107,470</w:t>
            </w:r>
          </w:p>
        </w:tc>
      </w:tr>
      <w:tr>
        <w:trPr>
          <w:trHeight w:val="207"/>
        </w:trPr>
        <w:tc>
          <w:tcPr>
            <w:tcW w:w="880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Effect of exchange rate differences on debentures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6,205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(6,537)</w:t>
            </w:r>
          </w:p>
        </w:tc>
      </w:tr>
      <w:tr>
        <w:trPr>
          <w:trHeight w:val="207"/>
        </w:trPr>
        <w:tc>
          <w:tcPr>
            <w:tcW w:w="8800" w:type="dxa"/>
            <w:vAlign w:val="bottom"/>
          </w:tcPr>
          <w:p>
            <w:pPr>
              <w:ind w:left="620"/>
              <w:spacing w:after="0"/>
              <w:rPr>
                <w:sz w:val="20"/>
                <w:szCs w:val="20"/>
                <w:color w:val="auto"/>
              </w:rPr>
            </w:pPr>
            <w:r>
              <w:rPr>
                <w:rFonts w:ascii="Arial" w:cs="Arial" w:eastAsia="Arial" w:hAnsi="Arial"/>
                <w:sz w:val="17"/>
                <w:szCs w:val="17"/>
                <w:b w:val="1"/>
                <w:bCs w:val="1"/>
                <w:color w:val="auto"/>
              </w:rPr>
              <w:t>Other income, net</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(445)</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(1,600)</w:t>
            </w:r>
          </w:p>
        </w:tc>
      </w:tr>
      <w:tr>
        <w:trPr>
          <w:trHeight w:val="207"/>
        </w:trPr>
        <w:tc>
          <w:tcPr>
            <w:tcW w:w="880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Changes in assets and liabilities: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8800" w:type="dxa"/>
            <w:vAlign w:val="bottom"/>
          </w:tcPr>
          <w:p>
            <w:pPr>
              <w:ind w:left="620"/>
              <w:spacing w:after="0"/>
              <w:rPr>
                <w:sz w:val="20"/>
                <w:szCs w:val="20"/>
                <w:color w:val="auto"/>
              </w:rPr>
            </w:pPr>
            <w:r>
              <w:rPr>
                <w:rFonts w:ascii="Arial" w:cs="Arial" w:eastAsia="Arial" w:hAnsi="Arial"/>
                <w:sz w:val="17"/>
                <w:szCs w:val="17"/>
                <w:b w:val="1"/>
                <w:bCs w:val="1"/>
                <w:color w:val="auto"/>
              </w:rPr>
              <w:t>Trade accounts receivable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31,271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(10,262)</w:t>
            </w:r>
          </w:p>
        </w:tc>
      </w:tr>
      <w:tr>
        <w:trPr>
          <w:trHeight w:val="207"/>
        </w:trPr>
        <w:tc>
          <w:tcPr>
            <w:tcW w:w="880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Other current assets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(5,755)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9,083</w:t>
            </w:r>
          </w:p>
        </w:tc>
      </w:tr>
      <w:tr>
        <w:trPr>
          <w:trHeight w:val="207"/>
        </w:trPr>
        <w:tc>
          <w:tcPr>
            <w:tcW w:w="8800" w:type="dxa"/>
            <w:vAlign w:val="bottom"/>
          </w:tcPr>
          <w:p>
            <w:pPr>
              <w:ind w:left="620"/>
              <w:spacing w:after="0"/>
              <w:rPr>
                <w:sz w:val="20"/>
                <w:szCs w:val="20"/>
                <w:color w:val="auto"/>
              </w:rPr>
            </w:pPr>
            <w:r>
              <w:rPr>
                <w:rFonts w:ascii="Arial" w:cs="Arial" w:eastAsia="Arial" w:hAnsi="Arial"/>
                <w:sz w:val="17"/>
                <w:szCs w:val="17"/>
                <w:b w:val="1"/>
                <w:bCs w:val="1"/>
                <w:color w:val="auto"/>
              </w:rPr>
              <w:t>Inventories</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(3,017)</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(9,405)</w:t>
            </w:r>
          </w:p>
        </w:tc>
      </w:tr>
      <w:tr>
        <w:trPr>
          <w:trHeight w:val="207"/>
        </w:trPr>
        <w:tc>
          <w:tcPr>
            <w:tcW w:w="880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Trade accounts payable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(15,204)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3,909</w:t>
            </w:r>
          </w:p>
        </w:tc>
      </w:tr>
      <w:tr>
        <w:trPr>
          <w:trHeight w:val="207"/>
        </w:trPr>
        <w:tc>
          <w:tcPr>
            <w:tcW w:w="8800" w:type="dxa"/>
            <w:vAlign w:val="bottom"/>
          </w:tcPr>
          <w:p>
            <w:pPr>
              <w:ind w:left="620"/>
              <w:spacing w:after="0"/>
              <w:rPr>
                <w:sz w:val="20"/>
                <w:szCs w:val="20"/>
                <w:color w:val="auto"/>
              </w:rPr>
            </w:pPr>
            <w:r>
              <w:rPr>
                <w:rFonts w:ascii="Arial" w:cs="Arial" w:eastAsia="Arial" w:hAnsi="Arial"/>
                <w:sz w:val="17"/>
                <w:szCs w:val="17"/>
                <w:b w:val="1"/>
                <w:bCs w:val="1"/>
                <w:color w:val="auto"/>
              </w:rPr>
              <w:t>Deferred revenue and customers' advances</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(13,649)</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(6,178)</w:t>
            </w:r>
          </w:p>
        </w:tc>
      </w:tr>
      <w:tr>
        <w:trPr>
          <w:trHeight w:val="207"/>
        </w:trPr>
        <w:tc>
          <w:tcPr>
            <w:tcW w:w="880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Employee related liabilities and other current liabilities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(1,846)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9,136</w:t>
            </w:r>
          </w:p>
        </w:tc>
      </w:tr>
      <w:tr>
        <w:trPr>
          <w:trHeight w:val="207"/>
        </w:trPr>
        <w:tc>
          <w:tcPr>
            <w:tcW w:w="8800" w:type="dxa"/>
            <w:vAlign w:val="bottom"/>
          </w:tcPr>
          <w:p>
            <w:pPr>
              <w:ind w:left="620"/>
              <w:spacing w:after="0"/>
              <w:rPr>
                <w:sz w:val="20"/>
                <w:szCs w:val="20"/>
                <w:color w:val="auto"/>
              </w:rPr>
            </w:pPr>
            <w:r>
              <w:rPr>
                <w:rFonts w:ascii="Arial" w:cs="Arial" w:eastAsia="Arial" w:hAnsi="Arial"/>
                <w:sz w:val="17"/>
                <w:szCs w:val="17"/>
                <w:b w:val="1"/>
                <w:bCs w:val="1"/>
                <w:color w:val="auto"/>
              </w:rPr>
              <w:t>Long-term employee related liabilities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(194)</w:t>
            </w:r>
          </w:p>
        </w:tc>
      </w:tr>
      <w:tr>
        <w:trPr>
          <w:trHeight w:val="207"/>
        </w:trPr>
        <w:tc>
          <w:tcPr>
            <w:tcW w:w="880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Deferred tax, net and other long-term liabilities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(1,564)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(6,682)</w:t>
            </w:r>
          </w:p>
        </w:tc>
      </w:tr>
      <w:tr>
        <w:trPr>
          <w:trHeight w:val="26"/>
        </w:trPr>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3"/>
        </w:trPr>
        <w:tc>
          <w:tcPr>
            <w:tcW w:w="8800" w:type="dxa"/>
            <w:vAlign w:val="bottom"/>
          </w:tcPr>
          <w:p>
            <w:pPr>
              <w:ind w:left="780"/>
              <w:spacing w:after="0"/>
              <w:rPr>
                <w:sz w:val="20"/>
                <w:szCs w:val="20"/>
                <w:color w:val="auto"/>
              </w:rPr>
            </w:pPr>
            <w:r>
              <w:rPr>
                <w:rFonts w:ascii="Arial" w:cs="Arial" w:eastAsia="Arial" w:hAnsi="Arial"/>
                <w:sz w:val="17"/>
                <w:szCs w:val="17"/>
                <w:b w:val="1"/>
                <w:bCs w:val="1"/>
                <w:color w:val="auto"/>
              </w:rPr>
              <w:t>Net cash provided by operating activities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147,024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151,930</w:t>
            </w:r>
          </w:p>
        </w:tc>
      </w:tr>
      <w:tr>
        <w:trPr>
          <w:trHeight w:val="207"/>
        </w:trPr>
        <w:tc>
          <w:tcPr>
            <w:tcW w:w="88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7"/>
                <w:szCs w:val="17"/>
                <w:b w:val="1"/>
                <w:bCs w:val="1"/>
                <w:color w:val="auto"/>
              </w:rPr>
              <w:t>CASH FLOWS - INVESTING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8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07"/>
        </w:trPr>
        <w:tc>
          <w:tcPr>
            <w:tcW w:w="8800" w:type="dxa"/>
            <w:vAlign w:val="bottom"/>
          </w:tcPr>
          <w:p>
            <w:pPr>
              <w:ind w:left="160"/>
              <w:spacing w:after="0"/>
              <w:rPr>
                <w:sz w:val="20"/>
                <w:szCs w:val="20"/>
                <w:color w:val="auto"/>
              </w:rPr>
            </w:pPr>
            <w:r>
              <w:rPr>
                <w:rFonts w:ascii="Arial" w:cs="Arial" w:eastAsia="Arial" w:hAnsi="Arial"/>
                <w:sz w:val="17"/>
                <w:szCs w:val="17"/>
                <w:b w:val="1"/>
                <w:bCs w:val="1"/>
                <w:color w:val="auto"/>
              </w:rPr>
              <w:t>Investments in property and equipment, net</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(85,445)</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(80,195)</w:t>
            </w:r>
          </w:p>
        </w:tc>
      </w:tr>
      <w:tr>
        <w:trPr>
          <w:trHeight w:val="207"/>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Investments in deposits, marketable securities and other assets, net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(33,825)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(30,451)</w:t>
            </w:r>
          </w:p>
        </w:tc>
      </w:tr>
      <w:tr>
        <w:trPr>
          <w:trHeight w:val="26"/>
        </w:trPr>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3"/>
        </w:trPr>
        <w:tc>
          <w:tcPr>
            <w:tcW w:w="8800" w:type="dxa"/>
            <w:vAlign w:val="bottom"/>
          </w:tcPr>
          <w:p>
            <w:pPr>
              <w:ind w:left="780"/>
              <w:spacing w:after="0"/>
              <w:rPr>
                <w:sz w:val="20"/>
                <w:szCs w:val="20"/>
                <w:color w:val="auto"/>
              </w:rPr>
            </w:pPr>
            <w:r>
              <w:rPr>
                <w:rFonts w:ascii="Arial" w:cs="Arial" w:eastAsia="Arial" w:hAnsi="Arial"/>
                <w:sz w:val="17"/>
                <w:szCs w:val="17"/>
                <w:b w:val="1"/>
                <w:bCs w:val="1"/>
                <w:color w:val="auto"/>
              </w:rPr>
              <w:t>Net cash used in investing activities</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(119,270)</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(110,646)</w:t>
            </w:r>
          </w:p>
        </w:tc>
      </w:tr>
      <w:tr>
        <w:trPr>
          <w:trHeight w:val="207"/>
        </w:trPr>
        <w:tc>
          <w:tcPr>
            <w:tcW w:w="88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7"/>
                <w:szCs w:val="17"/>
                <w:b w:val="1"/>
                <w:bCs w:val="1"/>
                <w:color w:val="auto"/>
              </w:rPr>
              <w:t>CASH FLOWS - FINANCING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8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07"/>
        </w:trPr>
        <w:tc>
          <w:tcPr>
            <w:tcW w:w="8800" w:type="dxa"/>
            <w:vAlign w:val="bottom"/>
          </w:tcPr>
          <w:p>
            <w:pPr>
              <w:ind w:left="160"/>
              <w:spacing w:after="0"/>
              <w:rPr>
                <w:sz w:val="20"/>
                <w:szCs w:val="20"/>
                <w:color w:val="auto"/>
              </w:rPr>
            </w:pPr>
            <w:r>
              <w:rPr>
                <w:rFonts w:ascii="Arial" w:cs="Arial" w:eastAsia="Arial" w:hAnsi="Arial"/>
                <w:sz w:val="17"/>
                <w:szCs w:val="17"/>
                <w:b w:val="1"/>
                <w:bCs w:val="1"/>
                <w:color w:val="auto"/>
              </w:rPr>
              <w:t>Exercise of options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397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684</w:t>
            </w:r>
          </w:p>
        </w:tc>
      </w:tr>
      <w:tr>
        <w:trPr>
          <w:trHeight w:val="207"/>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Proceeds from loans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99,964</w:t>
            </w:r>
          </w:p>
        </w:tc>
      </w:tr>
      <w:tr>
        <w:trPr>
          <w:trHeight w:val="207"/>
        </w:trPr>
        <w:tc>
          <w:tcPr>
            <w:tcW w:w="8800" w:type="dxa"/>
            <w:vAlign w:val="bottom"/>
          </w:tcPr>
          <w:p>
            <w:pPr>
              <w:ind w:left="160"/>
              <w:spacing w:after="0"/>
              <w:rPr>
                <w:sz w:val="20"/>
                <w:szCs w:val="20"/>
                <w:color w:val="auto"/>
              </w:rPr>
            </w:pPr>
            <w:r>
              <w:rPr>
                <w:rFonts w:ascii="Arial" w:cs="Arial" w:eastAsia="Arial" w:hAnsi="Arial"/>
                <w:sz w:val="17"/>
                <w:szCs w:val="17"/>
                <w:b w:val="1"/>
                <w:bCs w:val="1"/>
                <w:color w:val="auto"/>
              </w:rPr>
              <w:t>Loans repayment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(101,314)</w:t>
            </w:r>
          </w:p>
        </w:tc>
      </w:tr>
      <w:tr>
        <w:trPr>
          <w:trHeight w:val="207"/>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Principal payments on account of capital lease obligation</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(10,549)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(1,497)</w:t>
            </w:r>
          </w:p>
        </w:tc>
      </w:tr>
      <w:tr>
        <w:trPr>
          <w:trHeight w:val="26"/>
        </w:trPr>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3"/>
        </w:trPr>
        <w:tc>
          <w:tcPr>
            <w:tcW w:w="8800" w:type="dxa"/>
            <w:vAlign w:val="bottom"/>
          </w:tcPr>
          <w:p>
            <w:pPr>
              <w:ind w:left="780"/>
              <w:spacing w:after="0"/>
              <w:rPr>
                <w:sz w:val="20"/>
                <w:szCs w:val="20"/>
                <w:color w:val="auto"/>
              </w:rPr>
            </w:pPr>
            <w:r>
              <w:rPr>
                <w:rFonts w:ascii="Arial" w:cs="Arial" w:eastAsia="Arial" w:hAnsi="Arial"/>
                <w:sz w:val="17"/>
                <w:szCs w:val="17"/>
                <w:b w:val="1"/>
                <w:bCs w:val="1"/>
                <w:color w:val="auto"/>
              </w:rPr>
              <w:t>Net cash used in financing activities</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(10,152)</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(2,163)</w:t>
            </w:r>
          </w:p>
        </w:tc>
      </w:tr>
      <w:tr>
        <w:trPr>
          <w:trHeight w:val="207"/>
        </w:trPr>
        <w:tc>
          <w:tcPr>
            <w:tcW w:w="88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7"/>
                <w:szCs w:val="17"/>
                <w:b w:val="1"/>
                <w:bCs w:val="1"/>
                <w:color w:val="auto"/>
              </w:rPr>
              <w:t>EFFECT OF FOREIGN CURRENCY EXCHANGE RATE CHANGE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2,465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1,798</w:t>
            </w:r>
          </w:p>
        </w:tc>
      </w:tr>
      <w:tr>
        <w:trPr>
          <w:trHeight w:val="20"/>
        </w:trPr>
        <w:tc>
          <w:tcPr>
            <w:tcW w:w="8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8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7"/>
                <w:szCs w:val="17"/>
                <w:b w:val="1"/>
                <w:bCs w:val="1"/>
                <w:color w:val="auto"/>
              </w:rPr>
              <w:t>INCREASE IN CASH AND CASH EQUIVALENTS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20,067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40,919</w:t>
            </w:r>
          </w:p>
        </w:tc>
      </w:tr>
      <w:tr>
        <w:trPr>
          <w:trHeight w:val="213"/>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 BEGINNING OF PERIOD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385,091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445,961</w:t>
            </w:r>
          </w:p>
        </w:tc>
      </w:tr>
      <w:tr>
        <w:trPr>
          <w:trHeight w:val="207"/>
        </w:trPr>
        <w:tc>
          <w:tcPr>
            <w:tcW w:w="88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7"/>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 END OF PERIOD</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405,158</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486,880</w:t>
            </w:r>
          </w:p>
        </w:tc>
      </w:tr>
      <w:tr>
        <w:trPr>
          <w:trHeight w:val="459"/>
        </w:trPr>
        <w:tc>
          <w:tcPr>
            <w:tcW w:w="880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See notes to consolidated financial statements.</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233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10" w:name="page11"/>
    <w:bookmarkEnd w:id="10"/>
    <w:p>
      <w:pPr>
        <w:jc w:val="center"/>
        <w:spacing w:after="0" w:line="284" w:lineRule="auto"/>
        <w:rPr>
          <w:sz w:val="20"/>
          <w:szCs w:val="20"/>
          <w:color w:val="auto"/>
        </w:rPr>
      </w:pPr>
      <w:r>
        <w:rPr>
          <w:rFonts w:ascii="Arial" w:cs="Arial" w:eastAsia="Arial" w:hAnsi="Arial"/>
          <w:sz w:val="17"/>
          <w:szCs w:val="17"/>
          <w:b w:val="1"/>
          <w:bCs w:val="1"/>
          <w:color w:val="auto"/>
        </w:rPr>
        <w:t xml:space="preserve">TOWER SEMICONDUCTOR LTD. AND SUBSIDIARIES CONDENSED INTERIM CONSOLIDATED STATEMENTS OF CASH FLOWS (UNAUDITED) </w:t>
      </w:r>
      <w:r>
        <w:rPr>
          <w:rFonts w:ascii="Arial" w:cs="Arial" w:eastAsia="Arial" w:hAnsi="Arial"/>
          <w:sz w:val="17"/>
          <w:szCs w:val="17"/>
          <w:color w:val="auto"/>
        </w:rPr>
        <w:t>(dollars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right"/>
              <w:ind w:right="700"/>
              <w:spacing w:after="0"/>
              <w:rPr>
                <w:sz w:val="20"/>
                <w:szCs w:val="20"/>
                <w:color w:val="auto"/>
              </w:rPr>
            </w:pPr>
            <w:r>
              <w:rPr>
                <w:rFonts w:ascii="Arial" w:cs="Arial" w:eastAsia="Arial" w:hAnsi="Arial"/>
                <w:sz w:val="17"/>
                <w:szCs w:val="17"/>
                <w:b w:val="1"/>
                <w:bCs w:val="1"/>
                <w:color w:val="auto"/>
              </w:rPr>
              <w:t>Six months ended</w:t>
            </w:r>
          </w:p>
        </w:tc>
      </w:tr>
      <w:tr>
        <w:trPr>
          <w:trHeight w:val="232"/>
        </w:trPr>
        <w:tc>
          <w:tcPr>
            <w:tcW w:w="8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2019</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8"/>
                <w:szCs w:val="18"/>
                <w:color w:val="auto"/>
              </w:rPr>
            </w:pPr>
          </w:p>
        </w:tc>
      </w:tr>
      <w:tr>
        <w:trPr>
          <w:trHeight w:val="207"/>
        </w:trPr>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NON-CASH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27"/>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Investments in property and equipment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35,529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33,493</w:t>
            </w:r>
          </w:p>
        </w:tc>
      </w:tr>
      <w:tr>
        <w:trPr>
          <w:trHeight w:val="20"/>
        </w:trPr>
        <w:tc>
          <w:tcPr>
            <w:tcW w:w="8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9"/>
        </w:trPr>
        <w:tc>
          <w:tcPr>
            <w:tcW w:w="8800" w:type="dxa"/>
            <w:vAlign w:val="bottom"/>
          </w:tcPr>
          <w:p>
            <w:pPr>
              <w:ind w:left="160"/>
              <w:spacing w:after="0"/>
              <w:rPr>
                <w:sz w:val="20"/>
                <w:szCs w:val="20"/>
                <w:color w:val="auto"/>
              </w:rPr>
            </w:pPr>
            <w:r>
              <w:rPr>
                <w:rFonts w:ascii="Arial" w:cs="Arial" w:eastAsia="Arial" w:hAnsi="Arial"/>
                <w:sz w:val="17"/>
                <w:szCs w:val="17"/>
                <w:b w:val="1"/>
                <w:bCs w:val="1"/>
                <w:color w:val="auto"/>
              </w:rPr>
              <w:t>Conversion of notes into share capital</w:t>
            </w: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20,758</w:t>
            </w:r>
          </w:p>
        </w:tc>
        <w:tc>
          <w:tcPr>
            <w:tcW w:w="24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r>
      <w:tr>
        <w:trPr>
          <w:trHeight w:val="20"/>
        </w:trPr>
        <w:tc>
          <w:tcPr>
            <w:tcW w:w="8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8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8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07"/>
        </w:trPr>
        <w:tc>
          <w:tcPr>
            <w:tcW w:w="8800" w:type="dxa"/>
            <w:vAlign w:val="bottom"/>
          </w:tcPr>
          <w:p>
            <w:pPr>
              <w:ind w:left="160"/>
              <w:spacing w:after="0"/>
              <w:rPr>
                <w:sz w:val="20"/>
                <w:szCs w:val="20"/>
                <w:color w:val="auto"/>
              </w:rPr>
            </w:pPr>
            <w:r>
              <w:rPr>
                <w:rFonts w:ascii="Arial" w:cs="Arial" w:eastAsia="Arial" w:hAnsi="Arial"/>
                <w:sz w:val="17"/>
                <w:szCs w:val="17"/>
                <w:b w:val="1"/>
                <w:bCs w:val="1"/>
                <w:color w:val="auto"/>
              </w:rPr>
              <w:t>Cash paid (received) during the period for interest, net</w:t>
            </w: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(1,226)</w:t>
            </w:r>
          </w:p>
        </w:tc>
        <w:tc>
          <w:tcPr>
            <w:tcW w:w="280" w:type="dxa"/>
            <w:vAlign w:val="bottom"/>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2,376</w:t>
            </w:r>
          </w:p>
        </w:tc>
      </w:tr>
      <w:tr>
        <w:trPr>
          <w:trHeight w:val="20"/>
        </w:trPr>
        <w:tc>
          <w:tcPr>
            <w:tcW w:w="8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b w:val="1"/>
                <w:bCs w:val="1"/>
                <w:color w:val="auto"/>
              </w:rPr>
              <w:t>Cash paid during the period for income taxes, net</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10,178</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2,139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233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11" w:name="page12"/>
    <w:bookmarkEnd w:id="11"/>
    <w:p>
      <w:pPr>
        <w:jc w:val="center"/>
        <w:spacing w:after="0" w:line="267" w:lineRule="auto"/>
        <w:rPr>
          <w:sz w:val="20"/>
          <w:szCs w:val="20"/>
          <w:color w:val="auto"/>
        </w:rPr>
      </w:pPr>
      <w:r>
        <w:rPr>
          <w:rFonts w:ascii="Arial" w:cs="Arial" w:eastAsia="Arial" w:hAnsi="Arial"/>
          <w:sz w:val="21"/>
          <w:szCs w:val="21"/>
          <w:b w:val="1"/>
          <w:bCs w:val="1"/>
          <w:color w:val="auto"/>
        </w:rPr>
        <w:t xml:space="preserve">TOWER SEMICONDUCTOR LTD. AND SUBSIDIARIES NOTES TO UNAUDITED CONDENSED INTERIM CONSOLIDATED FINANCIAL STATEMENTS AS OF JUNE 30, 2019 </w:t>
      </w:r>
      <w:r>
        <w:rPr>
          <w:rFonts w:ascii="Arial" w:cs="Arial" w:eastAsia="Arial" w:hAnsi="Arial"/>
          <w:sz w:val="21"/>
          <w:szCs w:val="21"/>
          <w:color w:val="auto"/>
        </w:rPr>
        <w:t>(dollars in thousands, except per share data)</w:t>
      </w:r>
    </w:p>
    <w:p>
      <w:pPr>
        <w:spacing w:after="0" w:line="222" w:lineRule="exact"/>
        <w:rPr>
          <w:sz w:val="20"/>
          <w:szCs w:val="20"/>
          <w:color w:val="auto"/>
        </w:rPr>
      </w:pPr>
    </w:p>
    <w:p>
      <w:pPr>
        <w:spacing w:after="0"/>
        <w:tabs>
          <w:tab w:leader="none" w:pos="1580" w:val="left"/>
        </w:tabs>
        <w:rPr>
          <w:sz w:val="20"/>
          <w:szCs w:val="20"/>
          <w:color w:val="auto"/>
        </w:rPr>
      </w:pPr>
      <w:r>
        <w:rPr>
          <w:rFonts w:ascii="Arial" w:cs="Arial" w:eastAsia="Arial" w:hAnsi="Arial"/>
          <w:sz w:val="21"/>
          <w:szCs w:val="21"/>
          <w:b w:val="1"/>
          <w:bCs w:val="1"/>
          <w:color w:val="auto"/>
        </w:rPr>
        <w:t>NOTE 1  -</w:t>
      </w:r>
      <w:r>
        <w:rPr>
          <w:sz w:val="20"/>
          <w:szCs w:val="20"/>
          <w:color w:val="auto"/>
        </w:rPr>
        <w:tab/>
      </w:r>
      <w:r>
        <w:rPr>
          <w:rFonts w:ascii="Arial" w:cs="Arial" w:eastAsia="Arial" w:hAnsi="Arial"/>
          <w:sz w:val="20"/>
          <w:szCs w:val="20"/>
          <w:b w:val="1"/>
          <w:bCs w:val="1"/>
          <w:color w:val="auto"/>
        </w:rPr>
        <w:t>GENERAL</w:t>
      </w:r>
    </w:p>
    <w:p>
      <w:pPr>
        <w:spacing w:after="0" w:line="277"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Basis for Presentation</w:t>
      </w:r>
    </w:p>
    <w:p>
      <w:pPr>
        <w:spacing w:after="0" w:line="283" w:lineRule="exact"/>
        <w:rPr>
          <w:sz w:val="20"/>
          <w:szCs w:val="20"/>
          <w:color w:val="auto"/>
        </w:rPr>
      </w:pPr>
    </w:p>
    <w:p>
      <w:pPr>
        <w:jc w:val="both"/>
        <w:ind w:left="1240"/>
        <w:spacing w:after="0" w:line="263" w:lineRule="auto"/>
        <w:rPr>
          <w:sz w:val="20"/>
          <w:szCs w:val="20"/>
          <w:color w:val="auto"/>
        </w:rPr>
      </w:pPr>
      <w:r>
        <w:rPr>
          <w:rFonts w:ascii="Arial" w:cs="Arial" w:eastAsia="Arial" w:hAnsi="Arial"/>
          <w:sz w:val="21"/>
          <w:szCs w:val="21"/>
          <w:color w:val="auto"/>
        </w:rPr>
        <w:t>The unaudited condensed interim consolidated financial statements of Tower Semiconductor Ltd. (“Tower”) as of June 30, 2019 include the financial statements of Tower and (i) its wholly-owned subsidiary Tower US Holdings Inc., the sole owner of: (1) Jazz US Holdings Inc. and its wholly-owned subsidiary, Jazz Semiconductor, Inc. and (2) TowerJazz Texas Inc., and (ii) its 51% owned subsidiary, TowerJazz Panasonic Semiconductor Co., Ltd. Tower and its subsidiaries are collectively referred to as the “Company”.</w:t>
      </w:r>
    </w:p>
    <w:p>
      <w:pPr>
        <w:spacing w:after="0" w:line="232" w:lineRule="exact"/>
        <w:rPr>
          <w:sz w:val="20"/>
          <w:szCs w:val="20"/>
          <w:color w:val="auto"/>
        </w:rPr>
      </w:pPr>
    </w:p>
    <w:p>
      <w:pPr>
        <w:jc w:val="both"/>
        <w:ind w:left="1240"/>
        <w:spacing w:after="0" w:line="269" w:lineRule="auto"/>
        <w:rPr>
          <w:sz w:val="20"/>
          <w:szCs w:val="20"/>
          <w:color w:val="auto"/>
        </w:rPr>
      </w:pPr>
      <w:r>
        <w:rPr>
          <w:rFonts w:ascii="Arial" w:cs="Arial" w:eastAsia="Arial" w:hAnsi="Arial"/>
          <w:sz w:val="21"/>
          <w:szCs w:val="21"/>
          <w:color w:val="auto"/>
        </w:rPr>
        <w:t>The Company’s unaudited condensed interim consolidated financial statements are presented after elimination of inter-company transactions and balances and are presented in accordance with U.S. generally accepted accounting principles (“US GAAP”).</w:t>
      </w:r>
    </w:p>
    <w:p>
      <w:pPr>
        <w:spacing w:after="0" w:line="225" w:lineRule="exact"/>
        <w:rPr>
          <w:sz w:val="20"/>
          <w:szCs w:val="20"/>
          <w:color w:val="auto"/>
        </w:rPr>
      </w:pPr>
    </w:p>
    <w:p>
      <w:pPr>
        <w:jc w:val="both"/>
        <w:ind w:left="1240"/>
        <w:spacing w:after="0" w:line="269" w:lineRule="auto"/>
        <w:rPr>
          <w:sz w:val="20"/>
          <w:szCs w:val="20"/>
          <w:color w:val="auto"/>
        </w:rPr>
      </w:pPr>
      <w:r>
        <w:rPr>
          <w:rFonts w:ascii="Arial" w:cs="Arial" w:eastAsia="Arial" w:hAnsi="Arial"/>
          <w:sz w:val="21"/>
          <w:szCs w:val="21"/>
          <w:color w:val="auto"/>
        </w:rPr>
        <w:t>The unaudited condensed interim consolidated financial statements of the Company should be read in conjunction with the audited consolidated financial statements of the Company as of December 31, 2018 and for the year then ended, including the notes thereto.</w:t>
      </w:r>
    </w:p>
    <w:p>
      <w:pPr>
        <w:spacing w:after="0" w:line="225" w:lineRule="exact"/>
        <w:rPr>
          <w:sz w:val="20"/>
          <w:szCs w:val="20"/>
          <w:color w:val="auto"/>
        </w:rPr>
      </w:pPr>
    </w:p>
    <w:p>
      <w:pPr>
        <w:jc w:val="both"/>
        <w:ind w:left="1240"/>
        <w:spacing w:after="0" w:line="265" w:lineRule="auto"/>
        <w:rPr>
          <w:sz w:val="20"/>
          <w:szCs w:val="20"/>
          <w:color w:val="auto"/>
        </w:rPr>
      </w:pPr>
      <w:r>
        <w:rPr>
          <w:rFonts w:ascii="Arial" w:cs="Arial" w:eastAsia="Arial" w:hAnsi="Arial"/>
          <w:sz w:val="21"/>
          <w:szCs w:val="21"/>
          <w:color w:val="auto"/>
        </w:rPr>
        <w:t>In the opinion of the Company's management, the unaudited condensed interim consolidated financial statements include all adjustments necessary for a fair presentation of the Company’s financial position as of the dates presented and results of operations for the interim periods presented. The results of operations for the interim periods are not necessarily indicative of the results to be expected on a full-year basis.</w:t>
      </w:r>
    </w:p>
    <w:p>
      <w:pPr>
        <w:spacing w:after="0" w:line="224" w:lineRule="exact"/>
        <w:rPr>
          <w:sz w:val="20"/>
          <w:szCs w:val="20"/>
          <w:color w:val="auto"/>
        </w:rPr>
      </w:pPr>
    </w:p>
    <w:p>
      <w:pPr>
        <w:spacing w:after="0"/>
        <w:tabs>
          <w:tab w:leader="none" w:pos="1620" w:val="left"/>
        </w:tabs>
        <w:rPr>
          <w:sz w:val="20"/>
          <w:szCs w:val="20"/>
          <w:color w:val="auto"/>
        </w:rPr>
      </w:pPr>
      <w:r>
        <w:rPr>
          <w:rFonts w:ascii="Arial" w:cs="Arial" w:eastAsia="Arial" w:hAnsi="Arial"/>
          <w:sz w:val="21"/>
          <w:szCs w:val="21"/>
          <w:b w:val="1"/>
          <w:bCs w:val="1"/>
          <w:color w:val="auto"/>
        </w:rPr>
        <w:t>NOTE 2  -</w:t>
      </w:r>
      <w:r>
        <w:rPr>
          <w:sz w:val="20"/>
          <w:szCs w:val="20"/>
          <w:color w:val="auto"/>
        </w:rPr>
        <w:tab/>
      </w:r>
      <w:r>
        <w:rPr>
          <w:rFonts w:ascii="Arial" w:cs="Arial" w:eastAsia="Arial" w:hAnsi="Arial"/>
          <w:sz w:val="21"/>
          <w:szCs w:val="21"/>
          <w:b w:val="1"/>
          <w:bCs w:val="1"/>
          <w:color w:val="auto"/>
        </w:rPr>
        <w:t>INITIAL ADOPTION OF NEW STANDARDS</w:t>
      </w:r>
    </w:p>
    <w:p>
      <w:pPr>
        <w:spacing w:after="0" w:line="283" w:lineRule="exact"/>
        <w:rPr>
          <w:sz w:val="20"/>
          <w:szCs w:val="20"/>
          <w:color w:val="auto"/>
        </w:rPr>
      </w:pPr>
    </w:p>
    <w:p>
      <w:pPr>
        <w:jc w:val="both"/>
        <w:ind w:left="1240"/>
        <w:spacing w:after="0" w:line="290" w:lineRule="auto"/>
        <w:rPr>
          <w:sz w:val="20"/>
          <w:szCs w:val="20"/>
          <w:color w:val="auto"/>
        </w:rPr>
      </w:pPr>
      <w:r>
        <w:rPr>
          <w:rFonts w:ascii="Arial" w:cs="Arial" w:eastAsia="Arial" w:hAnsi="Arial"/>
          <w:sz w:val="19"/>
          <w:szCs w:val="19"/>
          <w:color w:val="auto"/>
        </w:rPr>
        <w:t>In February 2016, the FASB issued ASU 2016-02 “</w:t>
      </w:r>
      <w:r>
        <w:rPr>
          <w:rFonts w:ascii="Arial" w:cs="Arial" w:eastAsia="Arial" w:hAnsi="Arial"/>
          <w:sz w:val="19"/>
          <w:szCs w:val="19"/>
          <w:i w:val="1"/>
          <w:iCs w:val="1"/>
          <w:color w:val="auto"/>
        </w:rPr>
        <w:t>Leases</w:t>
      </w:r>
      <w:r>
        <w:rPr>
          <w:rFonts w:ascii="Arial" w:cs="Arial" w:eastAsia="Arial" w:hAnsi="Arial"/>
          <w:sz w:val="19"/>
          <w:szCs w:val="19"/>
          <w:color w:val="auto"/>
        </w:rPr>
        <w:t>” (“ASU 2016-02”), which primarily changes the leases accounting for operating leases by requiring recognition of lease right-of-use assets and lease liabilities. The amendments are effective January 1, 2019, and for interim periods within that year, with early adoption permitted. In July 2018, the FASB issued ASU 2018-10 “Codification Improvements to Topic 842, Leases,” to clarify application of certain aspects of the new leases standard and to remove inconsistencies within the guidance and ASU 2018-11 “</w:t>
      </w:r>
      <w:r>
        <w:rPr>
          <w:rFonts w:ascii="Arial" w:cs="Arial" w:eastAsia="Arial" w:hAnsi="Arial"/>
          <w:sz w:val="19"/>
          <w:szCs w:val="19"/>
          <w:i w:val="1"/>
          <w:iCs w:val="1"/>
          <w:color w:val="auto"/>
        </w:rPr>
        <w:t>Targeted Improvements</w:t>
      </w:r>
      <w:r>
        <w:rPr>
          <w:rFonts w:ascii="Arial" w:cs="Arial" w:eastAsia="Arial" w:hAnsi="Arial"/>
          <w:sz w:val="19"/>
          <w:szCs w:val="19"/>
          <w:color w:val="auto"/>
        </w:rPr>
        <w:t>” (“ASU 2018-11“), which provides for an alternate transition method. Specifically, ASU 2018-11 allows the new lease standard to be applied as of the adoption date with a cumulative-effect adjustment to the opening balance of retained earnings rather than retroactive restatement of all periods presented. The Company has identified all existing operating and financing leases and implemented the new standard accordingly. As of June 30, 2019, the present value of the new lease assets and liabilities was approximately $36,000.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233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12" w:name="page13"/>
    <w:bookmarkEnd w:id="12"/>
    <w:p>
      <w:pPr>
        <w:jc w:val="center"/>
        <w:spacing w:after="0" w:line="267" w:lineRule="auto"/>
        <w:rPr>
          <w:sz w:val="20"/>
          <w:szCs w:val="20"/>
          <w:color w:val="auto"/>
        </w:rPr>
      </w:pPr>
      <w:r>
        <w:rPr>
          <w:rFonts w:ascii="Arial" w:cs="Arial" w:eastAsia="Arial" w:hAnsi="Arial"/>
          <w:sz w:val="21"/>
          <w:szCs w:val="21"/>
          <w:b w:val="1"/>
          <w:bCs w:val="1"/>
          <w:color w:val="auto"/>
        </w:rPr>
        <w:t xml:space="preserve">TOWER SEMICONDUCTOR LTD. AND SUBSIDIARIES NOTES TO UNAUDITED CONDENSED INTERIM CONSOLIDATED FINANCIAL STATEMENTS AS OF JUNE 30, 2019 </w:t>
      </w:r>
      <w:r>
        <w:rPr>
          <w:rFonts w:ascii="Arial" w:cs="Arial" w:eastAsia="Arial" w:hAnsi="Arial"/>
          <w:sz w:val="21"/>
          <w:szCs w:val="21"/>
          <w:color w:val="auto"/>
        </w:rPr>
        <w:t>(dollars in thousands, except per share data)</w:t>
      </w:r>
    </w:p>
    <w:p>
      <w:pPr>
        <w:spacing w:after="0" w:line="222" w:lineRule="exact"/>
        <w:rPr>
          <w:sz w:val="20"/>
          <w:szCs w:val="20"/>
          <w:color w:val="auto"/>
        </w:rPr>
      </w:pPr>
    </w:p>
    <w:p>
      <w:pPr>
        <w:spacing w:after="0"/>
        <w:tabs>
          <w:tab w:leader="none" w:pos="1620" w:val="left"/>
        </w:tabs>
        <w:rPr>
          <w:sz w:val="20"/>
          <w:szCs w:val="20"/>
          <w:color w:val="auto"/>
        </w:rPr>
      </w:pPr>
      <w:r>
        <w:rPr>
          <w:rFonts w:ascii="Arial" w:cs="Arial" w:eastAsia="Arial" w:hAnsi="Arial"/>
          <w:sz w:val="21"/>
          <w:szCs w:val="21"/>
          <w:b w:val="1"/>
          <w:bCs w:val="1"/>
          <w:color w:val="auto"/>
        </w:rPr>
        <w:t>NOTE 3  -</w:t>
      </w:r>
      <w:r>
        <w:rPr>
          <w:sz w:val="20"/>
          <w:szCs w:val="20"/>
          <w:color w:val="auto"/>
        </w:rPr>
        <w:tab/>
      </w:r>
      <w:r>
        <w:rPr>
          <w:rFonts w:ascii="Arial" w:cs="Arial" w:eastAsia="Arial" w:hAnsi="Arial"/>
          <w:sz w:val="20"/>
          <w:szCs w:val="20"/>
          <w:b w:val="1"/>
          <w:bCs w:val="1"/>
          <w:color w:val="auto"/>
        </w:rPr>
        <w:t>RECENT DEVELOPMENTS</w:t>
      </w:r>
    </w:p>
    <w:p>
      <w:pPr>
        <w:spacing w:after="0" w:line="273" w:lineRule="exact"/>
        <w:rPr>
          <w:sz w:val="20"/>
          <w:szCs w:val="20"/>
          <w:color w:val="auto"/>
        </w:rPr>
      </w:pPr>
    </w:p>
    <w:p>
      <w:pPr>
        <w:ind w:left="1800" w:hanging="552"/>
        <w:spacing w:after="0"/>
        <w:tabs>
          <w:tab w:leader="none" w:pos="180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TPSCo new agreements</w:t>
      </w:r>
    </w:p>
    <w:p>
      <w:pPr>
        <w:spacing w:after="0" w:line="281" w:lineRule="exact"/>
        <w:rPr>
          <w:sz w:val="20"/>
          <w:szCs w:val="20"/>
          <w:color w:val="auto"/>
        </w:rPr>
      </w:pPr>
    </w:p>
    <w:p>
      <w:pPr>
        <w:jc w:val="both"/>
        <w:ind w:left="1800"/>
        <w:spacing w:after="0" w:line="297" w:lineRule="auto"/>
        <w:rPr>
          <w:sz w:val="20"/>
          <w:szCs w:val="20"/>
          <w:color w:val="auto"/>
        </w:rPr>
      </w:pPr>
      <w:r>
        <w:rPr>
          <w:rFonts w:ascii="Arial" w:cs="Arial" w:eastAsia="Arial" w:hAnsi="Arial"/>
          <w:sz w:val="19"/>
          <w:szCs w:val="19"/>
          <w:color w:val="auto"/>
        </w:rPr>
        <w:t>In March 2019, the Company, Panasonic Semiconductor Solutions (“PSCS”) and TPSCo signed three-year agreements, extending its previous agreements with Panasonic Semiconductor Solutions (PSCS) effective as of April 1, 2019. Under the agreements, among others, PSCS will continue to utilize TPSCo’s three manufacturing facilities in Japan for its semiconductor business. TPSCo’s wafer loading level from PSCS are expected to remain similar, with a new pricing structure, resulting in revenue reductions of approximately $20,000 per quarter.</w:t>
      </w:r>
    </w:p>
    <w:p>
      <w:pPr>
        <w:spacing w:after="0" w:line="194" w:lineRule="exact"/>
        <w:rPr>
          <w:sz w:val="20"/>
          <w:szCs w:val="20"/>
          <w:color w:val="auto"/>
        </w:rPr>
      </w:pPr>
    </w:p>
    <w:p>
      <w:pPr>
        <w:ind w:left="1800" w:hanging="552"/>
        <w:spacing w:after="0"/>
        <w:tabs>
          <w:tab w:leader="none" w:pos="18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Equity Grants to CEO and Directors</w:t>
      </w:r>
    </w:p>
    <w:p>
      <w:pPr>
        <w:spacing w:after="0" w:line="281" w:lineRule="exact"/>
        <w:rPr>
          <w:sz w:val="20"/>
          <w:szCs w:val="20"/>
          <w:color w:val="auto"/>
        </w:rPr>
      </w:pPr>
    </w:p>
    <w:p>
      <w:pPr>
        <w:jc w:val="both"/>
        <w:ind w:left="1800"/>
        <w:spacing w:after="0" w:line="306" w:lineRule="auto"/>
        <w:rPr>
          <w:sz w:val="20"/>
          <w:szCs w:val="20"/>
          <w:color w:val="auto"/>
        </w:rPr>
      </w:pPr>
      <w:r>
        <w:rPr>
          <w:rFonts w:ascii="Arial" w:cs="Arial" w:eastAsia="Arial" w:hAnsi="Arial"/>
          <w:sz w:val="18"/>
          <w:szCs w:val="18"/>
          <w:color w:val="auto"/>
        </w:rPr>
        <w:t>In June 25, 2019, the Company's shareholders approved the grant of the following Restricted Stock Units (“RSUs”) to the Company's CEO and members of the Board of Directors under the Company’s 2013 Share Incentive Plan: (i) 128,797 time vested RSUs and 128,798 performance based RSUs to the CEO, which RSUs will vest linearly over a three-year period, 33% at the end of each year of the 3 years following the grant date for a compensation value of $3,900; in this regard, the Company has adopted stock ownership guidelines whereby the CEO will be required to own a minimum value that equals at least 3 times of his annual base salary in ordinary shares of the Company and the CEO has 5 years from May 2019 to accumulate said minimum, during which the CEO must retain at least 20% of the vested time-based RSUs that are granted to him from May 2019 and such RSUs that may be granted to him in the future until the guideline is met; (ii) 19,815 time vested RSUs to the chairman of the Board of Directors (“the Chairman”) for a total compensation value of $300, to vest linearly over a three-year period, 33% at the end of each year of the 3 years following the grant date; and (iii) 4,953 time vested RSUs to each of the 8 members of the Board of Directors (other than the Chairman and the CEO), for an aggregate compensation value of $600, with 50% vesting on the first anniversary from the date of grant and 50% on the second anniversary of the date of grant.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2523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164465</wp:posOffset>
            </wp:positionV>
            <wp:extent cx="725233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335" cy="3302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13" w:name="page14"/>
    <w:bookmarkEnd w:id="13"/>
    <w:p>
      <w:pPr>
        <w:ind w:left="10360"/>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5233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335" cy="33020"/>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203835</wp:posOffset>
            </wp:positionV>
            <wp:extent cx="72523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335" cy="8255"/>
                    </a:xfrm>
                    <a:prstGeom prst="rect">
                      <a:avLst/>
                    </a:prstGeom>
                    <a:noFill/>
                  </pic:spPr>
                </pic:pic>
              </a:graphicData>
            </a:graphic>
          </wp:anchor>
        </w:drawing>
        <w:t>Exhibit 99.2</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MANAGEMENT’S DISCUSSION AND ANALYSIS OF FINANCIAL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CONDITION AND RESULTS OF OPERATIONS</w:t>
      </w:r>
    </w:p>
    <w:p>
      <w:pPr>
        <w:spacing w:after="0" w:line="283" w:lineRule="exact"/>
        <w:rPr>
          <w:sz w:val="20"/>
          <w:szCs w:val="20"/>
          <w:color w:val="auto"/>
        </w:rPr>
      </w:pPr>
    </w:p>
    <w:p>
      <w:pPr>
        <w:jc w:val="both"/>
        <w:spacing w:after="0" w:line="262" w:lineRule="auto"/>
        <w:rPr>
          <w:sz w:val="20"/>
          <w:szCs w:val="20"/>
          <w:color w:val="auto"/>
        </w:rPr>
      </w:pPr>
      <w:r>
        <w:rPr>
          <w:rFonts w:ascii="Arial" w:cs="Arial" w:eastAsia="Arial" w:hAnsi="Arial"/>
          <w:sz w:val="21"/>
          <w:szCs w:val="21"/>
          <w:i w:val="1"/>
          <w:iCs w:val="1"/>
          <w:color w:val="auto"/>
        </w:rPr>
        <w:t>The information contained in this section should be read in conjunction with (1) our unaudited condensed interim consolidated financial statements as of June 30, 2019 and for the six months then ended and related notes included in this report and (2) our audited consolidated financial statements and related notes included in our Annual Report on Form 20-F for the year ended December 31, 2018 and the other information contained in such annual report, particularly the information in Item 5 - “Operating and Financial Review and Prospects”. Our financial statements have been prepared in accordance with generally accepted accounting principles in the United States (“US GAAP”).</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Results of Operations</w:t>
      </w:r>
    </w:p>
    <w:p>
      <w:pPr>
        <w:spacing w:after="0" w:line="28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The following table sets forth certain statement of operations data as a percentage of total revenues for the periods indicated:</w:t>
      </w:r>
    </w:p>
    <w:p>
      <w:pPr>
        <w:spacing w:after="0" w:line="290" w:lineRule="exact"/>
        <w:rPr>
          <w:sz w:val="20"/>
          <w:szCs w:val="20"/>
          <w:color w:val="auto"/>
        </w:rPr>
      </w:pPr>
    </w:p>
    <w:p>
      <w:pPr>
        <w:jc w:val="center"/>
        <w:ind w:left="8600"/>
        <w:spacing w:after="0"/>
        <w:rPr>
          <w:sz w:val="20"/>
          <w:szCs w:val="20"/>
          <w:color w:val="auto"/>
        </w:rPr>
      </w:pPr>
      <w:r>
        <w:rPr>
          <w:rFonts w:ascii="Arial" w:cs="Arial" w:eastAsia="Arial" w:hAnsi="Arial"/>
          <w:sz w:val="17"/>
          <w:szCs w:val="17"/>
          <w:b w:val="1"/>
          <w:bCs w:val="1"/>
          <w:color w:val="auto"/>
        </w:rPr>
        <w:t>Six months ended</w:t>
      </w:r>
    </w:p>
    <w:p>
      <w:pPr>
        <w:spacing w:after="0" w:line="30" w:lineRule="exact"/>
        <w:rPr>
          <w:sz w:val="20"/>
          <w:szCs w:val="20"/>
          <w:color w:val="auto"/>
        </w:rPr>
      </w:pPr>
    </w:p>
    <w:p>
      <w:pPr>
        <w:jc w:val="center"/>
        <w:ind w:left="8600"/>
        <w:spacing w:after="0"/>
        <w:rPr>
          <w:sz w:val="20"/>
          <w:szCs w:val="20"/>
          <w:color w:val="auto"/>
        </w:rPr>
      </w:pPr>
      <w:r>
        <w:rPr>
          <w:rFonts w:ascii="Arial" w:cs="Arial" w:eastAsia="Arial" w:hAnsi="Arial"/>
          <w:sz w:val="17"/>
          <w:szCs w:val="17"/>
          <w:b w:val="1"/>
          <w:bCs w:val="1"/>
          <w:color w:val="auto"/>
        </w:rPr>
        <w:t>June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7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3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9"/>
                <w:szCs w:val="19"/>
                <w:color w:val="auto"/>
              </w:rPr>
            </w:pPr>
          </w:p>
        </w:tc>
      </w:tr>
      <w:tr>
        <w:trPr>
          <w:trHeight w:val="207"/>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13"/>
        </w:trPr>
        <w:tc>
          <w:tcPr>
            <w:tcW w:w="9540" w:type="dxa"/>
            <w:vAlign w:val="bottom"/>
            <w:gridSpan w:val="2"/>
          </w:tcPr>
          <w:p>
            <w:pPr>
              <w:spacing w:after="0"/>
              <w:rPr>
                <w:sz w:val="20"/>
                <w:szCs w:val="20"/>
                <w:color w:val="auto"/>
              </w:rPr>
            </w:pPr>
            <w:r>
              <w:rPr>
                <w:rFonts w:ascii="Arial" w:cs="Arial" w:eastAsia="Arial" w:hAnsi="Arial"/>
                <w:sz w:val="17"/>
                <w:szCs w:val="17"/>
                <w:color w:val="auto"/>
              </w:rPr>
              <w:t>Cost of revenues</w:t>
            </w:r>
          </w:p>
        </w:tc>
        <w:tc>
          <w:tcPr>
            <w:tcW w:w="340" w:type="dxa"/>
            <w:vAlign w:val="bottom"/>
          </w:tcPr>
          <w:p>
            <w:pPr>
              <w:jc w:val="right"/>
              <w:spacing w:after="0"/>
              <w:rPr>
                <w:sz w:val="20"/>
                <w:szCs w:val="20"/>
                <w:color w:val="auto"/>
              </w:rPr>
            </w:pPr>
            <w:r>
              <w:rPr>
                <w:rFonts w:ascii="Arial" w:cs="Arial" w:eastAsia="Arial" w:hAnsi="Arial"/>
                <w:sz w:val="17"/>
                <w:szCs w:val="17"/>
                <w:color w:val="auto"/>
                <w:w w:val="96"/>
              </w:rPr>
              <w:t>81.1</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77.7</w:t>
            </w:r>
          </w:p>
        </w:tc>
      </w:tr>
      <w:tr>
        <w:trPr>
          <w:trHeight w:val="207"/>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18.9</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60" w:type="dxa"/>
            <w:vAlign w:val="bottom"/>
            <w:shd w:val="clear" w:color="auto" w:fill="CCEEFF"/>
          </w:tcPr>
          <w:p>
            <w:pPr>
              <w:spacing w:after="0"/>
              <w:rPr>
                <w:sz w:val="18"/>
                <w:szCs w:val="18"/>
                <w:color w:val="auto"/>
              </w:rPr>
            </w:pPr>
          </w:p>
        </w:tc>
      </w:tr>
      <w:tr>
        <w:trPr>
          <w:trHeight w:val="207"/>
        </w:trPr>
        <w:tc>
          <w:tcPr>
            <w:tcW w:w="9540" w:type="dxa"/>
            <w:vAlign w:val="bottom"/>
            <w:gridSpan w:val="2"/>
          </w:tcPr>
          <w:p>
            <w:pPr>
              <w:spacing w:after="0"/>
              <w:rPr>
                <w:sz w:val="20"/>
                <w:szCs w:val="20"/>
                <w:color w:val="auto"/>
              </w:rPr>
            </w:pPr>
            <w:r>
              <w:rPr>
                <w:rFonts w:ascii="Arial" w:cs="Arial" w:eastAsia="Arial" w:hAnsi="Arial"/>
                <w:sz w:val="17"/>
                <w:szCs w:val="17"/>
                <w:color w:val="auto"/>
              </w:rPr>
              <w:t>Research and development expense</w:t>
            </w:r>
          </w:p>
        </w:tc>
        <w:tc>
          <w:tcPr>
            <w:tcW w:w="340" w:type="dxa"/>
            <w:vAlign w:val="bottom"/>
          </w:tcPr>
          <w:p>
            <w:pPr>
              <w:jc w:val="right"/>
              <w:spacing w:after="0"/>
              <w:rPr>
                <w:sz w:val="20"/>
                <w:szCs w:val="20"/>
                <w:color w:val="auto"/>
              </w:rPr>
            </w:pPr>
            <w:r>
              <w:rPr>
                <w:rFonts w:ascii="Arial" w:cs="Arial" w:eastAsia="Arial" w:hAnsi="Arial"/>
                <w:sz w:val="17"/>
                <w:szCs w:val="17"/>
                <w:color w:val="auto"/>
              </w:rPr>
              <w:t>6.2</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5.6</w:t>
            </w:r>
          </w:p>
        </w:tc>
      </w:tr>
      <w:tr>
        <w:trPr>
          <w:trHeight w:val="207"/>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Marketing, general and administrative expense</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w:t>
            </w:r>
          </w:p>
        </w:tc>
      </w:tr>
      <w:tr>
        <w:trPr>
          <w:trHeight w:val="26"/>
        </w:trPr>
        <w:tc>
          <w:tcPr>
            <w:tcW w:w="87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07"/>
        </w:trPr>
        <w:tc>
          <w:tcPr>
            <w:tcW w:w="8760" w:type="dxa"/>
            <w:vAlign w:val="bottom"/>
          </w:tcPr>
          <w:p>
            <w:pPr>
              <w:spacing w:after="0"/>
              <w:rPr>
                <w:sz w:val="20"/>
                <w:szCs w:val="20"/>
                <w:color w:val="auto"/>
              </w:rPr>
            </w:pPr>
            <w:r>
              <w:rPr>
                <w:rFonts w:ascii="Arial" w:cs="Arial" w:eastAsia="Arial" w:hAnsi="Arial"/>
                <w:sz w:val="17"/>
                <w:szCs w:val="17"/>
                <w:color w:val="auto"/>
              </w:rPr>
              <w:t>Operating profit</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7.3</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11.7</w:t>
            </w:r>
          </w:p>
        </w:tc>
      </w:tr>
      <w:tr>
        <w:trPr>
          <w:trHeight w:val="207"/>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Financing and other income (expense), net</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r>
      <w:tr>
        <w:trPr>
          <w:trHeight w:val="26"/>
        </w:trPr>
        <w:tc>
          <w:tcPr>
            <w:tcW w:w="87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07"/>
        </w:trPr>
        <w:tc>
          <w:tcPr>
            <w:tcW w:w="8760" w:type="dxa"/>
            <w:vAlign w:val="bottom"/>
          </w:tcPr>
          <w:p>
            <w:pPr>
              <w:spacing w:after="0"/>
              <w:rPr>
                <w:sz w:val="20"/>
                <w:szCs w:val="20"/>
                <w:color w:val="auto"/>
              </w:rPr>
            </w:pPr>
            <w:r>
              <w:rPr>
                <w:rFonts w:ascii="Arial" w:cs="Arial" w:eastAsia="Arial" w:hAnsi="Arial"/>
                <w:sz w:val="17"/>
                <w:szCs w:val="17"/>
                <w:color w:val="auto"/>
              </w:rPr>
              <w:t>Profit before income tax</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7.6</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10.2</w:t>
            </w:r>
          </w:p>
        </w:tc>
      </w:tr>
      <w:tr>
        <w:trPr>
          <w:trHeight w:val="207"/>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net</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(0.6)</w:t>
            </w:r>
          </w:p>
        </w:tc>
      </w:tr>
      <w:tr>
        <w:trPr>
          <w:trHeight w:val="26"/>
        </w:trPr>
        <w:tc>
          <w:tcPr>
            <w:tcW w:w="87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07"/>
        </w:trPr>
        <w:tc>
          <w:tcPr>
            <w:tcW w:w="8760" w:type="dxa"/>
            <w:vAlign w:val="bottom"/>
          </w:tcPr>
          <w:p>
            <w:pPr>
              <w:spacing w:after="0"/>
              <w:rPr>
                <w:sz w:val="20"/>
                <w:szCs w:val="20"/>
                <w:color w:val="auto"/>
              </w:rPr>
            </w:pPr>
            <w:r>
              <w:rPr>
                <w:rFonts w:ascii="Arial" w:cs="Arial" w:eastAsia="Arial" w:hAnsi="Arial"/>
                <w:sz w:val="17"/>
                <w:szCs w:val="17"/>
                <w:color w:val="auto"/>
              </w:rPr>
              <w:t>Net profit</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7.5</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9.6</w:t>
            </w:r>
          </w:p>
        </w:tc>
      </w:tr>
      <w:tr>
        <w:trPr>
          <w:trHeight w:val="207"/>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the non-controlling interest</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w:t>
            </w:r>
          </w:p>
        </w:tc>
      </w:tr>
      <w:tr>
        <w:trPr>
          <w:trHeight w:val="26"/>
        </w:trPr>
        <w:tc>
          <w:tcPr>
            <w:tcW w:w="87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07"/>
        </w:trPr>
        <w:tc>
          <w:tcPr>
            <w:tcW w:w="8760" w:type="dxa"/>
            <w:vAlign w:val="bottom"/>
          </w:tcPr>
          <w:p>
            <w:pPr>
              <w:spacing w:after="0"/>
              <w:rPr>
                <w:sz w:val="20"/>
                <w:szCs w:val="20"/>
                <w:color w:val="auto"/>
              </w:rPr>
            </w:pPr>
            <w:r>
              <w:rPr>
                <w:rFonts w:ascii="Arial" w:cs="Arial" w:eastAsia="Arial" w:hAnsi="Arial"/>
                <w:sz w:val="17"/>
                <w:szCs w:val="17"/>
                <w:color w:val="auto"/>
              </w:rPr>
              <w:t>Net profit attributable to the company</w:t>
            </w:r>
          </w:p>
        </w:tc>
        <w:tc>
          <w:tcPr>
            <w:tcW w:w="7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7.7%</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9.7%</w:t>
            </w:r>
          </w:p>
        </w:tc>
      </w:tr>
      <w:tr>
        <w:trPr>
          <w:trHeight w:val="20"/>
        </w:trPr>
        <w:tc>
          <w:tcPr>
            <w:tcW w:w="87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5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The following table sets forth certain statement of operations data for the periods indicated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right"/>
              <w:ind w:right="700"/>
              <w:spacing w:after="0"/>
              <w:rPr>
                <w:sz w:val="20"/>
                <w:szCs w:val="20"/>
                <w:color w:val="auto"/>
              </w:rPr>
            </w:pPr>
            <w:r>
              <w:rPr>
                <w:rFonts w:ascii="Arial" w:cs="Arial" w:eastAsia="Arial" w:hAnsi="Arial"/>
                <w:sz w:val="17"/>
                <w:szCs w:val="17"/>
                <w:b w:val="1"/>
                <w:bCs w:val="1"/>
                <w:color w:val="auto"/>
              </w:rPr>
              <w:t>Six months ended</w:t>
            </w:r>
          </w:p>
        </w:tc>
      </w:tr>
      <w:tr>
        <w:trPr>
          <w:trHeight w:val="232"/>
        </w:trPr>
        <w:tc>
          <w:tcPr>
            <w:tcW w:w="8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7"/>
                <w:szCs w:val="17"/>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2019</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8"/>
                <w:szCs w:val="18"/>
                <w:color w:val="auto"/>
              </w:rPr>
            </w:pPr>
          </w:p>
        </w:tc>
      </w:tr>
      <w:tr>
        <w:trPr>
          <w:trHeight w:val="207"/>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616,171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647,848</w:t>
            </w:r>
          </w:p>
        </w:tc>
        <w:tc>
          <w:tcPr>
            <w:tcW w:w="100" w:type="dxa"/>
            <w:vAlign w:val="bottom"/>
            <w:shd w:val="clear" w:color="auto" w:fill="CCEEFF"/>
          </w:tcPr>
          <w:p>
            <w:pPr>
              <w:spacing w:after="0"/>
              <w:rPr>
                <w:sz w:val="18"/>
                <w:szCs w:val="18"/>
                <w:color w:val="auto"/>
              </w:rPr>
            </w:pPr>
          </w:p>
        </w:tc>
      </w:tr>
      <w:tr>
        <w:trPr>
          <w:trHeight w:val="213"/>
        </w:trPr>
        <w:tc>
          <w:tcPr>
            <w:tcW w:w="8800" w:type="dxa"/>
            <w:vAlign w:val="bottom"/>
          </w:tcPr>
          <w:p>
            <w:pPr>
              <w:spacing w:after="0"/>
              <w:rPr>
                <w:sz w:val="20"/>
                <w:szCs w:val="20"/>
                <w:color w:val="auto"/>
              </w:rPr>
            </w:pPr>
            <w:r>
              <w:rPr>
                <w:rFonts w:ascii="Arial" w:cs="Arial" w:eastAsia="Arial" w:hAnsi="Arial"/>
                <w:sz w:val="17"/>
                <w:szCs w:val="17"/>
                <w:color w:val="auto"/>
              </w:rPr>
              <w:t>Cost of revenues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499,613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503,155</w:t>
            </w:r>
          </w:p>
        </w:tc>
      </w:tr>
      <w:tr>
        <w:trPr>
          <w:trHeight w:val="207"/>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116,558</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144,693</w:t>
            </w:r>
          </w:p>
        </w:tc>
        <w:tc>
          <w:tcPr>
            <w:tcW w:w="100" w:type="dxa"/>
            <w:vAlign w:val="bottom"/>
            <w:shd w:val="clear" w:color="auto" w:fill="CCEEFF"/>
          </w:tcPr>
          <w:p>
            <w:pPr>
              <w:spacing w:after="0"/>
              <w:rPr>
                <w:sz w:val="18"/>
                <w:szCs w:val="18"/>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7"/>
                <w:szCs w:val="17"/>
                <w:color w:val="auto"/>
              </w:rPr>
              <w:t>Research and development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37,980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36,439</w:t>
            </w:r>
          </w:p>
        </w:tc>
      </w:tr>
      <w:tr>
        <w:trPr>
          <w:trHeight w:val="207"/>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Marketing, general and administrative expense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33,479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32,109</w:t>
            </w:r>
          </w:p>
        </w:tc>
      </w:tr>
      <w:tr>
        <w:trPr>
          <w:trHeight w:val="26"/>
        </w:trPr>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7"/>
                <w:szCs w:val="17"/>
                <w:color w:val="auto"/>
              </w:rPr>
              <w:t>Operating profit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45,099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76,145</w:t>
            </w:r>
          </w:p>
        </w:tc>
      </w:tr>
      <w:tr>
        <w:trPr>
          <w:trHeight w:val="207"/>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Financing and other income (expense),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(9,222)</w:t>
            </w:r>
          </w:p>
        </w:tc>
      </w:tr>
      <w:tr>
        <w:trPr>
          <w:trHeight w:val="26"/>
        </w:trPr>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7"/>
                <w:szCs w:val="17"/>
                <w:color w:val="auto"/>
              </w:rPr>
              <w:t>Profit before income tax</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46,771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66,923</w:t>
            </w:r>
          </w:p>
        </w:tc>
      </w:tr>
      <w:tr>
        <w:trPr>
          <w:trHeight w:val="207"/>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net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(649)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(3,733)</w:t>
            </w:r>
          </w:p>
        </w:tc>
      </w:tr>
      <w:tr>
        <w:trPr>
          <w:trHeight w:val="26"/>
        </w:trPr>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7"/>
                <w:szCs w:val="17"/>
                <w:color w:val="auto"/>
              </w:rPr>
              <w:t>Net profit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46,122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63,190</w:t>
            </w:r>
          </w:p>
        </w:tc>
      </w:tr>
      <w:tr>
        <w:trPr>
          <w:trHeight w:val="207"/>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the non-controlling interest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670</w:t>
            </w:r>
          </w:p>
        </w:tc>
      </w:tr>
      <w:tr>
        <w:trPr>
          <w:trHeight w:val="26"/>
        </w:trPr>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7"/>
                <w:szCs w:val="17"/>
                <w:color w:val="auto"/>
              </w:rPr>
              <w:t>Net profit attributable to the company</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47,152</w:t>
            </w:r>
          </w:p>
        </w:tc>
        <w:tc>
          <w:tcPr>
            <w:tcW w:w="24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63,860</w:t>
            </w:r>
          </w:p>
        </w:tc>
      </w:tr>
      <w:tr>
        <w:trPr>
          <w:trHeight w:val="20"/>
        </w:trPr>
        <w:tc>
          <w:tcPr>
            <w:tcW w:w="8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8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10" w:right="239" w:bottom="1440" w:gutter="0" w:footer="0" w:header="0"/>
        </w:sectPr>
      </w:pPr>
    </w:p>
    <w:bookmarkStart w:id="14" w:name="page15"/>
    <w:bookmarkEnd w:id="14"/>
    <w:p>
      <w:pPr>
        <w:spacing w:after="0"/>
        <w:rPr>
          <w:sz w:val="20"/>
          <w:szCs w:val="20"/>
          <w:color w:val="auto"/>
        </w:rPr>
      </w:pPr>
      <w:r>
        <w:rPr>
          <w:rFonts w:ascii="Arial" w:cs="Arial" w:eastAsia="Arial" w:hAnsi="Arial"/>
          <w:sz w:val="21"/>
          <w:szCs w:val="21"/>
          <w:b w:val="1"/>
          <w:bCs w:val="1"/>
          <w:color w:val="auto"/>
        </w:rPr>
        <w:t>Six months ended June 30, 2019 compared to six months ended June 30, 2018</w:t>
      </w:r>
    </w:p>
    <w:p>
      <w:pPr>
        <w:spacing w:after="0" w:line="283" w:lineRule="exact"/>
        <w:rPr>
          <w:sz w:val="20"/>
          <w:szCs w:val="20"/>
          <w:color w:val="auto"/>
        </w:rPr>
      </w:pPr>
    </w:p>
    <w:p>
      <w:pPr>
        <w:jc w:val="both"/>
        <w:ind w:firstLine="622"/>
        <w:spacing w:after="0" w:line="297" w:lineRule="auto"/>
        <w:rPr>
          <w:sz w:val="20"/>
          <w:szCs w:val="20"/>
          <w:color w:val="auto"/>
        </w:rPr>
      </w:pPr>
      <w:r>
        <w:rPr>
          <w:rFonts w:ascii="Arial" w:cs="Arial" w:eastAsia="Arial" w:hAnsi="Arial"/>
          <w:sz w:val="19"/>
          <w:szCs w:val="19"/>
          <w:i w:val="1"/>
          <w:iCs w:val="1"/>
          <w:color w:val="auto"/>
        </w:rPr>
        <w:t>Revenues</w:t>
      </w:r>
      <w:r>
        <w:rPr>
          <w:rFonts w:ascii="Arial" w:cs="Arial" w:eastAsia="Arial" w:hAnsi="Arial"/>
          <w:sz w:val="19"/>
          <w:szCs w:val="19"/>
          <w:color w:val="auto"/>
        </w:rPr>
        <w:t>. Revenues for the six months ended June 30, 2019 were $616.2 million, as compared to $647.8 million for the six</w:t>
      </w:r>
      <w:r>
        <w:rPr>
          <w:rFonts w:ascii="Arial" w:cs="Arial" w:eastAsia="Arial" w:hAnsi="Arial"/>
          <w:sz w:val="19"/>
          <w:szCs w:val="19"/>
          <w:i w:val="1"/>
          <w:iCs w:val="1"/>
          <w:color w:val="auto"/>
        </w:rPr>
        <w:t xml:space="preserve"> </w:t>
      </w:r>
      <w:r>
        <w:rPr>
          <w:rFonts w:ascii="Arial" w:cs="Arial" w:eastAsia="Arial" w:hAnsi="Arial"/>
          <w:sz w:val="19"/>
          <w:szCs w:val="19"/>
          <w:color w:val="auto"/>
        </w:rPr>
        <w:t>months ended June 30, 2018. This reduction is attributed mainly to a $36.6 million revenue reduction from Panasonic Semiconductor Solutions (“PSCS”), mainly due to the terms of the extended agreements signed in March 2019 with PSCS, which resulted in, among others, pricing reduction for products and services provided from TPSCo to PSCS. For additional information on the terms of the extended contract, see Note 3A to the unaudited condensed interim consolidated financial statements as of June 30, 2019.</w:t>
      </w:r>
    </w:p>
    <w:p>
      <w:pPr>
        <w:spacing w:after="0" w:line="204" w:lineRule="exact"/>
        <w:rPr>
          <w:sz w:val="20"/>
          <w:szCs w:val="20"/>
          <w:color w:val="auto"/>
        </w:rPr>
      </w:pPr>
    </w:p>
    <w:p>
      <w:pPr>
        <w:jc w:val="both"/>
        <w:ind w:firstLine="622"/>
        <w:spacing w:after="0" w:line="282" w:lineRule="auto"/>
        <w:rPr>
          <w:sz w:val="20"/>
          <w:szCs w:val="20"/>
          <w:color w:val="auto"/>
        </w:rPr>
      </w:pPr>
      <w:r>
        <w:rPr>
          <w:rFonts w:ascii="Arial" w:cs="Arial" w:eastAsia="Arial" w:hAnsi="Arial"/>
          <w:sz w:val="20"/>
          <w:szCs w:val="20"/>
          <w:i w:val="1"/>
          <w:iCs w:val="1"/>
          <w:color w:val="auto"/>
        </w:rPr>
        <w:t>Cost of Revenues</w:t>
      </w:r>
      <w:r>
        <w:rPr>
          <w:rFonts w:ascii="Arial" w:cs="Arial" w:eastAsia="Arial" w:hAnsi="Arial"/>
          <w:sz w:val="20"/>
          <w:szCs w:val="20"/>
          <w:color w:val="auto"/>
        </w:rPr>
        <w:t>. Cost of revenues for the six months ended June 30, 2019 amounted to $499.6 million as compared to $503.2</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for the six months ended June 30, 2018. This small decrease of $3.6 million in manufacturing cost, as compared to the $31.6 million reduced revenues, attributed mainly to the above referenced TPSCo - PSCS extension agreement, according to which, revised pricing levels were established as well as to the fact that a large portion of our costs is fixed.</w:t>
      </w:r>
    </w:p>
    <w:p>
      <w:pPr>
        <w:spacing w:after="0" w:line="215" w:lineRule="exact"/>
        <w:rPr>
          <w:sz w:val="20"/>
          <w:szCs w:val="20"/>
          <w:color w:val="auto"/>
        </w:rPr>
      </w:pPr>
    </w:p>
    <w:p>
      <w:pPr>
        <w:jc w:val="both"/>
        <w:ind w:firstLine="674"/>
        <w:spacing w:after="0" w:line="269" w:lineRule="auto"/>
        <w:rPr>
          <w:sz w:val="20"/>
          <w:szCs w:val="20"/>
          <w:color w:val="auto"/>
        </w:rPr>
      </w:pPr>
      <w:r>
        <w:rPr>
          <w:rFonts w:ascii="Arial" w:cs="Arial" w:eastAsia="Arial" w:hAnsi="Arial"/>
          <w:sz w:val="21"/>
          <w:szCs w:val="21"/>
          <w:i w:val="1"/>
          <w:iCs w:val="1"/>
          <w:color w:val="auto"/>
        </w:rPr>
        <w:t>Gross Profit</w:t>
      </w:r>
      <w:r>
        <w:rPr>
          <w:rFonts w:ascii="Arial" w:cs="Arial" w:eastAsia="Arial" w:hAnsi="Arial"/>
          <w:sz w:val="21"/>
          <w:szCs w:val="21"/>
          <w:color w:val="auto"/>
        </w:rPr>
        <w:t>. Gross profit for the six months ended June 30, 2019 amounted to $116.6 million as compared to $144.7 million for</w:t>
      </w:r>
      <w:r>
        <w:rPr>
          <w:rFonts w:ascii="Arial" w:cs="Arial" w:eastAsia="Arial" w:hAnsi="Arial"/>
          <w:sz w:val="21"/>
          <w:szCs w:val="21"/>
          <w:i w:val="1"/>
          <w:iCs w:val="1"/>
          <w:color w:val="auto"/>
        </w:rPr>
        <w:t xml:space="preserve"> </w:t>
      </w:r>
      <w:r>
        <w:rPr>
          <w:rFonts w:ascii="Arial" w:cs="Arial" w:eastAsia="Arial" w:hAnsi="Arial"/>
          <w:sz w:val="21"/>
          <w:szCs w:val="21"/>
          <w:color w:val="auto"/>
        </w:rPr>
        <w:t>the six months ended June 30, 2018. The decrease in gross profit resulted directly from the $31.6 million revenue reduction described above, while the decrease in cost of revenue was $3.6 million as described above.</w:t>
      </w:r>
    </w:p>
    <w:p>
      <w:pPr>
        <w:spacing w:after="0" w:line="225"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21"/>
          <w:szCs w:val="21"/>
          <w:i w:val="1"/>
          <w:iCs w:val="1"/>
          <w:color w:val="auto"/>
        </w:rPr>
        <w:t>Research and Developmen</w:t>
      </w:r>
      <w:r>
        <w:rPr>
          <w:rFonts w:ascii="Arial" w:cs="Arial" w:eastAsia="Arial" w:hAnsi="Arial"/>
          <w:sz w:val="21"/>
          <w:szCs w:val="21"/>
          <w:color w:val="auto"/>
        </w:rPr>
        <w:t>t. Research and development expense for the six months ended June 30, 2019, amounted to $38.0</w:t>
      </w:r>
      <w:r>
        <w:rPr>
          <w:rFonts w:ascii="Arial" w:cs="Arial" w:eastAsia="Arial" w:hAnsi="Arial"/>
          <w:sz w:val="21"/>
          <w:szCs w:val="21"/>
          <w:i w:val="1"/>
          <w:iCs w:val="1"/>
          <w:color w:val="auto"/>
        </w:rPr>
        <w:t xml:space="preserve"> </w:t>
      </w:r>
      <w:r>
        <w:rPr>
          <w:rFonts w:ascii="Arial" w:cs="Arial" w:eastAsia="Arial" w:hAnsi="Arial"/>
          <w:sz w:val="21"/>
          <w:szCs w:val="21"/>
          <w:color w:val="auto"/>
        </w:rPr>
        <w:t>million as compared to $36.4 million in the six months ended June 30, 2018, a 4% increase, which reflects our focus to enhance our mid-term and long-term products’ funnel, technology capabilities and future design wins.</w:t>
      </w:r>
    </w:p>
    <w:p>
      <w:pPr>
        <w:spacing w:after="0" w:line="225" w:lineRule="exact"/>
        <w:rPr>
          <w:sz w:val="20"/>
          <w:szCs w:val="20"/>
          <w:color w:val="auto"/>
        </w:rPr>
      </w:pPr>
    </w:p>
    <w:p>
      <w:pPr>
        <w:jc w:val="both"/>
        <w:ind w:firstLine="622"/>
        <w:spacing w:after="0" w:line="335" w:lineRule="auto"/>
        <w:rPr>
          <w:sz w:val="20"/>
          <w:szCs w:val="20"/>
          <w:color w:val="auto"/>
        </w:rPr>
      </w:pPr>
      <w:r>
        <w:rPr>
          <w:rFonts w:ascii="Arial" w:cs="Arial" w:eastAsia="Arial" w:hAnsi="Arial"/>
          <w:sz w:val="19"/>
          <w:szCs w:val="19"/>
          <w:i w:val="1"/>
          <w:iCs w:val="1"/>
          <w:color w:val="auto"/>
        </w:rPr>
        <w:t>Marketing, General and Administrative</w:t>
      </w:r>
      <w:r>
        <w:rPr>
          <w:rFonts w:ascii="Arial" w:cs="Arial" w:eastAsia="Arial" w:hAnsi="Arial"/>
          <w:sz w:val="19"/>
          <w:szCs w:val="19"/>
          <w:color w:val="auto"/>
        </w:rPr>
        <w:t>. Marketing, general and administrative expense for the six months ended June 30, 2019</w:t>
      </w:r>
      <w:r>
        <w:rPr>
          <w:rFonts w:ascii="Arial" w:cs="Arial" w:eastAsia="Arial" w:hAnsi="Arial"/>
          <w:sz w:val="19"/>
          <w:szCs w:val="19"/>
          <w:i w:val="1"/>
          <w:iCs w:val="1"/>
          <w:color w:val="auto"/>
        </w:rPr>
        <w:t xml:space="preserve"> </w:t>
      </w:r>
      <w:r>
        <w:rPr>
          <w:rFonts w:ascii="Arial" w:cs="Arial" w:eastAsia="Arial" w:hAnsi="Arial"/>
          <w:sz w:val="19"/>
          <w:szCs w:val="19"/>
          <w:color w:val="auto"/>
        </w:rPr>
        <w:t>amounted to $33.5 million, an increase of $1.4 million as compared to $32.1 million recorded in the six months ended June 30, 2018.</w:t>
      </w:r>
    </w:p>
    <w:p>
      <w:pPr>
        <w:spacing w:after="0" w:line="168"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21"/>
          <w:szCs w:val="21"/>
          <w:i w:val="1"/>
          <w:iCs w:val="1"/>
          <w:color w:val="auto"/>
        </w:rPr>
        <w:t xml:space="preserve">Operating Profit. </w:t>
      </w:r>
      <w:r>
        <w:rPr>
          <w:rFonts w:ascii="Arial" w:cs="Arial" w:eastAsia="Arial" w:hAnsi="Arial"/>
          <w:sz w:val="21"/>
          <w:szCs w:val="21"/>
          <w:color w:val="auto"/>
        </w:rPr>
        <w:t>Operating profit for the six months ended June 30, 2019 amounted to $45.1 million as compared to $76.1</w:t>
      </w:r>
      <w:r>
        <w:rPr>
          <w:rFonts w:ascii="Arial" w:cs="Arial" w:eastAsia="Arial" w:hAnsi="Arial"/>
          <w:sz w:val="21"/>
          <w:szCs w:val="21"/>
          <w:i w:val="1"/>
          <w:iCs w:val="1"/>
          <w:color w:val="auto"/>
        </w:rPr>
        <w:t xml:space="preserve"> </w:t>
      </w:r>
      <w:r>
        <w:rPr>
          <w:rFonts w:ascii="Arial" w:cs="Arial" w:eastAsia="Arial" w:hAnsi="Arial"/>
          <w:sz w:val="21"/>
          <w:szCs w:val="21"/>
          <w:color w:val="auto"/>
        </w:rPr>
        <w:t>million for the six months ended June 30, 2018. The $31.0 million decrease in operating profit resulted mainly from the $28.1 million reduction in gross profit described above.</w:t>
      </w:r>
    </w:p>
    <w:p>
      <w:pPr>
        <w:spacing w:after="0" w:line="225" w:lineRule="exact"/>
        <w:rPr>
          <w:sz w:val="20"/>
          <w:szCs w:val="20"/>
          <w:color w:val="auto"/>
        </w:rPr>
      </w:pPr>
    </w:p>
    <w:p>
      <w:pPr>
        <w:jc w:val="both"/>
        <w:ind w:firstLine="622"/>
        <w:spacing w:after="0" w:line="263" w:lineRule="auto"/>
        <w:rPr>
          <w:sz w:val="20"/>
          <w:szCs w:val="20"/>
          <w:color w:val="auto"/>
        </w:rPr>
      </w:pPr>
      <w:r>
        <w:rPr>
          <w:rFonts w:ascii="Arial" w:cs="Arial" w:eastAsia="Arial" w:hAnsi="Arial"/>
          <w:sz w:val="21"/>
          <w:szCs w:val="21"/>
          <w:i w:val="1"/>
          <w:iCs w:val="1"/>
          <w:color w:val="auto"/>
        </w:rPr>
        <w:t xml:space="preserve">Financing and Other Income (Expense), Net. </w:t>
      </w:r>
      <w:r>
        <w:rPr>
          <w:rFonts w:ascii="Arial" w:cs="Arial" w:eastAsia="Arial" w:hAnsi="Arial"/>
          <w:sz w:val="21"/>
          <w:szCs w:val="21"/>
          <w:color w:val="auto"/>
        </w:rPr>
        <w:t>Financing and other income, net for the six months ended June 30, 2019 amounted</w:t>
      </w:r>
      <w:r>
        <w:rPr>
          <w:rFonts w:ascii="Arial" w:cs="Arial" w:eastAsia="Arial" w:hAnsi="Arial"/>
          <w:sz w:val="21"/>
          <w:szCs w:val="21"/>
          <w:i w:val="1"/>
          <w:iCs w:val="1"/>
          <w:color w:val="auto"/>
        </w:rPr>
        <w:t xml:space="preserve"> </w:t>
      </w:r>
      <w:r>
        <w:rPr>
          <w:rFonts w:ascii="Arial" w:cs="Arial" w:eastAsia="Arial" w:hAnsi="Arial"/>
          <w:sz w:val="21"/>
          <w:szCs w:val="21"/>
          <w:color w:val="auto"/>
        </w:rPr>
        <w:t>to $1.7 million as compared to financing and other expense, net of $9.2 million for the six months ended June 30, 2018. During the six months ended June 30, 2019, interest income was higher resulting from higher balance of interest-bearing bank deposits, and investment in marketable securities and financing expense was lower than 2018 expense mainly due to the full conversion of Jazz Notes during 2018.</w:t>
      </w:r>
    </w:p>
    <w:p>
      <w:pPr>
        <w:spacing w:after="0" w:line="232"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21"/>
          <w:szCs w:val="21"/>
          <w:i w:val="1"/>
          <w:iCs w:val="1"/>
          <w:color w:val="auto"/>
        </w:rPr>
        <w:t>Income Tax Expense, Net</w:t>
      </w:r>
      <w:r>
        <w:rPr>
          <w:rFonts w:ascii="Arial" w:cs="Arial" w:eastAsia="Arial" w:hAnsi="Arial"/>
          <w:sz w:val="21"/>
          <w:szCs w:val="21"/>
          <w:color w:val="auto"/>
        </w:rPr>
        <w:t>. Income tax expense, net for the six months ended June 30, 2019 amounted to $0.6 million as compared</w:t>
      </w:r>
      <w:r>
        <w:rPr>
          <w:rFonts w:ascii="Arial" w:cs="Arial" w:eastAsia="Arial" w:hAnsi="Arial"/>
          <w:sz w:val="21"/>
          <w:szCs w:val="21"/>
          <w:i w:val="1"/>
          <w:iCs w:val="1"/>
          <w:color w:val="auto"/>
        </w:rPr>
        <w:t xml:space="preserve"> </w:t>
      </w:r>
      <w:r>
        <w:rPr>
          <w:rFonts w:ascii="Arial" w:cs="Arial" w:eastAsia="Arial" w:hAnsi="Arial"/>
          <w:sz w:val="21"/>
          <w:szCs w:val="21"/>
          <w:color w:val="auto"/>
        </w:rPr>
        <w:t>to $3.7 million in the six months ended June 30, 2018. The decrease in income tax expense, net in the amount of $3.1 million was mainly due to the $20.2 million lower profit before tax as described above.</w:t>
      </w:r>
    </w:p>
    <w:p>
      <w:pPr>
        <w:spacing w:after="0" w:line="225" w:lineRule="exact"/>
        <w:rPr>
          <w:sz w:val="20"/>
          <w:szCs w:val="20"/>
          <w:color w:val="auto"/>
        </w:rPr>
      </w:pPr>
    </w:p>
    <w:p>
      <w:pPr>
        <w:jc w:val="both"/>
        <w:ind w:firstLine="687"/>
        <w:spacing w:after="0" w:line="265" w:lineRule="auto"/>
        <w:rPr>
          <w:sz w:val="20"/>
          <w:szCs w:val="20"/>
          <w:color w:val="auto"/>
        </w:rPr>
      </w:pPr>
      <w:r>
        <w:rPr>
          <w:rFonts w:ascii="Arial" w:cs="Arial" w:eastAsia="Arial" w:hAnsi="Arial"/>
          <w:sz w:val="21"/>
          <w:szCs w:val="21"/>
          <w:i w:val="1"/>
          <w:iCs w:val="1"/>
          <w:color w:val="auto"/>
        </w:rPr>
        <w:t>Net Profit</w:t>
      </w:r>
      <w:r>
        <w:rPr>
          <w:rFonts w:ascii="Arial" w:cs="Arial" w:eastAsia="Arial" w:hAnsi="Arial"/>
          <w:sz w:val="21"/>
          <w:szCs w:val="21"/>
          <w:color w:val="auto"/>
        </w:rPr>
        <w:t>. Net profit for the six months ended June 30, 2019 amounted to $47.2 million as compared to a net profit of $63.9</w:t>
      </w:r>
      <w:r>
        <w:rPr>
          <w:rFonts w:ascii="Arial" w:cs="Arial" w:eastAsia="Arial" w:hAnsi="Arial"/>
          <w:sz w:val="21"/>
          <w:szCs w:val="21"/>
          <w:i w:val="1"/>
          <w:iCs w:val="1"/>
          <w:color w:val="auto"/>
        </w:rPr>
        <w:t xml:space="preserve"> </w:t>
      </w:r>
      <w:r>
        <w:rPr>
          <w:rFonts w:ascii="Arial" w:cs="Arial" w:eastAsia="Arial" w:hAnsi="Arial"/>
          <w:sz w:val="21"/>
          <w:szCs w:val="21"/>
          <w:color w:val="auto"/>
        </w:rPr>
        <w:t>million for the six months ended June 30, 2018. The decrease in net profit in the amount of $16.7 million was mainly due to the decrease of $31.0 million in operating profit, offset by $10.9 million increase in financing and other income, net and $3.1 million lower income tax expense, as explained above.</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Impact of Currency Fluctuations</w:t>
      </w:r>
    </w:p>
    <w:p>
      <w:pPr>
        <w:spacing w:after="0" w:line="283" w:lineRule="exact"/>
        <w:rPr>
          <w:sz w:val="20"/>
          <w:szCs w:val="20"/>
          <w:color w:val="auto"/>
        </w:rPr>
      </w:pPr>
    </w:p>
    <w:p>
      <w:pPr>
        <w:jc w:val="both"/>
        <w:ind w:firstLine="687"/>
        <w:spacing w:after="0" w:line="297" w:lineRule="auto"/>
        <w:rPr>
          <w:sz w:val="20"/>
          <w:szCs w:val="20"/>
          <w:color w:val="auto"/>
        </w:rPr>
      </w:pPr>
      <w:r>
        <w:rPr>
          <w:rFonts w:ascii="Arial" w:cs="Arial" w:eastAsia="Arial" w:hAnsi="Arial"/>
          <w:sz w:val="19"/>
          <w:szCs w:val="19"/>
          <w:color w:val="auto"/>
        </w:rPr>
        <w:t>The Company currently operates in three different regions: Japan, the United States and Israel. The functional currency of the United States and Israel entities is the US dollar (“USD”). The functional currency of our subsidiary in Japan is the Japanese Yen (“JPY”). Our expenses and costs are denominated mainly in USD, JPY and New Israeli Shekels (“NIS”), revenues are denominated mainly in USD and JPY and our cash from operations, investing and financing activities are denominated mainly in USD, JPY and NIS. Therefore, the Company is exposed to the risk of currency exchange rate fluctuations in Israel and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241935</wp:posOffset>
            </wp:positionV>
            <wp:extent cx="725233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both"/>
        <w:ind w:firstLine="622"/>
        <w:spacing w:after="0" w:line="269" w:lineRule="auto"/>
        <w:rPr>
          <w:sz w:val="20"/>
          <w:szCs w:val="20"/>
          <w:color w:val="auto"/>
        </w:rPr>
      </w:pPr>
      <w:r>
        <w:rPr>
          <w:rFonts w:ascii="Arial" w:cs="Arial" w:eastAsia="Arial" w:hAnsi="Arial"/>
          <w:sz w:val="21"/>
          <w:szCs w:val="21"/>
          <w:color w:val="auto"/>
        </w:rPr>
        <w:t>The USD costs of our operations in Israel is influenced by changes in the USD to NIS exchange rate, with respect to costs that are denominated in NIS. During the six months ended June 30, 2019, the USD depreciated against the NIS by 4.9%, as compared to 5.3% appreciation during the six months ended June 30, 2018.</w:t>
      </w:r>
    </w:p>
    <w:p>
      <w:pPr>
        <w:spacing w:after="0" w:line="225" w:lineRule="exact"/>
        <w:rPr>
          <w:sz w:val="20"/>
          <w:szCs w:val="20"/>
          <w:color w:val="auto"/>
        </w:rPr>
      </w:pPr>
    </w:p>
    <w:p>
      <w:pPr>
        <w:jc w:val="both"/>
        <w:ind w:firstLine="622"/>
        <w:spacing w:after="0" w:line="297" w:lineRule="auto"/>
        <w:rPr>
          <w:sz w:val="20"/>
          <w:szCs w:val="20"/>
          <w:color w:val="auto"/>
        </w:rPr>
      </w:pPr>
      <w:r>
        <w:rPr>
          <w:rFonts w:ascii="Arial" w:cs="Arial" w:eastAsia="Arial" w:hAnsi="Arial"/>
          <w:sz w:val="19"/>
          <w:szCs w:val="19"/>
          <w:color w:val="auto"/>
        </w:rPr>
        <w:t>The fluctuation of USD against the NIS can affect our results of operations. Appreciation of the NIS has the effect of increasing the cost, in USD terms, of some of the Company’s Israeli purchases and labor NIS denominated costs, which may lead to erosion in the profit margins. The Company uses foreign currency cylinder transactions to hedge a portion of this currency exposure to be contained within a pre-defined fixed range. In addition, the Company executed swap-hedging transactions to hedge the exposure to the fluctuation of USD against the NIS to the extent it relates to non-convertible Series G debentures, which are denominated in NIS.</w:t>
      </w:r>
    </w:p>
    <w:p>
      <w:pPr>
        <w:spacing w:after="0" w:line="204" w:lineRule="exact"/>
        <w:rPr>
          <w:sz w:val="20"/>
          <w:szCs w:val="20"/>
          <w:color w:val="auto"/>
        </w:rPr>
      </w:pPr>
    </w:p>
    <w:p>
      <w:pPr>
        <w:jc w:val="both"/>
        <w:ind w:firstLine="622"/>
        <w:spacing w:after="0" w:line="265" w:lineRule="auto"/>
        <w:rPr>
          <w:sz w:val="20"/>
          <w:szCs w:val="20"/>
          <w:color w:val="auto"/>
        </w:rPr>
      </w:pPr>
      <w:r>
        <w:rPr>
          <w:rFonts w:ascii="Arial" w:cs="Arial" w:eastAsia="Arial" w:hAnsi="Arial"/>
          <w:sz w:val="21"/>
          <w:szCs w:val="21"/>
          <w:color w:val="auto"/>
        </w:rPr>
        <w:t>The majority of TPSCo revenues are denominated in JPY and the majority of the expenses of TPSCo are in JPY, which limits the exposure to fluctuations of the USD / JPY exchange rate on TPSCo’s results of operations. In order to mitigate a portion of the net exposure to the USD / JPY exchange rate, the Company has engaged in cylinder hedging transactions to contain the currency’s fluctuation within a pre-defined fixed range.</w:t>
      </w:r>
    </w:p>
    <w:p>
      <w:pPr>
        <w:spacing w:after="0" w:line="230" w:lineRule="exact"/>
        <w:rPr>
          <w:sz w:val="20"/>
          <w:szCs w:val="20"/>
          <w:color w:val="auto"/>
        </w:rPr>
      </w:pPr>
    </w:p>
    <w:p>
      <w:pPr>
        <w:jc w:val="both"/>
        <w:ind w:firstLine="622"/>
        <w:spacing w:after="0" w:line="265" w:lineRule="auto"/>
        <w:rPr>
          <w:sz w:val="20"/>
          <w:szCs w:val="20"/>
          <w:color w:val="auto"/>
        </w:rPr>
      </w:pPr>
      <w:r>
        <w:rPr>
          <w:rFonts w:ascii="Arial" w:cs="Arial" w:eastAsia="Arial" w:hAnsi="Arial"/>
          <w:sz w:val="21"/>
          <w:szCs w:val="21"/>
          <w:color w:val="auto"/>
        </w:rPr>
        <w:t>During the six months ended June 30, 2019, the USD depreciated against the JPY by 2.0%, as compared to 1.6% depreciation during the six months ended June 30, 2018. The net effect of USD depreciation against the JPY on TPSCo’s assets and liabilities denominated in JPY is presented in the Cumulative Translation Adjustment (“CTA”) as part of Other Comprehensive Income (“OCI”) in the balance sheet.</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283" w:lineRule="exact"/>
        <w:rPr>
          <w:sz w:val="20"/>
          <w:szCs w:val="20"/>
          <w:color w:val="auto"/>
        </w:rPr>
      </w:pPr>
    </w:p>
    <w:p>
      <w:pPr>
        <w:jc w:val="both"/>
        <w:ind w:firstLine="622"/>
        <w:spacing w:after="0" w:line="263" w:lineRule="auto"/>
        <w:rPr>
          <w:sz w:val="20"/>
          <w:szCs w:val="20"/>
          <w:color w:val="auto"/>
        </w:rPr>
      </w:pPr>
      <w:r>
        <w:rPr>
          <w:rFonts w:ascii="Arial" w:cs="Arial" w:eastAsia="Arial" w:hAnsi="Arial"/>
          <w:sz w:val="21"/>
          <w:szCs w:val="21"/>
          <w:color w:val="auto"/>
        </w:rPr>
        <w:t>As of June 30, 2019, the Company had an aggregate amount of $405.2 million in cash and cash equivalents, as compared to $385.1 million as of December 31, 2018. The main cash activities during the six months ended June 30, 2019 were: $147.0 million positive cash flow generated from operating activities; $85.4 million invested in property and equipment, net of proceeds received from sales of equipment; $33.8 million invested in short-term deposits, marketable securities and other assets, net; and $10.5 million debt repaid.</w:t>
      </w:r>
    </w:p>
    <w:p>
      <w:pPr>
        <w:spacing w:after="0" w:line="232" w:lineRule="exact"/>
        <w:rPr>
          <w:sz w:val="20"/>
          <w:szCs w:val="20"/>
          <w:color w:val="auto"/>
        </w:rPr>
      </w:pPr>
    </w:p>
    <w:p>
      <w:pPr>
        <w:jc w:val="both"/>
        <w:ind w:firstLine="622"/>
        <w:spacing w:after="0" w:line="301" w:lineRule="auto"/>
        <w:rPr>
          <w:sz w:val="20"/>
          <w:szCs w:val="20"/>
          <w:color w:val="auto"/>
        </w:rPr>
      </w:pPr>
      <w:r>
        <w:rPr>
          <w:rFonts w:ascii="Arial" w:cs="Arial" w:eastAsia="Arial" w:hAnsi="Arial"/>
          <w:sz w:val="19"/>
          <w:szCs w:val="19"/>
          <w:color w:val="auto"/>
        </w:rPr>
        <w:t>As included in Note 2 to the unaudited condensed interim consolidated financial statements as of June 30, 2019, the Company implemented effective January 1, 2019, the new accounting standard ASU 2016-2 “Leases” (“ASU 2016-02”), which primarily changed the leases accounting for operating leases by requiring recognition of lease right-of-use assets and lease liabilities. As of June 30, 2019, the present value of the new lease assets and liabilities was approximately $36 million, which was recorded in the balance sheet.</w:t>
      </w:r>
    </w:p>
    <w:p>
      <w:pPr>
        <w:spacing w:after="0" w:line="200" w:lineRule="exact"/>
        <w:rPr>
          <w:sz w:val="20"/>
          <w:szCs w:val="20"/>
          <w:color w:val="auto"/>
        </w:rPr>
      </w:pPr>
    </w:p>
    <w:p>
      <w:pPr>
        <w:jc w:val="both"/>
        <w:ind w:firstLine="622"/>
        <w:spacing w:after="0" w:line="265" w:lineRule="auto"/>
        <w:rPr>
          <w:sz w:val="20"/>
          <w:szCs w:val="20"/>
          <w:color w:val="auto"/>
        </w:rPr>
      </w:pPr>
      <w:r>
        <w:rPr>
          <w:rFonts w:ascii="Arial" w:cs="Arial" w:eastAsia="Arial" w:hAnsi="Arial"/>
          <w:sz w:val="21"/>
          <w:szCs w:val="21"/>
          <w:color w:val="auto"/>
        </w:rPr>
        <w:t>Short-term and long-term debt presented on the balance sheet as of June 30, 2019, including bank loans, debentures, operating leases and capital leases amounted to $45.2 million and $275.9 million, respectively. As of June 30, 2019, the aggregate principal amount of debentures was $131.2 million and its carrying amount in the balance sheet was $127.2 million, of which $18.1 million were presented as short-term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523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307340</wp:posOffset>
            </wp:positionV>
            <wp:extent cx="725233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335" cy="33020"/>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1"/>
    </w:lvl>
  </w:abstractNum>
  <w:abstractNum w:abstractNumId="1">
    <w:nsid w:val="66334873"/>
    <w:multiLevelType w:val="hybridMultilevel"/>
    <w:lvl w:ilvl="0">
      <w:lvlJc w:val="left"/>
      <w:lvlText w:val="%1."/>
      <w:numFmt w:val="upp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2019-12-20T16:52:13Z</dcterms:created>
  <dcterms:modified xsi:type="dcterms:W3CDTF">2019-12-20T16:52:13Z</dcterms:modified>
</cp:coreProperties>
</file>