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49465"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268605</wp:posOffset>
            </wp:positionV>
            <wp:extent cx="714946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17145"/>
                    </a:xfrm>
                    <a:prstGeom prst="rect">
                      <a:avLst/>
                    </a:prstGeom>
                    <a:noFill/>
                  </pic:spPr>
                </pic:pic>
              </a:graphicData>
            </a:graphic>
          </wp:anchor>
        </w:drawing>
        <w:t>FORM 6-K</w:t>
      </w:r>
    </w:p>
    <w:p>
      <w:pPr>
        <w:spacing w:after="0" w:line="172" w:lineRule="exact"/>
        <w:rPr>
          <w:sz w:val="24"/>
          <w:szCs w:val="24"/>
          <w:color w:val="auto"/>
        </w:rPr>
      </w:pPr>
    </w:p>
    <w:p>
      <w:pPr>
        <w:jc w:val="center"/>
        <w:ind w:right="-460"/>
        <w:spacing w:after="0"/>
        <w:rPr>
          <w:sz w:val="20"/>
          <w:szCs w:val="20"/>
          <w:color w:val="auto"/>
        </w:rPr>
      </w:pPr>
      <w:r>
        <w:rPr>
          <w:rFonts w:ascii="Arial" w:cs="Arial" w:eastAsia="Arial" w:hAnsi="Arial"/>
          <w:sz w:val="25"/>
          <w:szCs w:val="25"/>
          <w:b w:val="1"/>
          <w:bCs w:val="1"/>
          <w:color w:val="auto"/>
        </w:rPr>
        <w:t>SECURITIES AND EXCHANGE COMMISSION</w:t>
      </w:r>
    </w:p>
    <w:p>
      <w:pPr>
        <w:spacing w:after="0" w:line="234" w:lineRule="exact"/>
        <w:rPr>
          <w:sz w:val="24"/>
          <w:szCs w:val="24"/>
          <w:color w:val="auto"/>
        </w:rPr>
      </w:pPr>
    </w:p>
    <w:p>
      <w:pPr>
        <w:jc w:val="center"/>
        <w:ind w:right="-460"/>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For the month of August 2020 No.3</w:t>
      </w:r>
    </w:p>
    <w:p>
      <w:pPr>
        <w:spacing w:after="0" w:line="225"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Commission File Number 000-24790</w:t>
      </w:r>
    </w:p>
    <w:p>
      <w:pPr>
        <w:spacing w:after="0" w:line="207" w:lineRule="exact"/>
        <w:rPr>
          <w:sz w:val="24"/>
          <w:szCs w:val="24"/>
          <w:color w:val="auto"/>
        </w:rPr>
      </w:pPr>
    </w:p>
    <w:p>
      <w:pPr>
        <w:jc w:val="center"/>
        <w:ind w:right="-460"/>
        <w:spacing w:after="0"/>
        <w:rPr>
          <w:sz w:val="20"/>
          <w:szCs w:val="20"/>
          <w:color w:val="auto"/>
        </w:rPr>
      </w:pPr>
      <w:r>
        <w:rPr>
          <w:rFonts w:ascii="Arial" w:cs="Arial" w:eastAsia="Arial" w:hAnsi="Arial"/>
          <w:sz w:val="29"/>
          <w:szCs w:val="29"/>
          <w:b w:val="1"/>
          <w:bCs w:val="1"/>
          <w:color w:val="auto"/>
        </w:rPr>
        <w:t>TOWER SEMICONDUCTOR LTD.</w:t>
      </w:r>
    </w:p>
    <w:p>
      <w:pPr>
        <w:spacing w:after="0" w:line="62" w:lineRule="exact"/>
        <w:rPr>
          <w:sz w:val="24"/>
          <w:szCs w:val="24"/>
          <w:color w:val="auto"/>
        </w:rPr>
      </w:pPr>
    </w:p>
    <w:p>
      <w:pPr>
        <w:jc w:val="center"/>
        <w:ind w:right="-460"/>
        <w:spacing w:after="0"/>
        <w:rPr>
          <w:sz w:val="20"/>
          <w:szCs w:val="20"/>
          <w:color w:val="auto"/>
        </w:rPr>
      </w:pPr>
      <w:r>
        <w:rPr>
          <w:rFonts w:ascii="Arial" w:cs="Arial" w:eastAsia="Arial" w:hAnsi="Arial"/>
          <w:sz w:val="18"/>
          <w:szCs w:val="18"/>
          <w:color w:val="auto"/>
        </w:rPr>
        <w:t>(Translation of registrant's name into English)</w:t>
      </w:r>
    </w:p>
    <w:p>
      <w:pPr>
        <w:spacing w:after="0" w:line="194"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P.O. Box 619, Migdal Haemek, Israel 2310502</w:t>
      </w:r>
    </w:p>
    <w:p>
      <w:pPr>
        <w:spacing w:after="0" w:line="9" w:lineRule="exact"/>
        <w:rPr>
          <w:sz w:val="24"/>
          <w:szCs w:val="24"/>
          <w:color w:val="auto"/>
        </w:rPr>
      </w:pPr>
    </w:p>
    <w:p>
      <w:pPr>
        <w:jc w:val="center"/>
        <w:ind w:right="-460"/>
        <w:spacing w:after="0"/>
        <w:rPr>
          <w:sz w:val="20"/>
          <w:szCs w:val="20"/>
          <w:color w:val="auto"/>
        </w:rPr>
      </w:pPr>
      <w:r>
        <w:rPr>
          <w:rFonts w:ascii="Arial" w:cs="Arial" w:eastAsia="Arial" w:hAnsi="Arial"/>
          <w:sz w:val="18"/>
          <w:szCs w:val="18"/>
          <w:color w:val="auto"/>
        </w:rPr>
        <w:t>(Address of principal executive offices)</w:t>
      </w:r>
    </w:p>
    <w:p>
      <w:pPr>
        <w:spacing w:after="0" w:line="197" w:lineRule="exact"/>
        <w:rPr>
          <w:sz w:val="24"/>
          <w:szCs w:val="24"/>
          <w:color w:val="auto"/>
        </w:rPr>
      </w:pPr>
    </w:p>
    <w:p>
      <w:pPr>
        <w:ind w:left="3800" w:right="1199" w:hanging="3805"/>
        <w:spacing w:after="0" w:line="334"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Form 20-F or Form 40-F.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156"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3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166370</wp:posOffset>
            </wp:positionV>
            <wp:extent cx="71323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9479"/>
          </w:cols>
          <w:pgMar w:left="980" w:top="859" w:right="1440" w:bottom="1440" w:gutter="0" w:footer="0" w:header="0"/>
        </w:sectPr>
      </w:pPr>
    </w:p>
    <w:bookmarkStart w:id="1" w:name="page2"/>
    <w:bookmarkEnd w:id="1"/>
    <w:p>
      <w:pPr>
        <w:ind w:firstLine="648"/>
        <w:spacing w:after="0" w:line="277" w:lineRule="auto"/>
        <w:rPr>
          <w:sz w:val="20"/>
          <w:szCs w:val="20"/>
          <w:color w:val="auto"/>
        </w:rPr>
      </w:pPr>
      <w:r>
        <w:rPr>
          <w:rFonts w:ascii="Arial" w:cs="Arial" w:eastAsia="Arial" w:hAnsi="Arial"/>
          <w:sz w:val="18"/>
          <w:szCs w:val="18"/>
          <w:color w:val="auto"/>
        </w:rPr>
        <w:t>On August 5, 2020, the Registrant issued unaudited condensed interim consolidated financial statements as of June 30, 2020, and for the six and three month’s periods then ended. Attached hereto are the following exhibits.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Exhibit 99.1</w:t>
              </w:r>
            </w:hyperlink>
          </w:p>
        </w:tc>
        <w:tc>
          <w:tcPr>
            <w:tcW w:w="8960" w:type="dxa"/>
            <w:vAlign w:val="bottom"/>
            <w:gridSpan w:val="4"/>
          </w:tcPr>
          <w:p>
            <w:pPr>
              <w:spacing w:after="0"/>
              <w:rPr>
                <w:rFonts w:ascii="Arial" w:cs="Arial" w:eastAsia="Arial" w:hAnsi="Arial"/>
                <w:sz w:val="18"/>
                <w:szCs w:val="18"/>
                <w:color w:val="0000EE"/>
                <w:w w:val="89"/>
              </w:rPr>
            </w:pPr>
            <w:hyperlink w:anchor="page4">
              <w:r>
                <w:rPr>
                  <w:rFonts w:ascii="Arial" w:cs="Arial" w:eastAsia="Arial" w:hAnsi="Arial"/>
                  <w:sz w:val="18"/>
                  <w:szCs w:val="18"/>
                  <w:u w:val="single" w:color="auto"/>
                  <w:color w:val="0000EE"/>
                  <w:w w:val="89"/>
                </w:rPr>
                <w:t>Registrant’s consolidated financial statements as of June 30, 2020 and the report thereon dated August 5, 2020 of</w:t>
              </w:r>
              <w:r>
                <w:rPr>
                  <w:rFonts w:ascii="Arial" w:cs="Arial" w:eastAsia="Arial" w:hAnsi="Arial"/>
                  <w:sz w:val="18"/>
                  <w:szCs w:val="18"/>
                  <w:color w:val="0000EE"/>
                  <w:w w:val="89"/>
                </w:rPr>
                <w:t xml:space="preserve"> Brightman</w:t>
              </w:r>
            </w:hyperlink>
          </w:p>
        </w:tc>
      </w:tr>
      <w:tr>
        <w:trPr>
          <w:trHeight w:val="196"/>
        </w:trPr>
        <w:tc>
          <w:tcPr>
            <w:tcW w:w="1700" w:type="dxa"/>
            <w:vAlign w:val="bottom"/>
          </w:tcPr>
          <w:p>
            <w:pPr>
              <w:spacing w:after="0"/>
              <w:rPr>
                <w:sz w:val="17"/>
                <w:szCs w:val="17"/>
                <w:color w:val="auto"/>
              </w:rPr>
            </w:pPr>
          </w:p>
        </w:tc>
        <w:tc>
          <w:tcPr>
            <w:tcW w:w="1600" w:type="dxa"/>
            <w:vAlign w:val="bottom"/>
            <w:tcBorders>
              <w:bottom w:val="single" w:sz="8" w:color="0000EE"/>
            </w:tcBorders>
          </w:tcPr>
          <w:p>
            <w:pPr>
              <w:spacing w:after="0" w:line="196" w:lineRule="exact"/>
              <w:rPr>
                <w:rFonts w:ascii="Arial" w:cs="Arial" w:eastAsia="Arial" w:hAnsi="Arial"/>
                <w:sz w:val="18"/>
                <w:szCs w:val="18"/>
                <w:color w:val="0000EE"/>
                <w:w w:val="93"/>
              </w:rPr>
            </w:pPr>
            <w:hyperlink w:anchor="page4">
              <w:r>
                <w:rPr>
                  <w:rFonts w:ascii="Arial" w:cs="Arial" w:eastAsia="Arial" w:hAnsi="Arial"/>
                  <w:sz w:val="18"/>
                  <w:szCs w:val="18"/>
                  <w:color w:val="0000EE"/>
                  <w:w w:val="93"/>
                </w:rPr>
                <w:t>Almagor Zohar &amp; Co.</w:t>
              </w:r>
            </w:hyperlink>
          </w:p>
        </w:tc>
        <w:tc>
          <w:tcPr>
            <w:tcW w:w="6580" w:type="dxa"/>
            <w:vAlign w:val="bottom"/>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1700" w:type="dxa"/>
            <w:vAlign w:val="bottom"/>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Exhibit 99.2</w:t>
              </w:r>
            </w:hyperlink>
          </w:p>
        </w:tc>
        <w:tc>
          <w:tcPr>
            <w:tcW w:w="8960" w:type="dxa"/>
            <w:vAlign w:val="bottom"/>
            <w:gridSpan w:val="4"/>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Management’s Discussion and Analysis of Financial Condition and Results of Operations</w:t>
              </w:r>
            </w:hyperlink>
          </w:p>
        </w:tc>
      </w:tr>
    </w:tbl>
    <w:p>
      <w:pPr>
        <w:spacing w:after="0" w:line="17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Form 6-K, including all exhibits hereto, is hereby incorporated by reference into all effective registration statements filed by us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5720" w:type="dxa"/>
            <w:vAlign w:val="bottom"/>
            <w:gridSpan w:val="2"/>
          </w:tcPr>
          <w:p>
            <w:pPr>
              <w:ind w:left="2040"/>
              <w:spacing w:after="0"/>
              <w:rPr>
                <w:sz w:val="20"/>
                <w:szCs w:val="20"/>
                <w:color w:val="auto"/>
              </w:rPr>
            </w:pPr>
            <w:r>
              <w:rPr>
                <w:rFonts w:ascii="Arial" w:cs="Arial" w:eastAsia="Arial" w:hAnsi="Arial"/>
                <w:sz w:val="18"/>
                <w:szCs w:val="18"/>
                <w:b w:val="1"/>
                <w:bCs w:val="1"/>
                <w:color w:val="auto"/>
              </w:rPr>
              <w:t>TOWER SEMICONDUCTOR LTD.</w:t>
            </w:r>
          </w:p>
        </w:tc>
        <w:tc>
          <w:tcPr>
            <w:tcW w:w="19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 August 5, 2020</w:t>
            </w:r>
          </w:p>
        </w:tc>
        <w:tc>
          <w:tcPr>
            <w:tcW w:w="2700" w:type="dxa"/>
            <w:vAlign w:val="bottom"/>
          </w:tcPr>
          <w:p>
            <w:pPr>
              <w:ind w:left="2040"/>
              <w:spacing w:after="0"/>
              <w:rPr>
                <w:sz w:val="20"/>
                <w:szCs w:val="20"/>
                <w:color w:val="auto"/>
              </w:rPr>
            </w:pPr>
            <w:r>
              <w:rPr>
                <w:rFonts w:ascii="Arial" w:cs="Arial" w:eastAsia="Arial" w:hAnsi="Arial"/>
                <w:sz w:val="18"/>
                <w:szCs w:val="18"/>
                <w:color w:val="auto"/>
              </w:rPr>
              <w:t>By:</w:t>
            </w:r>
          </w:p>
        </w:tc>
        <w:tc>
          <w:tcPr>
            <w:tcW w:w="3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Nati Somekh</w:t>
            </w: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5"/>
        </w:trPr>
        <w:tc>
          <w:tcPr>
            <w:tcW w:w="3600" w:type="dxa"/>
            <w:vAlign w:val="bottom"/>
          </w:tcPr>
          <w:p>
            <w:pPr>
              <w:spacing w:after="0"/>
              <w:rPr>
                <w:sz w:val="16"/>
                <w:szCs w:val="16"/>
                <w:color w:val="auto"/>
              </w:rPr>
            </w:pPr>
          </w:p>
        </w:tc>
        <w:tc>
          <w:tcPr>
            <w:tcW w:w="2700" w:type="dxa"/>
            <w:vAlign w:val="bottom"/>
          </w:tcPr>
          <w:p>
            <w:pPr>
              <w:ind w:left="2040"/>
              <w:spacing w:after="0" w:line="195" w:lineRule="exact"/>
              <w:rPr>
                <w:sz w:val="20"/>
                <w:szCs w:val="20"/>
                <w:color w:val="auto"/>
              </w:rPr>
            </w:pPr>
            <w:r>
              <w:rPr>
                <w:rFonts w:ascii="Arial" w:cs="Arial" w:eastAsia="Arial" w:hAnsi="Arial"/>
                <w:sz w:val="18"/>
                <w:szCs w:val="18"/>
                <w:color w:val="auto"/>
              </w:rPr>
              <w:t>Name:</w:t>
            </w:r>
          </w:p>
        </w:tc>
        <w:tc>
          <w:tcPr>
            <w:tcW w:w="3020" w:type="dxa"/>
            <w:vAlign w:val="bottom"/>
          </w:tcPr>
          <w:p>
            <w:pPr>
              <w:spacing w:after="0" w:line="195" w:lineRule="exact"/>
              <w:rPr>
                <w:sz w:val="20"/>
                <w:szCs w:val="20"/>
                <w:color w:val="auto"/>
              </w:rPr>
            </w:pPr>
            <w:r>
              <w:rPr>
                <w:rFonts w:ascii="Arial" w:cs="Arial" w:eastAsia="Arial" w:hAnsi="Arial"/>
                <w:sz w:val="18"/>
                <w:szCs w:val="18"/>
                <w:color w:val="auto"/>
              </w:rPr>
              <w:t>Nati Somekh</w:t>
            </w:r>
          </w:p>
        </w:tc>
        <w:tc>
          <w:tcPr>
            <w:tcW w:w="19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3600" w:type="dxa"/>
            <w:vAlign w:val="bottom"/>
          </w:tcPr>
          <w:p>
            <w:pPr>
              <w:spacing w:after="0"/>
              <w:rPr>
                <w:sz w:val="20"/>
                <w:szCs w:val="20"/>
                <w:color w:val="auto"/>
              </w:rPr>
            </w:pPr>
          </w:p>
        </w:tc>
        <w:tc>
          <w:tcPr>
            <w:tcW w:w="2700" w:type="dxa"/>
            <w:vAlign w:val="bottom"/>
          </w:tcPr>
          <w:p>
            <w:pPr>
              <w:ind w:left="2040"/>
              <w:spacing w:after="0"/>
              <w:rPr>
                <w:sz w:val="20"/>
                <w:szCs w:val="20"/>
                <w:color w:val="auto"/>
              </w:rPr>
            </w:pPr>
            <w:r>
              <w:rPr>
                <w:rFonts w:ascii="Arial" w:cs="Arial" w:eastAsia="Arial" w:hAnsi="Arial"/>
                <w:sz w:val="18"/>
                <w:szCs w:val="18"/>
                <w:color w:val="auto"/>
              </w:rPr>
              <w:t>Title:</w:t>
            </w:r>
          </w:p>
        </w:tc>
        <w:tc>
          <w:tcPr>
            <w:tcW w:w="3020" w:type="dxa"/>
            <w:vAlign w:val="bottom"/>
          </w:tcPr>
          <w:p>
            <w:pPr>
              <w:spacing w:after="0"/>
              <w:rPr>
                <w:sz w:val="20"/>
                <w:szCs w:val="20"/>
                <w:color w:val="auto"/>
              </w:rPr>
            </w:pPr>
            <w:r>
              <w:rPr>
                <w:rFonts w:ascii="Arial" w:cs="Arial" w:eastAsia="Arial" w:hAnsi="Arial"/>
                <w:sz w:val="18"/>
                <w:szCs w:val="18"/>
                <w:color w:val="auto"/>
              </w:rPr>
              <w:t>Corporate Secretary</w:t>
            </w:r>
          </w:p>
        </w:tc>
        <w:tc>
          <w:tcPr>
            <w:tcW w:w="19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9"/>
        </w:trPr>
        <w:tc>
          <w:tcPr>
            <w:tcW w:w="3600" w:type="dxa"/>
            <w:vAlign w:val="bottom"/>
            <w:tcBorders>
              <w:bottom w:val="single" w:sz="8" w:color="EEEEEE"/>
            </w:tcBorders>
          </w:tcPr>
          <w:p>
            <w:pPr>
              <w:spacing w:after="0"/>
              <w:rPr>
                <w:sz w:val="16"/>
                <w:szCs w:val="16"/>
                <w:color w:val="auto"/>
              </w:rPr>
            </w:pPr>
          </w:p>
        </w:tc>
        <w:tc>
          <w:tcPr>
            <w:tcW w:w="2700" w:type="dxa"/>
            <w:vAlign w:val="bottom"/>
            <w:tcBorders>
              <w:bottom w:val="single" w:sz="8" w:color="EEEEEE"/>
            </w:tcBorders>
          </w:tcPr>
          <w:p>
            <w:pPr>
              <w:spacing w:after="0"/>
              <w:rPr>
                <w:sz w:val="16"/>
                <w:szCs w:val="16"/>
                <w:color w:val="auto"/>
              </w:rPr>
            </w:pPr>
          </w:p>
        </w:tc>
        <w:tc>
          <w:tcPr>
            <w:tcW w:w="3020" w:type="dxa"/>
            <w:vAlign w:val="bottom"/>
            <w:tcBorders>
              <w:bottom w:val="single" w:sz="8" w:color="EEEEEE"/>
            </w:tcBorders>
          </w:tcPr>
          <w:p>
            <w:pPr>
              <w:spacing w:after="0"/>
              <w:rPr>
                <w:sz w:val="16"/>
                <w:szCs w:val="16"/>
                <w:color w:val="auto"/>
              </w:rPr>
            </w:pPr>
          </w:p>
        </w:tc>
        <w:tc>
          <w:tcPr>
            <w:tcW w:w="1940" w:type="dxa"/>
            <w:vAlign w:val="bottom"/>
            <w:tcBorders>
              <w:bottom w:val="single" w:sz="8" w:color="EEEEEE"/>
            </w:tcBorders>
          </w:tcPr>
          <w:p>
            <w:pPr>
              <w:spacing w:after="0"/>
              <w:rPr>
                <w:sz w:val="16"/>
                <w:szCs w:val="16"/>
                <w:color w:val="auto"/>
              </w:rPr>
            </w:pPr>
          </w:p>
        </w:tc>
        <w:tc>
          <w:tcPr>
            <w:tcW w:w="20" w:type="dxa"/>
            <w:vAlign w:val="bottom"/>
          </w:tcPr>
          <w:p>
            <w:pPr>
              <w:spacing w:after="0"/>
              <w:rPr>
                <w:sz w:val="16"/>
                <w:szCs w:val="16"/>
                <w:color w:val="auto"/>
              </w:rPr>
            </w:pPr>
          </w:p>
        </w:tc>
      </w:tr>
      <w:tr>
        <w:trPr>
          <w:trHeight w:val="156"/>
        </w:trPr>
        <w:tc>
          <w:tcPr>
            <w:tcW w:w="3600" w:type="dxa"/>
            <w:vAlign w:val="bottom"/>
            <w:tcBorders>
              <w:bottom w:val="single" w:sz="8" w:color="EEEEEE"/>
            </w:tcBorders>
          </w:tcPr>
          <w:p>
            <w:pPr>
              <w:spacing w:after="0"/>
              <w:rPr>
                <w:sz w:val="13"/>
                <w:szCs w:val="13"/>
                <w:color w:val="auto"/>
              </w:rPr>
            </w:pPr>
          </w:p>
        </w:tc>
        <w:tc>
          <w:tcPr>
            <w:tcW w:w="2700" w:type="dxa"/>
            <w:vAlign w:val="bottom"/>
            <w:tcBorders>
              <w:bottom w:val="single" w:sz="8" w:color="EEEEEE"/>
            </w:tcBorders>
          </w:tcPr>
          <w:p>
            <w:pPr>
              <w:spacing w:after="0"/>
              <w:rPr>
                <w:sz w:val="13"/>
                <w:szCs w:val="13"/>
                <w:color w:val="auto"/>
              </w:rPr>
            </w:pPr>
          </w:p>
        </w:tc>
        <w:tc>
          <w:tcPr>
            <w:tcW w:w="3020" w:type="dxa"/>
            <w:vAlign w:val="bottom"/>
            <w:tcBorders>
              <w:bottom w:val="single" w:sz="8" w:color="EEEEEE"/>
            </w:tcBorders>
          </w:tcPr>
          <w:p>
            <w:pPr>
              <w:spacing w:after="0"/>
              <w:rPr>
                <w:sz w:val="13"/>
                <w:szCs w:val="13"/>
                <w:color w:val="auto"/>
              </w:rPr>
            </w:pPr>
          </w:p>
        </w:tc>
        <w:tc>
          <w:tcPr>
            <w:tcW w:w="1940" w:type="dxa"/>
            <w:vAlign w:val="bottom"/>
            <w:tcBorders>
              <w:bottom w:val="single" w:sz="8" w:color="EEEEEE"/>
            </w:tcBorders>
          </w:tcPr>
          <w:p>
            <w:pPr>
              <w:spacing w:after="0"/>
              <w:rPr>
                <w:sz w:val="13"/>
                <w:szCs w:val="13"/>
                <w:color w:val="auto"/>
              </w:rPr>
            </w:pPr>
          </w:p>
        </w:tc>
        <w:tc>
          <w:tcPr>
            <w:tcW w:w="20" w:type="dxa"/>
            <w:vAlign w:val="bottom"/>
            <w:tcBorders>
              <w:bottom w:val="single" w:sz="8" w:color="EEEEEE"/>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494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49465"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p>
    <w:p>
      <w:pPr>
        <w:sectPr>
          <w:pgSz w:w="11900" w:h="16838" w:orient="portrait"/>
          <w:cols w:equalWidth="0" w:num="1">
            <w:col w:w="11260"/>
          </w:cols>
          <w:pgMar w:left="320" w:top="283" w:right="3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t>Exhibit 99.1</w:t>
      </w:r>
    </w:p>
    <w:p>
      <w:pPr>
        <w:spacing w:after="0" w:line="17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TOWER SEMICONDUCTOR LTD.</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UNAUDITED CONDENSED INTERIM</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CONSOLIDATED FINANCIAL STATEMENTS</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AS OF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120"/>
          </w:cols>
          <w:pgMar w:left="1440" w:top="553"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0120" w:type="dxa"/>
            <w:vAlign w:val="bottom"/>
          </w:tcPr>
          <w:p>
            <w:pPr>
              <w:jc w:val="center"/>
              <w:ind w:left="1030"/>
              <w:spacing w:after="0"/>
              <w:rPr>
                <w:sz w:val="20"/>
                <w:szCs w:val="20"/>
                <w:color w:val="auto"/>
              </w:rPr>
            </w:pPr>
            <w:r>
              <w:rPr>
                <w:rFonts w:ascii="Arial" w:cs="Arial" w:eastAsia="Arial" w:hAnsi="Arial"/>
                <w:sz w:val="18"/>
                <w:szCs w:val="18"/>
                <w:b w:val="1"/>
                <w:bCs w:val="1"/>
                <w:color w:val="auto"/>
              </w:rPr>
              <w:t>TOWER SEMICONDUCTOR LTD. AND SUBSIDIARIES</w:t>
            </w: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60"/>
        </w:trPr>
        <w:tc>
          <w:tcPr>
            <w:tcW w:w="10120" w:type="dxa"/>
            <w:vAlign w:val="bottom"/>
          </w:tcPr>
          <w:p>
            <w:pPr>
              <w:jc w:val="center"/>
              <w:ind w:left="1030"/>
              <w:spacing w:after="0"/>
              <w:rPr>
                <w:sz w:val="20"/>
                <w:szCs w:val="20"/>
                <w:color w:val="auto"/>
              </w:rPr>
            </w:pPr>
            <w:r>
              <w:rPr>
                <w:rFonts w:ascii="Arial" w:cs="Arial" w:eastAsia="Arial" w:hAnsi="Arial"/>
                <w:sz w:val="18"/>
                <w:szCs w:val="18"/>
                <w:b w:val="1"/>
                <w:bCs w:val="1"/>
                <w:color w:val="auto"/>
              </w:rPr>
              <w:t>INDEX TO UNAUDITED CONDENSED INTERIM</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0120" w:type="dxa"/>
            <w:vAlign w:val="bottom"/>
          </w:tcPr>
          <w:p>
            <w:pPr>
              <w:jc w:val="center"/>
              <w:ind w:left="1030"/>
              <w:spacing w:after="0"/>
              <w:rPr>
                <w:sz w:val="20"/>
                <w:szCs w:val="20"/>
                <w:color w:val="auto"/>
              </w:rPr>
            </w:pPr>
            <w:r>
              <w:rPr>
                <w:rFonts w:ascii="Arial" w:cs="Arial" w:eastAsia="Arial" w:hAnsi="Arial"/>
                <w:sz w:val="18"/>
                <w:szCs w:val="18"/>
                <w:b w:val="1"/>
                <w:bCs w:val="1"/>
                <w:color w:val="auto"/>
              </w:rPr>
              <w:t>CONSOLIDATED FINANCIAL STATEMENTS</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0120" w:type="dxa"/>
            <w:vAlign w:val="bottom"/>
          </w:tcPr>
          <w:p>
            <w:pPr>
              <w:jc w:val="center"/>
              <w:ind w:left="1030"/>
              <w:spacing w:after="0"/>
              <w:rPr>
                <w:sz w:val="20"/>
                <w:szCs w:val="20"/>
                <w:color w:val="auto"/>
              </w:rPr>
            </w:pPr>
            <w:r>
              <w:rPr>
                <w:rFonts w:ascii="Arial" w:cs="Arial" w:eastAsia="Arial" w:hAnsi="Arial"/>
                <w:sz w:val="18"/>
                <w:szCs w:val="18"/>
                <w:b w:val="1"/>
                <w:bCs w:val="1"/>
                <w:color w:val="auto"/>
                <w:w w:val="93"/>
              </w:rPr>
              <w:t>AS OF JUNE 30, 2020</w:t>
            </w: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9"/>
        </w:trPr>
        <w:tc>
          <w:tcPr>
            <w:tcW w:w="10120" w:type="dxa"/>
            <w:vAlign w:val="bottom"/>
          </w:tcPr>
          <w:p>
            <w:pPr>
              <w:spacing w:after="0"/>
              <w:rPr>
                <w:sz w:val="24"/>
                <w:szCs w:val="24"/>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392"/>
        </w:trPr>
        <w:tc>
          <w:tcPr>
            <w:tcW w:w="10120" w:type="dxa"/>
            <w:vAlign w:val="bottom"/>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BALANCE SHEETS</w:t>
              </w:r>
            </w:hyperlink>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88"/>
              </w:rPr>
              <w:t>F-2</w:t>
            </w:r>
          </w:p>
        </w:tc>
      </w:tr>
      <w:tr>
        <w:trPr>
          <w:trHeight w:val="391"/>
        </w:trPr>
        <w:tc>
          <w:tcPr>
            <w:tcW w:w="10120" w:type="dxa"/>
            <w:vAlign w:val="bottom"/>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STATEMENTS OF OPERATIONS</w:t>
              </w:r>
            </w:hyperlink>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88"/>
              </w:rPr>
              <w:t>F-3</w:t>
            </w:r>
          </w:p>
        </w:tc>
      </w:tr>
      <w:tr>
        <w:trPr>
          <w:trHeight w:val="392"/>
        </w:trPr>
        <w:tc>
          <w:tcPr>
            <w:tcW w:w="10120" w:type="dxa"/>
            <w:vAlign w:val="bottom"/>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STATEMENTS OF COMPREHENSIVE INCOME</w:t>
              </w:r>
            </w:hyperlink>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88"/>
              </w:rPr>
              <w:t>F-4</w:t>
            </w:r>
          </w:p>
        </w:tc>
      </w:tr>
      <w:tr>
        <w:trPr>
          <w:trHeight w:val="392"/>
        </w:trPr>
        <w:tc>
          <w:tcPr>
            <w:tcW w:w="10120" w:type="dxa"/>
            <w:vAlign w:val="bottom"/>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STATEMENT OF CHANGES IN SHAREHOLDERS' EQUITY</w:t>
              </w:r>
            </w:hyperlink>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88"/>
              </w:rPr>
              <w:t>F-5</w:t>
            </w:r>
          </w:p>
        </w:tc>
      </w:tr>
      <w:tr>
        <w:trPr>
          <w:trHeight w:val="392"/>
        </w:trPr>
        <w:tc>
          <w:tcPr>
            <w:tcW w:w="10120" w:type="dxa"/>
            <w:vAlign w:val="bottom"/>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STATEMENTS OF CASH FLOWS</w:t>
              </w:r>
            </w:hyperlink>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91"/>
              </w:rPr>
              <w:t>F-6 - F-7</w:t>
            </w:r>
          </w:p>
        </w:tc>
      </w:tr>
      <w:tr>
        <w:trPr>
          <w:trHeight w:val="391"/>
        </w:trPr>
        <w:tc>
          <w:tcPr>
            <w:tcW w:w="10120" w:type="dxa"/>
            <w:vAlign w:val="bottom"/>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NOTES TO FINANCIAL STATEMENTS</w:t>
              </w:r>
            </w:hyperlink>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88"/>
              </w:rPr>
              <w:t>F-8</w:t>
            </w:r>
          </w:p>
        </w:tc>
      </w:tr>
      <w:tr>
        <w:trPr>
          <w:trHeight w:val="243"/>
        </w:trPr>
        <w:tc>
          <w:tcPr>
            <w:tcW w:w="10120" w:type="dxa"/>
            <w:vAlign w:val="bottom"/>
            <w:tcBorders>
              <w:bottom w:val="single" w:sz="8" w:color="EEEEEE"/>
            </w:tcBorders>
          </w:tcPr>
          <w:p>
            <w:pPr>
              <w:spacing w:after="0"/>
              <w:rPr>
                <w:sz w:val="21"/>
                <w:szCs w:val="21"/>
                <w:color w:val="auto"/>
              </w:rPr>
            </w:pPr>
          </w:p>
        </w:tc>
        <w:tc>
          <w:tcPr>
            <w:tcW w:w="1100" w:type="dxa"/>
            <w:vAlign w:val="bottom"/>
            <w:tcBorders>
              <w:bottom w:val="single" w:sz="8" w:color="EEEEEE"/>
            </w:tcBorders>
          </w:tcPr>
          <w:p>
            <w:pPr>
              <w:spacing w:after="0"/>
              <w:rPr>
                <w:sz w:val="21"/>
                <w:szCs w:val="21"/>
                <w:color w:val="auto"/>
              </w:rPr>
            </w:pP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 w:name="page6"/>
    <w:bookmarkEnd w:id="5"/>
    <w:p>
      <w:pPr>
        <w:jc w:val="center"/>
        <w:spacing w:after="0" w:line="266" w:lineRule="auto"/>
        <w:rPr>
          <w:sz w:val="20"/>
          <w:szCs w:val="20"/>
          <w:color w:val="auto"/>
        </w:rPr>
      </w:pPr>
      <w:r>
        <w:rPr>
          <w:rFonts w:ascii="Arial" w:cs="Arial" w:eastAsia="Arial" w:hAnsi="Arial"/>
          <w:sz w:val="18"/>
          <w:szCs w:val="18"/>
          <w:b w:val="1"/>
          <w:bCs w:val="1"/>
          <w:color w:val="auto"/>
        </w:rPr>
        <w:t xml:space="preserve">TOWER SEMICONDUCTOR LTD. AND SUBSIDIARIES CONDENSED INTERIM CONSOLIDATED BALANCE SHEETS (UNAUDITED) </w:t>
      </w:r>
      <w:r>
        <w:rPr>
          <w:rFonts w:ascii="Arial" w:cs="Arial" w:eastAsia="Arial" w:hAnsi="Arial"/>
          <w:sz w:val="18"/>
          <w:szCs w:val="18"/>
          <w:color w:val="auto"/>
        </w:rPr>
        <w:t>(dollars and shares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As of</w:t>
            </w:r>
          </w:p>
        </w:tc>
        <w:tc>
          <w:tcPr>
            <w:tcW w:w="100" w:type="dxa"/>
            <w:vAlign w:val="bottom"/>
          </w:tcPr>
          <w:p>
            <w:pPr>
              <w:spacing w:after="0"/>
              <w:rPr>
                <w:sz w:val="18"/>
                <w:szCs w:val="18"/>
                <w:color w:val="auto"/>
              </w:rPr>
            </w:pPr>
          </w:p>
        </w:tc>
        <w:tc>
          <w:tcPr>
            <w:tcW w:w="12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41"/>
        </w:trPr>
        <w:tc>
          <w:tcPr>
            <w:tcW w:w="53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20"/>
                <w:szCs w:val="20"/>
                <w:color w:val="auto"/>
              </w:rPr>
            </w:pPr>
          </w:p>
        </w:tc>
        <w:tc>
          <w:tcPr>
            <w:tcW w:w="12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3"/>
        </w:trPr>
        <w:tc>
          <w:tcPr>
            <w:tcW w:w="53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3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CURRENT ASSETS</w:t>
            </w:r>
          </w:p>
        </w:tc>
        <w:tc>
          <w:tcPr>
            <w:tcW w:w="3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300"/>
              <w:spacing w:after="0"/>
              <w:rPr>
                <w:sz w:val="20"/>
                <w:szCs w:val="20"/>
                <w:color w:val="auto"/>
              </w:rPr>
            </w:pPr>
            <w:r>
              <w:rPr>
                <w:rFonts w:ascii="Arial" w:cs="Arial" w:eastAsia="Arial" w:hAnsi="Arial"/>
                <w:sz w:val="18"/>
                <w:szCs w:val="18"/>
                <w:b w:val="1"/>
                <w:bCs w:val="1"/>
                <w:color w:val="auto"/>
              </w:rPr>
              <w:t>Cash and cash equivalents</w:t>
            </w:r>
          </w:p>
        </w:tc>
        <w:tc>
          <w:tcPr>
            <w:tcW w:w="3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258,793</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355,561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Short-term interest-bearing deposits</w:t>
            </w:r>
          </w:p>
        </w:tc>
        <w:tc>
          <w:tcPr>
            <w:tcW w:w="3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269,263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215,609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300"/>
              <w:spacing w:after="0"/>
              <w:rPr>
                <w:sz w:val="20"/>
                <w:szCs w:val="20"/>
                <w:color w:val="auto"/>
              </w:rPr>
            </w:pPr>
            <w:r>
              <w:rPr>
                <w:rFonts w:ascii="Arial" w:cs="Arial" w:eastAsia="Arial" w:hAnsi="Arial"/>
                <w:sz w:val="18"/>
                <w:szCs w:val="18"/>
                <w:b w:val="1"/>
                <w:bCs w:val="1"/>
                <w:color w:val="auto"/>
              </w:rPr>
              <w:t>Marketable securities</w:t>
            </w:r>
          </w:p>
        </w:tc>
        <w:tc>
          <w:tcPr>
            <w:tcW w:w="3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195,886</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176,070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Trade accounts receivable</w:t>
            </w:r>
          </w:p>
        </w:tc>
        <w:tc>
          <w:tcPr>
            <w:tcW w:w="3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128,401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126,966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300"/>
              <w:spacing w:after="0"/>
              <w:rPr>
                <w:sz w:val="20"/>
                <w:szCs w:val="20"/>
                <w:color w:val="auto"/>
              </w:rPr>
            </w:pPr>
            <w:r>
              <w:rPr>
                <w:rFonts w:ascii="Arial" w:cs="Arial" w:eastAsia="Arial" w:hAnsi="Arial"/>
                <w:sz w:val="18"/>
                <w:szCs w:val="18"/>
                <w:b w:val="1"/>
                <w:bCs w:val="1"/>
                <w:color w:val="auto"/>
              </w:rPr>
              <w:t>Inventories</w:t>
            </w:r>
          </w:p>
        </w:tc>
        <w:tc>
          <w:tcPr>
            <w:tcW w:w="3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210,129</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192,256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3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Other current assets</w:t>
            </w:r>
          </w:p>
        </w:tc>
        <w:tc>
          <w:tcPr>
            <w:tcW w:w="3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28,158</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22,019</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300" w:type="dxa"/>
            <w:vAlign w:val="bottom"/>
            <w:tcBorders>
              <w:top w:val="single" w:sz="8" w:color="CCEEFF"/>
              <w:bottom w:val="single" w:sz="8" w:color="CCEEFF"/>
            </w:tcBorders>
          </w:tcPr>
          <w:p>
            <w:pPr>
              <w:ind w:left="440"/>
              <w:spacing w:after="0" w:line="203" w:lineRule="exact"/>
              <w:rPr>
                <w:sz w:val="20"/>
                <w:szCs w:val="20"/>
                <w:color w:val="auto"/>
              </w:rPr>
            </w:pPr>
            <w:r>
              <w:rPr>
                <w:rFonts w:ascii="Arial" w:cs="Arial" w:eastAsia="Arial" w:hAnsi="Arial"/>
                <w:sz w:val="18"/>
                <w:szCs w:val="18"/>
                <w:b w:val="1"/>
                <w:bCs w:val="1"/>
                <w:color w:val="auto"/>
              </w:rPr>
              <w:t>Total current assets</w:t>
            </w:r>
          </w:p>
        </w:tc>
        <w:tc>
          <w:tcPr>
            <w:tcW w:w="31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1,090,630</w:t>
            </w:r>
          </w:p>
        </w:tc>
        <w:tc>
          <w:tcPr>
            <w:tcW w:w="2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1,088,481</w:t>
            </w:r>
          </w:p>
        </w:tc>
        <w:tc>
          <w:tcPr>
            <w:tcW w:w="10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30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160"/>
              <w:spacing w:after="0"/>
              <w:rPr>
                <w:sz w:val="20"/>
                <w:szCs w:val="20"/>
                <w:color w:val="auto"/>
              </w:rPr>
            </w:pPr>
            <w:r>
              <w:rPr>
                <w:rFonts w:ascii="Arial" w:cs="Arial" w:eastAsia="Arial" w:hAnsi="Arial"/>
                <w:sz w:val="18"/>
                <w:szCs w:val="18"/>
                <w:b w:val="1"/>
                <w:bCs w:val="1"/>
                <w:color w:val="auto"/>
              </w:rPr>
              <w:t>LONG-TERM INVESTMENTS</w:t>
            </w:r>
          </w:p>
        </w:tc>
        <w:tc>
          <w:tcPr>
            <w:tcW w:w="3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41,219</w:t>
            </w: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40,085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300" w:type="dxa"/>
            <w:vAlign w:val="bottom"/>
            <w:tcBorders>
              <w:top w:val="single" w:sz="8" w:color="CCEEFF"/>
            </w:tcBorders>
            <w:shd w:val="clear" w:color="auto" w:fill="CCEEFF"/>
          </w:tcPr>
          <w:p>
            <w:pPr>
              <w:spacing w:after="0"/>
              <w:rPr>
                <w:sz w:val="17"/>
                <w:szCs w:val="17"/>
                <w:color w:val="auto"/>
              </w:rPr>
            </w:pPr>
          </w:p>
        </w:tc>
        <w:tc>
          <w:tcPr>
            <w:tcW w:w="3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160"/>
              <w:spacing w:after="0"/>
              <w:rPr>
                <w:sz w:val="20"/>
                <w:szCs w:val="20"/>
                <w:color w:val="auto"/>
              </w:rPr>
            </w:pPr>
            <w:r>
              <w:rPr>
                <w:rFonts w:ascii="Arial" w:cs="Arial" w:eastAsia="Arial" w:hAnsi="Arial"/>
                <w:sz w:val="18"/>
                <w:szCs w:val="18"/>
                <w:b w:val="1"/>
                <w:bCs w:val="1"/>
                <w:color w:val="auto"/>
              </w:rPr>
              <w:t>PROPERTY AND EQUIPMENT, NET</w:t>
            </w:r>
          </w:p>
        </w:tc>
        <w:tc>
          <w:tcPr>
            <w:tcW w:w="3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765,895</w:t>
            </w: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681,939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300" w:type="dxa"/>
            <w:vAlign w:val="bottom"/>
            <w:tcBorders>
              <w:top w:val="single" w:sz="8" w:color="CCEEFF"/>
            </w:tcBorders>
            <w:shd w:val="clear" w:color="auto" w:fill="CCEEFF"/>
          </w:tcPr>
          <w:p>
            <w:pPr>
              <w:spacing w:after="0"/>
              <w:rPr>
                <w:sz w:val="17"/>
                <w:szCs w:val="17"/>
                <w:color w:val="auto"/>
              </w:rPr>
            </w:pPr>
          </w:p>
        </w:tc>
        <w:tc>
          <w:tcPr>
            <w:tcW w:w="3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160"/>
              <w:spacing w:after="0"/>
              <w:rPr>
                <w:sz w:val="20"/>
                <w:szCs w:val="20"/>
                <w:color w:val="auto"/>
              </w:rPr>
            </w:pPr>
            <w:r>
              <w:rPr>
                <w:rFonts w:ascii="Arial" w:cs="Arial" w:eastAsia="Arial" w:hAnsi="Arial"/>
                <w:sz w:val="18"/>
                <w:szCs w:val="18"/>
                <w:b w:val="1"/>
                <w:bCs w:val="1"/>
                <w:color w:val="auto"/>
              </w:rPr>
              <w:t>GOODWILL AND INTANGIBLE ASSETS, NET</w:t>
            </w:r>
          </w:p>
        </w:tc>
        <w:tc>
          <w:tcPr>
            <w:tcW w:w="3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16,298</w:t>
            </w: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17,281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300" w:type="dxa"/>
            <w:vAlign w:val="bottom"/>
            <w:tcBorders>
              <w:top w:val="single" w:sz="8" w:color="CCEEFF"/>
            </w:tcBorders>
            <w:shd w:val="clear" w:color="auto" w:fill="CCEEFF"/>
          </w:tcPr>
          <w:p>
            <w:pPr>
              <w:spacing w:after="0"/>
              <w:rPr>
                <w:sz w:val="17"/>
                <w:szCs w:val="17"/>
                <w:color w:val="auto"/>
              </w:rPr>
            </w:pPr>
          </w:p>
        </w:tc>
        <w:tc>
          <w:tcPr>
            <w:tcW w:w="3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300" w:type="dxa"/>
            <w:vAlign w:val="bottom"/>
          </w:tcPr>
          <w:p>
            <w:pPr>
              <w:ind w:left="160"/>
              <w:spacing w:after="0"/>
              <w:rPr>
                <w:sz w:val="20"/>
                <w:szCs w:val="20"/>
                <w:color w:val="auto"/>
              </w:rPr>
            </w:pPr>
            <w:r>
              <w:rPr>
                <w:rFonts w:ascii="Arial" w:cs="Arial" w:eastAsia="Arial" w:hAnsi="Arial"/>
                <w:sz w:val="18"/>
                <w:szCs w:val="18"/>
                <w:b w:val="1"/>
                <w:bCs w:val="1"/>
                <w:color w:val="auto"/>
              </w:rPr>
              <w:t>DEFERRED TAX AND OTHER LONG-TERM ASSETS, NET</w:t>
            </w:r>
          </w:p>
        </w:tc>
        <w:tc>
          <w:tcPr>
            <w:tcW w:w="3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91,834</w:t>
            </w: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105,047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5300" w:type="dxa"/>
            <w:vAlign w:val="bottom"/>
            <w:tcBorders>
              <w:top w:val="single" w:sz="8" w:color="CCEEFF"/>
            </w:tcBorders>
            <w:shd w:val="clear" w:color="auto" w:fill="CCEEFF"/>
          </w:tcPr>
          <w:p>
            <w:pPr>
              <w:spacing w:after="0"/>
              <w:rPr>
                <w:sz w:val="14"/>
                <w:szCs w:val="14"/>
                <w:color w:val="auto"/>
              </w:rPr>
            </w:pPr>
          </w:p>
        </w:tc>
        <w:tc>
          <w:tcPr>
            <w:tcW w:w="31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5300" w:type="dxa"/>
            <w:vAlign w:val="bottom"/>
          </w:tcPr>
          <w:p>
            <w:pPr>
              <w:ind w:left="440"/>
              <w:spacing w:after="0"/>
              <w:rPr>
                <w:sz w:val="20"/>
                <w:szCs w:val="20"/>
                <w:color w:val="auto"/>
              </w:rPr>
            </w:pPr>
            <w:r>
              <w:rPr>
                <w:rFonts w:ascii="Arial" w:cs="Arial" w:eastAsia="Arial" w:hAnsi="Arial"/>
                <w:sz w:val="18"/>
                <w:szCs w:val="18"/>
                <w:b w:val="1"/>
                <w:bCs w:val="1"/>
                <w:color w:val="auto"/>
              </w:rPr>
              <w:t>TOTAL ASSETS</w:t>
            </w:r>
          </w:p>
        </w:tc>
        <w:tc>
          <w:tcPr>
            <w:tcW w:w="3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2,005,876</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1,932,833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5300" w:type="dxa"/>
            <w:vAlign w:val="bottom"/>
            <w:tcBorders>
              <w:top w:val="single" w:sz="8" w:color="CCEEFF"/>
            </w:tcBorders>
            <w:shd w:val="clear" w:color="auto" w:fill="CCEEFF"/>
          </w:tcPr>
          <w:p>
            <w:pPr>
              <w:spacing w:after="0"/>
              <w:rPr>
                <w:sz w:val="14"/>
                <w:szCs w:val="14"/>
                <w:color w:val="auto"/>
              </w:rPr>
            </w:pPr>
          </w:p>
        </w:tc>
        <w:tc>
          <w:tcPr>
            <w:tcW w:w="31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160"/>
              <w:spacing w:after="0"/>
              <w:rPr>
                <w:sz w:val="20"/>
                <w:szCs w:val="20"/>
                <w:color w:val="auto"/>
              </w:rPr>
            </w:pPr>
            <w:r>
              <w:rPr>
                <w:rFonts w:ascii="Arial" w:cs="Arial" w:eastAsia="Arial" w:hAnsi="Arial"/>
                <w:sz w:val="18"/>
                <w:szCs w:val="18"/>
                <w:b w:val="1"/>
                <w:bCs w:val="1"/>
                <w:color w:val="auto"/>
              </w:rPr>
              <w:t>CURRENT LIABILITIES</w:t>
            </w:r>
          </w:p>
        </w:tc>
        <w:tc>
          <w:tcPr>
            <w:tcW w:w="3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Current maturities of long-term debt</w:t>
            </w:r>
          </w:p>
        </w:tc>
        <w:tc>
          <w:tcPr>
            <w:tcW w:w="3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79,668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65,932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300"/>
              <w:spacing w:after="0"/>
              <w:rPr>
                <w:sz w:val="20"/>
                <w:szCs w:val="20"/>
                <w:color w:val="auto"/>
              </w:rPr>
            </w:pPr>
            <w:r>
              <w:rPr>
                <w:rFonts w:ascii="Arial" w:cs="Arial" w:eastAsia="Arial" w:hAnsi="Arial"/>
                <w:sz w:val="18"/>
                <w:szCs w:val="18"/>
                <w:b w:val="1"/>
                <w:bCs w:val="1"/>
                <w:color w:val="auto"/>
              </w:rPr>
              <w:t>Trade accounts payable</w:t>
            </w:r>
          </w:p>
        </w:tc>
        <w:tc>
          <w:tcPr>
            <w:tcW w:w="3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154,517</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119,199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Deferred revenue and customers' advances</w:t>
            </w:r>
          </w:p>
        </w:tc>
        <w:tc>
          <w:tcPr>
            <w:tcW w:w="3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8,455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10,322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300"/>
              <w:spacing w:after="0"/>
              <w:rPr>
                <w:sz w:val="20"/>
                <w:szCs w:val="20"/>
                <w:color w:val="auto"/>
              </w:rPr>
            </w:pPr>
            <w:r>
              <w:rPr>
                <w:rFonts w:ascii="Arial" w:cs="Arial" w:eastAsia="Arial" w:hAnsi="Arial"/>
                <w:sz w:val="18"/>
                <w:szCs w:val="18"/>
                <w:b w:val="1"/>
                <w:bCs w:val="1"/>
                <w:color w:val="auto"/>
              </w:rPr>
              <w:t>Employee related liabilities</w:t>
            </w:r>
          </w:p>
        </w:tc>
        <w:tc>
          <w:tcPr>
            <w:tcW w:w="3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59,079</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50,302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3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Other current liabilities</w:t>
            </w:r>
          </w:p>
        </w:tc>
        <w:tc>
          <w:tcPr>
            <w:tcW w:w="3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9,113</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7,301</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300" w:type="dxa"/>
            <w:vAlign w:val="bottom"/>
            <w:tcBorders>
              <w:top w:val="single" w:sz="8" w:color="CCEEFF"/>
            </w:tcBorders>
          </w:tcPr>
          <w:p>
            <w:pPr>
              <w:ind w:left="440"/>
              <w:spacing w:after="0" w:line="203" w:lineRule="exact"/>
              <w:rPr>
                <w:sz w:val="20"/>
                <w:szCs w:val="20"/>
                <w:color w:val="auto"/>
              </w:rPr>
            </w:pPr>
            <w:r>
              <w:rPr>
                <w:rFonts w:ascii="Arial" w:cs="Arial" w:eastAsia="Arial" w:hAnsi="Arial"/>
                <w:sz w:val="18"/>
                <w:szCs w:val="18"/>
                <w:b w:val="1"/>
                <w:bCs w:val="1"/>
                <w:color w:val="auto"/>
              </w:rPr>
              <w:t>Total current liabilities</w:t>
            </w:r>
          </w:p>
        </w:tc>
        <w:tc>
          <w:tcPr>
            <w:tcW w:w="31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310,832</w:t>
            </w: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253,056</w:t>
            </w: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160"/>
              <w:spacing w:after="0"/>
              <w:rPr>
                <w:sz w:val="20"/>
                <w:szCs w:val="20"/>
                <w:color w:val="auto"/>
              </w:rPr>
            </w:pPr>
            <w:r>
              <w:rPr>
                <w:rFonts w:ascii="Arial" w:cs="Arial" w:eastAsia="Arial" w:hAnsi="Arial"/>
                <w:sz w:val="18"/>
                <w:szCs w:val="18"/>
                <w:b w:val="1"/>
                <w:bCs w:val="1"/>
                <w:color w:val="auto"/>
              </w:rPr>
              <w:t>LONG-TERM DEBT</w:t>
            </w:r>
          </w:p>
        </w:tc>
        <w:tc>
          <w:tcPr>
            <w:tcW w:w="3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219,764</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245,821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160"/>
              <w:spacing w:after="0"/>
              <w:rPr>
                <w:sz w:val="20"/>
                <w:szCs w:val="20"/>
                <w:color w:val="auto"/>
              </w:rPr>
            </w:pPr>
            <w:r>
              <w:rPr>
                <w:rFonts w:ascii="Arial" w:cs="Arial" w:eastAsia="Arial" w:hAnsi="Arial"/>
                <w:sz w:val="18"/>
                <w:szCs w:val="18"/>
                <w:b w:val="1"/>
                <w:bCs w:val="1"/>
                <w:color w:val="auto"/>
              </w:rPr>
              <w:t>LONG-TERM CUSTOMERS' ADVANCES</w:t>
            </w:r>
          </w:p>
        </w:tc>
        <w:tc>
          <w:tcPr>
            <w:tcW w:w="3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27,570</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28,196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160"/>
              <w:spacing w:after="0"/>
              <w:rPr>
                <w:sz w:val="20"/>
                <w:szCs w:val="20"/>
                <w:color w:val="auto"/>
              </w:rPr>
            </w:pPr>
            <w:r>
              <w:rPr>
                <w:rFonts w:ascii="Arial" w:cs="Arial" w:eastAsia="Arial" w:hAnsi="Arial"/>
                <w:sz w:val="18"/>
                <w:szCs w:val="18"/>
                <w:b w:val="1"/>
                <w:bCs w:val="1"/>
                <w:color w:val="auto"/>
              </w:rPr>
              <w:t>EMPLOYEE RELATED LIABILITIES</w:t>
            </w:r>
          </w:p>
        </w:tc>
        <w:tc>
          <w:tcPr>
            <w:tcW w:w="3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14,970</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13,285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160"/>
              <w:spacing w:after="0"/>
              <w:rPr>
                <w:sz w:val="20"/>
                <w:szCs w:val="20"/>
                <w:color w:val="auto"/>
              </w:rPr>
            </w:pPr>
            <w:r>
              <w:rPr>
                <w:rFonts w:ascii="Arial" w:cs="Arial" w:eastAsia="Arial" w:hAnsi="Arial"/>
                <w:sz w:val="18"/>
                <w:szCs w:val="18"/>
                <w:b w:val="1"/>
                <w:bCs w:val="1"/>
                <w:color w:val="auto"/>
              </w:rPr>
              <w:t>DEFERRED TAX LIABILITY</w:t>
            </w:r>
          </w:p>
        </w:tc>
        <w:tc>
          <w:tcPr>
            <w:tcW w:w="3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40,075</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45,238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160"/>
              <w:spacing w:after="0"/>
              <w:rPr>
                <w:sz w:val="20"/>
                <w:szCs w:val="20"/>
                <w:color w:val="auto"/>
              </w:rPr>
            </w:pPr>
            <w:r>
              <w:rPr>
                <w:rFonts w:ascii="Arial" w:cs="Arial" w:eastAsia="Arial" w:hAnsi="Arial"/>
                <w:sz w:val="18"/>
                <w:szCs w:val="18"/>
                <w:b w:val="1"/>
                <w:bCs w:val="1"/>
                <w:color w:val="auto"/>
              </w:rPr>
              <w:t>OTHER LONG-TERM LIABILITIES</w:t>
            </w:r>
          </w:p>
        </w:tc>
        <w:tc>
          <w:tcPr>
            <w:tcW w:w="3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521</w:t>
            </w: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300" w:type="dxa"/>
            <w:vAlign w:val="bottom"/>
            <w:tcBorders>
              <w:top w:val="single" w:sz="8" w:color="CCEEFF"/>
            </w:tcBorders>
            <w:shd w:val="clear" w:color="auto" w:fill="CCEEFF"/>
          </w:tcPr>
          <w:p>
            <w:pPr>
              <w:spacing w:after="0"/>
              <w:rPr>
                <w:sz w:val="17"/>
                <w:szCs w:val="17"/>
                <w:color w:val="auto"/>
              </w:rPr>
            </w:pPr>
          </w:p>
        </w:tc>
        <w:tc>
          <w:tcPr>
            <w:tcW w:w="3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440"/>
              <w:spacing w:after="0"/>
              <w:rPr>
                <w:sz w:val="20"/>
                <w:szCs w:val="20"/>
                <w:color w:val="auto"/>
              </w:rPr>
            </w:pPr>
            <w:r>
              <w:rPr>
                <w:rFonts w:ascii="Arial" w:cs="Arial" w:eastAsia="Arial" w:hAnsi="Arial"/>
                <w:sz w:val="18"/>
                <w:szCs w:val="18"/>
                <w:b w:val="1"/>
                <w:bCs w:val="1"/>
                <w:color w:val="auto"/>
              </w:rPr>
              <w:t>TOTAL LIABILITIES</w:t>
            </w:r>
          </w:p>
        </w:tc>
        <w:tc>
          <w:tcPr>
            <w:tcW w:w="3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613,732</w:t>
            </w: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586,110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300" w:type="dxa"/>
            <w:vAlign w:val="bottom"/>
            <w:tcBorders>
              <w:top w:val="single" w:sz="8" w:color="CCEEFF"/>
            </w:tcBorders>
            <w:shd w:val="clear" w:color="auto" w:fill="CCEEFF"/>
          </w:tcPr>
          <w:p>
            <w:pPr>
              <w:spacing w:after="0"/>
              <w:rPr>
                <w:sz w:val="17"/>
                <w:szCs w:val="17"/>
                <w:color w:val="auto"/>
              </w:rPr>
            </w:pPr>
          </w:p>
        </w:tc>
        <w:tc>
          <w:tcPr>
            <w:tcW w:w="3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160"/>
              <w:spacing w:after="0"/>
              <w:rPr>
                <w:sz w:val="20"/>
                <w:szCs w:val="20"/>
                <w:color w:val="auto"/>
              </w:rPr>
            </w:pPr>
            <w:r>
              <w:rPr>
                <w:rFonts w:ascii="Arial" w:cs="Arial" w:eastAsia="Arial" w:hAnsi="Arial"/>
                <w:sz w:val="18"/>
                <w:szCs w:val="18"/>
                <w:b w:val="1"/>
                <w:bCs w:val="1"/>
                <w:color w:val="auto"/>
              </w:rPr>
              <w:t>THE COMPANY'S SHAREHOLDERS' EQUITY</w:t>
            </w:r>
          </w:p>
        </w:tc>
        <w:tc>
          <w:tcPr>
            <w:tcW w:w="3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1,398,009</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1,354,547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3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Non-controlling interest</w:t>
            </w:r>
          </w:p>
        </w:tc>
        <w:tc>
          <w:tcPr>
            <w:tcW w:w="3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(5,865)</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(7,824)</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00" w:type="dxa"/>
            <w:vAlign w:val="bottom"/>
            <w:tcBorders>
              <w:top w:val="single" w:sz="8" w:color="CCEEFF"/>
              <w:bottom w:val="single" w:sz="8" w:color="CCEEFF"/>
            </w:tcBorders>
          </w:tcPr>
          <w:p>
            <w:pPr>
              <w:ind w:left="440"/>
              <w:spacing w:after="0" w:line="203" w:lineRule="exact"/>
              <w:rPr>
                <w:sz w:val="20"/>
                <w:szCs w:val="20"/>
                <w:color w:val="auto"/>
              </w:rPr>
            </w:pPr>
            <w:r>
              <w:rPr>
                <w:rFonts w:ascii="Arial" w:cs="Arial" w:eastAsia="Arial" w:hAnsi="Arial"/>
                <w:sz w:val="18"/>
                <w:szCs w:val="18"/>
                <w:b w:val="1"/>
                <w:bCs w:val="1"/>
                <w:color w:val="auto"/>
              </w:rPr>
              <w:t>TOTAL SHAREHOLDERS' EQUITY</w:t>
            </w:r>
          </w:p>
        </w:tc>
        <w:tc>
          <w:tcPr>
            <w:tcW w:w="3140" w:type="dxa"/>
            <w:vAlign w:val="bottom"/>
            <w:tcBorders>
              <w:top w:val="single" w:sz="8" w:color="CCEEFF"/>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1,392,144</w:t>
            </w:r>
          </w:p>
        </w:tc>
        <w:tc>
          <w:tcPr>
            <w:tcW w:w="20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1,346,723</w:t>
            </w:r>
          </w:p>
        </w:tc>
        <w:tc>
          <w:tcPr>
            <w:tcW w:w="100" w:type="dxa"/>
            <w:vAlign w:val="bottom"/>
            <w:tcBorders>
              <w:top w:val="single" w:sz="8" w:color="CCEEFF"/>
              <w:bottom w:val="single" w:sz="8" w:color="CCEEFF"/>
            </w:tcBorders>
          </w:tcPr>
          <w:p>
            <w:pPr>
              <w:spacing w:after="0"/>
              <w:rPr>
                <w:sz w:val="21"/>
                <w:szCs w:val="21"/>
                <w:color w:val="auto"/>
              </w:rPr>
            </w:pPr>
          </w:p>
        </w:tc>
        <w:tc>
          <w:tcPr>
            <w:tcW w:w="2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5300" w:type="dxa"/>
            <w:vAlign w:val="bottom"/>
            <w:shd w:val="clear" w:color="auto" w:fill="CCEEFF"/>
          </w:tcPr>
          <w:p>
            <w:pPr>
              <w:spacing w:after="0"/>
              <w:rPr>
                <w:sz w:val="14"/>
                <w:szCs w:val="14"/>
                <w:color w:val="auto"/>
              </w:rPr>
            </w:pPr>
          </w:p>
        </w:tc>
        <w:tc>
          <w:tcPr>
            <w:tcW w:w="3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580"/>
              <w:spacing w:after="0"/>
              <w:rPr>
                <w:sz w:val="20"/>
                <w:szCs w:val="20"/>
                <w:color w:val="auto"/>
              </w:rPr>
            </w:pPr>
            <w:r>
              <w:rPr>
                <w:rFonts w:ascii="Arial" w:cs="Arial" w:eastAsia="Arial" w:hAnsi="Arial"/>
                <w:sz w:val="18"/>
                <w:szCs w:val="18"/>
                <w:b w:val="1"/>
                <w:bCs w:val="1"/>
                <w:color w:val="auto"/>
              </w:rPr>
              <w:t>TOTAL LIABILITIES AND SHAREHOLDERS' EQUITY</w:t>
            </w:r>
          </w:p>
        </w:tc>
        <w:tc>
          <w:tcPr>
            <w:tcW w:w="3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2,005,876</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1,932,833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b w:val="1"/>
                <w:bCs w:val="1"/>
                <w:color w:val="auto"/>
              </w:rPr>
              <w:t>See notes to consolidated financial statements.</w:t>
            </w:r>
          </w:p>
        </w:tc>
        <w:tc>
          <w:tcPr>
            <w:tcW w:w="3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5300" w:type="dxa"/>
            <w:vAlign w:val="bottom"/>
            <w:vMerge w:val="continue"/>
          </w:tcPr>
          <w:p>
            <w:pPr>
              <w:spacing w:after="0"/>
              <w:rPr>
                <w:sz w:val="24"/>
                <w:szCs w:val="24"/>
                <w:color w:val="auto"/>
              </w:rPr>
            </w:pPr>
          </w:p>
        </w:tc>
        <w:tc>
          <w:tcPr>
            <w:tcW w:w="3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4"/>
                <w:szCs w:val="24"/>
                <w:color w:val="auto"/>
              </w:rPr>
            </w:pPr>
          </w:p>
        </w:tc>
        <w:tc>
          <w:tcPr>
            <w:tcW w:w="3340" w:type="dxa"/>
            <w:vAlign w:val="bottom"/>
            <w:gridSpan w:val="2"/>
          </w:tcPr>
          <w:p>
            <w:pPr>
              <w:jc w:val="right"/>
              <w:ind w:right="2860"/>
              <w:spacing w:after="0"/>
              <w:rPr>
                <w:sz w:val="20"/>
                <w:szCs w:val="20"/>
                <w:color w:val="auto"/>
              </w:rPr>
            </w:pPr>
            <w:r>
              <w:rPr>
                <w:rFonts w:ascii="Arial" w:cs="Arial" w:eastAsia="Arial" w:hAnsi="Arial"/>
                <w:sz w:val="18"/>
                <w:szCs w:val="18"/>
                <w:color w:val="auto"/>
              </w:rPr>
              <w:t>F - 2</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300" w:type="dxa"/>
            <w:vAlign w:val="bottom"/>
            <w:tcBorders>
              <w:bottom w:val="single" w:sz="8" w:color="EEEEEE"/>
            </w:tcBorders>
          </w:tcPr>
          <w:p>
            <w:pPr>
              <w:spacing w:after="0"/>
              <w:rPr>
                <w:sz w:val="17"/>
                <w:szCs w:val="17"/>
                <w:color w:val="auto"/>
              </w:rPr>
            </w:pPr>
          </w:p>
        </w:tc>
        <w:tc>
          <w:tcPr>
            <w:tcW w:w="314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104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14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 w:name="page7"/>
    <w:bookmarkEnd w:id="6"/>
    <w:p>
      <w:pPr>
        <w:jc w:val="center"/>
        <w:ind w:left="340" w:right="1860"/>
        <w:spacing w:after="0" w:line="266" w:lineRule="auto"/>
        <w:rPr>
          <w:sz w:val="20"/>
          <w:szCs w:val="20"/>
          <w:color w:val="auto"/>
        </w:rPr>
      </w:pPr>
      <w:r>
        <w:rPr>
          <w:rFonts w:ascii="Arial" w:cs="Arial" w:eastAsia="Arial" w:hAnsi="Arial"/>
          <w:sz w:val="18"/>
          <w:szCs w:val="18"/>
          <w:b w:val="1"/>
          <w:bCs w:val="1"/>
          <w:color w:val="auto"/>
        </w:rPr>
        <w:t xml:space="preserve">TOWER SEMICONDUCTOR LTD. AND SUBSIDIARIES CONDENSED INTERIM CONSOLIDATED STATEMENTS OF OPERATIONS (UNAUDITED) </w:t>
      </w:r>
      <w:r>
        <w:rPr>
          <w:rFonts w:ascii="Arial" w:cs="Arial" w:eastAsia="Arial" w:hAnsi="Arial"/>
          <w:sz w:val="18"/>
          <w:szCs w:val="18"/>
          <w:color w:val="auto"/>
        </w:rPr>
        <w:t>(dollars and shares in thousands, except per share data)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Six months ended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5"/>
          </w:tcPr>
          <w:p>
            <w:pPr>
              <w:ind w:left="30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610,261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616,171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310,090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306,064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500,013</w:t>
            </w: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499,613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252,385</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252,657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4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GROSS PROFIT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110,248</w:t>
            </w: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116,558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57,705</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53,407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4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COSTS AND EXPENSES: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Research and development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38,838</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37,980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19,424</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18,812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160"/>
              <w:spacing w:after="0"/>
              <w:rPr>
                <w:sz w:val="20"/>
                <w:szCs w:val="20"/>
                <w:color w:val="auto"/>
              </w:rPr>
            </w:pPr>
            <w:r>
              <w:rPr>
                <w:rFonts w:ascii="Arial" w:cs="Arial" w:eastAsia="Arial" w:hAnsi="Arial"/>
                <w:sz w:val="18"/>
                <w:szCs w:val="18"/>
                <w:b w:val="1"/>
                <w:bCs w:val="1"/>
                <w:color w:val="auto"/>
              </w:rPr>
              <w:t>Marketing, general and administrative</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32,845</w:t>
            </w:r>
          </w:p>
        </w:tc>
        <w:tc>
          <w:tcPr>
            <w:tcW w:w="3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33,479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16,154</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16,838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71,683</w:t>
            </w:r>
          </w:p>
        </w:tc>
        <w:tc>
          <w:tcPr>
            <w:tcW w:w="320" w:type="dxa"/>
            <w:vAlign w:val="bottom"/>
          </w:tcPr>
          <w:p>
            <w:pPr>
              <w:spacing w:after="0"/>
              <w:rPr>
                <w:sz w:val="22"/>
                <w:szCs w:val="2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71,459</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35,578</w:t>
            </w: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35,650</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54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300"/>
              <w:spacing w:after="0"/>
              <w:rPr>
                <w:sz w:val="20"/>
                <w:szCs w:val="20"/>
                <w:color w:val="auto"/>
              </w:rPr>
            </w:pPr>
            <w:r>
              <w:rPr>
                <w:rFonts w:ascii="Arial" w:cs="Arial" w:eastAsia="Arial" w:hAnsi="Arial"/>
                <w:sz w:val="18"/>
                <w:szCs w:val="18"/>
                <w:b w:val="1"/>
                <w:bCs w:val="1"/>
                <w:color w:val="auto"/>
              </w:rPr>
              <w:t>OPERATING PROFIT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38,565</w:t>
            </w:r>
          </w:p>
        </w:tc>
        <w:tc>
          <w:tcPr>
            <w:tcW w:w="3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45,099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22,127</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17,757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b w:val="1"/>
                <w:bCs w:val="1"/>
                <w:color w:val="auto"/>
              </w:rPr>
              <w:t>FINANCING AND OTHER INCOME (EXPENSE), NET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(282)</w:t>
            </w:r>
          </w:p>
        </w:tc>
        <w:tc>
          <w:tcPr>
            <w:tcW w:w="3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1,672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1,831</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580"/>
              <w:spacing w:after="0"/>
              <w:rPr>
                <w:sz w:val="20"/>
                <w:szCs w:val="20"/>
                <w:color w:val="auto"/>
              </w:rPr>
            </w:pPr>
            <w:r>
              <w:rPr>
                <w:rFonts w:ascii="Arial" w:cs="Arial" w:eastAsia="Arial" w:hAnsi="Arial"/>
                <w:sz w:val="18"/>
                <w:szCs w:val="18"/>
                <w:b w:val="1"/>
                <w:bCs w:val="1"/>
                <w:color w:val="auto"/>
              </w:rPr>
              <w:t>PROFIT BEFORE INCOME TAX</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38,283</w:t>
            </w:r>
          </w:p>
        </w:tc>
        <w:tc>
          <w:tcPr>
            <w:tcW w:w="3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46,771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23,958</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18,704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b w:val="1"/>
                <w:bCs w:val="1"/>
                <w:color w:val="auto"/>
              </w:rPr>
              <w:t>INCOME TAX BENEFIT (EXPENSE), NET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(778)</w:t>
            </w:r>
          </w:p>
        </w:tc>
        <w:tc>
          <w:tcPr>
            <w:tcW w:w="3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(649)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(2,484)</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580"/>
              <w:spacing w:after="0"/>
              <w:rPr>
                <w:sz w:val="20"/>
                <w:szCs w:val="20"/>
                <w:color w:val="auto"/>
              </w:rPr>
            </w:pPr>
            <w:r>
              <w:rPr>
                <w:rFonts w:ascii="Arial" w:cs="Arial" w:eastAsia="Arial" w:hAnsi="Arial"/>
                <w:sz w:val="18"/>
                <w:szCs w:val="18"/>
                <w:b w:val="1"/>
                <w:bCs w:val="1"/>
                <w:color w:val="auto"/>
              </w:rPr>
              <w:t>NET PROFIT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37,505</w:t>
            </w:r>
          </w:p>
        </w:tc>
        <w:tc>
          <w:tcPr>
            <w:tcW w:w="3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46,122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21,474</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19,722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160"/>
              <w:spacing w:after="0"/>
              <w:rPr>
                <w:sz w:val="20"/>
                <w:szCs w:val="20"/>
                <w:color w:val="auto"/>
              </w:rPr>
            </w:pPr>
            <w:r>
              <w:rPr>
                <w:rFonts w:ascii="Arial" w:cs="Arial" w:eastAsia="Arial" w:hAnsi="Arial"/>
                <w:sz w:val="18"/>
                <w:szCs w:val="18"/>
                <w:b w:val="1"/>
                <w:bCs w:val="1"/>
                <w:color w:val="auto"/>
              </w:rPr>
              <w:t>Net loss (income) attributable to non-controlling interest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(1,433)</w:t>
            </w:r>
          </w:p>
        </w:tc>
        <w:tc>
          <w:tcPr>
            <w:tcW w:w="3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1,030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(2,422)</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1,214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400" w:type="dxa"/>
            <w:vAlign w:val="bottom"/>
          </w:tcPr>
          <w:p>
            <w:pPr>
              <w:ind w:left="580"/>
              <w:spacing w:after="0"/>
              <w:rPr>
                <w:sz w:val="20"/>
                <w:szCs w:val="20"/>
                <w:color w:val="auto"/>
              </w:rPr>
            </w:pPr>
            <w:r>
              <w:rPr>
                <w:rFonts w:ascii="Arial" w:cs="Arial" w:eastAsia="Arial" w:hAnsi="Arial"/>
                <w:sz w:val="18"/>
                <w:szCs w:val="18"/>
                <w:b w:val="1"/>
                <w:bCs w:val="1"/>
                <w:color w:val="auto"/>
              </w:rPr>
              <w:t>NET PROFIT ATTRIBUTABLE TO THE COMPANY</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36,072</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47,152</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19,052</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20,936</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54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b w:val="1"/>
                <w:bCs w:val="1"/>
                <w:color w:val="auto"/>
              </w:rPr>
              <w:t>BASIC EARNINGS PER ORDINARY SHARE: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400" w:type="dxa"/>
            <w:vAlign w:val="bottom"/>
          </w:tcPr>
          <w:p>
            <w:pPr>
              <w:ind w:left="160"/>
              <w:spacing w:after="0"/>
              <w:rPr>
                <w:sz w:val="20"/>
                <w:szCs w:val="20"/>
                <w:color w:val="auto"/>
              </w:rPr>
            </w:pPr>
            <w:r>
              <w:rPr>
                <w:rFonts w:ascii="Arial" w:cs="Arial" w:eastAsia="Arial" w:hAnsi="Arial"/>
                <w:sz w:val="18"/>
                <w:szCs w:val="18"/>
                <w:b w:val="1"/>
                <w:bCs w:val="1"/>
                <w:color w:val="auto"/>
              </w:rPr>
              <w:t>Earnings per share</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0.34</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0.45</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0.18</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0.20</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54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5400" w:type="dxa"/>
            <w:vAlign w:val="bottom"/>
          </w:tcPr>
          <w:p>
            <w:pPr>
              <w:ind w:left="160"/>
              <w:spacing w:after="0"/>
              <w:rPr>
                <w:sz w:val="20"/>
                <w:szCs w:val="20"/>
                <w:color w:val="auto"/>
              </w:rPr>
            </w:pPr>
            <w:r>
              <w:rPr>
                <w:rFonts w:ascii="Arial" w:cs="Arial" w:eastAsia="Arial" w:hAnsi="Arial"/>
                <w:sz w:val="18"/>
                <w:szCs w:val="18"/>
                <w:b w:val="1"/>
                <w:bCs w:val="1"/>
                <w:color w:val="auto"/>
              </w:rPr>
              <w:t>Weighted average number of ordinary shares outstanding</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106,885</w:t>
            </w:r>
          </w:p>
        </w:tc>
        <w:tc>
          <w:tcPr>
            <w:tcW w:w="320" w:type="dxa"/>
            <w:vAlign w:val="bottom"/>
          </w:tcPr>
          <w:p>
            <w:pPr>
              <w:spacing w:after="0"/>
              <w:rPr>
                <w:sz w:val="22"/>
                <w:szCs w:val="2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105,829</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106,956</w:t>
            </w: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106,321</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54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b w:val="1"/>
                <w:bCs w:val="1"/>
                <w:color w:val="auto"/>
              </w:rPr>
              <w:t>DILUTED EARNINGS PER ORDINARY SHARE: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400" w:type="dxa"/>
            <w:vAlign w:val="bottom"/>
          </w:tcPr>
          <w:p>
            <w:pPr>
              <w:ind w:left="160"/>
              <w:spacing w:after="0"/>
              <w:rPr>
                <w:sz w:val="20"/>
                <w:szCs w:val="20"/>
                <w:color w:val="auto"/>
              </w:rPr>
            </w:pPr>
            <w:r>
              <w:rPr>
                <w:rFonts w:ascii="Arial" w:cs="Arial" w:eastAsia="Arial" w:hAnsi="Arial"/>
                <w:sz w:val="18"/>
                <w:szCs w:val="18"/>
                <w:b w:val="1"/>
                <w:bCs w:val="1"/>
                <w:color w:val="auto"/>
              </w:rPr>
              <w:t>Earnings per share</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0.33</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0.44</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0.18</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0.20</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54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5400" w:type="dxa"/>
            <w:vAlign w:val="bottom"/>
          </w:tcPr>
          <w:p>
            <w:pPr>
              <w:ind w:left="160"/>
              <w:spacing w:after="0"/>
              <w:rPr>
                <w:sz w:val="20"/>
                <w:szCs w:val="20"/>
                <w:color w:val="auto"/>
              </w:rPr>
            </w:pPr>
            <w:r>
              <w:rPr>
                <w:rFonts w:ascii="Arial" w:cs="Arial" w:eastAsia="Arial" w:hAnsi="Arial"/>
                <w:sz w:val="18"/>
                <w:szCs w:val="18"/>
                <w:b w:val="1"/>
                <w:bCs w:val="1"/>
                <w:color w:val="auto"/>
              </w:rPr>
              <w:t>Net profit used for diluted earnings per share</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36,072</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47,152</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19,052</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20,936</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54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5400" w:type="dxa"/>
            <w:vAlign w:val="bottom"/>
          </w:tcPr>
          <w:p>
            <w:pPr>
              <w:ind w:left="160"/>
              <w:spacing w:after="0" w:line="198" w:lineRule="exact"/>
              <w:rPr>
                <w:sz w:val="20"/>
                <w:szCs w:val="20"/>
                <w:color w:val="auto"/>
              </w:rPr>
            </w:pPr>
            <w:r>
              <w:rPr>
                <w:rFonts w:ascii="Arial" w:cs="Arial" w:eastAsia="Arial" w:hAnsi="Arial"/>
                <w:sz w:val="18"/>
                <w:szCs w:val="18"/>
                <w:b w:val="1"/>
                <w:bCs w:val="1"/>
                <w:color w:val="auto"/>
                <w:w w:val="91"/>
              </w:rPr>
              <w:t>Weighted average number of ordinary shares outstanding used for</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108,213</w:t>
            </w:r>
          </w:p>
        </w:tc>
        <w:tc>
          <w:tcPr>
            <w:tcW w:w="320" w:type="dxa"/>
            <w:vAlign w:val="bottom"/>
          </w:tcPr>
          <w:p>
            <w:pPr>
              <w:spacing w:after="0"/>
              <w:rPr>
                <w:sz w:val="17"/>
                <w:szCs w:val="17"/>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107,078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108,277</w:t>
            </w:r>
          </w:p>
        </w:tc>
        <w:tc>
          <w:tcPr>
            <w:tcW w:w="34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107,178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400" w:type="dxa"/>
            <w:vAlign w:val="bottom"/>
          </w:tcPr>
          <w:p>
            <w:pPr>
              <w:ind w:left="300"/>
              <w:spacing w:after="0"/>
              <w:rPr>
                <w:sz w:val="20"/>
                <w:szCs w:val="20"/>
                <w:color w:val="auto"/>
              </w:rPr>
            </w:pPr>
            <w:r>
              <w:rPr>
                <w:rFonts w:ascii="Arial" w:cs="Arial" w:eastAsia="Arial" w:hAnsi="Arial"/>
                <w:sz w:val="18"/>
                <w:szCs w:val="18"/>
                <w:b w:val="1"/>
                <w:bCs w:val="1"/>
                <w:color w:val="auto"/>
              </w:rPr>
              <w:t>diluted earnings per share</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 w:name="page8"/>
    <w:bookmarkEnd w:id="7"/>
    <w:p>
      <w:pPr>
        <w:jc w:val="center"/>
        <w:ind w:left="340" w:right="1240"/>
        <w:spacing w:after="0" w:line="275" w:lineRule="auto"/>
        <w:rPr>
          <w:sz w:val="20"/>
          <w:szCs w:val="20"/>
          <w:color w:val="auto"/>
        </w:rPr>
      </w:pPr>
      <w:r>
        <w:rPr>
          <w:rFonts w:ascii="Arial" w:cs="Arial" w:eastAsia="Arial" w:hAnsi="Arial"/>
          <w:sz w:val="18"/>
          <w:szCs w:val="18"/>
          <w:b w:val="1"/>
          <w:bCs w:val="1"/>
          <w:color w:val="auto"/>
        </w:rPr>
        <w:t xml:space="preserve">TOWER SEMICONDUCTOR LTD. AND SUBSIDIARIES CONDENSED INTERIM CONSOLIDATED STATEMENTS OF COMPREHENSIVE INCOME (UNAUDITED) </w:t>
      </w:r>
      <w:r>
        <w:rPr>
          <w:rFonts w:ascii="Arial" w:cs="Arial" w:eastAsia="Arial" w:hAnsi="Arial"/>
          <w:sz w:val="18"/>
          <w:szCs w:val="18"/>
          <w:color w:val="auto"/>
        </w:rPr>
        <w:t>(dollars in thousands)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8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Six months ended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6"/>
          </w:tcPr>
          <w:p>
            <w:pPr>
              <w:ind w:left="30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5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Net profit</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37,505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46,122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21,474</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19,722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Other comprehensive income, net of tax:</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Foreign currency translation adjustment</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(124)</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2,672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556</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4,323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280" w:type="dxa"/>
            <w:vAlign w:val="bottom"/>
            <w:shd w:val="clear" w:color="auto" w:fill="CCEEFF"/>
          </w:tcPr>
          <w:p>
            <w:pPr>
              <w:ind w:left="300"/>
              <w:spacing w:after="0" w:line="198" w:lineRule="exact"/>
              <w:rPr>
                <w:sz w:val="20"/>
                <w:szCs w:val="20"/>
                <w:color w:val="auto"/>
              </w:rPr>
            </w:pPr>
            <w:r>
              <w:rPr>
                <w:rFonts w:ascii="Arial" w:cs="Arial" w:eastAsia="Arial" w:hAnsi="Arial"/>
                <w:sz w:val="18"/>
                <w:szCs w:val="18"/>
                <w:b w:val="1"/>
                <w:bCs w:val="1"/>
                <w:color w:val="auto"/>
                <w:w w:val="90"/>
              </w:rPr>
              <w:t>Change in employees plan assets and benefit obligations, net of</w:t>
            </w: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taxes</w:t>
            </w: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(130)</w:t>
            </w:r>
          </w:p>
        </w:tc>
        <w:tc>
          <w:tcPr>
            <w:tcW w:w="3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115</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(65)</w:t>
            </w:r>
          </w:p>
        </w:tc>
        <w:tc>
          <w:tcPr>
            <w:tcW w:w="3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172</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Unrealized gain (loss) on derivatives</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(1,473)</w:t>
            </w: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1,639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4,662</w:t>
            </w: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(431)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2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35,778</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50,548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26,627</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23,786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w w:val="95"/>
              </w:rPr>
              <w:t>Comprehensive income attributable to non-controlling interest</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(1,959)</w:t>
            </w: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(496)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(3,091)</w:t>
            </w: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(939)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2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attributable to the Company</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33,819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50,052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23,536</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22,847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See notes to consolidated financial statements.</w:t>
            </w: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52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8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F - 4</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280" w:type="dxa"/>
            <w:vAlign w:val="bottom"/>
            <w:tcBorders>
              <w:bottom w:val="single" w:sz="8" w:color="EEEEEE"/>
            </w:tcBorders>
          </w:tcPr>
          <w:p>
            <w:pPr>
              <w:spacing w:after="0"/>
              <w:rPr>
                <w:sz w:val="17"/>
                <w:szCs w:val="17"/>
                <w:color w:val="auto"/>
              </w:rPr>
            </w:pPr>
          </w:p>
        </w:tc>
        <w:tc>
          <w:tcPr>
            <w:tcW w:w="240" w:type="dxa"/>
            <w:vAlign w:val="bottom"/>
            <w:tcBorders>
              <w:bottom w:val="single" w:sz="8" w:color="EEEEEE"/>
            </w:tcBorders>
          </w:tcPr>
          <w:p>
            <w:pPr>
              <w:spacing w:after="0"/>
              <w:rPr>
                <w:sz w:val="17"/>
                <w:szCs w:val="17"/>
                <w:color w:val="auto"/>
              </w:rPr>
            </w:pPr>
          </w:p>
        </w:tc>
        <w:tc>
          <w:tcPr>
            <w:tcW w:w="360" w:type="dxa"/>
            <w:vAlign w:val="bottom"/>
            <w:tcBorders>
              <w:bottom w:val="single" w:sz="8" w:color="EEEEEE"/>
            </w:tcBorders>
          </w:tcPr>
          <w:p>
            <w:pPr>
              <w:spacing w:after="0"/>
              <w:rPr>
                <w:sz w:val="17"/>
                <w:szCs w:val="17"/>
                <w:color w:val="auto"/>
              </w:rPr>
            </w:pPr>
          </w:p>
        </w:tc>
        <w:tc>
          <w:tcPr>
            <w:tcW w:w="90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320" w:type="dxa"/>
            <w:vAlign w:val="bottom"/>
            <w:tcBorders>
              <w:bottom w:val="single" w:sz="8" w:color="EEEEEE"/>
            </w:tcBorders>
          </w:tcPr>
          <w:p>
            <w:pPr>
              <w:spacing w:after="0"/>
              <w:rPr>
                <w:sz w:val="17"/>
                <w:szCs w:val="17"/>
                <w:color w:val="auto"/>
              </w:rPr>
            </w:pPr>
          </w:p>
        </w:tc>
        <w:tc>
          <w:tcPr>
            <w:tcW w:w="90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260" w:type="dxa"/>
            <w:vAlign w:val="bottom"/>
            <w:tcBorders>
              <w:bottom w:val="single" w:sz="8" w:color="EEEEEE"/>
            </w:tcBorders>
          </w:tcPr>
          <w:p>
            <w:pPr>
              <w:spacing w:after="0"/>
              <w:rPr>
                <w:sz w:val="17"/>
                <w:szCs w:val="17"/>
                <w:color w:val="auto"/>
              </w:rPr>
            </w:pPr>
          </w:p>
        </w:tc>
        <w:tc>
          <w:tcPr>
            <w:tcW w:w="98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340" w:type="dxa"/>
            <w:vAlign w:val="bottom"/>
            <w:tcBorders>
              <w:bottom w:val="single" w:sz="8" w:color="EEEEEE"/>
            </w:tcBorders>
          </w:tcPr>
          <w:p>
            <w:pPr>
              <w:spacing w:after="0"/>
              <w:rPr>
                <w:sz w:val="17"/>
                <w:szCs w:val="17"/>
                <w:color w:val="auto"/>
              </w:rPr>
            </w:pPr>
          </w:p>
        </w:tc>
        <w:tc>
          <w:tcPr>
            <w:tcW w:w="90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INTERIM CONSOLIDATED STATEMENT OF CHANGES IN SHAREHOLDERS'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and share data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5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180" w:type="dxa"/>
            <w:vAlign w:val="bottom"/>
            <w:tcBorders>
              <w:bottom w:val="single" w:sz="8" w:color="auto"/>
            </w:tcBorders>
            <w:gridSpan w:val="15"/>
          </w:tcPr>
          <w:p>
            <w:pPr>
              <w:jc w:val="right"/>
              <w:ind w:right="439"/>
              <w:spacing w:after="0"/>
              <w:rPr>
                <w:sz w:val="20"/>
                <w:szCs w:val="20"/>
                <w:color w:val="auto"/>
              </w:rPr>
            </w:pPr>
            <w:r>
              <w:rPr>
                <w:rFonts w:ascii="Arial" w:cs="Arial" w:eastAsia="Arial" w:hAnsi="Arial"/>
                <w:sz w:val="14"/>
                <w:szCs w:val="14"/>
                <w:b w:val="1"/>
                <w:bCs w:val="1"/>
                <w:color w:val="auto"/>
              </w:rPr>
              <w:t>THE COMPANY'S SHAREHOLDERS' EQUITY</w:t>
            </w: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500" w:type="dxa"/>
            <w:vAlign w:val="bottom"/>
          </w:tcPr>
          <w:p>
            <w:pPr>
              <w:spacing w:after="0"/>
              <w:rPr>
                <w:sz w:val="10"/>
                <w:szCs w:val="10"/>
                <w:color w:val="auto"/>
              </w:rPr>
            </w:pPr>
          </w:p>
        </w:tc>
        <w:tc>
          <w:tcPr>
            <w:tcW w:w="62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9"/>
              </w:rPr>
              <w:t>Ordinary</w:t>
            </w:r>
          </w:p>
        </w:tc>
        <w:tc>
          <w:tcPr>
            <w:tcW w:w="70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9"/>
              </w:rPr>
              <w:t>Ordinary</w:t>
            </w: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3"/>
          </w:tcPr>
          <w:p>
            <w:pPr>
              <w:jc w:val="center"/>
              <w:ind w:right="120"/>
              <w:spacing w:after="0" w:line="126" w:lineRule="exact"/>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0"/>
                <w:szCs w:val="10"/>
                <w:color w:val="auto"/>
              </w:rPr>
            </w:pPr>
          </w:p>
        </w:tc>
        <w:tc>
          <w:tcPr>
            <w:tcW w:w="780" w:type="dxa"/>
            <w:vAlign w:val="bottom"/>
            <w:gridSpan w:val="2"/>
          </w:tcPr>
          <w:p>
            <w:pPr>
              <w:jc w:val="center"/>
              <w:ind w:right="179"/>
              <w:spacing w:after="0" w:line="126" w:lineRule="exact"/>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restart"/>
          </w:tcPr>
          <w:p>
            <w:pPr>
              <w:jc w:val="right"/>
              <w:ind w:right="268"/>
              <w:spacing w:after="0"/>
              <w:rPr>
                <w:sz w:val="20"/>
                <w:szCs w:val="20"/>
                <w:color w:val="auto"/>
              </w:rPr>
            </w:pPr>
            <w:r>
              <w:rPr>
                <w:rFonts w:ascii="Arial" w:cs="Arial" w:eastAsia="Arial" w:hAnsi="Arial"/>
                <w:sz w:val="14"/>
                <w:szCs w:val="14"/>
                <w:b w:val="1"/>
                <w:bCs w:val="1"/>
                <w:color w:val="auto"/>
              </w:rPr>
              <w:t>Non</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2"/>
                <w:szCs w:val="12"/>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5"/>
              </w:rPr>
              <w:t>Unearned</w:t>
            </w:r>
          </w:p>
        </w:tc>
        <w:tc>
          <w:tcPr>
            <w:tcW w:w="14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other</w:t>
            </w:r>
          </w:p>
        </w:tc>
        <w:tc>
          <w:tcPr>
            <w:tcW w:w="80" w:type="dxa"/>
            <w:vAlign w:val="bottom"/>
          </w:tcPr>
          <w:p>
            <w:pPr>
              <w:spacing w:after="0"/>
              <w:rPr>
                <w:sz w:val="12"/>
                <w:szCs w:val="12"/>
                <w:color w:val="auto"/>
              </w:rPr>
            </w:pPr>
          </w:p>
        </w:tc>
        <w:tc>
          <w:tcPr>
            <w:tcW w:w="780" w:type="dxa"/>
            <w:vAlign w:val="bottom"/>
            <w:gridSpan w:val="2"/>
          </w:tcPr>
          <w:p>
            <w:pPr>
              <w:jc w:val="center"/>
              <w:ind w:right="159"/>
              <w:spacing w:after="0" w:line="149" w:lineRule="exact"/>
              <w:rPr>
                <w:sz w:val="20"/>
                <w:szCs w:val="20"/>
                <w:color w:val="auto"/>
              </w:rPr>
            </w:pPr>
            <w:r>
              <w:rPr>
                <w:rFonts w:ascii="Arial" w:cs="Arial" w:eastAsia="Arial" w:hAnsi="Arial"/>
                <w:sz w:val="14"/>
                <w:szCs w:val="14"/>
                <w:b w:val="1"/>
                <w:bCs w:val="1"/>
                <w:color w:val="auto"/>
                <w:w w:val="91"/>
              </w:rPr>
              <w:t>currency</w:t>
            </w: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780" w:type="dxa"/>
            <w:vAlign w:val="bottom"/>
            <w:gridSpan w:val="7"/>
            <w:vMerge w:val="restart"/>
          </w:tcPr>
          <w:p>
            <w:pPr>
              <w:jc w:val="right"/>
              <w:ind w:right="120"/>
              <w:spacing w:after="0"/>
              <w:rPr>
                <w:sz w:val="20"/>
                <w:szCs w:val="20"/>
                <w:color w:val="auto"/>
              </w:rPr>
            </w:pPr>
            <w:r>
              <w:rPr>
                <w:rFonts w:ascii="Arial" w:cs="Arial" w:eastAsia="Arial" w:hAnsi="Arial"/>
                <w:sz w:val="14"/>
                <w:szCs w:val="14"/>
                <w:b w:val="1"/>
                <w:bCs w:val="1"/>
                <w:color w:val="auto"/>
                <w:w w:val="95"/>
              </w:rPr>
              <w:t>Treasury  Comprehensive</w:t>
            </w: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6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shares</w:t>
            </w:r>
          </w:p>
        </w:tc>
        <w:tc>
          <w:tcPr>
            <w:tcW w:w="40" w:type="dxa"/>
            <w:vAlign w:val="bottom"/>
          </w:tcPr>
          <w:p>
            <w:pPr>
              <w:spacing w:after="0"/>
              <w:rPr>
                <w:sz w:val="12"/>
                <w:szCs w:val="12"/>
                <w:color w:val="auto"/>
              </w:rPr>
            </w:pPr>
          </w:p>
        </w:tc>
        <w:tc>
          <w:tcPr>
            <w:tcW w:w="6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shares</w:t>
            </w: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paid-in</w:t>
            </w:r>
          </w:p>
        </w:tc>
        <w:tc>
          <w:tcPr>
            <w:tcW w:w="40" w:type="dxa"/>
            <w:vAlign w:val="bottom"/>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comprehensive</w:t>
            </w:r>
          </w:p>
        </w:tc>
        <w:tc>
          <w:tcPr>
            <w:tcW w:w="860" w:type="dxa"/>
            <w:vAlign w:val="bottom"/>
            <w:gridSpan w:val="3"/>
          </w:tcPr>
          <w:p>
            <w:pPr>
              <w:jc w:val="center"/>
              <w:ind w:right="79"/>
              <w:spacing w:after="0" w:line="149" w:lineRule="exact"/>
              <w:rPr>
                <w:sz w:val="20"/>
                <w:szCs w:val="20"/>
                <w:color w:val="auto"/>
              </w:rPr>
            </w:pPr>
            <w:r>
              <w:rPr>
                <w:rFonts w:ascii="Arial" w:cs="Arial" w:eastAsia="Arial" w:hAnsi="Arial"/>
                <w:sz w:val="14"/>
                <w:szCs w:val="14"/>
                <w:b w:val="1"/>
                <w:bCs w:val="1"/>
                <w:color w:val="auto"/>
                <w:w w:val="92"/>
              </w:rPr>
              <w:t>translation</w:t>
            </w:r>
          </w:p>
        </w:tc>
        <w:tc>
          <w:tcPr>
            <w:tcW w:w="900" w:type="dxa"/>
            <w:vAlign w:val="bottom"/>
            <w:gridSpan w:val="3"/>
            <w:vMerge w:val="continue"/>
          </w:tcPr>
          <w:p>
            <w:pPr>
              <w:spacing w:after="0"/>
              <w:rPr>
                <w:sz w:val="12"/>
                <w:szCs w:val="12"/>
                <w:color w:val="auto"/>
              </w:rPr>
            </w:pPr>
          </w:p>
        </w:tc>
        <w:tc>
          <w:tcPr>
            <w:tcW w:w="1780" w:type="dxa"/>
            <w:vAlign w:val="bottom"/>
            <w:gridSpan w:val="7"/>
            <w:vMerge w:val="continue"/>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controlling</w:t>
            </w:r>
          </w:p>
        </w:tc>
        <w:tc>
          <w:tcPr>
            <w:tcW w:w="7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1500" w:type="dxa"/>
            <w:vAlign w:val="bottom"/>
          </w:tcPr>
          <w:p>
            <w:pPr>
              <w:spacing w:after="0"/>
              <w:rPr>
                <w:sz w:val="15"/>
                <w:szCs w:val="15"/>
                <w:color w:val="auto"/>
              </w:rPr>
            </w:pPr>
          </w:p>
        </w:tc>
        <w:tc>
          <w:tcPr>
            <w:tcW w:w="6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5"/>
              </w:rPr>
              <w:t>issued</w:t>
            </w:r>
          </w:p>
        </w:tc>
        <w:tc>
          <w:tcPr>
            <w:tcW w:w="40" w:type="dxa"/>
            <w:vAlign w:val="bottom"/>
          </w:tcPr>
          <w:p>
            <w:pPr>
              <w:spacing w:after="0"/>
              <w:rPr>
                <w:sz w:val="15"/>
                <w:szCs w:val="15"/>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amount</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capital</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notes</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4"/>
              </w:rPr>
              <w:t>compensation</w:t>
            </w:r>
          </w:p>
        </w:tc>
        <w:tc>
          <w:tcPr>
            <w:tcW w:w="140" w:type="dxa"/>
            <w:vAlign w:val="bottom"/>
          </w:tcPr>
          <w:p>
            <w:pPr>
              <w:spacing w:after="0"/>
              <w:rPr>
                <w:sz w:val="15"/>
                <w:szCs w:val="15"/>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income</w:t>
            </w:r>
          </w:p>
        </w:tc>
        <w:tc>
          <w:tcPr>
            <w:tcW w:w="860" w:type="dxa"/>
            <w:vAlign w:val="bottom"/>
            <w:gridSpan w:val="3"/>
          </w:tcPr>
          <w:p>
            <w:pPr>
              <w:jc w:val="center"/>
              <w:ind w:right="79"/>
              <w:spacing w:after="0"/>
              <w:rPr>
                <w:sz w:val="20"/>
                <w:szCs w:val="20"/>
                <w:color w:val="auto"/>
              </w:rPr>
            </w:pPr>
            <w:r>
              <w:rPr>
                <w:rFonts w:ascii="Arial" w:cs="Arial" w:eastAsia="Arial" w:hAnsi="Arial"/>
                <w:sz w:val="14"/>
                <w:szCs w:val="14"/>
                <w:b w:val="1"/>
                <w:bCs w:val="1"/>
                <w:color w:val="auto"/>
                <w:w w:val="89"/>
              </w:rPr>
              <w:t>adjustments</w:t>
            </w:r>
          </w:p>
        </w:tc>
        <w:tc>
          <w:tcPr>
            <w:tcW w:w="140" w:type="dxa"/>
            <w:vAlign w:val="bottom"/>
          </w:tcPr>
          <w:p>
            <w:pPr>
              <w:spacing w:after="0"/>
              <w:rPr>
                <w:sz w:val="15"/>
                <w:szCs w:val="15"/>
                <w:color w:val="auto"/>
              </w:rPr>
            </w:pPr>
          </w:p>
        </w:tc>
        <w:tc>
          <w:tcPr>
            <w:tcW w:w="760" w:type="dxa"/>
            <w:vAlign w:val="bottom"/>
            <w:gridSpan w:val="2"/>
          </w:tcPr>
          <w:p>
            <w:pPr>
              <w:jc w:val="right"/>
              <w:ind w:right="259"/>
              <w:spacing w:after="0"/>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tcPr>
          <w:p>
            <w:pPr>
              <w:jc w:val="right"/>
              <w:ind w:right="328"/>
              <w:spacing w:after="0"/>
              <w:rPr>
                <w:sz w:val="20"/>
                <w:szCs w:val="20"/>
                <w:color w:val="auto"/>
              </w:rPr>
            </w:pPr>
            <w:r>
              <w:rPr>
                <w:rFonts w:ascii="Arial" w:cs="Arial" w:eastAsia="Arial" w:hAnsi="Arial"/>
                <w:sz w:val="14"/>
                <w:szCs w:val="14"/>
                <w:b w:val="1"/>
                <w:bCs w:val="1"/>
                <w:color w:val="auto"/>
                <w:w w:val="87"/>
              </w:rPr>
              <w:t>stock</w:t>
            </w: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income</w:t>
            </w:r>
          </w:p>
        </w:tc>
        <w:tc>
          <w:tcPr>
            <w:tcW w:w="80" w:type="dxa"/>
            <w:vAlign w:val="bottom"/>
          </w:tcPr>
          <w:p>
            <w:pPr>
              <w:spacing w:after="0"/>
              <w:rPr>
                <w:sz w:val="15"/>
                <w:szCs w:val="15"/>
                <w:color w:val="auto"/>
              </w:rPr>
            </w:pPr>
          </w:p>
        </w:tc>
        <w:tc>
          <w:tcPr>
            <w:tcW w:w="72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w w:val="90"/>
              </w:rPr>
              <w:t>interest</w:t>
            </w: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500" w:type="dxa"/>
            <w:vAlign w:val="bottom"/>
            <w:shd w:val="clear" w:color="auto" w:fill="CCEEFF"/>
          </w:tcPr>
          <w:p>
            <w:pPr>
              <w:ind w:left="300"/>
              <w:spacing w:after="0" w:line="126" w:lineRule="exact"/>
              <w:rPr>
                <w:sz w:val="20"/>
                <w:szCs w:val="20"/>
                <w:color w:val="auto"/>
              </w:rPr>
            </w:pPr>
            <w:r>
              <w:rPr>
                <w:rFonts w:ascii="Arial" w:cs="Arial" w:eastAsia="Arial" w:hAnsi="Arial"/>
                <w:sz w:val="14"/>
                <w:szCs w:val="14"/>
                <w:b w:val="1"/>
                <w:bCs w:val="1"/>
                <w:color w:val="auto"/>
              </w:rPr>
              <w:t>BALANCE AS OF</w:t>
            </w:r>
          </w:p>
        </w:tc>
        <w:tc>
          <w:tcPr>
            <w:tcW w:w="6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106,895</w:t>
            </w:r>
          </w:p>
        </w:tc>
        <w:tc>
          <w:tcPr>
            <w:tcW w:w="20" w:type="dxa"/>
            <w:vAlign w:val="bottom"/>
            <w:shd w:val="clear" w:color="auto" w:fill="CCEEFF"/>
          </w:tcPr>
          <w:p>
            <w:pPr>
              <w:spacing w:after="0"/>
              <w:rPr>
                <w:sz w:val="10"/>
                <w:szCs w:val="10"/>
                <w:color w:val="auto"/>
              </w:rPr>
            </w:pPr>
          </w:p>
        </w:tc>
        <w:tc>
          <w:tcPr>
            <w:tcW w:w="70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96"/>
              </w:rPr>
              <w:t>$ 426,111</w:t>
            </w:r>
          </w:p>
        </w:tc>
        <w:tc>
          <w:tcPr>
            <w:tcW w:w="7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89"/>
              </w:rPr>
              <w:t>$ 1,395,376</w:t>
            </w: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8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w w:val="76"/>
              </w:rPr>
              <w:t>$</w:t>
            </w:r>
          </w:p>
        </w:tc>
        <w:tc>
          <w:tcPr>
            <w:tcW w:w="8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107,774</w:t>
            </w:r>
          </w:p>
        </w:tc>
        <w:tc>
          <w:tcPr>
            <w:tcW w:w="140" w:type="dxa"/>
            <w:vAlign w:val="bottom"/>
            <w:vMerge w:val="restart"/>
            <w:shd w:val="clear" w:color="auto" w:fill="CCEEFF"/>
          </w:tcPr>
          <w:p>
            <w:pPr>
              <w:jc w:val="right"/>
              <w:ind w:right="18"/>
              <w:spacing w:after="0"/>
              <w:rPr>
                <w:sz w:val="20"/>
                <w:szCs w:val="20"/>
                <w:color w:val="auto"/>
              </w:rPr>
            </w:pPr>
            <w:r>
              <w:rPr>
                <w:rFonts w:ascii="Arial" w:cs="Arial" w:eastAsia="Arial" w:hAnsi="Arial"/>
                <w:sz w:val="10"/>
                <w:szCs w:val="10"/>
                <w:b w:val="1"/>
                <w:bCs w:val="1"/>
                <w:color w:val="auto"/>
                <w:w w:val="71"/>
              </w:rPr>
              <w:t>$</w:t>
            </w:r>
          </w:p>
        </w:tc>
        <w:tc>
          <w:tcPr>
            <w:tcW w:w="8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1,906</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gridSpan w:val="2"/>
            <w:vMerge w:val="restart"/>
            <w:shd w:val="clear" w:color="auto" w:fill="CCEEFF"/>
          </w:tcPr>
          <w:p>
            <w:pPr>
              <w:jc w:val="right"/>
              <w:ind w:right="39"/>
              <w:spacing w:after="0"/>
              <w:rPr>
                <w:sz w:val="20"/>
                <w:szCs w:val="20"/>
                <w:color w:val="auto"/>
              </w:rPr>
            </w:pPr>
            <w:r>
              <w:rPr>
                <w:rFonts w:ascii="Arial" w:cs="Arial" w:eastAsia="Arial" w:hAnsi="Arial"/>
                <w:sz w:val="14"/>
                <w:szCs w:val="14"/>
                <w:b w:val="1"/>
                <w:bCs w:val="1"/>
                <w:color w:val="auto"/>
              </w:rPr>
              <w:t>(20,150)</w:t>
            </w:r>
          </w:p>
        </w:tc>
        <w:tc>
          <w:tcPr>
            <w:tcW w:w="14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(547,398)</w:t>
            </w: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(9,072)</w:t>
            </w: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w w:val="76"/>
              </w:rPr>
              <w:t>$</w:t>
            </w:r>
          </w:p>
        </w:tc>
        <w:tc>
          <w:tcPr>
            <w:tcW w:w="72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(7,824)</w:t>
            </w:r>
          </w:p>
        </w:tc>
        <w:tc>
          <w:tcPr>
            <w:tcW w:w="7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89"/>
              </w:rPr>
              <w:t>$ 1,346,723</w:t>
            </w:r>
          </w:p>
        </w:tc>
        <w:tc>
          <w:tcPr>
            <w:tcW w:w="0" w:type="dxa"/>
            <w:vAlign w:val="bottom"/>
          </w:tcPr>
          <w:p>
            <w:pPr>
              <w:spacing w:after="0"/>
              <w:rPr>
                <w:sz w:val="1"/>
                <w:szCs w:val="1"/>
                <w:color w:val="auto"/>
              </w:rPr>
            </w:pPr>
          </w:p>
        </w:tc>
      </w:tr>
      <w:tr>
        <w:trPr>
          <w:trHeight w:val="171"/>
        </w:trPr>
        <w:tc>
          <w:tcPr>
            <w:tcW w:w="1500" w:type="dxa"/>
            <w:vAlign w:val="bottom"/>
            <w:shd w:val="clear" w:color="auto" w:fill="CCEEFF"/>
          </w:tcPr>
          <w:p>
            <w:pPr>
              <w:ind w:left="300"/>
              <w:spacing w:after="0"/>
              <w:rPr>
                <w:sz w:val="20"/>
                <w:szCs w:val="20"/>
                <w:color w:val="auto"/>
              </w:rPr>
            </w:pPr>
            <w:r>
              <w:rPr>
                <w:rFonts w:ascii="Arial" w:cs="Arial" w:eastAsia="Arial" w:hAnsi="Arial"/>
                <w:sz w:val="14"/>
                <w:szCs w:val="14"/>
                <w:b w:val="1"/>
                <w:bCs w:val="1"/>
                <w:color w:val="auto"/>
                <w:w w:val="99"/>
              </w:rPr>
              <w:t>JANUARY 1, 2020</w:t>
            </w:r>
          </w:p>
        </w:tc>
        <w:tc>
          <w:tcPr>
            <w:tcW w:w="60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gridSpan w:val="3"/>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50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Changes during the</w:t>
            </w: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5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period:</w:t>
            </w: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50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w w:val="93"/>
              </w:rPr>
              <w:t>Exercise of options and</w:t>
            </w:r>
          </w:p>
        </w:tc>
        <w:tc>
          <w:tcPr>
            <w:tcW w:w="6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454</w:t>
            </w:r>
          </w:p>
        </w:tc>
        <w:tc>
          <w:tcPr>
            <w:tcW w:w="20" w:type="dxa"/>
            <w:vAlign w:val="bottom"/>
            <w:shd w:val="clear" w:color="auto" w:fill="CCEEFF"/>
          </w:tcPr>
          <w:p>
            <w:pPr>
              <w:spacing w:after="0"/>
              <w:rPr>
                <w:sz w:val="10"/>
                <w:szCs w:val="10"/>
                <w:color w:val="auto"/>
              </w:rPr>
            </w:pPr>
          </w:p>
        </w:tc>
        <w:tc>
          <w:tcPr>
            <w:tcW w:w="70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1,952</w:t>
            </w:r>
          </w:p>
        </w:tc>
        <w:tc>
          <w:tcPr>
            <w:tcW w:w="7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(647)</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1,305</w:t>
            </w:r>
          </w:p>
        </w:tc>
        <w:tc>
          <w:tcPr>
            <w:tcW w:w="0" w:type="dxa"/>
            <w:vAlign w:val="bottom"/>
          </w:tcPr>
          <w:p>
            <w:pPr>
              <w:spacing w:after="0"/>
              <w:rPr>
                <w:sz w:val="1"/>
                <w:szCs w:val="1"/>
                <w:color w:val="auto"/>
              </w:rPr>
            </w:pPr>
          </w:p>
        </w:tc>
      </w:tr>
      <w:tr>
        <w:trPr>
          <w:trHeight w:val="171"/>
        </w:trPr>
        <w:tc>
          <w:tcPr>
            <w:tcW w:w="15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RSUs</w:t>
            </w:r>
          </w:p>
        </w:tc>
        <w:tc>
          <w:tcPr>
            <w:tcW w:w="60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gridSpan w:val="3"/>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500" w:type="dxa"/>
            <w:vAlign w:val="bottom"/>
          </w:tcPr>
          <w:p>
            <w:pPr>
              <w:spacing w:after="0" w:line="126" w:lineRule="exact"/>
              <w:rPr>
                <w:sz w:val="20"/>
                <w:szCs w:val="20"/>
                <w:color w:val="auto"/>
              </w:rPr>
            </w:pPr>
            <w:r>
              <w:rPr>
                <w:rFonts w:ascii="Arial" w:cs="Arial" w:eastAsia="Arial" w:hAnsi="Arial"/>
                <w:sz w:val="14"/>
                <w:szCs w:val="14"/>
                <w:b w:val="1"/>
                <w:bCs w:val="1"/>
                <w:color w:val="auto"/>
                <w:w w:val="97"/>
              </w:rPr>
              <w:t>Employee stock-based</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8,338</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8,338</w:t>
            </w:r>
          </w:p>
        </w:tc>
        <w:tc>
          <w:tcPr>
            <w:tcW w:w="0" w:type="dxa"/>
            <w:vAlign w:val="bottom"/>
          </w:tcPr>
          <w:p>
            <w:pPr>
              <w:spacing w:after="0"/>
              <w:rPr>
                <w:sz w:val="1"/>
                <w:szCs w:val="1"/>
                <w:color w:val="auto"/>
              </w:rPr>
            </w:pPr>
          </w:p>
        </w:tc>
      </w:tr>
      <w:tr>
        <w:trPr>
          <w:trHeight w:val="171"/>
        </w:trPr>
        <w:tc>
          <w:tcPr>
            <w:tcW w:w="1500" w:type="dxa"/>
            <w:vAlign w:val="bottom"/>
          </w:tcPr>
          <w:p>
            <w:pPr>
              <w:spacing w:after="0"/>
              <w:rPr>
                <w:sz w:val="20"/>
                <w:szCs w:val="20"/>
                <w:color w:val="auto"/>
              </w:rPr>
            </w:pPr>
            <w:r>
              <w:rPr>
                <w:rFonts w:ascii="Arial" w:cs="Arial" w:eastAsia="Arial" w:hAnsi="Arial"/>
                <w:sz w:val="14"/>
                <w:szCs w:val="14"/>
                <w:b w:val="1"/>
                <w:bCs w:val="1"/>
                <w:color w:val="auto"/>
              </w:rPr>
              <w:t>compensation</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500" w:type="dxa"/>
            <w:vAlign w:val="bottom"/>
            <w:shd w:val="clear" w:color="auto" w:fill="CCEEFF"/>
          </w:tcPr>
          <w:p>
            <w:pPr>
              <w:ind w:left="160"/>
              <w:spacing w:after="0" w:line="126" w:lineRule="exact"/>
              <w:rPr>
                <w:sz w:val="20"/>
                <w:szCs w:val="20"/>
                <w:color w:val="auto"/>
              </w:rPr>
            </w:pPr>
            <w:r>
              <w:rPr>
                <w:rFonts w:ascii="Arial" w:cs="Arial" w:eastAsia="Arial" w:hAnsi="Arial"/>
                <w:sz w:val="14"/>
                <w:szCs w:val="14"/>
                <w:b w:val="1"/>
                <w:bCs w:val="1"/>
                <w:color w:val="auto"/>
              </w:rPr>
              <w:t>Other</w:t>
            </w: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b w:val="1"/>
                <w:bCs w:val="1"/>
                <w:color w:val="auto"/>
              </w:rPr>
              <w:t>comprehensive</w:t>
            </w: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50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income:</w:t>
            </w: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500" w:type="dxa"/>
            <w:vAlign w:val="bottom"/>
          </w:tcPr>
          <w:p>
            <w:pPr>
              <w:ind w:left="300"/>
              <w:spacing w:after="0" w:line="149" w:lineRule="exact"/>
              <w:rPr>
                <w:sz w:val="20"/>
                <w:szCs w:val="20"/>
                <w:color w:val="auto"/>
              </w:rPr>
            </w:pPr>
            <w:r>
              <w:rPr>
                <w:rFonts w:ascii="Arial" w:cs="Arial" w:eastAsia="Arial" w:hAnsi="Arial"/>
                <w:sz w:val="14"/>
                <w:szCs w:val="14"/>
                <w:b w:val="1"/>
                <w:bCs w:val="1"/>
                <w:color w:val="auto"/>
              </w:rPr>
              <w:t>Profit</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39"/>
              <w:spacing w:after="0" w:line="149" w:lineRule="exact"/>
              <w:rPr>
                <w:sz w:val="20"/>
                <w:szCs w:val="20"/>
                <w:color w:val="auto"/>
              </w:rPr>
            </w:pPr>
            <w:r>
              <w:rPr>
                <w:rFonts w:ascii="Arial" w:cs="Arial" w:eastAsia="Arial" w:hAnsi="Arial"/>
                <w:sz w:val="14"/>
                <w:szCs w:val="14"/>
                <w:b w:val="1"/>
                <w:bCs w:val="1"/>
                <w:color w:val="auto"/>
              </w:rPr>
              <w:t>36,072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8"/>
              <w:spacing w:after="0" w:line="149" w:lineRule="exact"/>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36,072</w:t>
            </w:r>
          </w:p>
        </w:tc>
        <w:tc>
          <w:tcPr>
            <w:tcW w:w="80" w:type="dxa"/>
            <w:vAlign w:val="bottom"/>
          </w:tcPr>
          <w:p>
            <w:pPr>
              <w:spacing w:after="0"/>
              <w:rPr>
                <w:sz w:val="12"/>
                <w:szCs w:val="12"/>
                <w:color w:val="auto"/>
              </w:rPr>
            </w:pPr>
          </w:p>
        </w:tc>
        <w:tc>
          <w:tcPr>
            <w:tcW w:w="720" w:type="dxa"/>
            <w:vAlign w:val="bottom"/>
            <w:gridSpan w:val="2"/>
          </w:tcPr>
          <w:p>
            <w:pPr>
              <w:jc w:val="right"/>
              <w:ind w:right="68"/>
              <w:spacing w:after="0" w:line="149" w:lineRule="exact"/>
              <w:rPr>
                <w:sz w:val="20"/>
                <w:szCs w:val="20"/>
                <w:color w:val="auto"/>
              </w:rPr>
            </w:pPr>
            <w:r>
              <w:rPr>
                <w:rFonts w:ascii="Arial" w:cs="Arial" w:eastAsia="Arial" w:hAnsi="Arial"/>
                <w:sz w:val="14"/>
                <w:szCs w:val="14"/>
                <w:b w:val="1"/>
                <w:bCs w:val="1"/>
                <w:color w:val="auto"/>
              </w:rPr>
              <w:t>1,433</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37,505</w:t>
            </w:r>
          </w:p>
        </w:tc>
        <w:tc>
          <w:tcPr>
            <w:tcW w:w="0" w:type="dxa"/>
            <w:vAlign w:val="bottom"/>
          </w:tcPr>
          <w:p>
            <w:pPr>
              <w:spacing w:after="0"/>
              <w:rPr>
                <w:sz w:val="1"/>
                <w:szCs w:val="1"/>
                <w:color w:val="auto"/>
              </w:rPr>
            </w:pPr>
          </w:p>
        </w:tc>
      </w:tr>
      <w:tr>
        <w:trPr>
          <w:trHeight w:val="126"/>
        </w:trPr>
        <w:tc>
          <w:tcPr>
            <w:tcW w:w="1500" w:type="dxa"/>
            <w:vAlign w:val="bottom"/>
            <w:shd w:val="clear" w:color="auto" w:fill="CCEEFF"/>
          </w:tcPr>
          <w:p>
            <w:pPr>
              <w:ind w:left="300"/>
              <w:spacing w:after="0" w:line="126" w:lineRule="exact"/>
              <w:rPr>
                <w:sz w:val="20"/>
                <w:szCs w:val="20"/>
                <w:color w:val="auto"/>
              </w:rPr>
            </w:pPr>
            <w:r>
              <w:rPr>
                <w:rFonts w:ascii="Arial" w:cs="Arial" w:eastAsia="Arial" w:hAnsi="Arial"/>
                <w:sz w:val="14"/>
                <w:szCs w:val="14"/>
                <w:b w:val="1"/>
                <w:bCs w:val="1"/>
                <w:color w:val="auto"/>
              </w:rPr>
              <w:t>Foreign currency</w:t>
            </w: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translation</w:t>
            </w: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39"/>
              <w:spacing w:after="0"/>
              <w:rPr>
                <w:sz w:val="20"/>
                <w:szCs w:val="20"/>
                <w:color w:val="auto"/>
              </w:rPr>
            </w:pPr>
            <w:r>
              <w:rPr>
                <w:rFonts w:ascii="Arial" w:cs="Arial" w:eastAsia="Arial" w:hAnsi="Arial"/>
                <w:sz w:val="14"/>
                <w:szCs w:val="14"/>
                <w:b w:val="1"/>
                <w:bCs w:val="1"/>
                <w:color w:val="auto"/>
              </w:rPr>
              <w:t>(650)</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(650)</w:t>
            </w:r>
          </w:p>
        </w:tc>
        <w:tc>
          <w:tcPr>
            <w:tcW w:w="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526</w:t>
            </w:r>
          </w:p>
        </w:tc>
        <w:tc>
          <w:tcPr>
            <w:tcW w:w="7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(124)</w:t>
            </w:r>
          </w:p>
        </w:tc>
        <w:tc>
          <w:tcPr>
            <w:tcW w:w="0" w:type="dxa"/>
            <w:vAlign w:val="bottom"/>
          </w:tcPr>
          <w:p>
            <w:pPr>
              <w:spacing w:after="0"/>
              <w:rPr>
                <w:sz w:val="1"/>
                <w:szCs w:val="1"/>
                <w:color w:val="auto"/>
              </w:rPr>
            </w:pPr>
          </w:p>
        </w:tc>
      </w:tr>
      <w:tr>
        <w:trPr>
          <w:trHeight w:val="171"/>
        </w:trPr>
        <w:tc>
          <w:tcPr>
            <w:tcW w:w="1500" w:type="dxa"/>
            <w:vAlign w:val="bottom"/>
            <w:shd w:val="clear" w:color="auto" w:fill="CCEEFF"/>
          </w:tcPr>
          <w:p>
            <w:pPr>
              <w:ind w:left="300"/>
              <w:spacing w:after="0"/>
              <w:rPr>
                <w:sz w:val="20"/>
                <w:szCs w:val="20"/>
                <w:color w:val="auto"/>
              </w:rPr>
            </w:pPr>
            <w:r>
              <w:rPr>
                <w:rFonts w:ascii="Arial" w:cs="Arial" w:eastAsia="Arial" w:hAnsi="Arial"/>
                <w:sz w:val="14"/>
                <w:szCs w:val="14"/>
                <w:b w:val="1"/>
                <w:bCs w:val="1"/>
                <w:color w:val="auto"/>
              </w:rPr>
              <w:t>adjustments</w:t>
            </w: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500" w:type="dxa"/>
            <w:vAlign w:val="bottom"/>
          </w:tcPr>
          <w:p>
            <w:pPr>
              <w:ind w:left="300"/>
              <w:spacing w:after="0" w:line="126" w:lineRule="exact"/>
              <w:rPr>
                <w:sz w:val="20"/>
                <w:szCs w:val="20"/>
                <w:color w:val="auto"/>
              </w:rPr>
            </w:pPr>
            <w:r>
              <w:rPr>
                <w:rFonts w:ascii="Arial" w:cs="Arial" w:eastAsia="Arial" w:hAnsi="Arial"/>
                <w:sz w:val="14"/>
                <w:szCs w:val="14"/>
                <w:b w:val="1"/>
                <w:bCs w:val="1"/>
                <w:color w:val="auto"/>
              </w:rPr>
              <w:t>Change in</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00" w:type="dxa"/>
            <w:vAlign w:val="bottom"/>
          </w:tcPr>
          <w:p>
            <w:pPr>
              <w:ind w:left="300"/>
              <w:spacing w:after="0" w:line="149" w:lineRule="exact"/>
              <w:rPr>
                <w:sz w:val="20"/>
                <w:szCs w:val="20"/>
                <w:color w:val="auto"/>
              </w:rPr>
            </w:pPr>
            <w:r>
              <w:rPr>
                <w:rFonts w:ascii="Arial" w:cs="Arial" w:eastAsia="Arial" w:hAnsi="Arial"/>
                <w:sz w:val="14"/>
                <w:szCs w:val="14"/>
                <w:b w:val="1"/>
                <w:bCs w:val="1"/>
                <w:color w:val="auto"/>
              </w:rPr>
              <w:t>employees plan</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tcPr>
          <w:p>
            <w:pPr>
              <w:ind w:left="300"/>
              <w:spacing w:after="0" w:line="149" w:lineRule="exact"/>
              <w:rPr>
                <w:sz w:val="20"/>
                <w:szCs w:val="20"/>
                <w:color w:val="auto"/>
              </w:rPr>
            </w:pPr>
            <w:r>
              <w:rPr>
                <w:rFonts w:ascii="Arial" w:cs="Arial" w:eastAsia="Arial" w:hAnsi="Arial"/>
                <w:sz w:val="14"/>
                <w:szCs w:val="14"/>
                <w:b w:val="1"/>
                <w:bCs w:val="1"/>
                <w:color w:val="auto"/>
                <w:w w:val="96"/>
              </w:rPr>
              <w:t>assets and benefit</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(130)</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(130)</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(130)</w:t>
            </w:r>
          </w:p>
        </w:tc>
        <w:tc>
          <w:tcPr>
            <w:tcW w:w="0" w:type="dxa"/>
            <w:vAlign w:val="bottom"/>
          </w:tcPr>
          <w:p>
            <w:pPr>
              <w:spacing w:after="0"/>
              <w:rPr>
                <w:sz w:val="1"/>
                <w:szCs w:val="1"/>
                <w:color w:val="auto"/>
              </w:rPr>
            </w:pPr>
          </w:p>
        </w:tc>
      </w:tr>
      <w:tr>
        <w:trPr>
          <w:trHeight w:val="171"/>
        </w:trPr>
        <w:tc>
          <w:tcPr>
            <w:tcW w:w="1500" w:type="dxa"/>
            <w:vAlign w:val="bottom"/>
          </w:tcPr>
          <w:p>
            <w:pPr>
              <w:ind w:left="300"/>
              <w:spacing w:after="0"/>
              <w:rPr>
                <w:sz w:val="20"/>
                <w:szCs w:val="20"/>
                <w:color w:val="auto"/>
              </w:rPr>
            </w:pPr>
            <w:r>
              <w:rPr>
                <w:rFonts w:ascii="Arial" w:cs="Arial" w:eastAsia="Arial" w:hAnsi="Arial"/>
                <w:sz w:val="14"/>
                <w:szCs w:val="14"/>
                <w:b w:val="1"/>
                <w:bCs w:val="1"/>
                <w:color w:val="auto"/>
              </w:rPr>
              <w:t>obligations</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500" w:type="dxa"/>
            <w:vAlign w:val="bottom"/>
            <w:shd w:val="clear" w:color="auto" w:fill="CCEEFF"/>
          </w:tcPr>
          <w:p>
            <w:pPr>
              <w:ind w:left="300"/>
              <w:spacing w:after="0" w:line="126" w:lineRule="exact"/>
              <w:rPr>
                <w:sz w:val="20"/>
                <w:szCs w:val="20"/>
                <w:color w:val="auto"/>
              </w:rPr>
            </w:pPr>
            <w:r>
              <w:rPr>
                <w:rFonts w:ascii="Arial" w:cs="Arial" w:eastAsia="Arial" w:hAnsi="Arial"/>
                <w:sz w:val="14"/>
                <w:szCs w:val="14"/>
                <w:b w:val="1"/>
                <w:bCs w:val="1"/>
                <w:color w:val="auto"/>
                <w:w w:val="95"/>
              </w:rPr>
              <w:t>Unrealized loss on</w:t>
            </w: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(1,473)</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80"/>
              <w:spacing w:after="0" w:line="250" w:lineRule="exact"/>
              <w:rPr>
                <w:sz w:val="20"/>
                <w:szCs w:val="20"/>
                <w:color w:val="auto"/>
              </w:rPr>
            </w:pPr>
            <w:r>
              <w:rPr>
                <w:rFonts w:ascii="Arial" w:cs="Arial" w:eastAsia="Arial" w:hAnsi="Arial"/>
                <w:sz w:val="14"/>
                <w:szCs w:val="14"/>
                <w:b w:val="1"/>
                <w:bCs w:val="1"/>
                <w:color w:val="auto"/>
              </w:rPr>
              <w:t>(1,473</w:t>
            </w:r>
            <w:r>
              <w:rPr>
                <w:rFonts w:ascii="Arial" w:cs="Arial" w:eastAsia="Arial" w:hAnsi="Arial"/>
                <w:sz w:val="28"/>
                <w:szCs w:val="28"/>
                <w:b w:val="1"/>
                <w:bCs w:val="1"/>
                <w:color w:val="auto"/>
                <w:vertAlign w:val="subscript"/>
              </w:rPr>
              <w:t>)</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(1,473)</w:t>
            </w:r>
          </w:p>
        </w:tc>
        <w:tc>
          <w:tcPr>
            <w:tcW w:w="0" w:type="dxa"/>
            <w:vAlign w:val="bottom"/>
          </w:tcPr>
          <w:p>
            <w:pPr>
              <w:spacing w:after="0"/>
              <w:rPr>
                <w:sz w:val="1"/>
                <w:szCs w:val="1"/>
                <w:color w:val="auto"/>
              </w:rPr>
            </w:pPr>
          </w:p>
        </w:tc>
      </w:tr>
      <w:tr>
        <w:trPr>
          <w:trHeight w:val="151"/>
        </w:trPr>
        <w:tc>
          <w:tcPr>
            <w:tcW w:w="1500" w:type="dxa"/>
            <w:vAlign w:val="bottom"/>
            <w:shd w:val="clear" w:color="auto" w:fill="CCEEFF"/>
          </w:tcPr>
          <w:p>
            <w:pPr>
              <w:ind w:left="300"/>
              <w:spacing w:after="0" w:line="125" w:lineRule="exact"/>
              <w:rPr>
                <w:sz w:val="20"/>
                <w:szCs w:val="20"/>
                <w:color w:val="auto"/>
              </w:rPr>
            </w:pPr>
            <w:r>
              <w:rPr>
                <w:rFonts w:ascii="Arial" w:cs="Arial" w:eastAsia="Arial" w:hAnsi="Arial"/>
                <w:sz w:val="14"/>
                <w:szCs w:val="14"/>
                <w:b w:val="1"/>
                <w:bCs w:val="1"/>
                <w:color w:val="auto"/>
              </w:rPr>
              <w:t>derivatives</w:t>
            </w: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00" w:type="dxa"/>
            <w:vAlign w:val="bottom"/>
            <w:tcBorders>
              <w:top w:val="single" w:sz="8" w:color="CCEEFF"/>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w w:val="93"/>
              </w:rPr>
              <w:t>Comprehensive income</w:t>
            </w:r>
          </w:p>
        </w:tc>
        <w:tc>
          <w:tcPr>
            <w:tcW w:w="5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580" w:type="dxa"/>
            <w:vAlign w:val="bottom"/>
            <w:tcBorders>
              <w:top w:val="single" w:sz="8" w:color="CCEEFF"/>
              <w:bottom w:val="single" w:sz="8" w:color="CCEEFF"/>
            </w:tcBorders>
            <w:gridSpan w:val="2"/>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29"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33,819</w:t>
            </w:r>
          </w:p>
        </w:tc>
        <w:tc>
          <w:tcPr>
            <w:tcW w:w="12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5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00" w:type="dxa"/>
            <w:vAlign w:val="bottom"/>
          </w:tcPr>
          <w:p>
            <w:pPr>
              <w:ind w:left="300"/>
              <w:spacing w:after="0" w:line="126" w:lineRule="exact"/>
              <w:rPr>
                <w:sz w:val="20"/>
                <w:szCs w:val="20"/>
                <w:color w:val="auto"/>
              </w:rPr>
            </w:pPr>
            <w:r>
              <w:rPr>
                <w:rFonts w:ascii="Arial" w:cs="Arial" w:eastAsia="Arial" w:hAnsi="Arial"/>
                <w:sz w:val="14"/>
                <w:szCs w:val="14"/>
                <w:b w:val="1"/>
                <w:bCs w:val="1"/>
                <w:color w:val="auto"/>
              </w:rPr>
              <w:t>BALANCE AS OF</w:t>
            </w: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107,349</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$ 428,063</w:t>
            </w:r>
          </w:p>
        </w:tc>
        <w:tc>
          <w:tcPr>
            <w:tcW w:w="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$ 1,394,729</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0"/>
                <w:szCs w:val="10"/>
                <w:color w:val="auto"/>
              </w:rPr>
            </w:pPr>
          </w:p>
        </w:tc>
        <w:tc>
          <w:tcPr>
            <w:tcW w:w="80" w:type="dxa"/>
            <w:vAlign w:val="bottom"/>
            <w:vMerge w:val="restart"/>
          </w:tcPr>
          <w:p>
            <w:pPr>
              <w:spacing w:after="0"/>
              <w:rPr>
                <w:sz w:val="20"/>
                <w:szCs w:val="20"/>
                <w:color w:val="auto"/>
              </w:rPr>
            </w:pPr>
            <w:r>
              <w:rPr>
                <w:rFonts w:ascii="Arial" w:cs="Arial" w:eastAsia="Arial" w:hAnsi="Arial"/>
                <w:sz w:val="14"/>
                <w:szCs w:val="14"/>
                <w:b w:val="1"/>
                <w:bCs w:val="1"/>
                <w:color w:val="auto"/>
                <w:w w:val="76"/>
              </w:rPr>
              <w:t>$</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116,112</w:t>
            </w:r>
          </w:p>
        </w:tc>
        <w:tc>
          <w:tcPr>
            <w:tcW w:w="100" w:type="dxa"/>
            <w:vAlign w:val="bottom"/>
          </w:tcPr>
          <w:p>
            <w:pPr>
              <w:spacing w:after="0"/>
              <w:rPr>
                <w:sz w:val="10"/>
                <w:szCs w:val="10"/>
                <w:color w:val="auto"/>
              </w:rPr>
            </w:pPr>
          </w:p>
        </w:tc>
        <w:tc>
          <w:tcPr>
            <w:tcW w:w="140" w:type="dxa"/>
            <w:vAlign w:val="bottom"/>
            <w:vMerge w:val="restart"/>
          </w:tcPr>
          <w:p>
            <w:pPr>
              <w:jc w:val="right"/>
              <w:ind w:right="18"/>
              <w:spacing w:after="0"/>
              <w:rPr>
                <w:sz w:val="20"/>
                <w:szCs w:val="20"/>
                <w:color w:val="auto"/>
              </w:rPr>
            </w:pPr>
            <w:r>
              <w:rPr>
                <w:rFonts w:ascii="Arial" w:cs="Arial" w:eastAsia="Arial" w:hAnsi="Arial"/>
                <w:sz w:val="10"/>
                <w:szCs w:val="10"/>
                <w:b w:val="1"/>
                <w:bCs w:val="1"/>
                <w:color w:val="auto"/>
                <w:w w:val="71"/>
              </w:rPr>
              <w:t>$</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303</w:t>
            </w:r>
          </w:p>
        </w:tc>
        <w:tc>
          <w:tcPr>
            <w:tcW w:w="12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(20,800</w:t>
            </w:r>
          </w:p>
        </w:tc>
        <w:tc>
          <w:tcPr>
            <w:tcW w:w="120" w:type="dxa"/>
            <w:vAlign w:val="bottom"/>
            <w:vMerge w:val="restart"/>
          </w:tcPr>
          <w:p>
            <w:pPr>
              <w:jc w:val="right"/>
              <w:ind w:right="39"/>
              <w:spacing w:after="0"/>
              <w:rPr>
                <w:sz w:val="20"/>
                <w:szCs w:val="20"/>
                <w:color w:val="auto"/>
              </w:rPr>
            </w:pPr>
            <w:r>
              <w:rPr>
                <w:rFonts w:ascii="Arial" w:cs="Arial" w:eastAsia="Arial" w:hAnsi="Arial"/>
                <w:sz w:val="8"/>
                <w:szCs w:val="8"/>
                <w:b w:val="1"/>
                <w:bCs w:val="1"/>
                <w:color w:val="auto"/>
                <w:w w:val="73"/>
              </w:rPr>
              <w:t>)</w:t>
            </w:r>
          </w:p>
        </w:tc>
        <w:tc>
          <w:tcPr>
            <w:tcW w:w="14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(511,326</w:t>
            </w:r>
          </w:p>
        </w:tc>
        <w:tc>
          <w:tcPr>
            <w:tcW w:w="120" w:type="dxa"/>
            <w:vAlign w:val="bottom"/>
            <w:gridSpan w:val="2"/>
            <w:vMerge w:val="restart"/>
          </w:tcPr>
          <w:p>
            <w:pPr>
              <w:jc w:val="right"/>
              <w:ind w:right="8"/>
              <w:spacing w:after="0"/>
              <w:rPr>
                <w:sz w:val="20"/>
                <w:szCs w:val="20"/>
                <w:color w:val="auto"/>
              </w:rPr>
            </w:pPr>
            <w:r>
              <w:rPr>
                <w:rFonts w:ascii="Arial" w:cs="Arial" w:eastAsia="Arial" w:hAnsi="Arial"/>
                <w:sz w:val="8"/>
                <w:szCs w:val="8"/>
                <w:b w:val="1"/>
                <w:bCs w:val="1"/>
                <w:color w:val="auto"/>
                <w:w w:val="73"/>
              </w:rPr>
              <w:t>)</w:t>
            </w: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(9,072</w:t>
            </w: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4"/>
              </w:rPr>
              <w:t>)</w:t>
            </w: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vMerge w:val="restart"/>
          </w:tcPr>
          <w:p>
            <w:pPr>
              <w:spacing w:after="0"/>
              <w:rPr>
                <w:sz w:val="20"/>
                <w:szCs w:val="20"/>
                <w:color w:val="auto"/>
              </w:rPr>
            </w:pPr>
            <w:r>
              <w:rPr>
                <w:rFonts w:ascii="Arial" w:cs="Arial" w:eastAsia="Arial" w:hAnsi="Arial"/>
                <w:sz w:val="14"/>
                <w:szCs w:val="14"/>
                <w:b w:val="1"/>
                <w:bCs w:val="1"/>
                <w:color w:val="auto"/>
                <w:w w:val="76"/>
              </w:rPr>
              <w:t>$</w:t>
            </w: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(5,865</w:t>
            </w:r>
          </w:p>
        </w:tc>
        <w:tc>
          <w:tcPr>
            <w:tcW w:w="1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84"/>
              </w:rPr>
              <w:t>)</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$ 1,392,144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500" w:type="dxa"/>
            <w:vAlign w:val="bottom"/>
          </w:tcPr>
          <w:p>
            <w:pPr>
              <w:ind w:left="300"/>
              <w:spacing w:after="0" w:line="125" w:lineRule="exact"/>
              <w:rPr>
                <w:sz w:val="20"/>
                <w:szCs w:val="20"/>
                <w:color w:val="auto"/>
              </w:rPr>
            </w:pPr>
            <w:r>
              <w:rPr>
                <w:rFonts w:ascii="Arial" w:cs="Arial" w:eastAsia="Arial" w:hAnsi="Arial"/>
                <w:sz w:val="14"/>
                <w:szCs w:val="14"/>
                <w:b w:val="1"/>
                <w:bCs w:val="1"/>
                <w:color w:val="auto"/>
              </w:rPr>
              <w:t>JUNE 30, 2020</w:t>
            </w:r>
          </w:p>
        </w:tc>
        <w:tc>
          <w:tcPr>
            <w:tcW w:w="580" w:type="dxa"/>
            <w:vAlign w:val="bottom"/>
            <w:tcBorders>
              <w:bottom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42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vMerge w:val="continue"/>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40" w:type="dxa"/>
            <w:vAlign w:val="bottom"/>
            <w:tcBorders>
              <w:bottom w:val="single" w:sz="8" w:color="auto"/>
            </w:tcBorders>
            <w:vMerge w:val="continue"/>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120" w:type="dxa"/>
            <w:vAlign w:val="bottom"/>
            <w:gridSpan w:val="2"/>
            <w:vMerge w:val="continue"/>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5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00" w:type="dxa"/>
            <w:vAlign w:val="bottom"/>
          </w:tcPr>
          <w:p>
            <w:pPr>
              <w:ind w:left="300"/>
              <w:spacing w:after="0" w:line="126" w:lineRule="exact"/>
              <w:rPr>
                <w:sz w:val="20"/>
                <w:szCs w:val="20"/>
                <w:color w:val="auto"/>
              </w:rPr>
            </w:pPr>
            <w:r>
              <w:rPr>
                <w:rFonts w:ascii="Arial" w:cs="Arial" w:eastAsia="Arial" w:hAnsi="Arial"/>
                <w:sz w:val="14"/>
                <w:szCs w:val="14"/>
                <w:b w:val="1"/>
                <w:bCs w:val="1"/>
                <w:color w:val="auto"/>
              </w:rPr>
              <w:t>OUTSTANDING</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500" w:type="dxa"/>
            <w:vAlign w:val="bottom"/>
          </w:tcPr>
          <w:p>
            <w:pPr>
              <w:ind w:left="300"/>
              <w:spacing w:after="0" w:line="149" w:lineRule="exact"/>
              <w:rPr>
                <w:sz w:val="20"/>
                <w:szCs w:val="20"/>
                <w:color w:val="auto"/>
              </w:rPr>
            </w:pPr>
            <w:r>
              <w:rPr>
                <w:rFonts w:ascii="Arial" w:cs="Arial" w:eastAsia="Arial" w:hAnsi="Arial"/>
                <w:sz w:val="14"/>
                <w:szCs w:val="14"/>
                <w:b w:val="1"/>
                <w:bCs w:val="1"/>
                <w:color w:val="auto"/>
              </w:rPr>
              <w:t>SHARES, NET</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tcPr>
          <w:p>
            <w:pPr>
              <w:ind w:left="300"/>
              <w:spacing w:after="0" w:line="149" w:lineRule="exact"/>
              <w:rPr>
                <w:sz w:val="20"/>
                <w:szCs w:val="20"/>
                <w:color w:val="auto"/>
              </w:rPr>
            </w:pPr>
            <w:r>
              <w:rPr>
                <w:rFonts w:ascii="Arial" w:cs="Arial" w:eastAsia="Arial" w:hAnsi="Arial"/>
                <w:sz w:val="14"/>
                <w:szCs w:val="14"/>
                <w:b w:val="1"/>
                <w:bCs w:val="1"/>
                <w:color w:val="auto"/>
              </w:rPr>
              <w:t>OF TREASURY</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tcPr>
          <w:p>
            <w:pPr>
              <w:ind w:left="300"/>
              <w:spacing w:after="0" w:line="149" w:lineRule="exact"/>
              <w:rPr>
                <w:sz w:val="20"/>
                <w:szCs w:val="20"/>
                <w:color w:val="auto"/>
              </w:rPr>
            </w:pPr>
            <w:r>
              <w:rPr>
                <w:rFonts w:ascii="Arial" w:cs="Arial" w:eastAsia="Arial" w:hAnsi="Arial"/>
                <w:sz w:val="14"/>
                <w:szCs w:val="14"/>
                <w:b w:val="1"/>
                <w:bCs w:val="1"/>
                <w:color w:val="auto"/>
              </w:rPr>
              <w:t>STOCK AS OF</w:t>
            </w:r>
          </w:p>
        </w:tc>
        <w:tc>
          <w:tcPr>
            <w:tcW w:w="60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107,262</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500" w:type="dxa"/>
            <w:vAlign w:val="bottom"/>
          </w:tcPr>
          <w:p>
            <w:pPr>
              <w:ind w:left="300"/>
              <w:spacing w:after="0" w:line="125" w:lineRule="exact"/>
              <w:rPr>
                <w:sz w:val="20"/>
                <w:szCs w:val="20"/>
                <w:color w:val="auto"/>
              </w:rPr>
            </w:pPr>
            <w:r>
              <w:rPr>
                <w:rFonts w:ascii="Arial" w:cs="Arial" w:eastAsia="Arial" w:hAnsi="Arial"/>
                <w:sz w:val="14"/>
                <w:szCs w:val="14"/>
                <w:b w:val="1"/>
                <w:bCs w:val="1"/>
                <w:color w:val="auto"/>
              </w:rPr>
              <w:t>JUNE 30, 2020</w:t>
            </w:r>
          </w:p>
        </w:tc>
        <w:tc>
          <w:tcPr>
            <w:tcW w:w="600" w:type="dxa"/>
            <w:vAlign w:val="bottom"/>
            <w:tcBorders>
              <w:bottom w:val="single" w:sz="8" w:color="auto"/>
            </w:tcBorders>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9" w:name="page10"/>
    <w:bookmarkEnd w:id="9"/>
    <w:p>
      <w:pPr>
        <w:jc w:val="center"/>
        <w:spacing w:after="0" w:line="275" w:lineRule="auto"/>
        <w:rPr>
          <w:sz w:val="20"/>
          <w:szCs w:val="20"/>
          <w:color w:val="auto"/>
        </w:rPr>
      </w:pPr>
      <w:r>
        <w:rPr>
          <w:rFonts w:ascii="Arial" w:cs="Arial" w:eastAsia="Arial" w:hAnsi="Arial"/>
          <w:sz w:val="18"/>
          <w:szCs w:val="18"/>
          <w:b w:val="1"/>
          <w:bCs w:val="1"/>
          <w:color w:val="auto"/>
        </w:rPr>
        <w:t xml:space="preserve">TOWER SEMICONDUCTOR LTD. AND SUBSIDIARIES CONDENSED INTERIM CONSOLIDATED STATEMENTS OF CASH FLOWS (UNAUDITED) </w:t>
      </w:r>
      <w:r>
        <w:rPr>
          <w:rFonts w:ascii="Arial" w:cs="Arial" w:eastAsia="Arial" w:hAnsi="Arial"/>
          <w:sz w:val="18"/>
          <w:szCs w:val="18"/>
          <w:color w:val="auto"/>
        </w:rPr>
        <w:t>(dollars in thousands)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7"/>
              </w:rPr>
              <w:t>Six months ended</w:t>
            </w:r>
          </w:p>
        </w:tc>
      </w:tr>
      <w:tr>
        <w:trPr>
          <w:trHeight w:val="241"/>
        </w:trPr>
        <w:tc>
          <w:tcPr>
            <w:tcW w:w="66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88"/>
              </w:rPr>
              <w:t>June 30,</w:t>
            </w: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b w:val="1"/>
                <w:bCs w:val="1"/>
                <w:color w:val="auto"/>
              </w:rPr>
              <w:t>CASH FLOWS - OPERATING ACTIVITIES</w:t>
            </w:r>
          </w:p>
        </w:tc>
        <w:tc>
          <w:tcPr>
            <w:tcW w:w="18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r>
      <w:tr>
        <w:trPr>
          <w:trHeight w:val="203"/>
        </w:trPr>
        <w:tc>
          <w:tcPr>
            <w:tcW w:w="66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66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Net profit</w:t>
            </w:r>
          </w:p>
        </w:tc>
        <w:tc>
          <w:tcPr>
            <w:tcW w:w="2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37,505</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46,122</w:t>
            </w:r>
          </w:p>
        </w:tc>
      </w:tr>
      <w:tr>
        <w:trPr>
          <w:trHeight w:val="216"/>
        </w:trPr>
        <w:tc>
          <w:tcPr>
            <w:tcW w:w="66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6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Adjustments to reconcile net profit for the period</w:t>
            </w: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640" w:type="dxa"/>
            <w:vAlign w:val="bottom"/>
          </w:tcPr>
          <w:p>
            <w:pPr>
              <w:ind w:left="300"/>
              <w:spacing w:after="0"/>
              <w:rPr>
                <w:sz w:val="20"/>
                <w:szCs w:val="20"/>
                <w:color w:val="auto"/>
              </w:rPr>
            </w:pPr>
            <w:r>
              <w:rPr>
                <w:rFonts w:ascii="Arial" w:cs="Arial" w:eastAsia="Arial" w:hAnsi="Arial"/>
                <w:sz w:val="18"/>
                <w:szCs w:val="18"/>
                <w:b w:val="1"/>
                <w:bCs w:val="1"/>
                <w:color w:val="auto"/>
              </w:rPr>
              <w:t>to net cash provided by operating activities:</w:t>
            </w: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6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Income and expense items not involving cash flows:</w:t>
            </w: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640" w:type="dxa"/>
            <w:vAlign w:val="bottom"/>
          </w:tcPr>
          <w:p>
            <w:pPr>
              <w:ind w:left="580"/>
              <w:spacing w:after="0"/>
              <w:rPr>
                <w:sz w:val="20"/>
                <w:szCs w:val="20"/>
                <w:color w:val="auto"/>
              </w:rPr>
            </w:pPr>
            <w:r>
              <w:rPr>
                <w:rFonts w:ascii="Arial" w:cs="Arial" w:eastAsia="Arial" w:hAnsi="Arial"/>
                <w:sz w:val="18"/>
                <w:szCs w:val="18"/>
                <w:b w:val="1"/>
                <w:bCs w:val="1"/>
                <w:color w:val="auto"/>
              </w:rPr>
              <w:t>Depreciation and amortization</w:t>
            </w: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117,299</w:t>
            </w:r>
          </w:p>
        </w:tc>
        <w:tc>
          <w:tcPr>
            <w:tcW w:w="3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104,867</w:t>
            </w:r>
          </w:p>
        </w:tc>
      </w:tr>
      <w:tr>
        <w:trPr>
          <w:trHeight w:val="216"/>
        </w:trPr>
        <w:tc>
          <w:tcPr>
            <w:tcW w:w="6640" w:type="dxa"/>
            <w:vAlign w:val="bottom"/>
            <w:shd w:val="clear" w:color="auto" w:fill="CCEEFF"/>
          </w:tcPr>
          <w:p>
            <w:pPr>
              <w:ind w:left="580"/>
              <w:spacing w:after="0"/>
              <w:rPr>
                <w:sz w:val="20"/>
                <w:szCs w:val="20"/>
                <w:color w:val="auto"/>
              </w:rPr>
            </w:pPr>
            <w:r>
              <w:rPr>
                <w:rFonts w:ascii="Arial" w:cs="Arial" w:eastAsia="Arial" w:hAnsi="Arial"/>
                <w:sz w:val="18"/>
                <w:szCs w:val="18"/>
                <w:b w:val="1"/>
                <w:bCs w:val="1"/>
                <w:color w:val="auto"/>
              </w:rPr>
              <w:t>Effect of exchange rate differences on debentures</w:t>
            </w: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(910)</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6,205</w:t>
            </w:r>
          </w:p>
        </w:tc>
      </w:tr>
      <w:tr>
        <w:trPr>
          <w:trHeight w:val="216"/>
        </w:trPr>
        <w:tc>
          <w:tcPr>
            <w:tcW w:w="6640" w:type="dxa"/>
            <w:vAlign w:val="bottom"/>
          </w:tcPr>
          <w:p>
            <w:pPr>
              <w:ind w:left="580"/>
              <w:spacing w:after="0"/>
              <w:rPr>
                <w:sz w:val="20"/>
                <w:szCs w:val="20"/>
                <w:color w:val="auto"/>
              </w:rPr>
            </w:pPr>
            <w:r>
              <w:rPr>
                <w:rFonts w:ascii="Arial" w:cs="Arial" w:eastAsia="Arial" w:hAnsi="Arial"/>
                <w:sz w:val="18"/>
                <w:szCs w:val="18"/>
                <w:b w:val="1"/>
                <w:bCs w:val="1"/>
                <w:color w:val="auto"/>
              </w:rPr>
              <w:t>Other income, net</w:t>
            </w: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(890)</w:t>
            </w:r>
          </w:p>
        </w:tc>
        <w:tc>
          <w:tcPr>
            <w:tcW w:w="3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(445)</w:t>
            </w:r>
          </w:p>
        </w:tc>
      </w:tr>
      <w:tr>
        <w:trPr>
          <w:trHeight w:val="216"/>
        </w:trPr>
        <w:tc>
          <w:tcPr>
            <w:tcW w:w="66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Changes in assets and liabilities:</w:t>
            </w: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640" w:type="dxa"/>
            <w:vAlign w:val="bottom"/>
          </w:tcPr>
          <w:p>
            <w:pPr>
              <w:ind w:left="580"/>
              <w:spacing w:after="0"/>
              <w:rPr>
                <w:sz w:val="20"/>
                <w:szCs w:val="20"/>
                <w:color w:val="auto"/>
              </w:rPr>
            </w:pPr>
            <w:r>
              <w:rPr>
                <w:rFonts w:ascii="Arial" w:cs="Arial" w:eastAsia="Arial" w:hAnsi="Arial"/>
                <w:sz w:val="18"/>
                <w:szCs w:val="18"/>
                <w:b w:val="1"/>
                <w:bCs w:val="1"/>
                <w:color w:val="auto"/>
              </w:rPr>
              <w:t>Trade accounts receivable</w:t>
            </w: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(1,296)</w:t>
            </w:r>
          </w:p>
        </w:tc>
        <w:tc>
          <w:tcPr>
            <w:tcW w:w="3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31,271</w:t>
            </w:r>
          </w:p>
        </w:tc>
      </w:tr>
      <w:tr>
        <w:trPr>
          <w:trHeight w:val="216"/>
        </w:trPr>
        <w:tc>
          <w:tcPr>
            <w:tcW w:w="6640" w:type="dxa"/>
            <w:vAlign w:val="bottom"/>
            <w:shd w:val="clear" w:color="auto" w:fill="CCEEFF"/>
          </w:tcPr>
          <w:p>
            <w:pPr>
              <w:ind w:left="580"/>
              <w:spacing w:after="0"/>
              <w:rPr>
                <w:sz w:val="20"/>
                <w:szCs w:val="20"/>
                <w:color w:val="auto"/>
              </w:rPr>
            </w:pPr>
            <w:r>
              <w:rPr>
                <w:rFonts w:ascii="Arial" w:cs="Arial" w:eastAsia="Arial" w:hAnsi="Arial"/>
                <w:sz w:val="18"/>
                <w:szCs w:val="18"/>
                <w:b w:val="1"/>
                <w:bCs w:val="1"/>
                <w:color w:val="auto"/>
              </w:rPr>
              <w:t>Other current assets</w:t>
            </w: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5,122</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(5,755)</w:t>
            </w:r>
          </w:p>
        </w:tc>
      </w:tr>
      <w:tr>
        <w:trPr>
          <w:trHeight w:val="216"/>
        </w:trPr>
        <w:tc>
          <w:tcPr>
            <w:tcW w:w="6640" w:type="dxa"/>
            <w:vAlign w:val="bottom"/>
          </w:tcPr>
          <w:p>
            <w:pPr>
              <w:ind w:left="580"/>
              <w:spacing w:after="0"/>
              <w:rPr>
                <w:sz w:val="20"/>
                <w:szCs w:val="20"/>
                <w:color w:val="auto"/>
              </w:rPr>
            </w:pPr>
            <w:r>
              <w:rPr>
                <w:rFonts w:ascii="Arial" w:cs="Arial" w:eastAsia="Arial" w:hAnsi="Arial"/>
                <w:sz w:val="18"/>
                <w:szCs w:val="18"/>
                <w:b w:val="1"/>
                <w:bCs w:val="1"/>
                <w:color w:val="auto"/>
              </w:rPr>
              <w:t>Inventories</w:t>
            </w: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(17,380)</w:t>
            </w:r>
          </w:p>
        </w:tc>
        <w:tc>
          <w:tcPr>
            <w:tcW w:w="3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(3,017)</w:t>
            </w:r>
          </w:p>
        </w:tc>
      </w:tr>
      <w:tr>
        <w:trPr>
          <w:trHeight w:val="216"/>
        </w:trPr>
        <w:tc>
          <w:tcPr>
            <w:tcW w:w="6640" w:type="dxa"/>
            <w:vAlign w:val="bottom"/>
            <w:shd w:val="clear" w:color="auto" w:fill="CCEEFF"/>
          </w:tcPr>
          <w:p>
            <w:pPr>
              <w:ind w:left="580"/>
              <w:spacing w:after="0"/>
              <w:rPr>
                <w:sz w:val="20"/>
                <w:szCs w:val="20"/>
                <w:color w:val="auto"/>
              </w:rPr>
            </w:pPr>
            <w:r>
              <w:rPr>
                <w:rFonts w:ascii="Arial" w:cs="Arial" w:eastAsia="Arial" w:hAnsi="Arial"/>
                <w:sz w:val="18"/>
                <w:szCs w:val="18"/>
                <w:b w:val="1"/>
                <w:bCs w:val="1"/>
                <w:color w:val="auto"/>
              </w:rPr>
              <w:t>Trade accounts payable</w:t>
            </w: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(12,950</w:t>
            </w: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(15,204)</w:t>
            </w:r>
          </w:p>
        </w:tc>
      </w:tr>
      <w:tr>
        <w:trPr>
          <w:trHeight w:val="216"/>
        </w:trPr>
        <w:tc>
          <w:tcPr>
            <w:tcW w:w="6640" w:type="dxa"/>
            <w:vAlign w:val="bottom"/>
          </w:tcPr>
          <w:p>
            <w:pPr>
              <w:ind w:left="580"/>
              <w:spacing w:after="0"/>
              <w:rPr>
                <w:sz w:val="20"/>
                <w:szCs w:val="20"/>
                <w:color w:val="auto"/>
              </w:rPr>
            </w:pPr>
            <w:r>
              <w:rPr>
                <w:rFonts w:ascii="Arial" w:cs="Arial" w:eastAsia="Arial" w:hAnsi="Arial"/>
                <w:sz w:val="18"/>
                <w:szCs w:val="18"/>
                <w:b w:val="1"/>
                <w:bCs w:val="1"/>
                <w:color w:val="auto"/>
              </w:rPr>
              <w:t>Deferred revenue and customers' advances</w:t>
            </w: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(2,498)</w:t>
            </w:r>
          </w:p>
        </w:tc>
        <w:tc>
          <w:tcPr>
            <w:tcW w:w="3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(13,649)</w:t>
            </w:r>
          </w:p>
        </w:tc>
      </w:tr>
      <w:tr>
        <w:trPr>
          <w:trHeight w:val="216"/>
        </w:trPr>
        <w:tc>
          <w:tcPr>
            <w:tcW w:w="6640" w:type="dxa"/>
            <w:vAlign w:val="bottom"/>
            <w:shd w:val="clear" w:color="auto" w:fill="CCEEFF"/>
          </w:tcPr>
          <w:p>
            <w:pPr>
              <w:ind w:left="580"/>
              <w:spacing w:after="0"/>
              <w:rPr>
                <w:sz w:val="20"/>
                <w:szCs w:val="20"/>
                <w:color w:val="auto"/>
              </w:rPr>
            </w:pPr>
            <w:r>
              <w:rPr>
                <w:rFonts w:ascii="Arial" w:cs="Arial" w:eastAsia="Arial" w:hAnsi="Arial"/>
                <w:sz w:val="18"/>
                <w:szCs w:val="18"/>
                <w:b w:val="1"/>
                <w:bCs w:val="1"/>
                <w:color w:val="auto"/>
              </w:rPr>
              <w:t>Employee related liabilities and other current liabilities</w:t>
            </w: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10,729</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(1,846)</w:t>
            </w:r>
          </w:p>
        </w:tc>
      </w:tr>
      <w:tr>
        <w:trPr>
          <w:trHeight w:val="216"/>
        </w:trPr>
        <w:tc>
          <w:tcPr>
            <w:tcW w:w="6640" w:type="dxa"/>
            <w:vAlign w:val="bottom"/>
          </w:tcPr>
          <w:p>
            <w:pPr>
              <w:ind w:left="580"/>
              <w:spacing w:after="0"/>
              <w:rPr>
                <w:sz w:val="20"/>
                <w:szCs w:val="20"/>
                <w:color w:val="auto"/>
              </w:rPr>
            </w:pPr>
            <w:r>
              <w:rPr>
                <w:rFonts w:ascii="Arial" w:cs="Arial" w:eastAsia="Arial" w:hAnsi="Arial"/>
                <w:sz w:val="18"/>
                <w:szCs w:val="18"/>
                <w:b w:val="1"/>
                <w:bCs w:val="1"/>
                <w:color w:val="auto"/>
              </w:rPr>
              <w:t>Long-term employee related liabilities</w:t>
            </w: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2,078</w:t>
            </w:r>
          </w:p>
        </w:tc>
        <w:tc>
          <w:tcPr>
            <w:tcW w:w="3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39</w:t>
            </w:r>
          </w:p>
        </w:tc>
      </w:tr>
      <w:tr>
        <w:trPr>
          <w:trHeight w:val="236"/>
        </w:trPr>
        <w:tc>
          <w:tcPr>
            <w:tcW w:w="6640" w:type="dxa"/>
            <w:vAlign w:val="bottom"/>
            <w:shd w:val="clear" w:color="auto" w:fill="CCEEFF"/>
          </w:tcPr>
          <w:p>
            <w:pPr>
              <w:ind w:left="580"/>
              <w:spacing w:after="0"/>
              <w:rPr>
                <w:sz w:val="20"/>
                <w:szCs w:val="20"/>
                <w:color w:val="auto"/>
              </w:rPr>
            </w:pPr>
            <w:r>
              <w:rPr>
                <w:rFonts w:ascii="Arial" w:cs="Arial" w:eastAsia="Arial" w:hAnsi="Arial"/>
                <w:sz w:val="18"/>
                <w:szCs w:val="18"/>
                <w:b w:val="1"/>
                <w:bCs w:val="1"/>
                <w:color w:val="auto"/>
              </w:rPr>
              <w:t>Deferred tax, net and other long-term liabilities</w:t>
            </w:r>
          </w:p>
        </w:tc>
        <w:tc>
          <w:tcPr>
            <w:tcW w:w="1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(1,870</w:t>
            </w: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(1,564)</w:t>
            </w:r>
          </w:p>
        </w:tc>
      </w:tr>
      <w:tr>
        <w:trPr>
          <w:trHeight w:val="210"/>
        </w:trPr>
        <w:tc>
          <w:tcPr>
            <w:tcW w:w="6640" w:type="dxa"/>
            <w:vAlign w:val="bottom"/>
            <w:tcBorders>
              <w:top w:val="single" w:sz="8" w:color="CCEEFF"/>
              <w:bottom w:val="single" w:sz="8" w:color="CCEEFF"/>
            </w:tcBorders>
          </w:tcPr>
          <w:p>
            <w:pPr>
              <w:ind w:left="160"/>
              <w:spacing w:after="0" w:line="203" w:lineRule="exact"/>
              <w:rPr>
                <w:sz w:val="20"/>
                <w:szCs w:val="20"/>
                <w:color w:val="auto"/>
              </w:rPr>
            </w:pPr>
            <w:r>
              <w:rPr>
                <w:rFonts w:ascii="Arial" w:cs="Arial" w:eastAsia="Arial" w:hAnsi="Arial"/>
                <w:sz w:val="18"/>
                <w:szCs w:val="18"/>
                <w:b w:val="1"/>
                <w:bCs w:val="1"/>
                <w:color w:val="auto"/>
              </w:rPr>
              <w:t>Net cash provided by operating activities</w:t>
            </w:r>
          </w:p>
        </w:tc>
        <w:tc>
          <w:tcPr>
            <w:tcW w:w="180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134,939</w:t>
            </w:r>
          </w:p>
        </w:tc>
        <w:tc>
          <w:tcPr>
            <w:tcW w:w="200" w:type="dxa"/>
            <w:vAlign w:val="bottom"/>
            <w:tcBorders>
              <w:top w:val="single" w:sz="8" w:color="CCEEFF"/>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147,024</w:t>
            </w:r>
          </w:p>
        </w:tc>
        <w:tc>
          <w:tcPr>
            <w:tcW w:w="120" w:type="dxa"/>
            <w:vAlign w:val="bottom"/>
            <w:tcBorders>
              <w:top w:val="single" w:sz="8" w:color="CCEEFF"/>
              <w:bottom w:val="single" w:sz="8" w:color="CCEEFF"/>
            </w:tcBorders>
          </w:tcPr>
          <w:p>
            <w:pPr>
              <w:spacing w:after="0"/>
              <w:rPr>
                <w:sz w:val="18"/>
                <w:szCs w:val="18"/>
                <w:color w:val="auto"/>
              </w:rPr>
            </w:pPr>
          </w:p>
        </w:tc>
      </w:tr>
      <w:tr>
        <w:trPr>
          <w:trHeight w:val="203"/>
        </w:trPr>
        <w:tc>
          <w:tcPr>
            <w:tcW w:w="66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240"/>
          </w:cols>
          <w:pgMar w:left="320" w:top="283" w:right="339" w:bottom="1440" w:gutter="0" w:footer="0" w:header="0"/>
        </w:sectPr>
      </w:pPr>
    </w:p>
    <w:p>
      <w:pPr>
        <w:spacing w:after="0"/>
        <w:rPr>
          <w:sz w:val="20"/>
          <w:szCs w:val="20"/>
          <w:color w:val="auto"/>
        </w:rPr>
      </w:pPr>
      <w:r>
        <w:rPr>
          <w:rFonts w:ascii="Arial" w:cs="Arial" w:eastAsia="Arial" w:hAnsi="Arial"/>
          <w:sz w:val="18"/>
          <w:szCs w:val="18"/>
          <w:b w:val="1"/>
          <w:bCs w:val="1"/>
          <w:color w:val="auto"/>
        </w:rPr>
        <w:t>CASH FLOWS -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Investments in 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580" w:right="3020" w:hanging="431"/>
        <w:spacing w:after="0" w:line="307" w:lineRule="auto"/>
        <w:rPr>
          <w:sz w:val="20"/>
          <w:szCs w:val="20"/>
          <w:color w:val="auto"/>
        </w:rPr>
      </w:pPr>
      <w:r>
        <w:rPr>
          <w:rFonts w:ascii="Arial" w:cs="Arial" w:eastAsia="Arial" w:hAnsi="Arial"/>
          <w:sz w:val="18"/>
          <w:szCs w:val="18"/>
          <w:b w:val="1"/>
          <w:bCs w:val="1"/>
          <w:color w:val="auto"/>
        </w:rPr>
        <w:t>Investments in deposits, marketable securities and other assets, net 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auto"/>
        </w:rPr>
        <w:t>(125,444</w:t>
      </w:r>
      <w:r>
        <w:rPr>
          <w:rFonts w:ascii="Arial" w:cs="Arial" w:eastAsia="Arial" w:hAnsi="Arial"/>
          <w:sz w:val="16"/>
          <w:szCs w:val="16"/>
          <w:color w:val="auto"/>
        </w:rPr>
        <w:t>)</w:t>
      </w:r>
    </w:p>
    <w:p>
      <w:pPr>
        <w:spacing w:after="0" w:line="50"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(78,786</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(204,230)</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(85,445</w:t>
      </w:r>
      <w:r>
        <w:rPr>
          <w:rFonts w:ascii="Arial" w:cs="Arial" w:eastAsia="Arial" w:hAnsi="Arial"/>
          <w:sz w:val="18"/>
          <w:szCs w:val="18"/>
          <w:color w:val="auto"/>
        </w:rPr>
        <w:t>)</w:t>
      </w:r>
    </w:p>
    <w:p>
      <w:pPr>
        <w:spacing w:after="0" w:line="27"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(33,825</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(119,270)</w:t>
      </w:r>
    </w:p>
    <w:p>
      <w:pPr>
        <w:spacing w:after="0" w:line="257" w:lineRule="exact"/>
        <w:rPr>
          <w:sz w:val="20"/>
          <w:szCs w:val="20"/>
          <w:color w:val="auto"/>
        </w:rPr>
      </w:pPr>
    </w:p>
    <w:p>
      <w:pPr>
        <w:sectPr>
          <w:pgSz w:w="11900" w:h="16838" w:orient="portrait"/>
          <w:cols w:equalWidth="0" w:num="3">
            <w:col w:w="8300" w:space="720"/>
            <w:col w:w="740" w:space="720"/>
            <w:col w:w="760"/>
          </w:cols>
          <w:pgMar w:left="320" w:top="283"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CASH FLOWS -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Exercise of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60" w:right="3200"/>
        <w:spacing w:after="0" w:line="263" w:lineRule="auto"/>
        <w:rPr>
          <w:sz w:val="20"/>
          <w:szCs w:val="20"/>
          <w:color w:val="auto"/>
        </w:rPr>
      </w:pPr>
      <w:r>
        <w:rPr>
          <w:rFonts w:ascii="Arial" w:cs="Arial" w:eastAsia="Arial" w:hAnsi="Arial"/>
          <w:sz w:val="18"/>
          <w:szCs w:val="18"/>
          <w:b w:val="1"/>
          <w:bCs w:val="1"/>
          <w:color w:val="auto"/>
        </w:rPr>
        <w:t>Principal payments on account of capital lease obligation Debentures repayment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580"/>
        <w:spacing w:after="0"/>
        <w:rPr>
          <w:sz w:val="20"/>
          <w:szCs w:val="20"/>
          <w:color w:val="auto"/>
        </w:rPr>
      </w:pPr>
      <w:r>
        <w:rPr>
          <w:rFonts w:ascii="Arial" w:cs="Arial" w:eastAsia="Arial" w:hAnsi="Arial"/>
          <w:sz w:val="18"/>
          <w:szCs w:val="18"/>
          <w:b w:val="1"/>
          <w:bCs w:val="1"/>
          <w:color w:val="auto"/>
        </w:rPr>
        <w:t>Net cash used in financing activities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FOREIGN CURRENCY EXCHANGE RATE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5" w:lineRule="exact"/>
        <w:rPr>
          <w:sz w:val="20"/>
          <w:szCs w:val="20"/>
          <w:color w:val="auto"/>
        </w:rPr>
      </w:pPr>
    </w:p>
    <w:p>
      <w:pPr>
        <w:ind w:right="2540"/>
        <w:spacing w:after="0" w:line="329" w:lineRule="auto"/>
        <w:rPr>
          <w:sz w:val="20"/>
          <w:szCs w:val="20"/>
          <w:color w:val="auto"/>
        </w:rPr>
      </w:pPr>
      <w:r>
        <w:rPr>
          <w:rFonts w:ascii="Arial" w:cs="Arial" w:eastAsia="Arial" w:hAnsi="Arial"/>
          <w:sz w:val="17"/>
          <w:szCs w:val="17"/>
          <w:b w:val="1"/>
          <w:bCs w:val="1"/>
          <w:color w:val="auto"/>
        </w:rPr>
        <w:t>INCREASE (DECREASE) IN CASH AND CASH EQUIVALENTS CASH AND CASH EQUIVALENTS -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 END OF PERIOD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29" w:lineRule="exact"/>
        <w:rPr>
          <w:sz w:val="20"/>
          <w:szCs w:val="20"/>
          <w:color w:val="auto"/>
        </w:rPr>
      </w:pPr>
    </w:p>
    <w:p>
      <w:pPr>
        <w:jc w:val="right"/>
        <w:ind w:right="1940"/>
        <w:spacing w:after="0"/>
        <w:rPr>
          <w:sz w:val="20"/>
          <w:szCs w:val="20"/>
          <w:color w:val="auto"/>
        </w:rPr>
      </w:pPr>
      <w:r>
        <w:rPr>
          <w:rFonts w:ascii="Arial" w:cs="Arial" w:eastAsia="Arial" w:hAnsi="Arial"/>
          <w:sz w:val="18"/>
          <w:szCs w:val="18"/>
          <w:color w:val="auto"/>
        </w:rPr>
        <w:t>F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820"/>
        <w:spacing w:after="0"/>
        <w:tabs>
          <w:tab w:leader="none" w:pos="2380" w:val="left"/>
        </w:tabs>
        <w:rPr>
          <w:sz w:val="20"/>
          <w:szCs w:val="20"/>
          <w:color w:val="auto"/>
        </w:rPr>
      </w:pPr>
      <w:r>
        <w:rPr>
          <w:rFonts w:ascii="Arial" w:cs="Arial" w:eastAsia="Arial" w:hAnsi="Arial"/>
          <w:sz w:val="18"/>
          <w:szCs w:val="18"/>
          <w:b w:val="1"/>
          <w:bCs w:val="1"/>
          <w:color w:val="auto"/>
        </w:rPr>
        <w:t>1,214</w:t>
      </w:r>
      <w:r>
        <w:rPr>
          <w:sz w:val="20"/>
          <w:szCs w:val="20"/>
          <w:color w:val="auto"/>
        </w:rPr>
        <w:tab/>
      </w:r>
      <w:r>
        <w:rPr>
          <w:rFonts w:ascii="Arial" w:cs="Arial" w:eastAsia="Arial" w:hAnsi="Arial"/>
          <w:sz w:val="18"/>
          <w:szCs w:val="18"/>
          <w:b w:val="1"/>
          <w:bCs w:val="1"/>
          <w:color w:val="auto"/>
        </w:rPr>
        <w:t>397</w:t>
      </w:r>
    </w:p>
    <w:p>
      <w:pPr>
        <w:spacing w:after="0" w:line="27" w:lineRule="exact"/>
        <w:rPr>
          <w:sz w:val="20"/>
          <w:szCs w:val="20"/>
          <w:color w:val="auto"/>
        </w:rPr>
      </w:pPr>
    </w:p>
    <w:p>
      <w:pPr>
        <w:jc w:val="both"/>
        <w:ind w:left="680"/>
        <w:spacing w:after="0"/>
        <w:tabs>
          <w:tab w:leader="none" w:pos="2100" w:val="left"/>
        </w:tabs>
        <w:rPr>
          <w:sz w:val="20"/>
          <w:szCs w:val="20"/>
          <w:color w:val="auto"/>
        </w:rPr>
      </w:pPr>
      <w:r>
        <w:rPr>
          <w:rFonts w:ascii="Arial" w:cs="Arial" w:eastAsia="Arial" w:hAnsi="Arial"/>
          <w:sz w:val="18"/>
          <w:szCs w:val="18"/>
          <w:b w:val="1"/>
          <w:bCs w:val="1"/>
          <w:color w:val="auto"/>
        </w:rPr>
        <w:t>(10,443)</w:t>
      </w:r>
      <w:r>
        <w:rPr>
          <w:sz w:val="20"/>
          <w:szCs w:val="20"/>
          <w:color w:val="auto"/>
        </w:rPr>
        <w:tab/>
      </w:r>
      <w:r>
        <w:rPr>
          <w:rFonts w:ascii="Arial" w:cs="Arial" w:eastAsia="Arial" w:hAnsi="Arial"/>
          <w:sz w:val="18"/>
          <w:szCs w:val="18"/>
          <w:b w:val="1"/>
          <w:bCs w:val="1"/>
          <w:color w:val="auto"/>
        </w:rPr>
        <w:t>(10,549)</w:t>
      </w:r>
    </w:p>
    <w:p>
      <w:pPr>
        <w:spacing w:after="0" w:line="9" w:lineRule="exact"/>
        <w:rPr>
          <w:sz w:val="20"/>
          <w:szCs w:val="20"/>
          <w:color w:val="auto"/>
        </w:rPr>
      </w:pPr>
    </w:p>
    <w:p>
      <w:pPr>
        <w:ind w:left="680"/>
        <w:spacing w:after="0"/>
        <w:tabs>
          <w:tab w:leader="none" w:pos="2540" w:val="left"/>
        </w:tabs>
        <w:rPr>
          <w:sz w:val="20"/>
          <w:szCs w:val="20"/>
          <w:color w:val="auto"/>
        </w:rPr>
      </w:pPr>
      <w:r>
        <w:rPr>
          <w:rFonts w:ascii="Arial" w:cs="Arial" w:eastAsia="Arial" w:hAnsi="Arial"/>
          <w:sz w:val="18"/>
          <w:szCs w:val="18"/>
          <w:b w:val="1"/>
          <w:bCs w:val="1"/>
          <w:color w:val="auto"/>
        </w:rPr>
        <w:t>(18,754)</w:t>
      </w:r>
      <w:r>
        <w:rPr>
          <w:sz w:val="20"/>
          <w:szCs w:val="20"/>
          <w:color w:val="auto"/>
        </w:rPr>
        <w:tab/>
      </w:r>
      <w:r>
        <w:rPr>
          <w:rFonts w:ascii="Arial" w:cs="Arial" w:eastAsia="Arial" w:hAnsi="Arial"/>
          <w:sz w:val="17"/>
          <w:szCs w:val="17"/>
          <w:b w:val="1"/>
          <w:bCs w:val="1"/>
          <w:color w:val="auto"/>
        </w:rPr>
        <w:t>--</w:t>
      </w:r>
    </w:p>
    <w:p>
      <w:pPr>
        <w:spacing w:after="0" w:line="23" w:lineRule="exact"/>
        <w:rPr>
          <w:sz w:val="20"/>
          <w:szCs w:val="20"/>
          <w:color w:val="auto"/>
        </w:rPr>
      </w:pPr>
    </w:p>
    <w:p>
      <w:pPr>
        <w:jc w:val="right"/>
        <w:ind w:right="60"/>
        <w:spacing w:after="0"/>
        <w:tabs>
          <w:tab w:leader="none" w:pos="600" w:val="left"/>
        </w:tabs>
        <w:rPr>
          <w:sz w:val="20"/>
          <w:szCs w:val="20"/>
          <w:color w:val="auto"/>
        </w:rPr>
      </w:pPr>
      <w:r>
        <w:rPr>
          <w:rFonts w:ascii="Arial" w:cs="Arial" w:eastAsia="Arial" w:hAnsi="Arial"/>
          <w:sz w:val="18"/>
          <w:szCs w:val="18"/>
          <w:b w:val="1"/>
          <w:bCs w:val="1"/>
          <w:color w:val="auto"/>
        </w:rPr>
        <w:t>(27,983)</w:t>
      </w:r>
      <w:r>
        <w:rPr>
          <w:sz w:val="20"/>
          <w:szCs w:val="20"/>
          <w:color w:val="auto"/>
        </w:rPr>
        <w:tab/>
      </w:r>
      <w:r>
        <w:rPr>
          <w:rFonts w:ascii="Arial" w:cs="Arial" w:eastAsia="Arial" w:hAnsi="Arial"/>
          <w:sz w:val="16"/>
          <w:szCs w:val="16"/>
          <w:b w:val="1"/>
          <w:bCs w:val="1"/>
          <w:color w:val="auto"/>
        </w:rPr>
        <w:t>(10,152)</w:t>
      </w:r>
    </w:p>
    <w:p>
      <w:pPr>
        <w:spacing w:after="0" w:line="234" w:lineRule="exact"/>
        <w:rPr>
          <w:sz w:val="20"/>
          <w:szCs w:val="20"/>
          <w:color w:val="auto"/>
        </w:rPr>
      </w:pPr>
    </w:p>
    <w:p>
      <w:pPr>
        <w:ind w:left="960"/>
        <w:spacing w:after="0"/>
        <w:tabs>
          <w:tab w:leader="none" w:pos="2260" w:val="left"/>
        </w:tabs>
        <w:rPr>
          <w:sz w:val="20"/>
          <w:szCs w:val="20"/>
          <w:color w:val="auto"/>
        </w:rPr>
      </w:pPr>
      <w:r>
        <w:rPr>
          <w:rFonts w:ascii="Arial" w:cs="Arial" w:eastAsia="Arial" w:hAnsi="Arial"/>
          <w:sz w:val="18"/>
          <w:szCs w:val="18"/>
          <w:b w:val="1"/>
          <w:bCs w:val="1"/>
          <w:color w:val="auto"/>
        </w:rPr>
        <w:t>506</w:t>
      </w:r>
      <w:r>
        <w:rPr>
          <w:sz w:val="20"/>
          <w:szCs w:val="20"/>
          <w:color w:val="auto"/>
        </w:rPr>
        <w:tab/>
      </w:r>
      <w:r>
        <w:rPr>
          <w:rFonts w:ascii="Arial" w:cs="Arial" w:eastAsia="Arial" w:hAnsi="Arial"/>
          <w:sz w:val="18"/>
          <w:szCs w:val="18"/>
          <w:b w:val="1"/>
          <w:bCs w:val="1"/>
          <w:color w:val="auto"/>
        </w:rPr>
        <w:t>2,465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16973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219" w:lineRule="exact"/>
        <w:rPr>
          <w:sz w:val="20"/>
          <w:szCs w:val="20"/>
          <w:color w:val="auto"/>
        </w:rPr>
      </w:pPr>
    </w:p>
    <w:p>
      <w:pPr>
        <w:ind w:left="680"/>
        <w:spacing w:after="0"/>
        <w:tabs>
          <w:tab w:leader="none" w:pos="2160" w:val="left"/>
        </w:tabs>
        <w:rPr>
          <w:sz w:val="20"/>
          <w:szCs w:val="20"/>
          <w:color w:val="auto"/>
        </w:rPr>
      </w:pPr>
      <w:r>
        <w:rPr>
          <w:rFonts w:ascii="Arial" w:cs="Arial" w:eastAsia="Arial" w:hAnsi="Arial"/>
          <w:sz w:val="18"/>
          <w:szCs w:val="18"/>
          <w:b w:val="1"/>
          <w:bCs w:val="1"/>
          <w:color w:val="auto"/>
        </w:rPr>
        <w:t>(96,768)</w:t>
      </w:r>
      <w:r>
        <w:rPr>
          <w:sz w:val="20"/>
          <w:szCs w:val="20"/>
          <w:color w:val="auto"/>
        </w:rPr>
        <w:tab/>
      </w:r>
      <w:r>
        <w:rPr>
          <w:rFonts w:ascii="Arial" w:cs="Arial" w:eastAsia="Arial" w:hAnsi="Arial"/>
          <w:sz w:val="18"/>
          <w:szCs w:val="18"/>
          <w:b w:val="1"/>
          <w:bCs w:val="1"/>
          <w:color w:val="auto"/>
        </w:rPr>
        <w:t>20,067</w:t>
      </w:r>
    </w:p>
    <w:p>
      <w:pPr>
        <w:spacing w:after="0" w:line="27" w:lineRule="exact"/>
        <w:rPr>
          <w:sz w:val="20"/>
          <w:szCs w:val="20"/>
          <w:color w:val="auto"/>
        </w:rPr>
      </w:pPr>
    </w:p>
    <w:p>
      <w:pPr>
        <w:ind w:left="640"/>
        <w:spacing w:after="0"/>
        <w:tabs>
          <w:tab w:leader="none" w:pos="2080" w:val="left"/>
        </w:tabs>
        <w:rPr>
          <w:sz w:val="20"/>
          <w:szCs w:val="20"/>
          <w:color w:val="auto"/>
        </w:rPr>
      </w:pPr>
      <w:r>
        <w:rPr>
          <w:rFonts w:ascii="Arial" w:cs="Arial" w:eastAsia="Arial" w:hAnsi="Arial"/>
          <w:sz w:val="17"/>
          <w:szCs w:val="17"/>
          <w:b w:val="1"/>
          <w:bCs w:val="1"/>
          <w:color w:val="auto"/>
        </w:rPr>
        <w:t>355,561</w:t>
      </w:r>
      <w:r>
        <w:rPr>
          <w:sz w:val="20"/>
          <w:szCs w:val="20"/>
          <w:color w:val="auto"/>
        </w:rPr>
        <w:tab/>
      </w:r>
      <w:r>
        <w:rPr>
          <w:rFonts w:ascii="Arial" w:cs="Arial" w:eastAsia="Arial" w:hAnsi="Arial"/>
          <w:sz w:val="17"/>
          <w:szCs w:val="17"/>
          <w:b w:val="1"/>
          <w:bCs w:val="1"/>
          <w:color w:val="auto"/>
        </w:rPr>
        <w:t>385,091</w:t>
      </w:r>
    </w:p>
    <w:p>
      <w:pPr>
        <w:spacing w:after="0" w:line="232" w:lineRule="exact"/>
        <w:rPr>
          <w:sz w:val="20"/>
          <w:szCs w:val="20"/>
          <w:color w:val="auto"/>
        </w:rPr>
      </w:pPr>
    </w:p>
    <w:p>
      <w:pPr>
        <w:spacing w:after="0"/>
        <w:tabs>
          <w:tab w:leader="none" w:pos="620" w:val="left"/>
          <w:tab w:leader="none" w:pos="1440" w:val="left"/>
          <w:tab w:leader="none" w:pos="208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258,793</w:t>
        <w:tab/>
        <w:t>$</w:t>
      </w:r>
      <w:r>
        <w:rPr>
          <w:sz w:val="20"/>
          <w:szCs w:val="20"/>
          <w:color w:val="auto"/>
        </w:rPr>
        <w:tab/>
      </w:r>
      <w:r>
        <w:rPr>
          <w:rFonts w:ascii="Arial" w:cs="Arial" w:eastAsia="Arial" w:hAnsi="Arial"/>
          <w:sz w:val="16"/>
          <w:szCs w:val="16"/>
          <w:b w:val="1"/>
          <w:bCs w:val="1"/>
          <w:color w:val="auto"/>
        </w:rPr>
        <w:t>405,158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169735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97355" cy="25400"/>
                    </a:xfrm>
                    <a:prstGeom prst="rect">
                      <a:avLst/>
                    </a:prstGeom>
                    <a:noFill/>
                  </pic:spPr>
                </pic:pic>
              </a:graphicData>
            </a:graphic>
          </wp:anchor>
        </w:drawing>
      </w:r>
    </w:p>
    <w:p>
      <w:pPr>
        <w:sectPr>
          <w:pgSz w:w="11900" w:h="16838" w:orient="portrait"/>
          <w:cols w:equalWidth="0" w:num="2">
            <w:col w:w="7720" w:space="720"/>
            <w:col w:w="2800"/>
          </w:cols>
          <w:pgMar w:left="320" w:top="283" w:right="339" w:bottom="1440" w:gutter="0" w:footer="0" w:header="0"/>
          <w:type w:val="continuous"/>
        </w:sectPr>
      </w:pPr>
    </w:p>
    <w:bookmarkStart w:id="10" w:name="page11"/>
    <w:bookmarkEnd w:id="10"/>
    <w:p>
      <w:pPr>
        <w:jc w:val="center"/>
        <w:spacing w:after="0" w:line="275" w:lineRule="auto"/>
        <w:rPr>
          <w:sz w:val="20"/>
          <w:szCs w:val="20"/>
          <w:color w:val="auto"/>
        </w:rPr>
      </w:pPr>
      <w:r>
        <w:rPr>
          <w:rFonts w:ascii="Arial" w:cs="Arial" w:eastAsia="Arial" w:hAnsi="Arial"/>
          <w:sz w:val="18"/>
          <w:szCs w:val="18"/>
          <w:b w:val="1"/>
          <w:bCs w:val="1"/>
          <w:color w:val="auto"/>
        </w:rPr>
        <w:t xml:space="preserve">TOWER SEMICONDUCTOR LTD. AND SUBSIDIARIES CONDENSED INTERIM CONSOLIDATED STATEMENTS OF CASH FLOWS (UNAUDITED) </w:t>
      </w:r>
      <w:r>
        <w:rPr>
          <w:rFonts w:ascii="Arial" w:cs="Arial" w:eastAsia="Arial" w:hAnsi="Arial"/>
          <w:sz w:val="18"/>
          <w:szCs w:val="18"/>
          <w:color w:val="auto"/>
        </w:rPr>
        <w:t>(dollars in thousands)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5"/>
          </w:tcPr>
          <w:p>
            <w:pPr>
              <w:ind w:left="4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70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0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ACTIVITIES:</w:t>
            </w: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Investments in property and equipment</w:t>
            </w:r>
          </w:p>
        </w:tc>
        <w:tc>
          <w:tcPr>
            <w:tcW w:w="17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71,967</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35,529</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b w:val="1"/>
                <w:bCs w:val="1"/>
                <w:color w:val="auto"/>
              </w:rPr>
              <w:t>Conversion of notes into share capital</w:t>
            </w:r>
          </w:p>
        </w:tc>
        <w:tc>
          <w:tcPr>
            <w:tcW w:w="144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000" w:type="dxa"/>
            <w:vAlign w:val="bottom"/>
            <w:tcBorders>
              <w:bottom w:val="single" w:sz="8" w:color="CCEEFF"/>
            </w:tcBorders>
            <w:vMerge w:val="continue"/>
          </w:tcPr>
          <w:p>
            <w:pPr>
              <w:spacing w:after="0"/>
              <w:rPr>
                <w:sz w:val="20"/>
                <w:szCs w:val="20"/>
                <w:color w:val="auto"/>
              </w:rPr>
            </w:pPr>
          </w:p>
        </w:tc>
        <w:tc>
          <w:tcPr>
            <w:tcW w:w="14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20,758</w:t>
            </w:r>
          </w:p>
        </w:tc>
        <w:tc>
          <w:tcPr>
            <w:tcW w:w="12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70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000" w:type="dxa"/>
            <w:vAlign w:val="bottom"/>
          </w:tcPr>
          <w:p>
            <w:pPr>
              <w:ind w:left="160"/>
              <w:spacing w:after="0"/>
              <w:rPr>
                <w:sz w:val="20"/>
                <w:szCs w:val="20"/>
                <w:color w:val="auto"/>
              </w:rPr>
            </w:pPr>
            <w:r>
              <w:rPr>
                <w:rFonts w:ascii="Arial" w:cs="Arial" w:eastAsia="Arial" w:hAnsi="Arial"/>
                <w:sz w:val="18"/>
                <w:szCs w:val="18"/>
                <w:b w:val="1"/>
                <w:bCs w:val="1"/>
                <w:color w:val="auto"/>
              </w:rPr>
              <w:t>Cash received during the period from interest, net</w:t>
            </w:r>
          </w:p>
        </w:tc>
        <w:tc>
          <w:tcPr>
            <w:tcW w:w="17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2,028</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1,226</w:t>
            </w:r>
          </w:p>
        </w:tc>
        <w:tc>
          <w:tcPr>
            <w:tcW w:w="0" w:type="dxa"/>
            <w:vAlign w:val="bottom"/>
          </w:tcPr>
          <w:p>
            <w:pPr>
              <w:spacing w:after="0"/>
              <w:rPr>
                <w:sz w:val="1"/>
                <w:szCs w:val="1"/>
                <w:color w:val="auto"/>
              </w:rPr>
            </w:pPr>
          </w:p>
        </w:tc>
      </w:tr>
      <w:tr>
        <w:trPr>
          <w:trHeight w:val="197"/>
        </w:trPr>
        <w:tc>
          <w:tcPr>
            <w:tcW w:w="7000" w:type="dxa"/>
            <w:vAlign w:val="bottom"/>
            <w:tcBorders>
              <w:top w:val="single" w:sz="8" w:color="CCEEFF"/>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b w:val="1"/>
                <w:bCs w:val="1"/>
                <w:color w:val="auto"/>
              </w:rPr>
              <w:t>Cash paid during the period for income taxes, net</w:t>
            </w:r>
          </w:p>
        </w:tc>
        <w:tc>
          <w:tcPr>
            <w:tcW w:w="144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2,149</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10,178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 AS OF 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820" w:val="left"/>
          <w:tab w:leader="none" w:pos="1060" w:val="left"/>
        </w:tabs>
        <w:rPr>
          <w:sz w:val="20"/>
          <w:szCs w:val="20"/>
          <w:color w:val="auto"/>
        </w:rPr>
      </w:pPr>
      <w:r>
        <w:rPr>
          <w:rFonts w:ascii="Arial" w:cs="Arial" w:eastAsia="Arial" w:hAnsi="Arial"/>
          <w:sz w:val="18"/>
          <w:szCs w:val="18"/>
          <w:b w:val="1"/>
          <w:bCs w:val="1"/>
          <w:color w:val="auto"/>
        </w:rPr>
        <w:t>NOTE 1</w:t>
        <w:tab/>
        <w:t>-</w:t>
      </w:r>
      <w:r>
        <w:rPr>
          <w:sz w:val="20"/>
          <w:szCs w:val="20"/>
          <w:color w:val="auto"/>
        </w:rPr>
        <w:tab/>
      </w:r>
      <w:r>
        <w:rPr>
          <w:rFonts w:ascii="Arial" w:cs="Arial" w:eastAsia="Arial" w:hAnsi="Arial"/>
          <w:sz w:val="17"/>
          <w:szCs w:val="17"/>
          <w:b w:val="1"/>
          <w:bCs w:val="1"/>
          <w:color w:val="auto"/>
        </w:rPr>
        <w:t>GENERAL</w:t>
      </w:r>
    </w:p>
    <w:p>
      <w:pPr>
        <w:spacing w:after="0" w:line="198"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Basis for Presentation</w:t>
      </w:r>
    </w:p>
    <w:p>
      <w:pPr>
        <w:spacing w:after="0" w:line="216" w:lineRule="exact"/>
        <w:rPr>
          <w:sz w:val="20"/>
          <w:szCs w:val="20"/>
          <w:color w:val="auto"/>
        </w:rPr>
      </w:pPr>
    </w:p>
    <w:p>
      <w:pPr>
        <w:jc w:val="both"/>
        <w:ind w:left="1080"/>
        <w:spacing w:after="0" w:line="273" w:lineRule="auto"/>
        <w:rPr>
          <w:sz w:val="20"/>
          <w:szCs w:val="20"/>
          <w:color w:val="auto"/>
        </w:rPr>
      </w:pPr>
      <w:r>
        <w:rPr>
          <w:rFonts w:ascii="Arial" w:cs="Arial" w:eastAsia="Arial" w:hAnsi="Arial"/>
          <w:sz w:val="17"/>
          <w:szCs w:val="17"/>
          <w:color w:val="auto"/>
        </w:rPr>
        <w:t>The unaudited condensed interim consolidated financial statements of Tower Semiconductor Ltd. (“Tower”) as of June 30, 2020 include the financial statements of Tower and (i) its wholly-owned subsidiary Tower US Holdings Inc., the sole owner of: (1) Tower Semiconductor US Tech Holdings, Inc. (formerly named “Jazz US Holdings Inc.”) and its wholly-owned subsidiary, Tower Semiconductor Newport Beach, Inc. (formerly named “Jazz Semiconductor, Inc.”) and (2) Tower Semiconductor San Antonio, Inc. (formerly named “TowerJazz Texas Inc.”), and (ii) its 51% owned subsidiary, Tower Partners Semiconductor Co., Ltd. (formerly named “TowerJazz Panasonic Semiconductor Co. Ltd.”) (“TPSCo”). Tower and its subsidiaries are collectively referred to as the “Company”.</w:t>
      </w:r>
    </w:p>
    <w:p>
      <w:pPr>
        <w:spacing w:after="0" w:line="164" w:lineRule="exact"/>
        <w:rPr>
          <w:sz w:val="20"/>
          <w:szCs w:val="20"/>
          <w:color w:val="auto"/>
        </w:rPr>
      </w:pPr>
    </w:p>
    <w:p>
      <w:pPr>
        <w:jc w:val="both"/>
        <w:ind w:left="1080"/>
        <w:spacing w:after="0" w:line="308" w:lineRule="auto"/>
        <w:rPr>
          <w:sz w:val="20"/>
          <w:szCs w:val="20"/>
          <w:color w:val="auto"/>
        </w:rPr>
      </w:pPr>
      <w:r>
        <w:rPr>
          <w:rFonts w:ascii="Arial" w:cs="Arial" w:eastAsia="Arial" w:hAnsi="Arial"/>
          <w:sz w:val="17"/>
          <w:szCs w:val="17"/>
          <w:color w:val="auto"/>
        </w:rPr>
        <w:t>The Company’s unaudited condensed interim consolidated financial statements are presented after elimination of inter-company transactions and balances and are presented in accordance with U.S. generally accepted accounting principles (“US GAAP”).</w:t>
      </w:r>
    </w:p>
    <w:p>
      <w:pPr>
        <w:spacing w:after="0" w:line="119" w:lineRule="exact"/>
        <w:rPr>
          <w:sz w:val="20"/>
          <w:szCs w:val="20"/>
          <w:color w:val="auto"/>
        </w:rPr>
      </w:pPr>
    </w:p>
    <w:p>
      <w:pPr>
        <w:jc w:val="both"/>
        <w:ind w:left="1080"/>
        <w:spacing w:after="0" w:line="308" w:lineRule="auto"/>
        <w:rPr>
          <w:sz w:val="20"/>
          <w:szCs w:val="20"/>
          <w:color w:val="auto"/>
        </w:rPr>
      </w:pPr>
      <w:r>
        <w:rPr>
          <w:rFonts w:ascii="Arial" w:cs="Arial" w:eastAsia="Arial" w:hAnsi="Arial"/>
          <w:sz w:val="17"/>
          <w:szCs w:val="17"/>
          <w:color w:val="auto"/>
        </w:rPr>
        <w:t>The unaudited condensed interim consolidated financial statements of the Company should be read in conjunction with the audited consolidated financial statements of the Company as of December 31, 2019 and for the year then ended, including the notes thereto.</w:t>
      </w:r>
    </w:p>
    <w:p>
      <w:pPr>
        <w:spacing w:after="0" w:line="133" w:lineRule="exact"/>
        <w:rPr>
          <w:sz w:val="20"/>
          <w:szCs w:val="20"/>
          <w:color w:val="auto"/>
        </w:rPr>
      </w:pPr>
    </w:p>
    <w:p>
      <w:pPr>
        <w:jc w:val="both"/>
        <w:ind w:left="1080"/>
        <w:spacing w:after="0" w:line="259" w:lineRule="auto"/>
        <w:rPr>
          <w:sz w:val="20"/>
          <w:szCs w:val="20"/>
          <w:color w:val="auto"/>
        </w:rPr>
      </w:pPr>
      <w:r>
        <w:rPr>
          <w:rFonts w:ascii="Arial" w:cs="Arial" w:eastAsia="Arial" w:hAnsi="Arial"/>
          <w:sz w:val="18"/>
          <w:szCs w:val="18"/>
          <w:color w:val="auto"/>
        </w:rPr>
        <w:t>In the opinion of the Company's management, the unaudited condensed interim consolidated financial statements include all adjustments necessary for a fair presentation of the Company’s financial position as of the dates presented and results of operations for the interim periods presented. The results of operations for the interim periods are not necessarily indicative of the results to be expected on a full-year basis.</w:t>
      </w:r>
    </w:p>
    <w:p>
      <w:pPr>
        <w:spacing w:after="0" w:line="169" w:lineRule="exact"/>
        <w:rPr>
          <w:sz w:val="20"/>
          <w:szCs w:val="20"/>
          <w:color w:val="auto"/>
        </w:rPr>
      </w:pPr>
    </w:p>
    <w:p>
      <w:pPr>
        <w:spacing w:after="0"/>
        <w:tabs>
          <w:tab w:leader="none" w:pos="820" w:val="left"/>
          <w:tab w:leader="none" w:pos="1060" w:val="left"/>
        </w:tabs>
        <w:rPr>
          <w:sz w:val="20"/>
          <w:szCs w:val="20"/>
          <w:color w:val="auto"/>
        </w:rPr>
      </w:pPr>
      <w:r>
        <w:rPr>
          <w:rFonts w:ascii="Arial" w:cs="Arial" w:eastAsia="Arial" w:hAnsi="Arial"/>
          <w:sz w:val="18"/>
          <w:szCs w:val="18"/>
          <w:b w:val="1"/>
          <w:bCs w:val="1"/>
          <w:color w:val="auto"/>
        </w:rPr>
        <w:t>NOTE 2</w:t>
        <w:tab/>
        <w:t>-</w:t>
        <w:tab/>
        <w:t>INITIAL ADOPTION OF NEW STANDARDS</w:t>
      </w:r>
    </w:p>
    <w:p>
      <w:pPr>
        <w:spacing w:after="0" w:line="202" w:lineRule="exact"/>
        <w:rPr>
          <w:sz w:val="20"/>
          <w:szCs w:val="20"/>
          <w:color w:val="auto"/>
        </w:rPr>
      </w:pPr>
    </w:p>
    <w:p>
      <w:pPr>
        <w:jc w:val="both"/>
        <w:ind w:left="1080"/>
        <w:spacing w:after="0" w:line="275"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 Simplifying the Accounting for Income Taxes”</w:t>
      </w:r>
      <w:r>
        <w:rPr>
          <w:rFonts w:ascii="Arial" w:cs="Arial" w:eastAsia="Arial" w:hAnsi="Arial"/>
          <w:sz w:val="17"/>
          <w:szCs w:val="17"/>
          <w:color w:val="auto"/>
        </w:rPr>
        <w:t xml:space="preserve"> (“Topic 740”). The ASU simplifies the accounting for income taxes by removing certain exceptions to the general principles in Topic 740. The ASU also clarifies and amends existing guidance to improve consistent application among reporting entities. The guidance will be effective for fiscal years and interim periods within those fiscal years, beginning after December 15, 2020, with early adoption permitted. The Company is currently evaluating the impact of adopting this standard on its consolidated financial statements.</w:t>
      </w:r>
    </w:p>
    <w:p>
      <w:pPr>
        <w:spacing w:after="0" w:line="159" w:lineRule="exact"/>
        <w:rPr>
          <w:sz w:val="20"/>
          <w:szCs w:val="20"/>
          <w:color w:val="auto"/>
        </w:rPr>
      </w:pPr>
    </w:p>
    <w:p>
      <w:pPr>
        <w:spacing w:after="0"/>
        <w:tabs>
          <w:tab w:leader="none" w:pos="820" w:val="left"/>
          <w:tab w:leader="none" w:pos="1060" w:val="left"/>
        </w:tabs>
        <w:rPr>
          <w:sz w:val="20"/>
          <w:szCs w:val="20"/>
          <w:color w:val="auto"/>
        </w:rPr>
      </w:pPr>
      <w:r>
        <w:rPr>
          <w:rFonts w:ascii="Arial" w:cs="Arial" w:eastAsia="Arial" w:hAnsi="Arial"/>
          <w:sz w:val="18"/>
          <w:szCs w:val="18"/>
          <w:b w:val="1"/>
          <w:bCs w:val="1"/>
          <w:color w:val="auto"/>
        </w:rPr>
        <w:t>NOTE 3</w:t>
        <w:tab/>
        <w:t>-</w:t>
        <w:tab/>
        <w:t>RECENT DEVELOPMENTS</w:t>
      </w:r>
    </w:p>
    <w:p>
      <w:pPr>
        <w:spacing w:after="0" w:line="216" w:lineRule="exact"/>
        <w:rPr>
          <w:sz w:val="20"/>
          <w:szCs w:val="20"/>
          <w:color w:val="auto"/>
        </w:rPr>
      </w:pPr>
    </w:p>
    <w:p>
      <w:pPr>
        <w:jc w:val="both"/>
        <w:ind w:left="1080" w:right="20"/>
        <w:spacing w:after="0" w:line="286" w:lineRule="auto"/>
        <w:rPr>
          <w:sz w:val="20"/>
          <w:szCs w:val="20"/>
          <w:color w:val="auto"/>
        </w:rPr>
      </w:pPr>
      <w:r>
        <w:rPr>
          <w:rFonts w:ascii="Arial" w:cs="Arial" w:eastAsia="Arial" w:hAnsi="Arial"/>
          <w:sz w:val="17"/>
          <w:szCs w:val="17"/>
          <w:color w:val="auto"/>
        </w:rPr>
        <w:t>In November 2019, Panasonic Corporation announced it will sell its fully-owned subsidiary, Panasonic Semiconductor Solution Co., Ltd (“PSCS”), which holds 49% in TPSCo, to Nuvoton Technology Corporation, a Taiwan-based semiconductor company, which is an affiliate of Winbond Electronics Corporation. The transaction is subject to regulatory and / or other approvals and has not yet closed.</w:t>
      </w:r>
    </w:p>
    <w:p>
      <w:pPr>
        <w:spacing w:after="0" w:line="138" w:lineRule="exact"/>
        <w:rPr>
          <w:sz w:val="20"/>
          <w:szCs w:val="20"/>
          <w:color w:val="auto"/>
        </w:rPr>
      </w:pPr>
    </w:p>
    <w:p>
      <w:pPr>
        <w:ind w:left="1080" w:right="20"/>
        <w:spacing w:after="0" w:line="263" w:lineRule="auto"/>
        <w:rPr>
          <w:sz w:val="20"/>
          <w:szCs w:val="20"/>
          <w:color w:val="auto"/>
        </w:rPr>
      </w:pPr>
      <w:r>
        <w:rPr>
          <w:rFonts w:ascii="Arial" w:cs="Arial" w:eastAsia="Arial" w:hAnsi="Arial"/>
          <w:sz w:val="18"/>
          <w:szCs w:val="18"/>
          <w:color w:val="auto"/>
        </w:rPr>
        <w:t>In May 2020, the Company received approval of its shelf prospectus filed in Israel, to serve as a platform for future possible issuance of securities. No decision has been made to date with respect to any specific type of securities to be issued or its timing, if any.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212090</wp:posOffset>
            </wp:positionV>
            <wp:extent cx="71494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2" w:name="page13"/>
    <w:bookmarkEnd w:id="12"/>
    <w:p>
      <w:pPr>
        <w:ind w:left="10120"/>
        <w:spacing w:after="0"/>
        <w:rPr>
          <w:sz w:val="20"/>
          <w:szCs w:val="20"/>
          <w:color w:val="auto"/>
        </w:rPr>
      </w:pPr>
      <w:r>
        <w:rPr>
          <w:rFonts w:ascii="Arial" w:cs="Arial" w:eastAsia="Arial" w:hAnsi="Arial"/>
          <w:sz w:val="19"/>
          <w:szCs w:val="19"/>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99.2</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MANAGEMENT’S DISCUSSION AND ANALYSIS OF FINANCIAL</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CONDITION AND RESULTS OF OPERATIONS</w:t>
      </w:r>
    </w:p>
    <w:p>
      <w:pPr>
        <w:spacing w:after="0" w:line="293" w:lineRule="exact"/>
        <w:rPr>
          <w:sz w:val="20"/>
          <w:szCs w:val="20"/>
          <w:color w:val="auto"/>
        </w:rPr>
      </w:pPr>
    </w:p>
    <w:p>
      <w:pPr>
        <w:jc w:val="both"/>
        <w:spacing w:after="0" w:line="274" w:lineRule="auto"/>
        <w:rPr>
          <w:sz w:val="20"/>
          <w:szCs w:val="20"/>
          <w:color w:val="auto"/>
        </w:rPr>
      </w:pPr>
      <w:r>
        <w:rPr>
          <w:rFonts w:ascii="Arial" w:cs="Arial" w:eastAsia="Arial" w:hAnsi="Arial"/>
          <w:sz w:val="21"/>
          <w:szCs w:val="21"/>
          <w:i w:val="1"/>
          <w:iCs w:val="1"/>
          <w:color w:val="auto"/>
        </w:rPr>
        <w:t>The information contained in this section should be read in conjunction with (1) our unaudited condensed interim consolidated financial statements as of June 30, 2020 and for the six months then ended and related notes included in this report and (2) our audited consolidated financial statements and related notes included in our Annual Report on Form 20-F for the year ended December 31, 2019 and the other information contained in such annual report, particularly the information in Item 5 - “Operating and Financial Review and Prospects”. Our financial statements have been prepared in accordance with generally accepted accounting principles in the United States (“US GAAP”).</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The following table sets forth certain statement of operations data as a percentage of total revenues for the periods indicated:</w:t>
      </w:r>
    </w:p>
    <w:p>
      <w:pPr>
        <w:spacing w:after="0" w:line="218" w:lineRule="exact"/>
        <w:rPr>
          <w:sz w:val="20"/>
          <w:szCs w:val="20"/>
          <w:color w:val="auto"/>
        </w:rPr>
      </w:pPr>
    </w:p>
    <w:p>
      <w:pPr>
        <w:jc w:val="center"/>
        <w:ind w:left="842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842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23"/>
        </w:trPr>
        <w:tc>
          <w:tcPr>
            <w:tcW w:w="936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81.9</w:t>
            </w:r>
          </w:p>
        </w:tc>
        <w:tc>
          <w:tcPr>
            <w:tcW w:w="2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81.1</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18.1</w:t>
            </w: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60" w:type="dxa"/>
            <w:vAlign w:val="bottom"/>
            <w:shd w:val="clear" w:color="auto" w:fill="CCEEFF"/>
          </w:tcPr>
          <w:p>
            <w:pPr>
              <w:spacing w:after="0"/>
              <w:rPr>
                <w:sz w:val="18"/>
                <w:szCs w:val="18"/>
                <w:color w:val="auto"/>
              </w:rPr>
            </w:pP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Research and development expense</w:t>
            </w:r>
          </w:p>
        </w:tc>
        <w:tc>
          <w:tcPr>
            <w:tcW w:w="340" w:type="dxa"/>
            <w:vAlign w:val="bottom"/>
          </w:tcPr>
          <w:p>
            <w:pPr>
              <w:jc w:val="right"/>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6.2</w:t>
            </w:r>
          </w:p>
        </w:tc>
      </w:tr>
      <w:tr>
        <w:trPr>
          <w:trHeight w:val="223"/>
        </w:trPr>
        <w:tc>
          <w:tcPr>
            <w:tcW w:w="8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Marketing, general and administrative expense</w:t>
            </w:r>
          </w:p>
        </w:tc>
        <w:tc>
          <w:tcPr>
            <w:tcW w:w="7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340" w:type="dxa"/>
            <w:vAlign w:val="bottom"/>
          </w:tcPr>
          <w:p>
            <w:pPr>
              <w:jc w:val="right"/>
              <w:spacing w:after="0"/>
              <w:rPr>
                <w:sz w:val="20"/>
                <w:szCs w:val="20"/>
                <w:color w:val="auto"/>
              </w:rPr>
            </w:pPr>
            <w:r>
              <w:rPr>
                <w:rFonts w:ascii="Arial" w:cs="Arial" w:eastAsia="Arial" w:hAnsi="Arial"/>
                <w:sz w:val="18"/>
                <w:szCs w:val="18"/>
                <w:color w:val="auto"/>
              </w:rPr>
              <w:t>6.3</w:t>
            </w: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7.3</w:t>
            </w:r>
          </w:p>
        </w:tc>
      </w:tr>
      <w:tr>
        <w:trPr>
          <w:trHeight w:val="223"/>
        </w:trPr>
        <w:tc>
          <w:tcPr>
            <w:tcW w:w="8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Financing and other income (expense), net</w:t>
            </w:r>
          </w:p>
        </w:tc>
        <w:tc>
          <w:tcPr>
            <w:tcW w:w="7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Profit before income tax</w:t>
            </w:r>
          </w:p>
        </w:tc>
        <w:tc>
          <w:tcPr>
            <w:tcW w:w="340" w:type="dxa"/>
            <w:vAlign w:val="bottom"/>
          </w:tcPr>
          <w:p>
            <w:pPr>
              <w:jc w:val="right"/>
              <w:spacing w:after="0"/>
              <w:rPr>
                <w:sz w:val="20"/>
                <w:szCs w:val="20"/>
                <w:color w:val="auto"/>
              </w:rPr>
            </w:pPr>
            <w:r>
              <w:rPr>
                <w:rFonts w:ascii="Arial" w:cs="Arial" w:eastAsia="Arial" w:hAnsi="Arial"/>
                <w:sz w:val="18"/>
                <w:szCs w:val="18"/>
                <w:color w:val="auto"/>
              </w:rPr>
              <w:t>6.3</w:t>
            </w: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7.6</w:t>
            </w:r>
          </w:p>
        </w:tc>
      </w:tr>
      <w:tr>
        <w:trPr>
          <w:trHeight w:val="223"/>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net</w:t>
            </w:r>
          </w:p>
        </w:tc>
        <w:tc>
          <w:tcPr>
            <w:tcW w:w="7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86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profit</w:t>
            </w:r>
          </w:p>
        </w:tc>
        <w:tc>
          <w:tcPr>
            <w:tcW w:w="7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60" w:type="dxa"/>
            <w:vAlign w:val="bottom"/>
            <w:tcBorders>
              <w:top w:val="single" w:sz="8" w:color="CCEEFF"/>
            </w:tcBorders>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attributable to the non-controlling interest</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r>
      <w:tr>
        <w:trPr>
          <w:trHeight w:val="27"/>
        </w:trPr>
        <w:tc>
          <w:tcPr>
            <w:tcW w:w="86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Net profit attributable to the company</w:t>
            </w:r>
          </w:p>
        </w:tc>
        <w:tc>
          <w:tcPr>
            <w:tcW w:w="7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r>
      <w:tr>
        <w:trPr>
          <w:trHeight w:val="21"/>
        </w:trPr>
        <w:tc>
          <w:tcPr>
            <w:tcW w:w="86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table sets forth certain statement of operations data for the periods indicated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610,261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616,171</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Cost of revenues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500,013</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499,613</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110,248</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116,558</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38,838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37,980</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Marketing, general and administrative expense</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32,845</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33,479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Operating profit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38,565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45,099</w:t>
            </w: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Financing and other income (expense), net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(282)</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1,672</w:t>
            </w:r>
          </w:p>
        </w:tc>
      </w:tr>
      <w:tr>
        <w:trPr>
          <w:trHeight w:val="216"/>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Profit before income tax</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38,283</w:t>
            </w: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46,771</w:t>
            </w: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net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(778)</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(649)</w:t>
            </w:r>
          </w:p>
        </w:tc>
      </w:tr>
      <w:tr>
        <w:trPr>
          <w:trHeight w:val="216"/>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profit</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37,505</w:t>
            </w: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46,122</w:t>
            </w: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attributable to the non-controlling interest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(1,433)</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w:t>
            </w:r>
          </w:p>
        </w:tc>
      </w:tr>
      <w:tr>
        <w:trPr>
          <w:trHeight w:val="216"/>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profit attributable to the company</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36,072</w:t>
            </w: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47,152</w:t>
            </w:r>
          </w:p>
        </w:tc>
        <w:tc>
          <w:tcPr>
            <w:tcW w:w="10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6"/>
        </w:trPr>
        <w:tc>
          <w:tcPr>
            <w:tcW w:w="8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23" w:right="339" w:bottom="1440" w:gutter="0" w:footer="0" w:header="0"/>
        </w:sectPr>
      </w:pPr>
    </w:p>
    <w:bookmarkStart w:id="13" w:name="page14"/>
    <w:bookmarkEnd w:id="13"/>
    <w:p>
      <w:pPr>
        <w:spacing w:after="0"/>
        <w:rPr>
          <w:sz w:val="20"/>
          <w:szCs w:val="20"/>
          <w:color w:val="auto"/>
        </w:rPr>
      </w:pPr>
      <w:r>
        <w:rPr>
          <w:rFonts w:ascii="Arial" w:cs="Arial" w:eastAsia="Arial" w:hAnsi="Arial"/>
          <w:sz w:val="22"/>
          <w:szCs w:val="22"/>
          <w:b w:val="1"/>
          <w:bCs w:val="1"/>
          <w:color w:val="auto"/>
        </w:rPr>
        <w:t>Six months ended June 30, 2020 compared to six months ended June 30, 2019</w:t>
      </w:r>
    </w:p>
    <w:p>
      <w:pPr>
        <w:spacing w:after="0" w:line="29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i w:val="1"/>
          <w:iCs w:val="1"/>
          <w:color w:val="auto"/>
        </w:rPr>
        <w:t xml:space="preserve">Revenues. </w:t>
      </w:r>
      <w:r>
        <w:rPr>
          <w:rFonts w:ascii="Arial" w:cs="Arial" w:eastAsia="Arial" w:hAnsi="Arial"/>
          <w:sz w:val="22"/>
          <w:szCs w:val="22"/>
          <w:color w:val="auto"/>
        </w:rPr>
        <w:t>Revenues for the six months ended June 30, 2020 were $610.3 million, as compared to $616.2 million for the</w:t>
      </w:r>
      <w:r>
        <w:rPr>
          <w:rFonts w:ascii="Arial" w:cs="Arial" w:eastAsia="Arial" w:hAnsi="Arial"/>
          <w:sz w:val="22"/>
          <w:szCs w:val="22"/>
          <w:i w:val="1"/>
          <w:iCs w:val="1"/>
          <w:color w:val="auto"/>
        </w:rPr>
        <w:t xml:space="preserve"> </w:t>
      </w:r>
      <w:r>
        <w:rPr>
          <w:rFonts w:ascii="Arial" w:cs="Arial" w:eastAsia="Arial" w:hAnsi="Arial"/>
          <w:sz w:val="22"/>
          <w:szCs w:val="22"/>
          <w:color w:val="auto"/>
        </w:rPr>
        <w:t>six months ended June 30, 2019. The $5.9 million revenue reduction is attributed mainly to our amended contract signed with Panasonic Semiconductor Solutions Co., Ltd (“PSCS”) in March 2019, according to which, PSCS continues to utilize TPSCo’s manufacturing facilities in Japan for its semiconductor business under a new structure with lower prices, effective from April 2019.</w:t>
      </w:r>
    </w:p>
    <w:p>
      <w:pPr>
        <w:spacing w:after="0" w:line="24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i w:val="1"/>
          <w:iCs w:val="1"/>
          <w:color w:val="auto"/>
        </w:rPr>
        <w:t>Cost of Revenues</w:t>
      </w:r>
      <w:r>
        <w:rPr>
          <w:rFonts w:ascii="Arial" w:cs="Arial" w:eastAsia="Arial" w:hAnsi="Arial"/>
          <w:sz w:val="22"/>
          <w:szCs w:val="22"/>
          <w:color w:val="auto"/>
        </w:rPr>
        <w:t>. Cost of revenues for the six months ended June 30, 2020 amounted to $500.0 million as compared to</w:t>
      </w:r>
      <w:r>
        <w:rPr>
          <w:rFonts w:ascii="Arial" w:cs="Arial" w:eastAsia="Arial" w:hAnsi="Arial"/>
          <w:sz w:val="22"/>
          <w:szCs w:val="22"/>
          <w:i w:val="1"/>
          <w:iCs w:val="1"/>
          <w:color w:val="auto"/>
        </w:rPr>
        <w:t xml:space="preserve"> </w:t>
      </w:r>
      <w:r>
        <w:rPr>
          <w:rFonts w:ascii="Arial" w:cs="Arial" w:eastAsia="Arial" w:hAnsi="Arial"/>
          <w:sz w:val="22"/>
          <w:szCs w:val="22"/>
          <w:color w:val="auto"/>
        </w:rPr>
        <w:t>$499.6 million for the six months ended June 30, 2019. There is no decline in the cost of goods sold despite the $5.9 million lower revenues since (i) the above referenced PSCS revenue reduction was not derived from lower quantity of products sold but from lower selling prices; and (ii) a large portion of our cost is fixed.</w:t>
      </w:r>
    </w:p>
    <w:p>
      <w:pPr>
        <w:spacing w:after="0" w:line="245" w:lineRule="exact"/>
        <w:rPr>
          <w:sz w:val="20"/>
          <w:szCs w:val="20"/>
          <w:color w:val="auto"/>
        </w:rPr>
      </w:pPr>
    </w:p>
    <w:p>
      <w:pPr>
        <w:jc w:val="both"/>
        <w:ind w:firstLine="648"/>
        <w:spacing w:after="0" w:line="327" w:lineRule="auto"/>
        <w:rPr>
          <w:sz w:val="20"/>
          <w:szCs w:val="20"/>
          <w:color w:val="auto"/>
        </w:rPr>
      </w:pPr>
      <w:r>
        <w:rPr>
          <w:rFonts w:ascii="Arial" w:cs="Arial" w:eastAsia="Arial" w:hAnsi="Arial"/>
          <w:sz w:val="19"/>
          <w:szCs w:val="19"/>
          <w:i w:val="1"/>
          <w:iCs w:val="1"/>
          <w:color w:val="auto"/>
        </w:rPr>
        <w:t>Gross Profit</w:t>
      </w:r>
      <w:r>
        <w:rPr>
          <w:rFonts w:ascii="Arial" w:cs="Arial" w:eastAsia="Arial" w:hAnsi="Arial"/>
          <w:sz w:val="19"/>
          <w:szCs w:val="19"/>
          <w:color w:val="auto"/>
        </w:rPr>
        <w:t>. Gross profit for the six months ended June 30, 2020 amounted to $110.2 million as compared to $116.6</w:t>
      </w:r>
      <w:r>
        <w:rPr>
          <w:rFonts w:ascii="Arial" w:cs="Arial" w:eastAsia="Arial" w:hAnsi="Arial"/>
          <w:sz w:val="19"/>
          <w:szCs w:val="19"/>
          <w:i w:val="1"/>
          <w:iCs w:val="1"/>
          <w:color w:val="auto"/>
        </w:rPr>
        <w:t xml:space="preserve"> </w:t>
      </w:r>
      <w:r>
        <w:rPr>
          <w:rFonts w:ascii="Arial" w:cs="Arial" w:eastAsia="Arial" w:hAnsi="Arial"/>
          <w:sz w:val="19"/>
          <w:szCs w:val="19"/>
          <w:color w:val="auto"/>
        </w:rPr>
        <w:t>million for the six months ended June 30, 2019. The $6.3 million decrease in gross profit resulted mainly from the $5.9 million revenue reduction described above and the small $0.4 million increase in cost of revenues, as described above.</w:t>
      </w:r>
    </w:p>
    <w:p>
      <w:pPr>
        <w:spacing w:after="0" w:line="18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i w:val="1"/>
          <w:iCs w:val="1"/>
          <w:color w:val="auto"/>
        </w:rPr>
        <w:t>Research and Development</w:t>
      </w:r>
      <w:r>
        <w:rPr>
          <w:rFonts w:ascii="Arial" w:cs="Arial" w:eastAsia="Arial" w:hAnsi="Arial"/>
          <w:sz w:val="22"/>
          <w:szCs w:val="22"/>
          <w:color w:val="auto"/>
        </w:rPr>
        <w:t>. Research and development expense for the six months ended June 30, 2020, amounted to</w:t>
      </w:r>
      <w:r>
        <w:rPr>
          <w:rFonts w:ascii="Arial" w:cs="Arial" w:eastAsia="Arial" w:hAnsi="Arial"/>
          <w:sz w:val="22"/>
          <w:szCs w:val="22"/>
          <w:i w:val="1"/>
          <w:iCs w:val="1"/>
          <w:color w:val="auto"/>
        </w:rPr>
        <w:t xml:space="preserve"> </w:t>
      </w:r>
      <w:r>
        <w:rPr>
          <w:rFonts w:ascii="Arial" w:cs="Arial" w:eastAsia="Arial" w:hAnsi="Arial"/>
          <w:sz w:val="22"/>
          <w:szCs w:val="22"/>
          <w:color w:val="auto"/>
        </w:rPr>
        <w:t>$38.8 million as compared to $38.0 million in the six months ended June 30, 2019. The insignificant change in research and development expense reflects our continuing focus on enhancing our mid-term and long-term products’ funnel, technology capabilities and future design wins.</w:t>
      </w:r>
    </w:p>
    <w:p>
      <w:pPr>
        <w:spacing w:after="0" w:line="24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i w:val="1"/>
          <w:iCs w:val="1"/>
          <w:color w:val="auto"/>
        </w:rPr>
        <w:t>Marketing, General and Administrative</w:t>
      </w:r>
      <w:r>
        <w:rPr>
          <w:rFonts w:ascii="Arial" w:cs="Arial" w:eastAsia="Arial" w:hAnsi="Arial"/>
          <w:sz w:val="22"/>
          <w:szCs w:val="22"/>
          <w:color w:val="auto"/>
        </w:rPr>
        <w:t>. Marketing, general and administrative expense for the six months ended June 30,</w:t>
      </w:r>
      <w:r>
        <w:rPr>
          <w:rFonts w:ascii="Arial" w:cs="Arial" w:eastAsia="Arial" w:hAnsi="Arial"/>
          <w:sz w:val="22"/>
          <w:szCs w:val="22"/>
          <w:i w:val="1"/>
          <w:iCs w:val="1"/>
          <w:color w:val="auto"/>
        </w:rPr>
        <w:t xml:space="preserve"> </w:t>
      </w:r>
      <w:r>
        <w:rPr>
          <w:rFonts w:ascii="Arial" w:cs="Arial" w:eastAsia="Arial" w:hAnsi="Arial"/>
          <w:sz w:val="22"/>
          <w:szCs w:val="22"/>
          <w:color w:val="auto"/>
        </w:rPr>
        <w:t>2020 amounted to $32.8 million, a decrease of $0.6 million as compared to $33.5 million recorded in the six months ended June 30, 2019, reflecting 5.4% of revenues in both periods.</w:t>
      </w:r>
    </w:p>
    <w:p>
      <w:pPr>
        <w:spacing w:after="0" w:line="239"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22"/>
          <w:szCs w:val="22"/>
          <w:i w:val="1"/>
          <w:iCs w:val="1"/>
          <w:color w:val="auto"/>
        </w:rPr>
        <w:t xml:space="preserve">Operating Profit. </w:t>
      </w:r>
      <w:r>
        <w:rPr>
          <w:rFonts w:ascii="Arial" w:cs="Arial" w:eastAsia="Arial" w:hAnsi="Arial"/>
          <w:sz w:val="22"/>
          <w:szCs w:val="22"/>
          <w:color w:val="auto"/>
        </w:rPr>
        <w:t>Operating profit for the six months ended June 30, 2020 amounted to $38.6 million as compared to</w:t>
      </w:r>
      <w:r>
        <w:rPr>
          <w:rFonts w:ascii="Arial" w:cs="Arial" w:eastAsia="Arial" w:hAnsi="Arial"/>
          <w:sz w:val="22"/>
          <w:szCs w:val="22"/>
          <w:i w:val="1"/>
          <w:iCs w:val="1"/>
          <w:color w:val="auto"/>
        </w:rPr>
        <w:t xml:space="preserve"> </w:t>
      </w:r>
      <w:r>
        <w:rPr>
          <w:rFonts w:ascii="Arial" w:cs="Arial" w:eastAsia="Arial" w:hAnsi="Arial"/>
          <w:sz w:val="22"/>
          <w:szCs w:val="22"/>
          <w:color w:val="auto"/>
        </w:rPr>
        <w:t>$45.1 million for the six months ended June 30, 2019. The $6.5 million decrease in operating profit resulted mainly from the $6.3 million reduction in gross profit described above.</w:t>
      </w:r>
    </w:p>
    <w:p>
      <w:pPr>
        <w:spacing w:after="0" w:line="23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i w:val="1"/>
          <w:iCs w:val="1"/>
          <w:color w:val="auto"/>
        </w:rPr>
        <w:t xml:space="preserve">Financing and Other Income (Expense), Net. </w:t>
      </w:r>
      <w:r>
        <w:rPr>
          <w:rFonts w:ascii="Arial" w:cs="Arial" w:eastAsia="Arial" w:hAnsi="Arial"/>
          <w:sz w:val="22"/>
          <w:szCs w:val="22"/>
          <w:color w:val="auto"/>
        </w:rPr>
        <w:t>Financing and other expense, net for the six months ended June 30, 2020</w:t>
      </w:r>
      <w:r>
        <w:rPr>
          <w:rFonts w:ascii="Arial" w:cs="Arial" w:eastAsia="Arial" w:hAnsi="Arial"/>
          <w:sz w:val="22"/>
          <w:szCs w:val="22"/>
          <w:i w:val="1"/>
          <w:iCs w:val="1"/>
          <w:color w:val="auto"/>
        </w:rPr>
        <w:t xml:space="preserve"> </w:t>
      </w:r>
      <w:r>
        <w:rPr>
          <w:rFonts w:ascii="Arial" w:cs="Arial" w:eastAsia="Arial" w:hAnsi="Arial"/>
          <w:sz w:val="22"/>
          <w:szCs w:val="22"/>
          <w:color w:val="auto"/>
        </w:rPr>
        <w:t>amounted to $0.3 million as compared to financing and other income, net of $1.7 million for the six months ended June 30, 2019. During the six months ended June 30, 2020 interest income was lower due to the reduced interest rates and yields we were able to get on our deposits and marketable securities.</w:t>
      </w:r>
    </w:p>
    <w:p>
      <w:pPr>
        <w:spacing w:after="0" w:line="24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i w:val="1"/>
          <w:iCs w:val="1"/>
          <w:color w:val="auto"/>
        </w:rPr>
        <w:t>Income Tax Expense, Net</w:t>
      </w:r>
      <w:r>
        <w:rPr>
          <w:rFonts w:ascii="Arial" w:cs="Arial" w:eastAsia="Arial" w:hAnsi="Arial"/>
          <w:sz w:val="22"/>
          <w:szCs w:val="22"/>
          <w:color w:val="auto"/>
        </w:rPr>
        <w:t>. Income tax expense, net for the six months ended June 30, 2020 amounted to $0.8 million, a</w:t>
      </w:r>
      <w:r>
        <w:rPr>
          <w:rFonts w:ascii="Arial" w:cs="Arial" w:eastAsia="Arial" w:hAnsi="Arial"/>
          <w:sz w:val="22"/>
          <w:szCs w:val="22"/>
          <w:i w:val="1"/>
          <w:iCs w:val="1"/>
          <w:color w:val="auto"/>
        </w:rPr>
        <w:t xml:space="preserve"> </w:t>
      </w:r>
      <w:r>
        <w:rPr>
          <w:rFonts w:ascii="Arial" w:cs="Arial" w:eastAsia="Arial" w:hAnsi="Arial"/>
          <w:sz w:val="22"/>
          <w:szCs w:val="22"/>
          <w:color w:val="auto"/>
        </w:rPr>
        <w:t>small increase of $0.2 million as compared to $0.6 million in the six months ended June 30, 2019, reflecting mainly an increase in profitability in TPSCo (Japan), which is a higher tax region.</w:t>
      </w:r>
    </w:p>
    <w:p>
      <w:pPr>
        <w:spacing w:after="0" w:line="23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i w:val="1"/>
          <w:iCs w:val="1"/>
          <w:color w:val="auto"/>
        </w:rPr>
        <w:t xml:space="preserve">Net profit. </w:t>
      </w:r>
      <w:r>
        <w:rPr>
          <w:rFonts w:ascii="Arial" w:cs="Arial" w:eastAsia="Arial" w:hAnsi="Arial"/>
          <w:sz w:val="22"/>
          <w:szCs w:val="22"/>
          <w:color w:val="auto"/>
        </w:rPr>
        <w:t>Net profit for the six months ended June 30, 2020 amounted to $37.5 million as compared to a net profit of</w:t>
      </w:r>
      <w:r>
        <w:rPr>
          <w:rFonts w:ascii="Arial" w:cs="Arial" w:eastAsia="Arial" w:hAnsi="Arial"/>
          <w:sz w:val="22"/>
          <w:szCs w:val="22"/>
          <w:i w:val="1"/>
          <w:iCs w:val="1"/>
          <w:color w:val="auto"/>
        </w:rPr>
        <w:t xml:space="preserve"> </w:t>
      </w:r>
      <w:r>
        <w:rPr>
          <w:rFonts w:ascii="Arial" w:cs="Arial" w:eastAsia="Arial" w:hAnsi="Arial"/>
          <w:sz w:val="22"/>
          <w:szCs w:val="22"/>
          <w:color w:val="auto"/>
        </w:rPr>
        <w:t>$46.1 million for the six months ended June 30, 2019. The decrease in net profit in the amount of $8.6 million was mainly due to the decrease of $6.5 million in operating profit as described above and the $2.0 million increase in financing expense, net as described above.</w:t>
      </w:r>
    </w:p>
    <w:p>
      <w:pPr>
        <w:spacing w:after="0" w:line="245" w:lineRule="exact"/>
        <w:rPr>
          <w:sz w:val="20"/>
          <w:szCs w:val="20"/>
          <w:color w:val="auto"/>
        </w:rPr>
      </w:pPr>
    </w:p>
    <w:p>
      <w:pPr>
        <w:jc w:val="both"/>
        <w:ind w:firstLine="648"/>
        <w:spacing w:after="0" w:line="327" w:lineRule="auto"/>
        <w:rPr>
          <w:sz w:val="20"/>
          <w:szCs w:val="20"/>
          <w:color w:val="auto"/>
        </w:rPr>
      </w:pPr>
      <w:r>
        <w:rPr>
          <w:rFonts w:ascii="Arial" w:cs="Arial" w:eastAsia="Arial" w:hAnsi="Arial"/>
          <w:sz w:val="19"/>
          <w:szCs w:val="19"/>
          <w:i w:val="1"/>
          <w:iCs w:val="1"/>
          <w:color w:val="auto"/>
        </w:rPr>
        <w:t xml:space="preserve">Net loss (income) attributable to the non-controlling interest. </w:t>
      </w:r>
      <w:r>
        <w:rPr>
          <w:rFonts w:ascii="Arial" w:cs="Arial" w:eastAsia="Arial" w:hAnsi="Arial"/>
          <w:sz w:val="19"/>
          <w:szCs w:val="19"/>
          <w:color w:val="auto"/>
        </w:rPr>
        <w:t>Net loss (income) attributable to the non-controlling interest</w:t>
      </w:r>
      <w:r>
        <w:rPr>
          <w:rFonts w:ascii="Arial" w:cs="Arial" w:eastAsia="Arial" w:hAnsi="Arial"/>
          <w:sz w:val="19"/>
          <w:szCs w:val="19"/>
          <w:i w:val="1"/>
          <w:iCs w:val="1"/>
          <w:color w:val="auto"/>
        </w:rPr>
        <w:t xml:space="preserve"> </w:t>
      </w:r>
      <w:r>
        <w:rPr>
          <w:rFonts w:ascii="Arial" w:cs="Arial" w:eastAsia="Arial" w:hAnsi="Arial"/>
          <w:sz w:val="19"/>
          <w:szCs w:val="19"/>
          <w:color w:val="auto"/>
        </w:rPr>
        <w:t>for the six months ended June 30, 2020 amounted to $1.4 million expense as compared to an income of $1.0 million in the six months ended June 30, 2019, reflecting mainly an increase in TPSCo’s profitability, of which we hold 51%.</w:t>
      </w:r>
    </w:p>
    <w:p>
      <w:pPr>
        <w:spacing w:after="0" w:line="187"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i w:val="1"/>
          <w:iCs w:val="1"/>
          <w:color w:val="auto"/>
        </w:rPr>
        <w:t>Net Profit attributable to the company</w:t>
      </w:r>
      <w:r>
        <w:rPr>
          <w:rFonts w:ascii="Arial" w:cs="Arial" w:eastAsia="Arial" w:hAnsi="Arial"/>
          <w:sz w:val="19"/>
          <w:szCs w:val="19"/>
          <w:color w:val="auto"/>
        </w:rPr>
        <w:t>. Net profit attributable to the company for the six months ended June 30, 2020</w:t>
      </w:r>
      <w:r>
        <w:rPr>
          <w:rFonts w:ascii="Arial" w:cs="Arial" w:eastAsia="Arial" w:hAnsi="Arial"/>
          <w:sz w:val="19"/>
          <w:szCs w:val="19"/>
          <w:i w:val="1"/>
          <w:iCs w:val="1"/>
          <w:color w:val="auto"/>
        </w:rPr>
        <w:t xml:space="preserve"> </w:t>
      </w:r>
      <w:r>
        <w:rPr>
          <w:rFonts w:ascii="Arial" w:cs="Arial" w:eastAsia="Arial" w:hAnsi="Arial"/>
          <w:sz w:val="19"/>
          <w:szCs w:val="19"/>
          <w:color w:val="auto"/>
        </w:rPr>
        <w:t>amounted to $36.1 million as compared to a net profit of $47.2 million for the six months ended June 30, 2019. The decrease in net profit in the amount of $11.1 million was mainly due to the decrease of $6.5 million in operating profit, $2.0 million increase in financing expense, net, and $2.5 million higher income attributable to non-controlling interest, as described above.</w:t>
      </w:r>
    </w:p>
    <w:p>
      <w:pPr>
        <w:spacing w:after="0" w:line="19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For details with regards to risks associated with the Covid-19 pandemic and/or risks that may result from the pandemic, see our disclosure under ITEM 3 in our Form 20-F filed on April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 w:name="page15"/>
    <w:bookmarkEnd w:id="14"/>
    <w:p>
      <w:pPr>
        <w:spacing w:after="0"/>
        <w:rPr>
          <w:sz w:val="20"/>
          <w:szCs w:val="20"/>
          <w:color w:val="auto"/>
        </w:rPr>
      </w:pPr>
      <w:r>
        <w:rPr>
          <w:rFonts w:ascii="Arial" w:cs="Arial" w:eastAsia="Arial" w:hAnsi="Arial"/>
          <w:sz w:val="22"/>
          <w:szCs w:val="22"/>
          <w:b w:val="1"/>
          <w:bCs w:val="1"/>
          <w:color w:val="auto"/>
        </w:rPr>
        <w:t>Impact of Currency Fluctuations</w:t>
      </w:r>
    </w:p>
    <w:p>
      <w:pPr>
        <w:spacing w:after="0" w:line="293" w:lineRule="exact"/>
        <w:rPr>
          <w:sz w:val="20"/>
          <w:szCs w:val="20"/>
          <w:color w:val="auto"/>
        </w:rPr>
      </w:pPr>
    </w:p>
    <w:p>
      <w:pPr>
        <w:jc w:val="both"/>
        <w:ind w:firstLine="698"/>
        <w:spacing w:after="0" w:line="260" w:lineRule="auto"/>
        <w:rPr>
          <w:sz w:val="20"/>
          <w:szCs w:val="20"/>
          <w:color w:val="auto"/>
        </w:rPr>
      </w:pPr>
      <w:r>
        <w:rPr>
          <w:rFonts w:ascii="Arial" w:cs="Arial" w:eastAsia="Arial" w:hAnsi="Arial"/>
          <w:sz w:val="22"/>
          <w:szCs w:val="22"/>
          <w:color w:val="auto"/>
        </w:rPr>
        <w:t>The Company currently operates in three different regions: Japan, the United States and Israel. The functional currency of our entities in the United States and Israel is the US dollar (“USD”). The functional currency of our subsidiary in Japan is the Japanese Yen (“JPY”). Our expenses and costs are denominated mainly in USD, JPY and New Israeli Shekels (“NIS”), revenues are denominated mainly in USD and JPY and our cash from operations, investing and financing activities are denominated mainly in USD, JPY and NIS. Therefore, the Company is exposed to the risk of currency exchange rate fluctuations in Israel and Japan.</w:t>
      </w:r>
    </w:p>
    <w:p>
      <w:pPr>
        <w:spacing w:after="0" w:line="24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The USD cost of our operations in Israel is influenced by changes in the USD to NIS exchange rate, with respect to costs that are denominated in NIS. During the six months ended June 30, 2020, the USD appreciated against the NIS by 0.3%, as compared to 4.9% depreciation during the six months ended June 30, 2019.</w:t>
      </w:r>
    </w:p>
    <w:p>
      <w:pPr>
        <w:spacing w:after="0" w:line="23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The fluctuation of USD against the NIS can affect our results of operations as it relates to the entity in Israel. Appreciation of the NIS has the effect of increasing the cost, in USD terms, of some of the purchases and labor costs that are denominated in NIS, which may lead to erosion in the profit margins. The Company uses foreign currency cylinder transactions to hedge a portion of this currency exposure to be contained within a pre-defined fixed range. In addition, the Company executed swap-hedging transactions to hedge the exposure to the fluctuation of USD against the NIS to the extent it relates to non-convertible Series G debentures, which are denominated in NIS.</w:t>
      </w:r>
    </w:p>
    <w:p>
      <w:pPr>
        <w:spacing w:after="0" w:line="23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The majority of TPSCo revenues are denominated in JPY and the majority of TPSCo expenses are in JPY, which limits the exposure to fluctuations of the USD / JPY exchange rate on TPSCo’s results of operations. In order to mitigate a portion of the net exposure to the USD / JPY exchange rate, the Company has engaged in cylinder hedging transactions to contain the currency’s fluctuation within a pre-defined fixed range.</w:t>
      </w:r>
    </w:p>
    <w:p>
      <w:pPr>
        <w:spacing w:after="0" w:line="24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During the six months ended June 30, 2020, the USD depreciated against the JPY by 0.7%, as compared to 2.0% depreciation during the six months ended June 30, 2019. The net effect of USD depreciation against the JPY on TPSCo’s assets and liabilities denominated in JPY is presented in the Cumulative Translation Adjustment (“CTA”) as part of Other Comprehensive Income (“OCI”) in the balance sheet.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93"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As of June 30, 2020, the Company had an aggregate amount of $258.8 million in cash and cash equivalents, as compared to $355.6 million as of December 31, 2019. The main cash activities during the six months ended June 30, 2020 were: $134.9 million net cash provided by operating activities; $125.4 million invested in property and equipment, net; $78.8 million invested in short-term deposits, marketable securities and other assets, net and $29.2 million debt repaid.</w:t>
      </w:r>
    </w:p>
    <w:p>
      <w:pPr>
        <w:spacing w:after="0" w:line="19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Short-term and long-term debt presented in the balance sheet as of June 30, 2020, included bank loans, debentures, operating leases and capital leases amounted to $79.7 million and $219.8 million, respectively. As of June 30, 2020, the aggregate principal amount of debentures was $115.7 million and its carrying amount in the balance sheet was $113.5 million, of which $37.8 million was presented as a short-term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2020-08-05T15:35:40Z</dcterms:created>
  <dcterms:modified xsi:type="dcterms:W3CDTF">2020-08-05T15:35:40Z</dcterms:modified>
</cp:coreProperties>
</file>