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154305</wp:posOffset>
            </wp:positionH>
            <wp:positionV relativeFrom="page">
              <wp:posOffset>111760</wp:posOffset>
            </wp:positionV>
            <wp:extent cx="725360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38100"/>
                    </a:xfrm>
                    <a:prstGeom prst="rect">
                      <a:avLst/>
                    </a:prstGeom>
                    <a:noFill/>
                  </pic:spPr>
                </pic:pic>
              </a:graphicData>
            </a:graphic>
          </wp:anchor>
        </w:drawing>
        <w:t>FORM 6-K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June 2010</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 3</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TOWER SEMICONDUCTOR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2" w:lineRule="exact"/>
        <w:rPr>
          <w:sz w:val="24"/>
          <w:szCs w:val="24"/>
          <w:color w:val="auto"/>
        </w:rPr>
      </w:pPr>
    </w:p>
    <w:p>
      <w:pPr>
        <w:ind w:left="64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4" w:lineRule="exact"/>
        <w:rPr>
          <w:sz w:val="24"/>
          <w:szCs w:val="24"/>
          <w:color w:val="auto"/>
        </w:rPr>
      </w:pPr>
    </w:p>
    <w:p>
      <w:pPr>
        <w:ind w:left="4100"/>
        <w:spacing w:after="0"/>
        <w:tabs>
          <w:tab w:leader="none" w:pos="6400" w:val="left"/>
        </w:tabs>
        <w:rPr>
          <w:sz w:val="20"/>
          <w:szCs w:val="20"/>
          <w:color w:val="auto"/>
        </w:rPr>
      </w:pPr>
      <w:r>
        <w:rPr>
          <w:rFonts w:ascii="Arial" w:cs="Arial" w:eastAsia="Arial" w:hAnsi="Arial"/>
          <w:sz w:val="18"/>
          <w:szCs w:val="18"/>
          <w:color w:val="auto"/>
        </w:rPr>
        <w:t>Form 20-F S</w:t>
      </w:r>
      <w:r>
        <w:rPr>
          <w:sz w:val="20"/>
          <w:szCs w:val="20"/>
          <w:color w:val="auto"/>
        </w:rPr>
        <w:tab/>
      </w:r>
      <w:r>
        <w:rPr>
          <w:rFonts w:ascii="Arial" w:cs="Arial" w:eastAsia="Arial" w:hAnsi="Arial"/>
          <w:sz w:val="15"/>
          <w:szCs w:val="15"/>
          <w:color w:val="auto"/>
        </w:rPr>
        <w:t>Form 40-F £</w:t>
      </w:r>
    </w:p>
    <w:p>
      <w:pPr>
        <w:spacing w:after="0" w:line="244" w:lineRule="exact"/>
        <w:rPr>
          <w:sz w:val="24"/>
          <w:szCs w:val="24"/>
          <w:color w:val="auto"/>
        </w:rPr>
      </w:pPr>
    </w:p>
    <w:p>
      <w:pPr>
        <w:ind w:firstLine="636"/>
        <w:spacing w:after="0" w:line="265"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06" w:lineRule="exact"/>
        <w:rPr>
          <w:sz w:val="24"/>
          <w:szCs w:val="24"/>
          <w:color w:val="auto"/>
        </w:rPr>
      </w:pPr>
    </w:p>
    <w:p>
      <w:pPr>
        <w:ind w:left="4500"/>
        <w:spacing w:after="0"/>
        <w:tabs>
          <w:tab w:leader="none" w:pos="6540" w:val="left"/>
        </w:tabs>
        <w:rPr>
          <w:sz w:val="20"/>
          <w:szCs w:val="20"/>
          <w:color w:val="auto"/>
        </w:rPr>
      </w:pPr>
      <w:r>
        <w:rPr>
          <w:rFonts w:ascii="Arial" w:cs="Arial" w:eastAsia="Arial" w:hAnsi="Arial"/>
          <w:sz w:val="18"/>
          <w:szCs w:val="18"/>
          <w:color w:val="auto"/>
        </w:rPr>
        <w:t>Yes £</w:t>
      </w:r>
      <w:r>
        <w:rPr>
          <w:sz w:val="20"/>
          <w:szCs w:val="20"/>
          <w:color w:val="auto"/>
        </w:rPr>
        <w:tab/>
      </w:r>
      <w:r>
        <w:rPr>
          <w:rFonts w:ascii="Arial" w:cs="Arial" w:eastAsia="Arial" w:hAnsi="Arial"/>
          <w:sz w:val="15"/>
          <w:szCs w:val="15"/>
          <w:color w:val="auto"/>
        </w:rPr>
        <w:t>No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413385</wp:posOffset>
            </wp:positionV>
            <wp:extent cx="725360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29845"/>
                    </a:xfrm>
                    <a:prstGeom prst="rect">
                      <a:avLst/>
                    </a:prstGeom>
                    <a:noFill/>
                  </pic:spPr>
                </pic:pic>
              </a:graphicData>
            </a:graphic>
          </wp:anchor>
        </w:drawing>
      </w:r>
    </w:p>
    <w:p>
      <w:pPr>
        <w:sectPr>
          <w:pgSz w:w="11900" w:h="16838" w:orient="portrait"/>
          <w:cols w:equalWidth="0" w:num="1">
            <w:col w:w="11420"/>
          </w:cols>
          <w:pgMar w:left="240" w:top="302" w:right="239" w:bottom="1440" w:gutter="0" w:footer="0" w:header="0"/>
        </w:sectPr>
      </w:pPr>
    </w:p>
    <w:bookmarkStart w:id="1" w:name="page2"/>
    <w:bookmarkEnd w:id="1"/>
    <w:p>
      <w:pPr>
        <w:spacing w:after="0"/>
        <w:rPr>
          <w:sz w:val="20"/>
          <w:szCs w:val="20"/>
          <w:color w:val="auto"/>
        </w:rPr>
      </w:pPr>
      <w:r>
        <w:rPr>
          <w:rFonts w:ascii="Arial" w:cs="Arial" w:eastAsia="Arial" w:hAnsi="Arial"/>
          <w:sz w:val="15"/>
          <w:szCs w:val="15"/>
          <w:color w:val="auto"/>
        </w:rPr>
        <w:t>On June 10, 2010, the registrant announces TowerJazz Participation with Cadence at DAC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434975</wp:posOffset>
            </wp:positionV>
            <wp:extent cx="725360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9845"/>
                    </a:xfrm>
                    <a:prstGeom prst="rect">
                      <a:avLst/>
                    </a:prstGeom>
                    <a:noFill/>
                  </pic:spPr>
                </pic:pic>
              </a:graphicData>
            </a:graphic>
          </wp:anchor>
        </w:drawing>
      </w:r>
    </w:p>
    <w:p>
      <w:pPr>
        <w:sectPr>
          <w:pgSz w:w="11900" w:h="16838" w:orient="portrait"/>
          <w:cols w:equalWidth="0" w:num="1">
            <w:col w:w="9579"/>
          </w:cols>
          <w:pgMar w:left="880" w:top="512" w:right="1440" w:bottom="1440" w:gutter="0" w:footer="0" w:header="0"/>
        </w:sectPr>
      </w:pPr>
    </w:p>
    <w:bookmarkStart w:id="2" w:name="page3"/>
    <w:bookmarkEnd w:id="2"/>
    <w:p>
      <w:pPr>
        <w:jc w:val="center"/>
        <w:ind w:right="-699"/>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ind w:firstLine="636"/>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TOWER SEMICONDUCTOR LTD.</w:t>
      </w:r>
    </w:p>
    <w:p>
      <w:pPr>
        <w:spacing w:after="0" w:line="223" w:lineRule="exact"/>
        <w:rPr>
          <w:sz w:val="20"/>
          <w:szCs w:val="20"/>
          <w:color w:val="auto"/>
        </w:rPr>
      </w:pPr>
    </w:p>
    <w:p>
      <w:pPr>
        <w:spacing w:after="0"/>
        <w:tabs>
          <w:tab w:leader="none" w:pos="4780" w:val="left"/>
          <w:tab w:leader="none" w:pos="5600" w:val="left"/>
        </w:tabs>
        <w:rPr>
          <w:sz w:val="20"/>
          <w:szCs w:val="20"/>
          <w:color w:val="auto"/>
        </w:rPr>
      </w:pPr>
      <w:r>
        <w:rPr>
          <w:rFonts w:ascii="Arial" w:cs="Arial" w:eastAsia="Arial" w:hAnsi="Arial"/>
          <w:sz w:val="18"/>
          <w:szCs w:val="18"/>
          <w:color w:val="auto"/>
        </w:rPr>
        <w:t>Date: June 10,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3565525</wp:posOffset>
            </wp:positionH>
            <wp:positionV relativeFrom="paragraph">
              <wp:posOffset>11430</wp:posOffset>
            </wp:positionV>
            <wp:extent cx="187769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7695" cy="1714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Nati Somekh Gilboa</w:t>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540385</wp:posOffset>
            </wp:positionV>
            <wp:extent cx="725360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29845"/>
                    </a:xfrm>
                    <a:prstGeom prst="rect">
                      <a:avLst/>
                    </a:prstGeom>
                    <a:noFill/>
                  </pic:spPr>
                </pic:pic>
              </a:graphicData>
            </a:graphic>
          </wp:anchor>
        </w:drawing>
      </w:r>
    </w:p>
    <w:p>
      <w:pPr>
        <w:sectPr>
          <w:pgSz w:w="11900" w:h="16838" w:orient="portrait"/>
          <w:cols w:equalWidth="0" w:num="1">
            <w:col w:w="10740"/>
          </w:cols>
          <w:pgMar w:left="240" w:top="506" w:right="9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156210</wp:posOffset>
            </wp:positionH>
            <wp:positionV relativeFrom="page">
              <wp:posOffset>333375</wp:posOffset>
            </wp:positionV>
            <wp:extent cx="1801495" cy="7912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01495" cy="79121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31"/>
          <w:szCs w:val="31"/>
          <w:b w:val="1"/>
          <w:bCs w:val="1"/>
          <w:i w:val="1"/>
          <w:iCs w:val="1"/>
          <w:color w:val="auto"/>
        </w:rPr>
        <w:t>NEWS ANNOUNCEMENT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FOR IMMEDIATE RELEASE</w:t>
      </w:r>
    </w:p>
    <w:p>
      <w:pPr>
        <w:spacing w:after="0" w:line="250" w:lineRule="exact"/>
        <w:rPr>
          <w:sz w:val="20"/>
          <w:szCs w:val="20"/>
          <w:color w:val="auto"/>
        </w:rPr>
      </w:pPr>
    </w:p>
    <w:p>
      <w:pPr>
        <w:sectPr>
          <w:pgSz w:w="11900" w:h="16838" w:orient="portrait"/>
          <w:cols w:equalWidth="0" w:num="2">
            <w:col w:w="7960" w:space="720"/>
            <w:col w:w="2740"/>
          </w:cols>
          <w:pgMar w:left="240" w:top="1440" w:right="239" w:bottom="1440" w:gutter="0" w:footer="0" w:header="0"/>
        </w:sectPr>
      </w:pPr>
    </w:p>
    <w:p>
      <w:pPr>
        <w:spacing w:after="0" w:line="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TowerJazz Announces Participation with Cadence at DAC 2010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Companies to present advanced PDK features to enable success for RF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Power designs</w:t>
      </w:r>
    </w:p>
    <w:p>
      <w:pPr>
        <w:spacing w:after="0" w:line="228" w:lineRule="exact"/>
        <w:rPr>
          <w:sz w:val="20"/>
          <w:szCs w:val="20"/>
          <w:color w:val="auto"/>
        </w:rPr>
      </w:pPr>
    </w:p>
    <w:p>
      <w:pPr>
        <w:jc w:val="both"/>
        <w:spacing w:after="0" w:line="334" w:lineRule="auto"/>
        <w:rPr>
          <w:sz w:val="20"/>
          <w:szCs w:val="20"/>
          <w:color w:val="auto"/>
        </w:rPr>
      </w:pPr>
      <w:r>
        <w:rPr>
          <w:rFonts w:ascii="Arial" w:cs="Arial" w:eastAsia="Arial" w:hAnsi="Arial"/>
          <w:sz w:val="15"/>
          <w:szCs w:val="15"/>
          <w:b w:val="1"/>
          <w:bCs w:val="1"/>
          <w:color w:val="auto"/>
        </w:rPr>
        <w:t xml:space="preserve">NEWPORT BEACH, Calif., June 10, 2010 – </w:t>
      </w:r>
      <w:r>
        <w:rPr>
          <w:rFonts w:ascii="Arial" w:cs="Arial" w:eastAsia="Arial" w:hAnsi="Arial"/>
          <w:sz w:val="15"/>
          <w:szCs w:val="15"/>
          <w:color w:val="auto"/>
        </w:rPr>
        <w:t>TowerJazz, the global specialty foundry leader, today announced joint participation with Cadence Design</w:t>
      </w:r>
      <w:r>
        <w:rPr>
          <w:rFonts w:ascii="Arial" w:cs="Arial" w:eastAsia="Arial" w:hAnsi="Arial"/>
          <w:sz w:val="15"/>
          <w:szCs w:val="15"/>
          <w:b w:val="1"/>
          <w:bCs w:val="1"/>
          <w:color w:val="auto"/>
        </w:rPr>
        <w:t xml:space="preserve"> </w:t>
      </w:r>
      <w:r>
        <w:rPr>
          <w:rFonts w:ascii="Arial" w:cs="Arial" w:eastAsia="Arial" w:hAnsi="Arial"/>
          <w:sz w:val="15"/>
          <w:szCs w:val="15"/>
          <w:color w:val="auto"/>
        </w:rPr>
        <w:t>Systems at the 2010 Design Automation Conference (DAC) taking place in Anaheim, Calif. on June 13-18. Representatives from the companies will provide a presentation entitled, “Silicon Realization in RF and Power Designs: How advanced PDK features enable design success” on Monday, June 14 at 4:00PM.</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Discussion will cover physical design kit (PDK) building blocks created specifically for the RF or power management markets and how those blocks work along with the Cadence Virtuoso IC 6.1 software suite to provide customers with increased productivity, better design robustness, and higher confidence in the finished design.</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“TowerJazz has achieved a full release of our SKILL PDK for the Cadence Virtuoso® custom design platform in our 0.18-micron SiGe BiCMOS process (SBC18). This capability, together with world-class device performance, will allow us to grow share of this segment of the specialty wafer market which we estimate at $1.2B in size," said Robert Milkovits, Customer Technical Support at TowerJazz. "These design kits, created in collaboration with Cadence, will increase access to this platform for our customers and provide them with world-class design features that are immediately usable in their design environments. Through advanced offerings and our commitment to design enablement, our customers continue to achieve first silicon success.”</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“TowerJazz’s SKILL PDKs serve as excellent examples of high-value design features that can help our mutual customers quickly and accurately achieve System Realization, one of the key pillars of the EDA360 vision,” said John Stabenow, Group Director, Virtuoso Product Marketing at Cadence. ”Narrowing the productivity and profitability gaps depends on effective IP integration, and with the latest version of the Cadence Virtuoso platform, the companies are providing customers with more predictable design cycles to accelerate delivery of their next-generation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25360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98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TowerJazz</w:t>
      </w:r>
    </w:p>
    <w:p>
      <w:pPr>
        <w:spacing w:after="0" w:line="22"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 xml:space="preserve">Tower Semiconductor Ltd. (NASDAQ: </w:t>
      </w:r>
      <w:r>
        <w:rPr>
          <w:rFonts w:ascii="Arial" w:cs="Arial" w:eastAsia="Arial" w:hAnsi="Arial"/>
          <w:sz w:val="15"/>
          <w:szCs w:val="15"/>
          <w:u w:val="single" w:color="auto"/>
          <w:color w:val="auto"/>
        </w:rPr>
        <w:t>TSEM</w:t>
      </w:r>
      <w:r>
        <w:rPr>
          <w:rFonts w:ascii="Arial" w:cs="Arial" w:eastAsia="Arial" w:hAnsi="Arial"/>
          <w:sz w:val="15"/>
          <w:szCs w:val="15"/>
          <w:color w:val="auto"/>
        </w:rPr>
        <w:t xml:space="preserve">, TASE: TSEM), the global specialty 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0;capabilities. To provide world-class customer service, TowerJazz maintains two manufacturing facilities in Israel and one in the U.S. with additional capacity available in China through manufacturing partnerships. For more information, please visit </w:t>
      </w:r>
      <w:r>
        <w:rPr>
          <w:rFonts w:ascii="Arial" w:cs="Arial" w:eastAsia="Arial" w:hAnsi="Arial"/>
          <w:sz w:val="15"/>
          <w:szCs w:val="15"/>
          <w:u w:val="single" w:color="auto"/>
          <w:color w:val="auto"/>
        </w:rPr>
        <w:t>www.towerjazz.com</w:t>
      </w:r>
      <w:r>
        <w:rPr>
          <w:rFonts w:ascii="Arial" w:cs="Arial" w:eastAsia="Arial" w:hAnsi="Arial"/>
          <w:sz w:val="15"/>
          <w:szCs w:val="15"/>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 and/or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 ion contained in this release.</w:t>
      </w:r>
    </w:p>
    <w:p>
      <w:pPr>
        <w:spacing w:after="0" w:line="21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i w:val="1"/>
          <w:iCs w:val="1"/>
          <w:color w:val="auto"/>
        </w:rPr>
        <w:t>Cadence and Virtuoso are registered trademarks, and the Cadence logo is a trademark of Cadence Design Systems, Inc. in the U.S. and other countries. All other marks are properties of their respective holders.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760" w:type="dxa"/>
            <w:vAlign w:val="bottom"/>
            <w:gridSpan w:val="2"/>
          </w:tcPr>
          <w:p>
            <w:pPr>
              <w:jc w:val="right"/>
              <w:ind w:right="1752"/>
              <w:spacing w:after="0"/>
              <w:rPr>
                <w:sz w:val="20"/>
                <w:szCs w:val="20"/>
                <w:color w:val="auto"/>
              </w:rPr>
            </w:pPr>
            <w:r>
              <w:rPr>
                <w:rFonts w:ascii="Arial" w:cs="Arial" w:eastAsia="Arial" w:hAnsi="Arial"/>
                <w:sz w:val="18"/>
                <w:szCs w:val="18"/>
                <w:color w:val="auto"/>
              </w:rPr>
              <w:t>###</w:t>
            </w:r>
          </w:p>
        </w:tc>
        <w:tc>
          <w:tcPr>
            <w:tcW w:w="3740" w:type="dxa"/>
            <w:vAlign w:val="bottom"/>
          </w:tcPr>
          <w:p>
            <w:pPr>
              <w:spacing w:after="0"/>
              <w:rPr>
                <w:sz w:val="19"/>
                <w:szCs w:val="19"/>
                <w:color w:val="auto"/>
              </w:rPr>
            </w:pPr>
          </w:p>
        </w:tc>
      </w:tr>
      <w:tr>
        <w:trPr>
          <w:trHeight w:val="439"/>
        </w:trPr>
        <w:tc>
          <w:tcPr>
            <w:tcW w:w="3920" w:type="dxa"/>
            <w:vAlign w:val="bottom"/>
            <w:gridSpan w:val="3"/>
          </w:tcPr>
          <w:p>
            <w:pPr>
              <w:spacing w:after="0"/>
              <w:rPr>
                <w:sz w:val="20"/>
                <w:szCs w:val="20"/>
                <w:color w:val="auto"/>
              </w:rPr>
            </w:pPr>
            <w:r>
              <w:rPr>
                <w:rFonts w:ascii="Arial" w:cs="Arial" w:eastAsia="Arial" w:hAnsi="Arial"/>
                <w:sz w:val="18"/>
                <w:szCs w:val="18"/>
                <w:b w:val="1"/>
                <w:bCs w:val="1"/>
                <w:color w:val="auto"/>
              </w:rPr>
              <w:t>Company Contact:</w:t>
            </w:r>
          </w:p>
        </w:tc>
        <w:tc>
          <w:tcPr>
            <w:tcW w:w="7500" w:type="dxa"/>
            <w:vAlign w:val="bottom"/>
            <w:gridSpan w:val="3"/>
          </w:tcPr>
          <w:p>
            <w:pPr>
              <w:ind w:left="1800"/>
              <w:spacing w:after="0"/>
              <w:rPr>
                <w:sz w:val="20"/>
                <w:szCs w:val="20"/>
                <w:color w:val="auto"/>
              </w:rPr>
            </w:pPr>
            <w:r>
              <w:rPr>
                <w:rFonts w:ascii="Arial" w:cs="Arial" w:eastAsia="Arial" w:hAnsi="Arial"/>
                <w:sz w:val="18"/>
                <w:szCs w:val="18"/>
                <w:b w:val="1"/>
                <w:bCs w:val="1"/>
                <w:color w:val="auto"/>
              </w:rPr>
              <w:t>Media Contact:</w:t>
            </w:r>
          </w:p>
        </w:tc>
      </w:tr>
      <w:tr>
        <w:trPr>
          <w:trHeight w:val="212"/>
        </w:trPr>
        <w:tc>
          <w:tcPr>
            <w:tcW w:w="3920" w:type="dxa"/>
            <w:vAlign w:val="bottom"/>
            <w:gridSpan w:val="3"/>
          </w:tcPr>
          <w:p>
            <w:pPr>
              <w:spacing w:after="0"/>
              <w:rPr>
                <w:sz w:val="20"/>
                <w:szCs w:val="20"/>
                <w:color w:val="auto"/>
              </w:rPr>
            </w:pPr>
            <w:r>
              <w:rPr>
                <w:rFonts w:ascii="Arial" w:cs="Arial" w:eastAsia="Arial" w:hAnsi="Arial"/>
                <w:sz w:val="18"/>
                <w:szCs w:val="18"/>
                <w:color w:val="auto"/>
              </w:rPr>
              <w:t>Melinda Jarrell</w:t>
            </w:r>
          </w:p>
        </w:tc>
        <w:tc>
          <w:tcPr>
            <w:tcW w:w="7500" w:type="dxa"/>
            <w:vAlign w:val="bottom"/>
            <w:gridSpan w:val="3"/>
          </w:tcPr>
          <w:p>
            <w:pPr>
              <w:ind w:left="1800"/>
              <w:spacing w:after="0"/>
              <w:rPr>
                <w:sz w:val="20"/>
                <w:szCs w:val="20"/>
                <w:color w:val="auto"/>
              </w:rPr>
            </w:pPr>
            <w:r>
              <w:rPr>
                <w:rFonts w:ascii="Arial" w:cs="Arial" w:eastAsia="Arial" w:hAnsi="Arial"/>
                <w:sz w:val="18"/>
                <w:szCs w:val="18"/>
                <w:color w:val="auto"/>
              </w:rPr>
              <w:t>Lauri Julian</w:t>
            </w:r>
          </w:p>
        </w:tc>
      </w:tr>
      <w:tr>
        <w:trPr>
          <w:trHeight w:val="212"/>
        </w:trPr>
        <w:tc>
          <w:tcPr>
            <w:tcW w:w="1780" w:type="dxa"/>
            <w:vAlign w:val="bottom"/>
          </w:tcPr>
          <w:p>
            <w:pPr>
              <w:spacing w:after="0"/>
              <w:rPr>
                <w:sz w:val="20"/>
                <w:szCs w:val="20"/>
                <w:color w:val="auto"/>
              </w:rPr>
            </w:pPr>
            <w:r>
              <w:rPr>
                <w:rFonts w:ascii="Arial" w:cs="Arial" w:eastAsia="Arial" w:hAnsi="Arial"/>
                <w:sz w:val="18"/>
                <w:szCs w:val="18"/>
                <w:color w:val="auto"/>
              </w:rPr>
              <w:t>949/435-8181</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760" w:type="dxa"/>
            <w:vAlign w:val="bottom"/>
            <w:gridSpan w:val="2"/>
          </w:tcPr>
          <w:p>
            <w:pPr>
              <w:ind w:left="1800"/>
              <w:spacing w:after="0"/>
              <w:rPr>
                <w:sz w:val="20"/>
                <w:szCs w:val="20"/>
                <w:color w:val="auto"/>
              </w:rPr>
            </w:pPr>
            <w:r>
              <w:rPr>
                <w:rFonts w:ascii="Arial" w:cs="Arial" w:eastAsia="Arial" w:hAnsi="Arial"/>
                <w:sz w:val="18"/>
                <w:szCs w:val="18"/>
                <w:color w:val="auto"/>
              </w:rPr>
              <w:t>949/715-3049</w:t>
            </w:r>
          </w:p>
        </w:tc>
        <w:tc>
          <w:tcPr>
            <w:tcW w:w="3740" w:type="dxa"/>
            <w:vAlign w:val="bottom"/>
          </w:tcPr>
          <w:p>
            <w:pPr>
              <w:spacing w:after="0"/>
              <w:rPr>
                <w:sz w:val="18"/>
                <w:szCs w:val="18"/>
                <w:color w:val="auto"/>
              </w:rPr>
            </w:pPr>
          </w:p>
        </w:tc>
      </w:tr>
      <w:tr>
        <w:trPr>
          <w:trHeight w:val="185"/>
        </w:trPr>
        <w:tc>
          <w:tcPr>
            <w:tcW w:w="2240" w:type="dxa"/>
            <w:vAlign w:val="bottom"/>
            <w:gridSpan w:val="2"/>
          </w:tcPr>
          <w:p>
            <w:pPr>
              <w:spacing w:after="0" w:line="185" w:lineRule="exact"/>
              <w:rPr>
                <w:sz w:val="20"/>
                <w:szCs w:val="20"/>
                <w:color w:val="auto"/>
              </w:rPr>
            </w:pPr>
            <w:r>
              <w:rPr>
                <w:rFonts w:ascii="Arial" w:cs="Arial" w:eastAsia="Arial" w:hAnsi="Arial"/>
                <w:sz w:val="18"/>
                <w:szCs w:val="18"/>
                <w:color w:val="auto"/>
                <w:w w:val="90"/>
              </w:rPr>
              <w:t>melinda.jarrell@towerjazz.com</w:t>
            </w:r>
          </w:p>
        </w:tc>
        <w:tc>
          <w:tcPr>
            <w:tcW w:w="16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700" w:type="dxa"/>
            <w:vAlign w:val="bottom"/>
            <w:gridSpan w:val="2"/>
          </w:tcPr>
          <w:p>
            <w:pPr>
              <w:spacing w:after="0" w:line="185" w:lineRule="exact"/>
              <w:rPr>
                <w:sz w:val="20"/>
                <w:szCs w:val="20"/>
                <w:color w:val="auto"/>
              </w:rPr>
            </w:pPr>
            <w:r>
              <w:rPr>
                <w:rFonts w:ascii="Arial" w:cs="Arial" w:eastAsia="Arial" w:hAnsi="Arial"/>
                <w:sz w:val="18"/>
                <w:szCs w:val="18"/>
                <w:color w:val="auto"/>
              </w:rPr>
              <w:t>lauri.julian@towerjazz.com</w:t>
            </w:r>
          </w:p>
        </w:tc>
      </w:tr>
      <w:tr>
        <w:trPr>
          <w:trHeight w:val="432"/>
        </w:trPr>
        <w:tc>
          <w:tcPr>
            <w:tcW w:w="22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Investor Relations Contact:</w:t>
            </w:r>
          </w:p>
        </w:tc>
        <w:tc>
          <w:tcPr>
            <w:tcW w:w="1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3740" w:type="dxa"/>
            <w:vAlign w:val="bottom"/>
          </w:tcPr>
          <w:p>
            <w:pPr>
              <w:spacing w:after="0"/>
              <w:rPr>
                <w:sz w:val="24"/>
                <w:szCs w:val="24"/>
                <w:color w:val="auto"/>
              </w:rPr>
            </w:pPr>
          </w:p>
        </w:tc>
      </w:tr>
      <w:tr>
        <w:trPr>
          <w:trHeight w:val="212"/>
        </w:trPr>
        <w:tc>
          <w:tcPr>
            <w:tcW w:w="3920" w:type="dxa"/>
            <w:vAlign w:val="bottom"/>
            <w:gridSpan w:val="3"/>
          </w:tcPr>
          <w:p>
            <w:pPr>
              <w:spacing w:after="0"/>
              <w:rPr>
                <w:sz w:val="20"/>
                <w:szCs w:val="20"/>
                <w:color w:val="auto"/>
              </w:rPr>
            </w:pPr>
            <w:r>
              <w:rPr>
                <w:rFonts w:ascii="Arial" w:cs="Arial" w:eastAsia="Arial" w:hAnsi="Arial"/>
                <w:sz w:val="18"/>
                <w:szCs w:val="18"/>
                <w:color w:val="auto"/>
              </w:rPr>
              <w:t>Levi Noit</w:t>
            </w:r>
          </w:p>
        </w:tc>
        <w:tc>
          <w:tcPr>
            <w:tcW w:w="1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12"/>
        </w:trPr>
        <w:tc>
          <w:tcPr>
            <w:tcW w:w="1780" w:type="dxa"/>
            <w:vAlign w:val="bottom"/>
          </w:tcPr>
          <w:p>
            <w:pPr>
              <w:spacing w:after="0"/>
              <w:rPr>
                <w:sz w:val="20"/>
                <w:szCs w:val="20"/>
                <w:color w:val="auto"/>
              </w:rPr>
            </w:pPr>
            <w:r>
              <w:rPr>
                <w:rFonts w:ascii="Arial" w:cs="Arial" w:eastAsia="Arial" w:hAnsi="Arial"/>
                <w:sz w:val="18"/>
                <w:szCs w:val="18"/>
                <w:color w:val="auto"/>
              </w:rPr>
              <w:t>+972 4 604 7066</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185"/>
        </w:trPr>
        <w:tc>
          <w:tcPr>
            <w:tcW w:w="3920" w:type="dxa"/>
            <w:vAlign w:val="bottom"/>
            <w:gridSpan w:val="3"/>
          </w:tcPr>
          <w:p>
            <w:pPr>
              <w:spacing w:after="0" w:line="185" w:lineRule="exact"/>
              <w:rPr>
                <w:sz w:val="20"/>
                <w:szCs w:val="20"/>
                <w:color w:val="auto"/>
              </w:rPr>
            </w:pPr>
            <w:r>
              <w:rPr>
                <w:rFonts w:ascii="Arial" w:cs="Arial" w:eastAsia="Arial" w:hAnsi="Arial"/>
                <w:sz w:val="18"/>
                <w:szCs w:val="18"/>
                <w:color w:val="auto"/>
              </w:rPr>
              <w:t>noit.levi@towerjazz.com</w:t>
            </w:r>
          </w:p>
        </w:tc>
        <w:tc>
          <w:tcPr>
            <w:tcW w:w="18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374"/>
        </w:trPr>
        <w:tc>
          <w:tcPr>
            <w:tcW w:w="17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70"/>
        </w:trPr>
        <w:tc>
          <w:tcPr>
            <w:tcW w:w="1780" w:type="dxa"/>
            <w:vAlign w:val="bottom"/>
            <w:shd w:val="clear" w:color="auto" w:fill="808080"/>
          </w:tcPr>
          <w:p>
            <w:pPr>
              <w:spacing w:after="0"/>
              <w:rPr>
                <w:sz w:val="6"/>
                <w:szCs w:val="6"/>
                <w:color w:val="auto"/>
              </w:rPr>
            </w:pPr>
          </w:p>
        </w:tc>
        <w:tc>
          <w:tcPr>
            <w:tcW w:w="460" w:type="dxa"/>
            <w:vAlign w:val="bottom"/>
            <w:shd w:val="clear" w:color="auto" w:fill="808080"/>
          </w:tcPr>
          <w:p>
            <w:pPr>
              <w:spacing w:after="0"/>
              <w:rPr>
                <w:sz w:val="6"/>
                <w:szCs w:val="6"/>
                <w:color w:val="auto"/>
              </w:rPr>
            </w:pPr>
          </w:p>
        </w:tc>
        <w:tc>
          <w:tcPr>
            <w:tcW w:w="1680" w:type="dxa"/>
            <w:vAlign w:val="bottom"/>
            <w:shd w:val="clear" w:color="auto" w:fill="808080"/>
          </w:tcPr>
          <w:p>
            <w:pPr>
              <w:spacing w:after="0"/>
              <w:rPr>
                <w:sz w:val="6"/>
                <w:szCs w:val="6"/>
                <w:color w:val="auto"/>
              </w:rPr>
            </w:pPr>
          </w:p>
        </w:tc>
        <w:tc>
          <w:tcPr>
            <w:tcW w:w="1800" w:type="dxa"/>
            <w:vAlign w:val="bottom"/>
            <w:shd w:val="clear" w:color="auto" w:fill="808080"/>
          </w:tcPr>
          <w:p>
            <w:pPr>
              <w:spacing w:after="0"/>
              <w:rPr>
                <w:sz w:val="6"/>
                <w:szCs w:val="6"/>
                <w:color w:val="auto"/>
              </w:rPr>
            </w:pPr>
          </w:p>
        </w:tc>
        <w:tc>
          <w:tcPr>
            <w:tcW w:w="1960" w:type="dxa"/>
            <w:vAlign w:val="bottom"/>
            <w:shd w:val="clear" w:color="auto" w:fill="808080"/>
          </w:tcPr>
          <w:p>
            <w:pPr>
              <w:spacing w:after="0"/>
              <w:rPr>
                <w:sz w:val="6"/>
                <w:szCs w:val="6"/>
                <w:color w:val="auto"/>
              </w:rPr>
            </w:pPr>
          </w:p>
        </w:tc>
        <w:tc>
          <w:tcPr>
            <w:tcW w:w="374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4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2019-12-10T12:36:06Z</dcterms:created>
  <dcterms:modified xsi:type="dcterms:W3CDTF">2019-12-10T12:36:06Z</dcterms:modified>
</cp:coreProperties>
</file>