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AMENDMENTS THERETO FILED PURSUANT TO RULE 13d-2(b)</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28575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2" w:lineRule="exact"/>
        <w:rPr>
          <w:sz w:val="24"/>
          <w:szCs w:val="24"/>
          <w:color w:val="auto"/>
        </w:rPr>
      </w:pPr>
    </w:p>
    <w:p>
      <w:pPr>
        <w:ind w:left="860" w:hanging="204"/>
        <w:spacing w:after="0"/>
        <w:tabs>
          <w:tab w:leader="none" w:pos="8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Rule 13d-1(b)</w:t>
      </w:r>
    </w:p>
    <w:p>
      <w:pPr>
        <w:spacing w:after="0" w:line="204" w:lineRule="exact"/>
        <w:rPr>
          <w:sz w:val="24"/>
          <w:szCs w:val="24"/>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Rule 13d-1(c)</w:t>
      </w:r>
    </w:p>
    <w:p>
      <w:pPr>
        <w:spacing w:after="0" w:line="218" w:lineRule="exact"/>
        <w:rPr>
          <w:sz w:val="24"/>
          <w:szCs w:val="24"/>
          <w:color w:val="auto"/>
        </w:rPr>
      </w:pPr>
    </w:p>
    <w:p>
      <w:pPr>
        <w:ind w:left="860" w:hanging="204"/>
        <w:spacing w:after="0"/>
        <w:tabs>
          <w:tab w:leader="none" w:pos="86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Rule 13d-1(d)</w:t>
      </w:r>
    </w:p>
    <w:p>
      <w:pPr>
        <w:spacing w:after="0" w:line="211" w:lineRule="exact"/>
        <w:rPr>
          <w:rFonts w:ascii="Arial" w:cs="Arial" w:eastAsia="Arial" w:hAnsi="Arial"/>
          <w:sz w:val="18"/>
          <w:szCs w:val="18"/>
          <w:color w:val="auto"/>
        </w:rPr>
      </w:pPr>
    </w:p>
    <w:p>
      <w:pPr>
        <w:ind w:left="180" w:hanging="162"/>
        <w:spacing w:after="0" w:line="297" w:lineRule="auto"/>
        <w:rPr>
          <w:rFonts w:ascii="Arial" w:cs="Arial" w:eastAsia="Arial" w:hAnsi="Arial"/>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rFonts w:ascii="Arial" w:cs="Arial" w:eastAsia="Arial" w:hAnsi="Arial"/>
          <w:sz w:val="18"/>
          <w:szCs w:val="18"/>
          <w:color w:val="auto"/>
        </w:rPr>
      </w:pPr>
    </w:p>
    <w:p>
      <w:pPr>
        <w:jc w:val="both"/>
        <w:ind w:left="180"/>
        <w:spacing w:after="0" w:line="274" w:lineRule="auto"/>
        <w:rPr>
          <w:rFonts w:ascii="Arial" w:cs="Arial" w:eastAsia="Arial" w:hAnsi="Arial"/>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M87915274</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40" w:type="dxa"/>
            <w:vAlign w:val="bottom"/>
            <w:tcBorders>
              <w:top w:val="single" w:sz="8" w:color="auto"/>
              <w:left w:val="single" w:sz="8" w:color="auto"/>
              <w:right w:val="single" w:sz="8" w:color="auto"/>
            </w:tcBorders>
          </w:tcPr>
          <w:p>
            <w:pPr>
              <w:spacing w:after="0"/>
              <w:rPr>
                <w:sz w:val="20"/>
                <w:szCs w:val="20"/>
                <w:color w:val="auto"/>
              </w:rPr>
            </w:pPr>
          </w:p>
        </w:tc>
        <w:tc>
          <w:tcPr>
            <w:tcW w:w="101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1</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40" w:type="dxa"/>
            <w:vAlign w:val="bottom"/>
            <w:tcBorders>
              <w:left w:val="single" w:sz="8" w:color="auto"/>
              <w:right w:val="single" w:sz="8" w:color="auto"/>
            </w:tcBorders>
            <w:vMerge w:val="continue"/>
          </w:tcPr>
          <w:p>
            <w:pPr>
              <w:spacing w:after="0"/>
              <w:rPr>
                <w:sz w:val="21"/>
                <w:szCs w:val="21"/>
                <w:color w:val="auto"/>
              </w:rPr>
            </w:pPr>
          </w:p>
        </w:tc>
        <w:tc>
          <w:tcPr>
            <w:tcW w:w="10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Clal Insurance Enterprises Holdings Ltd.</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940" w:type="dxa"/>
            <w:vAlign w:val="bottom"/>
            <w:tcBorders>
              <w:left w:val="single" w:sz="8" w:color="auto"/>
              <w:right w:val="single" w:sz="8" w:color="auto"/>
            </w:tcBorders>
          </w:tcPr>
          <w:p>
            <w:pPr>
              <w:spacing w:after="0"/>
              <w:rPr>
                <w:sz w:val="12"/>
                <w:szCs w:val="12"/>
                <w:color w:val="auto"/>
              </w:rPr>
            </w:pPr>
          </w:p>
        </w:tc>
        <w:tc>
          <w:tcPr>
            <w:tcW w:w="10180" w:type="dxa"/>
            <w:vAlign w:val="bottom"/>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10180" w:type="dxa"/>
            <w:vAlign w:val="bottom"/>
            <w:tcBorders>
              <w:bottom w:val="single" w:sz="8" w:color="auto"/>
            </w:tcBorders>
            <w:gridSpan w:val="3"/>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2</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8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8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3</w:t>
            </w:r>
          </w:p>
        </w:tc>
        <w:tc>
          <w:tcPr>
            <w:tcW w:w="136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882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82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82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4</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Israel</w:t>
            </w:r>
          </w:p>
        </w:tc>
        <w:tc>
          <w:tcPr>
            <w:tcW w:w="8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color w:val="auto"/>
              </w:rPr>
              <w:t>5</w:t>
            </w: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w:t>
            </w:r>
          </w:p>
        </w:tc>
        <w:tc>
          <w:tcPr>
            <w:tcW w:w="68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color w:val="auto"/>
              </w:rPr>
              <w:t>6</w:t>
            </w: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continue"/>
          </w:tcPr>
          <w:p>
            <w:pPr>
              <w:spacing w:after="0"/>
              <w:rPr>
                <w:sz w:val="19"/>
                <w:szCs w:val="19"/>
                <w:color w:val="auto"/>
              </w:rPr>
            </w:pPr>
          </w:p>
        </w:tc>
        <w:tc>
          <w:tcPr>
            <w:tcW w:w="8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5,862,260 Ordinary Shares *</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9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tcBorders>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8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9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Owned by</w:t>
            </w:r>
          </w:p>
        </w:tc>
        <w:tc>
          <w:tcPr>
            <w:tcW w:w="680" w:type="dxa"/>
            <w:vAlign w:val="bottom"/>
            <w:tcBorders>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940" w:type="dxa"/>
            <w:vAlign w:val="bottom"/>
            <w:tcBorders>
              <w:lef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9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color w:val="auto"/>
              </w:rPr>
              <w:t>7</w:t>
            </w:r>
          </w:p>
        </w:tc>
        <w:tc>
          <w:tcPr>
            <w:tcW w:w="88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940" w:type="dxa"/>
            <w:vAlign w:val="bottom"/>
            <w:tcBorders>
              <w:lef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8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Person With:</w:t>
            </w:r>
          </w:p>
        </w:tc>
        <w:tc>
          <w:tcPr>
            <w:tcW w:w="68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color w:val="auto"/>
              </w:rPr>
              <w:t>8</w:t>
            </w: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5,862,260 Ordinary Shares *</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9</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vMerge w:val="continue"/>
          </w:tcPr>
          <w:p>
            <w:pPr>
              <w:spacing w:after="0"/>
              <w:rPr>
                <w:sz w:val="24"/>
                <w:szCs w:val="24"/>
                <w:color w:val="auto"/>
              </w:rPr>
            </w:pPr>
          </w:p>
        </w:tc>
        <w:tc>
          <w:tcPr>
            <w:tcW w:w="10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5,862,260 Ordinary Shares *</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10</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40" w:type="dxa"/>
            <w:vAlign w:val="bottom"/>
            <w:tcBorders>
              <w:left w:val="single" w:sz="8" w:color="auto"/>
              <w:bottom w:val="single" w:sz="8" w:color="auto"/>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3"/>
              </w:rPr>
              <w:t>11</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8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12</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 :</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8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w:t>
      </w:r>
    </w:p>
    <w:p>
      <w:pPr>
        <w:spacing w:after="0" w:line="27" w:lineRule="exact"/>
        <w:rPr>
          <w:sz w:val="20"/>
          <w:szCs w:val="20"/>
          <w:color w:val="auto"/>
        </w:rPr>
      </w:pPr>
    </w:p>
    <w:p>
      <w:pPr>
        <w:ind w:firstLine="8"/>
        <w:spacing w:after="0" w:line="276" w:lineRule="auto"/>
        <w:tabs>
          <w:tab w:leader="none" w:pos="2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110,054,848 Ordinary Shares outstanding as of March 31, 2023 (as reported by the Issuer in Exhibit 99.1 to its report on Form 6-K filed with the Securities and Exchange Commission on May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43" w:lineRule="exact"/>
        <w:rPr>
          <w:sz w:val="20"/>
          <w:szCs w:val="20"/>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TOWER SEMICONDUCTOR LTD. (the “Issuer”).</w:t>
      </w:r>
    </w:p>
    <w:p>
      <w:pPr>
        <w:spacing w:after="0" w:line="238"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Ramat Gavriel Industrial Park, P.O. Box 619, Migdal Haemek, 23105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820" w:hanging="812"/>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38" w:lineRule="exact"/>
        <w:rPr>
          <w:rFonts w:ascii="Times New Roman" w:cs="Times New Roman" w:eastAsia="Times New Roman" w:hAnsi="Times New Roman"/>
          <w:sz w:val="18"/>
          <w:szCs w:val="18"/>
          <w:color w:val="auto"/>
        </w:rPr>
      </w:pPr>
    </w:p>
    <w:p>
      <w:pPr>
        <w:ind w:left="820" w:right="1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Clal Insurance Enterprises Holdings Ltd. (“Clal” or the “Reporting Person”). Clal, an Israeli public corporation, may be deemed to beneficially own the Ordinary Shares reported in this Statement. See Item 4.</w:t>
      </w:r>
    </w:p>
    <w:p>
      <w:pPr>
        <w:spacing w:after="0" w:line="162"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Offices or, if none, Residence:</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Clal Insurance Enterprises Holdings Ltd. – 36 Raul Walenberg St., Tel Aviv 66180, Israel</w:t>
      </w:r>
    </w:p>
    <w:p>
      <w:pPr>
        <w:spacing w:after="0" w:line="252" w:lineRule="exact"/>
        <w:rPr>
          <w:rFonts w:ascii="Times New Roman" w:cs="Times New Roman" w:eastAsia="Times New Roman" w:hAnsi="Times New Roman"/>
          <w:sz w:val="18"/>
          <w:szCs w:val="18"/>
          <w:color w:val="auto"/>
        </w:rPr>
      </w:pPr>
    </w:p>
    <w:p>
      <w:pPr>
        <w:ind w:left="820" w:right="8800" w:hanging="812"/>
        <w:spacing w:after="0" w:line="51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Organization: Israel.</w:t>
      </w:r>
    </w:p>
    <w:p>
      <w:pPr>
        <w:ind w:left="820" w:hanging="812"/>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38"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NIS 15.00 per share (the “Ordinary Shares”).</w:t>
      </w:r>
    </w:p>
    <w:p>
      <w:pPr>
        <w:spacing w:after="0" w:line="238" w:lineRule="exact"/>
        <w:rPr>
          <w:rFonts w:ascii="Times New Roman" w:cs="Times New Roman" w:eastAsia="Times New Roman" w:hAnsi="Times New Roman"/>
          <w:sz w:val="18"/>
          <w:szCs w:val="18"/>
          <w:color w:val="auto"/>
        </w:rPr>
      </w:pPr>
    </w:p>
    <w:p>
      <w:pPr>
        <w:ind w:left="820" w:right="9220" w:hanging="812"/>
        <w:spacing w:after="0" w:line="514"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M87915274</w:t>
      </w: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Rules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Of the 5,862,260 Ordinary Shares reported in this Statement as beneficially owned by Clal, (i) 151,264 Ordinary Shares are beneficially held for its own account and (ii) 5,710,996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this Statement shall not be construed as an admission by Clal, that it is the beneficial owner of more than 151,264 Ordinary Shares covered by this Statement.</w:t>
      </w:r>
    </w:p>
    <w:p>
      <w:pPr>
        <w:spacing w:after="0" w:line="186"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Except as set forth above, see items 5-11 of the cover page hereto for beneficial ownership, percentage of class and dispositive power of the Reporting Person, which are incorporated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229" w:lineRule="exact"/>
        <w:rPr>
          <w:sz w:val="20"/>
          <w:szCs w:val="20"/>
          <w:color w:val="auto"/>
        </w:rPr>
      </w:pPr>
    </w:p>
    <w:p>
      <w:pPr>
        <w:ind w:left="660"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right="24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56" w:lineRule="exact"/>
        <w:rPr>
          <w:sz w:val="20"/>
          <w:szCs w:val="20"/>
          <w:color w:val="auto"/>
        </w:rPr>
      </w:pPr>
    </w:p>
    <w:p>
      <w:pPr>
        <w:ind w:left="660" w:right="120"/>
        <w:spacing w:after="0" w:line="27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47" w:right="339" w:bottom="0" w:gutter="0" w:footer="0" w:header="0"/>
        </w:sectPr>
      </w:pPr>
    </w:p>
    <w:bookmarkStart w:id="3" w:name="page4"/>
    <w:bookmarkEnd w:id="3"/>
    <w:p>
      <w:pPr>
        <w:spacing w:after="0" w:line="27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CLAL INSURANCE ENTERPRISES HOLDINGS LTD.</w:t>
      </w:r>
    </w:p>
    <w:p>
      <w:pPr>
        <w:spacing w:after="0" w:line="239" w:lineRule="exact"/>
        <w:rPr>
          <w:sz w:val="20"/>
          <w:szCs w:val="20"/>
          <w:color w:val="auto"/>
        </w:rPr>
      </w:pPr>
    </w:p>
    <w:p>
      <w:pPr>
        <w:ind w:left="5620"/>
        <w:spacing w:after="0"/>
        <w:tabs>
          <w:tab w:leader="none" w:pos="7500" w:val="left"/>
        </w:tabs>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Eran Czerninski</w:t>
      </w:r>
      <w:r>
        <w:rPr>
          <w:sz w:val="20"/>
          <w:szCs w:val="20"/>
          <w:color w:val="auto"/>
        </w:rPr>
        <w:tab/>
      </w:r>
      <w:r>
        <w:rPr>
          <w:rFonts w:ascii="Times New Roman" w:cs="Times New Roman" w:eastAsia="Times New Roman" w:hAnsi="Times New Roman"/>
          <w:sz w:val="17"/>
          <w:szCs w:val="17"/>
          <w:u w:val="single" w:color="auto"/>
          <w:color w:val="auto"/>
        </w:rPr>
        <w:t>/s/ Barak Benski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Eran  Czerninski  and  Barak  Benski,  authorized  signatories  of  CLAL</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INSURANCE ENTERPRISES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2024-02-14T14:16:42Z</dcterms:created>
  <dcterms:modified xsi:type="dcterms:W3CDTF">2024-02-14T14:16:42Z</dcterms:modified>
</cp:coreProperties>
</file>