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4"/>
          <w:szCs w:val="24"/>
          <w:b w:val="1"/>
          <w:bCs w:val="1"/>
          <w:color w:val="auto"/>
        </w:rPr>
        <w:t>FORM 6-K</w:t>
      </w:r>
    </w:p>
    <w:p>
      <w:pPr>
        <w:spacing w:after="0" w:line="313" w:lineRule="exact"/>
        <w:rPr>
          <w:sz w:val="24"/>
          <w:szCs w:val="24"/>
          <w:color w:val="auto"/>
        </w:rPr>
      </w:pPr>
    </w:p>
    <w:p>
      <w:pPr>
        <w:jc w:val="center"/>
        <w:ind w:right="-39"/>
        <w:spacing w:after="0"/>
        <w:rPr>
          <w:sz w:val="20"/>
          <w:szCs w:val="20"/>
          <w:color w:val="auto"/>
        </w:rPr>
      </w:pPr>
      <w:r>
        <w:rPr>
          <w:rFonts w:ascii="Arial" w:cs="Arial" w:eastAsia="Arial" w:hAnsi="Arial"/>
          <w:sz w:val="24"/>
          <w:szCs w:val="24"/>
          <w:color w:val="auto"/>
        </w:rPr>
        <w:t>SECURITIES AND EXCHANGE COMMISSION</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February 2009 No. 3</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6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140" w:firstLine="351"/>
        <w:spacing w:after="0" w:line="268" w:lineRule="auto"/>
        <w:rPr>
          <w:sz w:val="20"/>
          <w:szCs w:val="20"/>
          <w:color w:val="auto"/>
        </w:rPr>
      </w:pPr>
      <w:r>
        <w:rPr>
          <w:rFonts w:ascii="Arial" w:cs="Arial" w:eastAsia="Arial" w:hAnsi="Arial"/>
          <w:sz w:val="18"/>
          <w:szCs w:val="18"/>
          <w:color w:val="auto"/>
        </w:rPr>
        <w:t>On February 11, 2009, the registrant announced Tower Semiconductor and Triune Systems to collaborate on power management platform.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Date: February 11, 2009</w:t>
      </w:r>
    </w:p>
    <w:p>
      <w:pPr>
        <w:spacing w:after="0" w:line="15"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By: /s/ Nati Somekh Gilboa</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TOWER SEMICONDUCTOR AND TRIUNE SYSTEMS TO COLLABORATE ON POWER</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 PLATFORM</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Tower’s Leading Flash Technology Combined with Triune Systems’ Power Management</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Design Expertise will Enable Extremely High Valued ICs and IP</w:t>
      </w:r>
    </w:p>
    <w:p>
      <w:pPr>
        <w:spacing w:after="0" w:line="21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High Volume Production of Co-Developed Products Expected to Commence H2 2009</w:t>
      </w:r>
    </w:p>
    <w:p>
      <w:pPr>
        <w:spacing w:after="0" w:line="225" w:lineRule="exact"/>
        <w:rPr>
          <w:sz w:val="24"/>
          <w:szCs w:val="24"/>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MIGDAL HAEMEK, Israel and RICHARDSON, Texas, February 11, 2009 </w:t>
      </w:r>
      <w:r>
        <w:rPr>
          <w:rFonts w:ascii="Arial" w:cs="Arial" w:eastAsia="Arial" w:hAnsi="Arial"/>
          <w:sz w:val="16"/>
          <w:szCs w:val="16"/>
          <w:color w:val="auto"/>
        </w:rPr>
        <w:t>– Tower Semiconductor Ltd. (NASDAQ:</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TSEM</w:t>
      </w:r>
      <w:r>
        <w:rPr>
          <w:rFonts w:ascii="Arial" w:cs="Arial" w:eastAsia="Arial" w:hAnsi="Arial"/>
          <w:sz w:val="16"/>
          <w:szCs w:val="16"/>
          <w:color w:val="auto"/>
        </w:rPr>
        <w:t>, TASE: TSEM), an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specialty foundry, and Triune Systems LLC, an IC design and test development provider, today announced an agreement to collaborate on developing the most complete power management platform in the industry. Through this collaboration, the companies will jointly design and develop intellectual property (IP) for Tower’s 0.18-micron Bipolar-CMOS-DMOS (BCD) process to deliver a family of low and high voltage power management products and IP for a variety of applications to enable faster design cycles and lower cost designs. In particular, the companies will design and develop zero mask adder non-volatile memory blocks, based on Tower’s patented Y-Flash technology, suitable specifically for 5V operation on high voltage platforms. High volume production for the co-developed high voltage power management products is expected to commence in the second half of 2009.</w:t>
      </w:r>
    </w:p>
    <w:p>
      <w:pPr>
        <w:spacing w:after="0" w:line="173" w:lineRule="exact"/>
        <w:rPr>
          <w:sz w:val="24"/>
          <w:szCs w:val="24"/>
          <w:color w:val="auto"/>
        </w:rPr>
      </w:pPr>
    </w:p>
    <w:p>
      <w:pPr>
        <w:ind w:right="20"/>
        <w:spacing w:after="0" w:line="294" w:lineRule="auto"/>
        <w:rPr>
          <w:sz w:val="20"/>
          <w:szCs w:val="20"/>
          <w:color w:val="auto"/>
        </w:rPr>
      </w:pPr>
      <w:r>
        <w:rPr>
          <w:rFonts w:ascii="Arial" w:cs="Arial" w:eastAsia="Arial" w:hAnsi="Arial"/>
          <w:sz w:val="16"/>
          <w:szCs w:val="16"/>
          <w:color w:val="auto"/>
        </w:rPr>
        <w:t>VDC Research forecasts worldwide shipment of power management ICs to grow more than 10% annually through 2012. In order to meet customer demand for power supplies in consumer, medical, industrial and automotive applications, Tower’s process technology combined with Triune Systems’ IP will provide a complete power management platform. Through this alliance, Triune Systems has become a Tower-Authorized-Design-Center (TADC). The company is well-suited for this endeavor with expertise in power management, signal conditioning, and mixed-signal System-on-Chip (SoC) development and years of experience working on catalog and custom devices for the specific markets Tower and Triune Systems are targeting.</w:t>
      </w:r>
    </w:p>
    <w:p>
      <w:pPr>
        <w:spacing w:after="0" w:line="170" w:lineRule="exact"/>
        <w:rPr>
          <w:sz w:val="24"/>
          <w:szCs w:val="24"/>
          <w:color w:val="auto"/>
        </w:rPr>
      </w:pPr>
    </w:p>
    <w:p>
      <w:pPr>
        <w:ind w:right="40"/>
        <w:spacing w:after="0" w:line="256" w:lineRule="auto"/>
        <w:rPr>
          <w:sz w:val="20"/>
          <w:szCs w:val="20"/>
          <w:color w:val="auto"/>
        </w:rPr>
      </w:pPr>
      <w:r>
        <w:rPr>
          <w:rFonts w:ascii="Arial" w:cs="Arial" w:eastAsia="Arial" w:hAnsi="Arial"/>
          <w:sz w:val="18"/>
          <w:szCs w:val="18"/>
          <w:color w:val="auto"/>
        </w:rPr>
        <w:t>“As a Tower-Authorized-Design-Center, Triune Systems’ expertise in design and IP development will further enhance our power management platform to allow for faster design cycles and lower cost designs,” said Dr. Avi Strum, specialty business unit vice president, Tower Semiconductor. “The collaboration with Triune Systems and its contribution to the design of the scalable Y-Flash based NVM blocks will complement our business strategy and core competencies in the consumer, medical, industrial and automotive markets.”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908" w:orient="portrait"/>
          <w:cols w:equalWidth="0" w:num="1">
            <w:col w:w="11380"/>
          </w:cols>
          <w:pgMar w:left="240" w:top="476" w:right="279" w:bottom="0" w:gutter="0" w:footer="0" w:header="0"/>
        </w:sectPr>
      </w:pPr>
    </w:p>
    <w:bookmarkStart w:id="1" w:name="page2"/>
    <w:bookmarkEnd w:id="1"/>
    <w:p>
      <w:pPr>
        <w:ind w:right="3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10795"/>
                    </a:xfrm>
                    <a:prstGeom prst="rect">
                      <a:avLst/>
                    </a:prstGeom>
                    <a:noFill/>
                  </pic:spPr>
                </pic:pic>
              </a:graphicData>
            </a:graphic>
          </wp:anchor>
        </w:drawing>
        <w:t>“Based on Triune Systems’ experience in power management IP development, we believe the Tower BCD process offers great flexibility along with cost effectiveness. Specifically, the integration of cost-effective NVM into the Tower BCD process provides significant differentiation which will enable the enhancement of power management solutions. We are looking forward to leveraging the strengths of both companies,” said Ross Teggatz, president of Triune Systems.</w:t>
      </w:r>
    </w:p>
    <w:p>
      <w:pPr>
        <w:spacing w:after="0" w:line="197"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Tower’s .18um/.5um Bipolar-CMOS-DMOS (BCD) process platform is highly modular offering a very dense 5V-only option on .18um design rules, a Low Rdson LDMOS portfolio with 5V gate drive capability, and up to 60V operating with an 80V breakdown voltage. In addition, there is an option to add dense</w:t>
      </w:r>
    </w:p>
    <w:p>
      <w:pPr>
        <w:ind w:right="60"/>
        <w:spacing w:after="0" w:line="292" w:lineRule="auto"/>
        <w:rPr>
          <w:sz w:val="20"/>
          <w:szCs w:val="20"/>
          <w:color w:val="auto"/>
        </w:rPr>
      </w:pPr>
      <w:r>
        <w:rPr>
          <w:rFonts w:ascii="Arial" w:cs="Arial" w:eastAsia="Arial" w:hAnsi="Arial"/>
          <w:sz w:val="16"/>
          <w:szCs w:val="16"/>
          <w:color w:val="auto"/>
        </w:rPr>
        <w:t>.18um CMOS fully compatible with Tower’s .18um CMOS platform, including a cell library, I/Os, and complex IP blocks. The process comes with a full suite of analog components including complementary bipolar, MIM caps, high sheet resistors, Zeners and Schottky diodes. Tower provides embedded non-volatile memory (NVM) on its power management BCD advanced logic process with full flash capability from 32 bit to 1 mega bit at no additional cost in process complexity (mask count). Triune Systems is also collaborating with Tower on the design and qualification of NVM blocks that utilize this proprietary technology. Array sizes are up to five times smaller than other competitive solutions and can be built using only one gate oxide allowing for ultra low cost designs.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w:t>
      </w:r>
    </w:p>
    <w:p>
      <w:pPr>
        <w:spacing w:after="0" w:line="31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Tower Semiconductor Ltd. is a pure-play independent specialty wafer foundry.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Through access to the process portfolio of its wholly owned subsidiary, Jazz Semiconductor, Tower offers RF CMOS, Analog CMOS, Silicon and SiGe BiCMOS, SiGe C-BiCMOS, Power CMOS and High Voltage CMOS. To provide world-class customer service, Tower maintains two manufacturing facilities in Israel with access to Jazz Semiconductor’s fab in the U.S. and manufacturing capacity in China through Jazz’s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Triune Systems</w:t>
      </w:r>
    </w:p>
    <w:p>
      <w:pPr>
        <w:spacing w:after="0" w:line="31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Triune Systems LLC, founded in 2006, is a privately-held company that designs, tests, manufactures, and markets analog integrated circuits (ICs) specializing in mixed-signal power and signal conditioning and System-on-Chip (SoC) circuits. The Company’s highly seasoned and experienced IC development team leverages fabless production and strong supply chain partnerships to provide customers with differentiated products and the best performance, price and value. Triune System’s world-class team has over 200 years of semiconductor experience and over 70 patents in the areas of semiconductor devices, ESD, analog circuits, and high voltage system architecture that have been used in the consumer, industrial, automotive and medical market segments. For more information, please visit </w:t>
      </w:r>
      <w:r>
        <w:rPr>
          <w:rFonts w:ascii="Arial" w:cs="Arial" w:eastAsia="Arial" w:hAnsi="Arial"/>
          <w:sz w:val="18"/>
          <w:szCs w:val="18"/>
          <w:u w:val="single" w:color="auto"/>
          <w:color w:val="auto"/>
        </w:rPr>
        <w:t>www.triunesystems.com</w:t>
      </w:r>
      <w:r>
        <w:rPr>
          <w:rFonts w:ascii="Arial" w:cs="Arial" w:eastAsia="Arial" w:hAnsi="Arial"/>
          <w:sz w:val="18"/>
          <w:szCs w:val="18"/>
          <w:color w:val="auto"/>
        </w:rPr>
        <w: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3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Tower Company Contact:</w:t>
            </w: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Triune Company Contact:</w:t>
            </w: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Melinda Jarrell</w:t>
            </w:r>
          </w:p>
        </w:tc>
        <w:tc>
          <w:tcPr>
            <w:tcW w:w="5700" w:type="dxa"/>
            <w:vAlign w:val="bottom"/>
            <w:gridSpan w:val="2"/>
          </w:tcPr>
          <w:p>
            <w:pPr>
              <w:spacing w:after="0"/>
              <w:rPr>
                <w:sz w:val="20"/>
                <w:szCs w:val="20"/>
                <w:color w:val="auto"/>
              </w:rPr>
            </w:pPr>
            <w:r>
              <w:rPr>
                <w:rFonts w:ascii="Arial" w:cs="Arial" w:eastAsia="Arial" w:hAnsi="Arial"/>
                <w:sz w:val="18"/>
                <w:szCs w:val="18"/>
                <w:color w:val="auto"/>
              </w:rPr>
              <w:t>Amy Smith</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949-435-8181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214-240-2513</w:t>
            </w:r>
          </w:p>
        </w:tc>
        <w:tc>
          <w:tcPr>
            <w:tcW w:w="4000" w:type="dxa"/>
            <w:vAlign w:val="bottom"/>
          </w:tcPr>
          <w:p>
            <w:pPr>
              <w:spacing w:after="0"/>
              <w:rPr>
                <w:sz w:val="18"/>
                <w:szCs w:val="18"/>
                <w:color w:val="auto"/>
              </w:rPr>
            </w:pPr>
          </w:p>
        </w:tc>
      </w:tr>
      <w:tr>
        <w:trPr>
          <w:trHeight w:val="184"/>
        </w:trPr>
        <w:tc>
          <w:tcPr>
            <w:tcW w:w="2160" w:type="dxa"/>
            <w:vAlign w:val="bottom"/>
            <w:tcBorders>
              <w:bottom w:val="single" w:sz="8" w:color="auto"/>
            </w:tcBorders>
            <w:gridSpan w:val="3"/>
          </w:tcPr>
          <w:p>
            <w:pPr>
              <w:spacing w:after="0" w:line="184" w:lineRule="exact"/>
              <w:rPr>
                <w:sz w:val="20"/>
                <w:szCs w:val="20"/>
                <w:color w:val="auto"/>
              </w:rPr>
            </w:pPr>
            <w:r>
              <w:rPr>
                <w:rFonts w:ascii="Arial" w:cs="Arial" w:eastAsia="Arial" w:hAnsi="Arial"/>
                <w:sz w:val="18"/>
                <w:szCs w:val="18"/>
                <w:color w:val="auto"/>
                <w:w w:val="89"/>
              </w:rPr>
              <w:t>melinda.jarrell@jazzsemi.com</w:t>
            </w:r>
          </w:p>
        </w:tc>
        <w:tc>
          <w:tcPr>
            <w:tcW w:w="3560" w:type="dxa"/>
            <w:vAlign w:val="bottom"/>
          </w:tcPr>
          <w:p>
            <w:pPr>
              <w:spacing w:after="0"/>
              <w:rPr>
                <w:sz w:val="15"/>
                <w:szCs w:val="15"/>
                <w:color w:val="auto"/>
              </w:rPr>
            </w:pPr>
          </w:p>
        </w:tc>
        <w:tc>
          <w:tcPr>
            <w:tcW w:w="170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5"/>
              </w:rPr>
              <w:t>acs@triunesystems.com</w:t>
            </w:r>
          </w:p>
        </w:tc>
        <w:tc>
          <w:tcPr>
            <w:tcW w:w="4000" w:type="dxa"/>
            <w:vAlign w:val="bottom"/>
          </w:tcPr>
          <w:p>
            <w:pPr>
              <w:spacing w:after="0"/>
              <w:rPr>
                <w:sz w:val="15"/>
                <w:szCs w:val="15"/>
                <w:color w:val="auto"/>
              </w:rPr>
            </w:pPr>
          </w:p>
        </w:tc>
      </w:tr>
      <w:tr>
        <w:trPr>
          <w:trHeight w:val="444"/>
        </w:trPr>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Tower Media Contact:</w:t>
            </w:r>
          </w:p>
        </w:tc>
        <w:tc>
          <w:tcPr>
            <w:tcW w:w="17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Lauri Julian</w:t>
            </w:r>
          </w:p>
        </w:tc>
        <w:tc>
          <w:tcPr>
            <w:tcW w:w="170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949-715-3049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184"/>
        </w:trPr>
        <w:tc>
          <w:tcPr>
            <w:tcW w:w="190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90"/>
              </w:rPr>
              <w:t>lauri.julian@jazzsemi.com</w:t>
            </w:r>
          </w:p>
        </w:tc>
        <w:tc>
          <w:tcPr>
            <w:tcW w:w="3820" w:type="dxa"/>
            <w:vAlign w:val="bottom"/>
            <w:gridSpan w:val="3"/>
          </w:tcPr>
          <w:p>
            <w:pPr>
              <w:spacing w:after="0"/>
              <w:rPr>
                <w:sz w:val="15"/>
                <w:szCs w:val="15"/>
                <w:color w:val="auto"/>
              </w:rPr>
            </w:pPr>
          </w:p>
        </w:tc>
        <w:tc>
          <w:tcPr>
            <w:tcW w:w="1700" w:type="dxa"/>
            <w:vAlign w:val="bottom"/>
          </w:tcPr>
          <w:p>
            <w:pPr>
              <w:spacing w:after="0"/>
              <w:rPr>
                <w:sz w:val="15"/>
                <w:szCs w:val="15"/>
                <w:color w:val="auto"/>
              </w:rPr>
            </w:pPr>
          </w:p>
        </w:tc>
        <w:tc>
          <w:tcPr>
            <w:tcW w:w="4000" w:type="dxa"/>
            <w:vAlign w:val="bottom"/>
          </w:tcPr>
          <w:p>
            <w:pPr>
              <w:spacing w:after="0"/>
              <w:rPr>
                <w:sz w:val="15"/>
                <w:szCs w:val="15"/>
                <w:color w:val="auto"/>
              </w:rPr>
            </w:pPr>
          </w:p>
        </w:tc>
      </w:tr>
      <w:tr>
        <w:trPr>
          <w:trHeight w:val="444"/>
        </w:trPr>
        <w:tc>
          <w:tcPr>
            <w:tcW w:w="5720" w:type="dxa"/>
            <w:vAlign w:val="bottom"/>
            <w:gridSpan w:val="4"/>
          </w:tcPr>
          <w:p>
            <w:pPr>
              <w:spacing w:after="0"/>
              <w:rPr>
                <w:sz w:val="20"/>
                <w:szCs w:val="20"/>
                <w:color w:val="auto"/>
              </w:rPr>
            </w:pPr>
            <w:r>
              <w:rPr>
                <w:rFonts w:ascii="Arial" w:cs="Arial" w:eastAsia="Arial" w:hAnsi="Arial"/>
                <w:sz w:val="18"/>
                <w:szCs w:val="18"/>
                <w:b w:val="1"/>
                <w:bCs w:val="1"/>
                <w:color w:val="auto"/>
              </w:rPr>
              <w:t>Tower Investor Contact:</w:t>
            </w:r>
          </w:p>
        </w:tc>
        <w:tc>
          <w:tcPr>
            <w:tcW w:w="170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Shelton Group</w:t>
            </w:r>
          </w:p>
        </w:tc>
        <w:tc>
          <w:tcPr>
            <w:tcW w:w="170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216"/>
        </w:trPr>
        <w:tc>
          <w:tcPr>
            <w:tcW w:w="5720" w:type="dxa"/>
            <w:vAlign w:val="bottom"/>
            <w:gridSpan w:val="4"/>
          </w:tcPr>
          <w:p>
            <w:pPr>
              <w:spacing w:after="0"/>
              <w:rPr>
                <w:sz w:val="20"/>
                <w:szCs w:val="20"/>
                <w:color w:val="auto"/>
              </w:rPr>
            </w:pPr>
            <w:r>
              <w:rPr>
                <w:rFonts w:ascii="Arial" w:cs="Arial" w:eastAsia="Arial" w:hAnsi="Arial"/>
                <w:sz w:val="18"/>
                <w:szCs w:val="18"/>
                <w:color w:val="auto"/>
              </w:rPr>
              <w:t>Ryan Bright, (972) 239-5119 ext. 159</w:t>
            </w:r>
          </w:p>
        </w:tc>
        <w:tc>
          <w:tcPr>
            <w:tcW w:w="1700" w:type="dxa"/>
            <w:vAlign w:val="bottom"/>
          </w:tcPr>
          <w:p>
            <w:pPr>
              <w:spacing w:after="0"/>
              <w:rPr>
                <w:sz w:val="18"/>
                <w:szCs w:val="18"/>
                <w:color w:val="auto"/>
              </w:rPr>
            </w:pPr>
          </w:p>
        </w:tc>
        <w:tc>
          <w:tcPr>
            <w:tcW w:w="4000" w:type="dxa"/>
            <w:vAlign w:val="bottom"/>
          </w:tcPr>
          <w:p>
            <w:pPr>
              <w:spacing w:after="0"/>
              <w:rPr>
                <w:sz w:val="18"/>
                <w:szCs w:val="18"/>
                <w:color w:val="auto"/>
              </w:rPr>
            </w:pPr>
          </w:p>
        </w:tc>
      </w:tr>
      <w:tr>
        <w:trPr>
          <w:trHeight w:val="184"/>
        </w:trPr>
        <w:tc>
          <w:tcPr>
            <w:tcW w:w="5720" w:type="dxa"/>
            <w:vAlign w:val="bottom"/>
            <w:gridSpan w:val="4"/>
          </w:tcPr>
          <w:p>
            <w:pPr>
              <w:spacing w:after="0" w:line="184" w:lineRule="exact"/>
              <w:rPr>
                <w:sz w:val="20"/>
                <w:szCs w:val="20"/>
                <w:color w:val="auto"/>
              </w:rPr>
            </w:pPr>
            <w:r>
              <w:rPr>
                <w:rFonts w:ascii="Arial" w:cs="Arial" w:eastAsia="Arial" w:hAnsi="Arial"/>
                <w:sz w:val="18"/>
                <w:szCs w:val="18"/>
                <w:color w:val="auto"/>
              </w:rPr>
              <w:t>rbright@sheltongroup.com</w:t>
            </w:r>
          </w:p>
        </w:tc>
        <w:tc>
          <w:tcPr>
            <w:tcW w:w="1700" w:type="dxa"/>
            <w:vAlign w:val="bottom"/>
          </w:tcPr>
          <w:p>
            <w:pPr>
              <w:spacing w:after="0"/>
              <w:rPr>
                <w:sz w:val="15"/>
                <w:szCs w:val="15"/>
                <w:color w:val="auto"/>
              </w:rPr>
            </w:pPr>
          </w:p>
        </w:tc>
        <w:tc>
          <w:tcPr>
            <w:tcW w:w="4000" w:type="dxa"/>
            <w:vAlign w:val="bottom"/>
          </w:tcPr>
          <w:p>
            <w:pPr>
              <w:spacing w:after="0"/>
              <w:rPr>
                <w:sz w:val="15"/>
                <w:szCs w:val="15"/>
                <w:color w:val="auto"/>
              </w:rPr>
            </w:pPr>
          </w:p>
        </w:tc>
      </w:tr>
      <w:tr>
        <w:trPr>
          <w:trHeight w:val="193"/>
        </w:trPr>
        <w:tc>
          <w:tcPr>
            <w:tcW w:w="19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61"/>
        </w:trPr>
        <w:tc>
          <w:tcPr>
            <w:tcW w:w="190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356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400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3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2019-12-10T12:40:50Z</dcterms:created>
  <dcterms:modified xsi:type="dcterms:W3CDTF">2019-12-10T12:40:50Z</dcterms:modified>
</cp:coreProperties>
</file>