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 xml:space="preserve">As filed with the Securities and Exchange Commission on January 26, 2006 </w:t>
      </w:r>
      <w:r>
        <w:rPr>
          <w:rFonts w:ascii="Arial" w:cs="Arial" w:eastAsia="Arial" w:hAnsi="Arial"/>
          <w:sz w:val="15"/>
          <w:szCs w:val="15"/>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F-3</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68" w:orient="portrait"/>
          <w:cols w:equalWidth="0" w:num="1">
            <w:col w:w="11400"/>
          </w:cols>
          <w:pgMar w:left="240" w:top="233" w:right="259" w:bottom="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68" w:orient="portrait"/>
          <w:cols w:equalWidth="0" w:num="2">
            <w:col w:w="6580" w:space="720"/>
            <w:col w:w="4100"/>
          </w:cols>
          <w:pgMar w:left="240" w:top="233" w:right="259" w:bottom="0" w:gutter="0" w:footer="0" w:header="0"/>
          <w:type w:val="continuous"/>
        </w:sectPr>
      </w:pP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Copies of all Correspondence to:</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6"/>
              </w:rPr>
              <w:t>DAVID H. SCHAPIRO, ESQ.</w:t>
            </w:r>
          </w:p>
        </w:tc>
        <w:tc>
          <w:tcPr>
            <w:tcW w:w="5360" w:type="dxa"/>
            <w:vAlign w:val="bottom"/>
          </w:tcPr>
          <w:p>
            <w:pPr>
              <w:jc w:val="center"/>
              <w:ind w:left="3172"/>
              <w:spacing w:after="0"/>
              <w:rPr>
                <w:sz w:val="20"/>
                <w:szCs w:val="20"/>
                <w:color w:val="auto"/>
              </w:rPr>
            </w:pPr>
            <w:r>
              <w:rPr>
                <w:rFonts w:ascii="Arial" w:cs="Arial" w:eastAsia="Arial" w:hAnsi="Arial"/>
                <w:sz w:val="18"/>
                <w:szCs w:val="18"/>
                <w:b w:val="1"/>
                <w:bCs w:val="1"/>
                <w:color w:val="auto"/>
                <w:w w:val="94"/>
              </w:rPr>
              <w:t>SHELDON KRAUSE, ESQ.</w:t>
            </w:r>
          </w:p>
        </w:tc>
      </w:tr>
      <w:tr>
        <w:trPr>
          <w:trHeight w:val="223"/>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7"/>
              </w:rPr>
              <w:t>ARI FRIED, ESQ.</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0"/>
              </w:rPr>
              <w:t>Eilenberg &amp; Krause LLP</w:t>
            </w:r>
          </w:p>
        </w:tc>
      </w:tr>
      <w:tr>
        <w:trPr>
          <w:trHeight w:val="255"/>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3"/>
              </w:rPr>
              <w:t>Yigal Arnon &amp; Co.</w:t>
            </w:r>
          </w:p>
        </w:tc>
        <w:tc>
          <w:tcPr>
            <w:tcW w:w="5360" w:type="dxa"/>
            <w:vAlign w:val="bottom"/>
          </w:tcPr>
          <w:p>
            <w:pPr>
              <w:jc w:val="center"/>
              <w:ind w:left="317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2"/>
              </w:rPr>
              <w:t>1 Azrieli Center</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1"/>
              </w:rPr>
              <w:t>New York, NY 10017</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color w:val="auto"/>
                <w:w w:val="90"/>
              </w:rPr>
              <w:t>Tel Aviv, 67021 Israel</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88"/>
              </w:rPr>
              <w:t>Tel: 212-986-9700</w:t>
            </w:r>
          </w:p>
        </w:tc>
      </w:tr>
      <w:tr>
        <w:trPr>
          <w:trHeight w:val="222"/>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89"/>
              </w:rPr>
              <w:t>Tel: 972-3-608-7856</w:t>
            </w:r>
          </w:p>
        </w:tc>
        <w:tc>
          <w:tcPr>
            <w:tcW w:w="536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72020" cy="1995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995170"/>
                    </a:xfrm>
                    <a:prstGeom prst="rect">
                      <a:avLst/>
                    </a:prstGeom>
                    <a:noFill/>
                  </pic:spPr>
                </pic:pic>
              </a:graphicData>
            </a:graphic>
          </wp:anchor>
        </w:drawing>
      </w:r>
    </w:p>
    <w:p>
      <w:pPr>
        <w:spacing w:after="0" w:line="360"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380" w:type="dxa"/>
            <w:vAlign w:val="bottom"/>
          </w:tcPr>
          <w:p>
            <w:pPr>
              <w:jc w:val="center"/>
              <w:ind w:left="192"/>
              <w:spacing w:after="0"/>
              <w:rPr>
                <w:sz w:val="20"/>
                <w:szCs w:val="20"/>
                <w:color w:val="auto"/>
              </w:rPr>
            </w:pPr>
            <w:r>
              <w:rPr>
                <w:rFonts w:ascii="Arial" w:cs="Arial" w:eastAsia="Arial" w:hAnsi="Arial"/>
                <w:sz w:val="18"/>
                <w:szCs w:val="18"/>
                <w:color w:val="auto"/>
                <w:w w:val="91"/>
              </w:rPr>
              <w:t>Title of Class of</w:t>
            </w:r>
          </w:p>
        </w:tc>
        <w:tc>
          <w:tcPr>
            <w:tcW w:w="2520" w:type="dxa"/>
            <w:vAlign w:val="bottom"/>
          </w:tcPr>
          <w:p>
            <w:pPr>
              <w:spacing w:after="0"/>
              <w:rPr>
                <w:sz w:val="18"/>
                <w:szCs w:val="18"/>
                <w:color w:val="auto"/>
              </w:rPr>
            </w:pPr>
          </w:p>
        </w:tc>
        <w:tc>
          <w:tcPr>
            <w:tcW w:w="2140" w:type="dxa"/>
            <w:vAlign w:val="bottom"/>
          </w:tcPr>
          <w:p>
            <w:pPr>
              <w:jc w:val="center"/>
              <w:ind w:left="112"/>
              <w:spacing w:after="0"/>
              <w:rPr>
                <w:sz w:val="20"/>
                <w:szCs w:val="20"/>
                <w:color w:val="auto"/>
              </w:rPr>
            </w:pPr>
            <w:r>
              <w:rPr>
                <w:rFonts w:ascii="Arial" w:cs="Arial" w:eastAsia="Arial" w:hAnsi="Arial"/>
                <w:sz w:val="18"/>
                <w:szCs w:val="18"/>
                <w:color w:val="auto"/>
                <w:w w:val="88"/>
              </w:rPr>
              <w:t>Proposed Maximum</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Proposed Maximum</w:t>
            </w:r>
          </w:p>
        </w:tc>
        <w:tc>
          <w:tcPr>
            <w:tcW w:w="1460" w:type="dxa"/>
            <w:vAlign w:val="bottom"/>
          </w:tcPr>
          <w:p>
            <w:pPr>
              <w:spacing w:after="0"/>
              <w:rPr>
                <w:sz w:val="18"/>
                <w:szCs w:val="18"/>
                <w:color w:val="auto"/>
              </w:rPr>
            </w:pPr>
          </w:p>
        </w:tc>
      </w:tr>
      <w:tr>
        <w:trPr>
          <w:trHeight w:val="216"/>
        </w:trPr>
        <w:tc>
          <w:tcPr>
            <w:tcW w:w="3380" w:type="dxa"/>
            <w:vAlign w:val="bottom"/>
          </w:tcPr>
          <w:p>
            <w:pPr>
              <w:jc w:val="center"/>
              <w:ind w:left="172"/>
              <w:spacing w:after="0"/>
              <w:rPr>
                <w:sz w:val="20"/>
                <w:szCs w:val="20"/>
                <w:color w:val="auto"/>
              </w:rPr>
            </w:pPr>
            <w:r>
              <w:rPr>
                <w:rFonts w:ascii="Arial" w:cs="Arial" w:eastAsia="Arial" w:hAnsi="Arial"/>
                <w:sz w:val="18"/>
                <w:szCs w:val="18"/>
                <w:color w:val="auto"/>
                <w:w w:val="87"/>
              </w:rPr>
              <w:t>Securities to be</w:t>
            </w:r>
          </w:p>
        </w:tc>
        <w:tc>
          <w:tcPr>
            <w:tcW w:w="2520" w:type="dxa"/>
            <w:vAlign w:val="bottom"/>
          </w:tcPr>
          <w:p>
            <w:pPr>
              <w:jc w:val="center"/>
              <w:ind w:left="432"/>
              <w:spacing w:after="0"/>
              <w:rPr>
                <w:sz w:val="20"/>
                <w:szCs w:val="20"/>
                <w:color w:val="auto"/>
              </w:rPr>
            </w:pPr>
            <w:r>
              <w:rPr>
                <w:rFonts w:ascii="Arial" w:cs="Arial" w:eastAsia="Arial" w:hAnsi="Arial"/>
                <w:sz w:val="18"/>
                <w:szCs w:val="18"/>
                <w:color w:val="auto"/>
                <w:w w:val="89"/>
              </w:rPr>
              <w:t>Amount to be</w:t>
            </w:r>
          </w:p>
        </w:tc>
        <w:tc>
          <w:tcPr>
            <w:tcW w:w="2140" w:type="dxa"/>
            <w:vAlign w:val="bottom"/>
          </w:tcPr>
          <w:p>
            <w:pPr>
              <w:jc w:val="center"/>
              <w:ind w:left="112"/>
              <w:spacing w:after="0"/>
              <w:rPr>
                <w:sz w:val="20"/>
                <w:szCs w:val="20"/>
                <w:color w:val="auto"/>
              </w:rPr>
            </w:pPr>
            <w:r>
              <w:rPr>
                <w:rFonts w:ascii="Arial" w:cs="Arial" w:eastAsia="Arial" w:hAnsi="Arial"/>
                <w:sz w:val="18"/>
                <w:szCs w:val="18"/>
                <w:color w:val="auto"/>
                <w:w w:val="88"/>
              </w:rPr>
              <w:t>Aggregate Price</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Aggregate Offering</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2"/>
              </w:rPr>
              <w:t>Amount of</w:t>
            </w:r>
          </w:p>
        </w:tc>
      </w:tr>
      <w:tr>
        <w:trPr>
          <w:trHeight w:val="222"/>
        </w:trPr>
        <w:tc>
          <w:tcPr>
            <w:tcW w:w="3380" w:type="dxa"/>
            <w:vAlign w:val="bottom"/>
          </w:tcPr>
          <w:p>
            <w:pPr>
              <w:jc w:val="center"/>
              <w:ind w:left="172"/>
              <w:spacing w:after="0"/>
              <w:rPr>
                <w:sz w:val="20"/>
                <w:szCs w:val="20"/>
                <w:color w:val="auto"/>
              </w:rPr>
            </w:pPr>
            <w:r>
              <w:rPr>
                <w:rFonts w:ascii="Arial" w:cs="Arial" w:eastAsia="Arial" w:hAnsi="Arial"/>
                <w:sz w:val="18"/>
                <w:szCs w:val="18"/>
                <w:color w:val="auto"/>
                <w:w w:val="87"/>
              </w:rPr>
              <w:t>Registered</w:t>
            </w:r>
          </w:p>
        </w:tc>
        <w:tc>
          <w:tcPr>
            <w:tcW w:w="2520" w:type="dxa"/>
            <w:vAlign w:val="bottom"/>
          </w:tcPr>
          <w:p>
            <w:pPr>
              <w:jc w:val="center"/>
              <w:ind w:left="432"/>
              <w:spacing w:after="0"/>
              <w:rPr>
                <w:sz w:val="20"/>
                <w:szCs w:val="20"/>
                <w:color w:val="auto"/>
              </w:rPr>
            </w:pPr>
            <w:r>
              <w:rPr>
                <w:rFonts w:ascii="Arial" w:cs="Arial" w:eastAsia="Arial" w:hAnsi="Arial"/>
                <w:sz w:val="18"/>
                <w:szCs w:val="18"/>
                <w:color w:val="auto"/>
                <w:w w:val="87"/>
              </w:rPr>
              <w:t>Registered</w:t>
            </w:r>
          </w:p>
        </w:tc>
        <w:tc>
          <w:tcPr>
            <w:tcW w:w="2140" w:type="dxa"/>
            <w:vAlign w:val="bottom"/>
          </w:tcPr>
          <w:p>
            <w:pPr>
              <w:jc w:val="center"/>
              <w:ind w:left="112"/>
              <w:spacing w:after="0"/>
              <w:rPr>
                <w:sz w:val="20"/>
                <w:szCs w:val="20"/>
                <w:color w:val="auto"/>
              </w:rPr>
            </w:pPr>
            <w:r>
              <w:rPr>
                <w:rFonts w:ascii="Arial" w:cs="Arial" w:eastAsia="Arial" w:hAnsi="Arial"/>
                <w:sz w:val="18"/>
                <w:szCs w:val="18"/>
                <w:color w:val="auto"/>
                <w:w w:val="87"/>
              </w:rPr>
              <w:t>Per Security</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87"/>
              </w:rPr>
              <w:t>Registration Fee</w:t>
            </w:r>
          </w:p>
        </w:tc>
      </w:tr>
      <w:tr>
        <w:trPr>
          <w:trHeight w:val="50"/>
        </w:trPr>
        <w:tc>
          <w:tcPr>
            <w:tcW w:w="338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r>
      <w:tr>
        <w:trPr>
          <w:trHeight w:val="248"/>
        </w:trPr>
        <w:tc>
          <w:tcPr>
            <w:tcW w:w="3380" w:type="dxa"/>
            <w:vAlign w:val="bottom"/>
          </w:tcPr>
          <w:p>
            <w:pPr>
              <w:ind w:left="60"/>
              <w:spacing w:after="0"/>
              <w:rPr>
                <w:sz w:val="20"/>
                <w:szCs w:val="20"/>
                <w:color w:val="auto"/>
              </w:rPr>
            </w:pPr>
            <w:r>
              <w:rPr>
                <w:rFonts w:ascii="Arial" w:cs="Arial" w:eastAsia="Arial" w:hAnsi="Arial"/>
                <w:sz w:val="18"/>
                <w:szCs w:val="18"/>
                <w:color w:val="auto"/>
              </w:rPr>
              <w:t>Convertible</w:t>
            </w:r>
          </w:p>
        </w:tc>
        <w:tc>
          <w:tcPr>
            <w:tcW w:w="25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2"/>
        </w:trPr>
        <w:tc>
          <w:tcPr>
            <w:tcW w:w="3380" w:type="dxa"/>
            <w:vAlign w:val="bottom"/>
          </w:tcPr>
          <w:p>
            <w:pPr>
              <w:ind w:left="60"/>
              <w:spacing w:after="0"/>
              <w:rPr>
                <w:sz w:val="20"/>
                <w:szCs w:val="20"/>
                <w:color w:val="auto"/>
              </w:rPr>
            </w:pPr>
            <w:r>
              <w:rPr>
                <w:rFonts w:ascii="Arial" w:cs="Arial" w:eastAsia="Arial" w:hAnsi="Arial"/>
                <w:sz w:val="18"/>
                <w:szCs w:val="18"/>
                <w:color w:val="auto"/>
              </w:rPr>
              <w:t>Debentures</w:t>
            </w:r>
          </w:p>
        </w:tc>
        <w:tc>
          <w:tcPr>
            <w:tcW w:w="2520" w:type="dxa"/>
            <w:vAlign w:val="bottom"/>
          </w:tcPr>
          <w:p>
            <w:pPr>
              <w:jc w:val="center"/>
              <w:ind w:left="432"/>
              <w:spacing w:after="0"/>
              <w:rPr>
                <w:sz w:val="20"/>
                <w:szCs w:val="20"/>
                <w:color w:val="auto"/>
              </w:rPr>
            </w:pPr>
            <w:r>
              <w:rPr>
                <w:rFonts w:ascii="Arial" w:cs="Arial" w:eastAsia="Arial" w:hAnsi="Arial"/>
                <w:sz w:val="18"/>
                <w:szCs w:val="18"/>
                <w:color w:val="auto"/>
                <w:w w:val="88"/>
              </w:rPr>
              <w:t>31,191,606 (1)</w:t>
            </w:r>
          </w:p>
        </w:tc>
        <w:tc>
          <w:tcPr>
            <w:tcW w:w="2140" w:type="dxa"/>
            <w:vAlign w:val="bottom"/>
          </w:tcPr>
          <w:p>
            <w:pPr>
              <w:jc w:val="center"/>
              <w:ind w:left="112"/>
              <w:spacing w:after="0"/>
              <w:rPr>
                <w:sz w:val="20"/>
                <w:szCs w:val="20"/>
                <w:color w:val="auto"/>
              </w:rPr>
            </w:pPr>
            <w:r>
              <w:rPr>
                <w:rFonts w:ascii="Arial" w:cs="Arial" w:eastAsia="Arial" w:hAnsi="Arial"/>
                <w:sz w:val="18"/>
                <w:szCs w:val="18"/>
                <w:color w:val="auto"/>
                <w:w w:val="91"/>
              </w:rPr>
              <w:t>$1.60 (2)</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$49,906,569</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86"/>
              </w:rPr>
              <w:t>$ 5,340.00</w:t>
            </w:r>
          </w:p>
        </w:tc>
      </w:tr>
      <w:tr>
        <w:trPr>
          <w:trHeight w:val="50"/>
        </w:trPr>
        <w:tc>
          <w:tcPr>
            <w:tcW w:w="338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r>
      <w:tr>
        <w:trPr>
          <w:trHeight w:val="248"/>
        </w:trPr>
        <w:tc>
          <w:tcPr>
            <w:tcW w:w="3380" w:type="dxa"/>
            <w:vAlign w:val="bottom"/>
          </w:tcPr>
          <w:p>
            <w:pPr>
              <w:ind w:left="60"/>
              <w:spacing w:after="0"/>
              <w:rPr>
                <w:sz w:val="20"/>
                <w:szCs w:val="20"/>
                <w:color w:val="auto"/>
              </w:rPr>
            </w:pPr>
            <w:r>
              <w:rPr>
                <w:rFonts w:ascii="Arial" w:cs="Arial" w:eastAsia="Arial" w:hAnsi="Arial"/>
                <w:sz w:val="18"/>
                <w:szCs w:val="18"/>
                <w:color w:val="auto"/>
              </w:rPr>
              <w:t>Ordinary Shares, par</w:t>
            </w:r>
          </w:p>
        </w:tc>
        <w:tc>
          <w:tcPr>
            <w:tcW w:w="25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6"/>
        </w:trPr>
        <w:tc>
          <w:tcPr>
            <w:tcW w:w="3380" w:type="dxa"/>
            <w:vAlign w:val="bottom"/>
          </w:tcPr>
          <w:p>
            <w:pPr>
              <w:ind w:left="60"/>
              <w:spacing w:after="0"/>
              <w:rPr>
                <w:sz w:val="20"/>
                <w:szCs w:val="20"/>
                <w:color w:val="auto"/>
              </w:rPr>
            </w:pPr>
            <w:r>
              <w:rPr>
                <w:rFonts w:ascii="Arial" w:cs="Arial" w:eastAsia="Arial" w:hAnsi="Arial"/>
                <w:sz w:val="18"/>
                <w:szCs w:val="18"/>
                <w:color w:val="auto"/>
              </w:rPr>
              <w:t>value NIS 1.00 per</w:t>
            </w:r>
          </w:p>
        </w:tc>
        <w:tc>
          <w:tcPr>
            <w:tcW w:w="2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2"/>
        </w:trPr>
        <w:tc>
          <w:tcPr>
            <w:tcW w:w="3380" w:type="dxa"/>
            <w:vAlign w:val="bottom"/>
          </w:tcPr>
          <w:p>
            <w:pPr>
              <w:ind w:left="60"/>
              <w:spacing w:after="0"/>
              <w:rPr>
                <w:sz w:val="20"/>
                <w:szCs w:val="20"/>
                <w:color w:val="auto"/>
              </w:rPr>
            </w:pPr>
            <w:r>
              <w:rPr>
                <w:rFonts w:ascii="Arial" w:cs="Arial" w:eastAsia="Arial" w:hAnsi="Arial"/>
                <w:sz w:val="18"/>
                <w:szCs w:val="18"/>
                <w:color w:val="auto"/>
              </w:rPr>
              <w:t>share (3)</w:t>
            </w:r>
          </w:p>
        </w:tc>
        <w:tc>
          <w:tcPr>
            <w:tcW w:w="2520" w:type="dxa"/>
            <w:vAlign w:val="bottom"/>
          </w:tcPr>
          <w:p>
            <w:pPr>
              <w:jc w:val="center"/>
              <w:ind w:left="432"/>
              <w:spacing w:after="0"/>
              <w:rPr>
                <w:sz w:val="20"/>
                <w:szCs w:val="20"/>
                <w:color w:val="auto"/>
              </w:rPr>
            </w:pPr>
            <w:r>
              <w:rPr>
                <w:rFonts w:ascii="Arial" w:cs="Arial" w:eastAsia="Arial" w:hAnsi="Arial"/>
                <w:sz w:val="18"/>
                <w:szCs w:val="18"/>
                <w:color w:val="auto"/>
                <w:w w:val="88"/>
              </w:rPr>
              <w:t>28,356,005</w:t>
            </w:r>
          </w:p>
        </w:tc>
        <w:tc>
          <w:tcPr>
            <w:tcW w:w="2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50"/>
        </w:trPr>
        <w:tc>
          <w:tcPr>
            <w:tcW w:w="338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r>
      <w:tr>
        <w:trPr>
          <w:trHeight w:val="248"/>
        </w:trPr>
        <w:tc>
          <w:tcPr>
            <w:tcW w:w="3380" w:type="dxa"/>
            <w:vAlign w:val="bottom"/>
          </w:tcPr>
          <w:p>
            <w:pPr>
              <w:ind w:left="60"/>
              <w:spacing w:after="0"/>
              <w:rPr>
                <w:sz w:val="20"/>
                <w:szCs w:val="20"/>
                <w:color w:val="auto"/>
              </w:rPr>
            </w:pPr>
            <w:r>
              <w:rPr>
                <w:rFonts w:ascii="Arial" w:cs="Arial" w:eastAsia="Arial" w:hAnsi="Arial"/>
                <w:sz w:val="18"/>
                <w:szCs w:val="18"/>
                <w:color w:val="auto"/>
              </w:rPr>
              <w:t>Ordinary Shares, par</w:t>
            </w:r>
          </w:p>
        </w:tc>
        <w:tc>
          <w:tcPr>
            <w:tcW w:w="25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6"/>
        </w:trPr>
        <w:tc>
          <w:tcPr>
            <w:tcW w:w="3380" w:type="dxa"/>
            <w:vAlign w:val="bottom"/>
          </w:tcPr>
          <w:p>
            <w:pPr>
              <w:ind w:left="60"/>
              <w:spacing w:after="0"/>
              <w:rPr>
                <w:sz w:val="20"/>
                <w:szCs w:val="20"/>
                <w:color w:val="auto"/>
              </w:rPr>
            </w:pPr>
            <w:r>
              <w:rPr>
                <w:rFonts w:ascii="Arial" w:cs="Arial" w:eastAsia="Arial" w:hAnsi="Arial"/>
                <w:sz w:val="18"/>
                <w:szCs w:val="18"/>
                <w:color w:val="auto"/>
              </w:rPr>
              <w:t>value NIS 1.00 per</w:t>
            </w:r>
          </w:p>
        </w:tc>
        <w:tc>
          <w:tcPr>
            <w:tcW w:w="2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2"/>
        </w:trPr>
        <w:tc>
          <w:tcPr>
            <w:tcW w:w="3380" w:type="dxa"/>
            <w:vAlign w:val="bottom"/>
          </w:tcPr>
          <w:p>
            <w:pPr>
              <w:ind w:left="60"/>
              <w:spacing w:after="0"/>
              <w:rPr>
                <w:sz w:val="20"/>
                <w:szCs w:val="20"/>
                <w:color w:val="auto"/>
              </w:rPr>
            </w:pPr>
            <w:r>
              <w:rPr>
                <w:rFonts w:ascii="Arial" w:cs="Arial" w:eastAsia="Arial" w:hAnsi="Arial"/>
                <w:sz w:val="18"/>
                <w:szCs w:val="18"/>
                <w:color w:val="auto"/>
              </w:rPr>
              <w:t>share (4)</w:t>
            </w:r>
          </w:p>
        </w:tc>
        <w:tc>
          <w:tcPr>
            <w:tcW w:w="2520" w:type="dxa"/>
            <w:vAlign w:val="bottom"/>
          </w:tcPr>
          <w:p>
            <w:pPr>
              <w:jc w:val="center"/>
              <w:ind w:left="452"/>
              <w:spacing w:after="0"/>
              <w:rPr>
                <w:sz w:val="20"/>
                <w:szCs w:val="20"/>
                <w:color w:val="auto"/>
              </w:rPr>
            </w:pPr>
            <w:r>
              <w:rPr>
                <w:rFonts w:ascii="Arial" w:cs="Arial" w:eastAsia="Arial" w:hAnsi="Arial"/>
                <w:sz w:val="18"/>
                <w:szCs w:val="18"/>
                <w:color w:val="auto"/>
                <w:w w:val="87"/>
              </w:rPr>
              <w:t>9,161,060</w:t>
            </w:r>
          </w:p>
        </w:tc>
        <w:tc>
          <w:tcPr>
            <w:tcW w:w="2140" w:type="dxa"/>
            <w:vAlign w:val="bottom"/>
          </w:tcPr>
          <w:p>
            <w:pPr>
              <w:jc w:val="center"/>
              <w:ind w:left="112"/>
              <w:spacing w:after="0"/>
              <w:rPr>
                <w:sz w:val="20"/>
                <w:szCs w:val="20"/>
                <w:color w:val="auto"/>
              </w:rPr>
            </w:pPr>
            <w:r>
              <w:rPr>
                <w:rFonts w:ascii="Arial" w:cs="Arial" w:eastAsia="Arial" w:hAnsi="Arial"/>
                <w:sz w:val="18"/>
                <w:szCs w:val="18"/>
                <w:color w:val="auto"/>
                <w:w w:val="91"/>
              </w:rPr>
              <w:t>$1.55 (5)</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$14,199,643</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86"/>
              </w:rPr>
              <w:t>$ 1,519.36</w:t>
            </w:r>
          </w:p>
        </w:tc>
      </w:tr>
      <w:tr>
        <w:trPr>
          <w:trHeight w:val="50"/>
        </w:trPr>
        <w:tc>
          <w:tcPr>
            <w:tcW w:w="338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r>
      <w:tr>
        <w:trPr>
          <w:trHeight w:val="255"/>
        </w:trPr>
        <w:tc>
          <w:tcPr>
            <w:tcW w:w="3380" w:type="dxa"/>
            <w:vAlign w:val="bottom"/>
          </w:tcPr>
          <w:p>
            <w:pPr>
              <w:ind w:left="6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86"/>
              </w:rPr>
              <w:t>$ 6,859.36</w:t>
            </w:r>
          </w:p>
        </w:tc>
      </w:tr>
    </w:tbl>
    <w:p>
      <w:pPr>
        <w:sectPr>
          <w:pgSz w:w="11900" w:h="16868" w:orient="portrait"/>
          <w:cols w:equalWidth="0" w:num="1">
            <w:col w:w="11400"/>
          </w:cols>
          <w:pgMar w:left="240" w:top="233" w:right="2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29845"/>
                    </a:xfrm>
                    <a:prstGeom prst="rect">
                      <a:avLst/>
                    </a:prstGeom>
                    <a:noFill/>
                  </pic:spPr>
                </pic:pic>
              </a:graphicData>
            </a:graphic>
          </wp:anchor>
        </w:drawing>
      </w:r>
    </w:p>
    <w:p>
      <w:pPr>
        <w:jc w:val="both"/>
        <w:ind w:left="1160" w:right="20" w:hanging="571"/>
        <w:spacing w:after="0" w:line="259"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 number of the Registrant’s convertible debentures due 2012, each in the principal amount of $1.00 per debentures. Pursuant to Rule 416 of the Securities Act of 1933, this registration statement also includes an indeterminate number of shares that may be issued upon conversion of the debentures under the terms thereof.</w:t>
      </w:r>
    </w:p>
    <w:p>
      <w:pPr>
        <w:spacing w:after="0" w:line="221" w:lineRule="exact"/>
        <w:rPr>
          <w:rFonts w:ascii="Arial" w:cs="Arial" w:eastAsia="Arial" w:hAnsi="Arial"/>
          <w:sz w:val="18"/>
          <w:szCs w:val="18"/>
          <w:color w:val="auto"/>
        </w:rPr>
      </w:pPr>
    </w:p>
    <w:p>
      <w:pPr>
        <w:ind w:left="1160" w:right="520" w:hanging="571"/>
        <w:spacing w:after="0" w:line="268"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of the Securities Act of 1933 on the basis of the average of the bid and ask prices, as reported on the Nasdaq Capital Market on January 25, 2006.</w:t>
      </w:r>
    </w:p>
    <w:p>
      <w:pPr>
        <w:spacing w:after="0" w:line="212" w:lineRule="exact"/>
        <w:rPr>
          <w:rFonts w:ascii="Arial" w:cs="Arial" w:eastAsia="Arial" w:hAnsi="Arial"/>
          <w:sz w:val="18"/>
          <w:szCs w:val="18"/>
          <w:color w:val="auto"/>
        </w:rPr>
      </w:pPr>
    </w:p>
    <w:p>
      <w:pPr>
        <w:jc w:val="both"/>
        <w:ind w:left="1160" w:right="740" w:hanging="571"/>
        <w:spacing w:after="0" w:line="306" w:lineRule="auto"/>
        <w:tabs>
          <w:tab w:leader="none" w:pos="11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the Registrant’s ordinary shares issuable upon conversion of the $31,191,606 principal amount of debentures calculated at a conversion price of $1.10 per share. No additional consideration will be received for any ordinary shares issued upon conversion of the debentures, and therefore no registration fee is required pursuant to Rule 457(i) of the Securities Act of 1933.</w:t>
      </w:r>
    </w:p>
    <w:p>
      <w:pPr>
        <w:spacing w:after="0" w:line="187" w:lineRule="exact"/>
        <w:rPr>
          <w:rFonts w:ascii="Arial" w:cs="Arial" w:eastAsia="Arial" w:hAnsi="Arial"/>
          <w:sz w:val="16"/>
          <w:szCs w:val="16"/>
          <w:color w:val="auto"/>
        </w:rPr>
      </w:pPr>
    </w:p>
    <w:p>
      <w:pPr>
        <w:ind w:left="1160" w:right="800" w:hanging="571"/>
        <w:spacing w:after="0" w:line="268"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Registrant’s ordinary shares underlying the 9,161,060 outstanding warrants issued in connection with our credit facility agreement.</w:t>
      </w:r>
    </w:p>
    <w:p>
      <w:pPr>
        <w:spacing w:after="0" w:line="212" w:lineRule="exact"/>
        <w:rPr>
          <w:rFonts w:ascii="Arial" w:cs="Arial" w:eastAsia="Arial" w:hAnsi="Arial"/>
          <w:sz w:val="18"/>
          <w:szCs w:val="18"/>
          <w:color w:val="auto"/>
        </w:rPr>
      </w:pPr>
    </w:p>
    <w:p>
      <w:pPr>
        <w:ind w:left="1160" w:right="520" w:hanging="571"/>
        <w:spacing w:after="0" w:line="268"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of the Securities Act of 1933 on the basis of the average of the high and low prices, as reported on the Nasdaq National Market on January 23, 2006.</w:t>
      </w:r>
    </w:p>
    <w:p>
      <w:pPr>
        <w:spacing w:after="0" w:line="200" w:lineRule="exact"/>
        <w:rPr>
          <w:sz w:val="20"/>
          <w:szCs w:val="20"/>
          <w:color w:val="auto"/>
        </w:rPr>
      </w:pPr>
    </w:p>
    <w:p>
      <w:pPr>
        <w:spacing w:after="0" w:line="22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400"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SUBJECT TO COMPLETION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DATED January __, 2006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194945</wp:posOffset>
            </wp:positionV>
            <wp:extent cx="171513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31,191,606 of Convertible Debentures due 2012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37,517,065 Ordinary Shares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relates to the resale, from time to time, by the selling securityholders named in this prospectus of up to:</w:t>
      </w:r>
    </w:p>
    <w:p>
      <w:pPr>
        <w:spacing w:after="0" w:line="225" w:lineRule="exact"/>
        <w:rPr>
          <w:sz w:val="20"/>
          <w:szCs w:val="20"/>
          <w:color w:val="auto"/>
        </w:rPr>
      </w:pPr>
    </w:p>
    <w:p>
      <w:pPr>
        <w:ind w:left="1720" w:right="1060" w:hanging="567"/>
        <w:spacing w:after="0" w:line="254" w:lineRule="auto"/>
        <w:rPr>
          <w:sz w:val="20"/>
          <w:szCs w:val="20"/>
          <w:color w:val="auto"/>
        </w:rPr>
      </w:pPr>
      <w:r>
        <w:rPr>
          <w:rFonts w:ascii="Arial" w:cs="Arial" w:eastAsia="Arial" w:hAnsi="Arial"/>
          <w:sz w:val="18"/>
          <w:szCs w:val="18"/>
          <w:color w:val="auto"/>
        </w:rPr>
        <w:t>—$31,191,606 aggregate principal amount of our issued and outstanding convertible debentures due 2012 held by the selling securityholders;</w:t>
      </w: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37,517,065 ordinary shares issuable upon the conversion of the debentures and the exercise of warrants.</w:t>
      </w:r>
    </w:p>
    <w:p>
      <w:pPr>
        <w:spacing w:after="0" w:line="200" w:lineRule="exact"/>
        <w:rPr>
          <w:sz w:val="20"/>
          <w:szCs w:val="20"/>
          <w:color w:val="auto"/>
        </w:rPr>
      </w:pPr>
    </w:p>
    <w:p>
      <w:pPr>
        <w:spacing w:after="0" w:line="26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debentures are each convertible into our ordinary shares, on or before December 27, 2011 at a conversion price of one ordinary share per each $1.10 amount of outstanding principal of the debentures, which conversion price may be adjusted from time to time (see “Description of the Debentures – Conversion of Debentures”). This prospectus also relates to the offering by the company of up 28,356,005 ordinary shares issuable upon conversion of the debentures and 9,161,060 ordinary shares issuable upon the exercise of warrants to persons to whom the debentures and ordinary shares may be sold or otherwise transferred by the selling securityholders.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selling securityholders may sell all or any portion of these securities in one or more transactions through (i) Nasdaq, the Tel Aviv Stock Exchange, in the over-the-counter market, in privately negotiated transactions or otherwise; (ii) directly to purchasers or through agents, brokers, dealers or underwriters; (iii) at market prices prevailing at the time of sale, at prices related to such prevailing market prices, or at negotiated prices; or (iv) or any other means described in the section entitled “Plan of Distribution.”</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ordinary shares are listed on the NASDAQ National Market under the symbol “TSEM” and on the Tel Aviv Stock Exchange in Israel under the symbol “TSEM.” The debentures are listed on the NASDAQ Capital Market under the symbol “TSEMG” and the Tel Aviv Stock Exchange under the symbol “TSEM.C2” and may be identified on the Tel Aviv Stock Exchange as Debentures (Series B). On January 25, 2006, the last reported sale price of our ordinary shares on the NASDAQ National Market was $1.62 per share and on the Tel Aviv Stock Exchange was NIS 7.537 per share, and the last reported sale price of our debentures on the NASDAQ Capital Market was 1.40 per debenture and on the Tel Aviv Stock Exchange was NIS 6.811 per debenture.</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3.</w:t>
      </w:r>
    </w:p>
    <w:p>
      <w:pPr>
        <w:spacing w:after="0" w:line="225" w:lineRule="exact"/>
        <w:rPr>
          <w:sz w:val="20"/>
          <w:szCs w:val="20"/>
          <w:color w:val="auto"/>
        </w:rPr>
      </w:pPr>
    </w:p>
    <w:p>
      <w:pPr>
        <w:jc w:val="both"/>
        <w:ind w:right="56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The date of this prospectus is ______,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2504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9" w:orient="portrait"/>
          <w:cols w:equalWidth="0" w:num="1">
            <w:col w:w="11400"/>
          </w:cols>
          <w:pgMar w:left="240" w:top="401" w:right="25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gridSpan w:val="4"/>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19"/>
                <w:szCs w:val="19"/>
                <w:color w:val="auto"/>
              </w:rPr>
            </w:pPr>
          </w:p>
        </w:tc>
      </w:tr>
      <w:tr>
        <w:trPr>
          <w:trHeight w:val="475"/>
        </w:trPr>
        <w:tc>
          <w:tcPr>
            <w:tcW w:w="32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TOWER SEMICONDUCTOR LTD</w:t>
              </w:r>
            </w:hyperlink>
          </w:p>
        </w:tc>
        <w:tc>
          <w:tcPr>
            <w:tcW w:w="6700" w:type="dxa"/>
            <w:vAlign w:val="bottom"/>
            <w:gridSpan w:val="6"/>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90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SPECIAL NOTE ON FORWARD-LOOKING STATEMENTS</w:t>
              </w:r>
            </w:hyperlink>
          </w:p>
        </w:tc>
        <w:tc>
          <w:tcPr>
            <w:tcW w:w="546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990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RATIO OF EARNINGS TO FIXED CHARGES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CAPITALIZATION</w:t>
              </w:r>
            </w:hyperlink>
          </w:p>
        </w:tc>
        <w:tc>
          <w:tcPr>
            <w:tcW w:w="1980" w:type="dxa"/>
            <w:vAlign w:val="bottom"/>
            <w:tcBorders>
              <w:top w:val="single" w:sz="8" w:color="0000EE"/>
            </w:tcBorders>
            <w:gridSpan w:val="7"/>
          </w:tcPr>
          <w:p>
            <w:pPr>
              <w:spacing w:after="0"/>
              <w:rPr>
                <w:sz w:val="17"/>
                <w:szCs w:val="17"/>
                <w:color w:val="auto"/>
              </w:rPr>
            </w:pPr>
          </w:p>
        </w:tc>
        <w:tc>
          <w:tcPr>
            <w:tcW w:w="648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USE OF PROCEEDS</w:t>
              </w:r>
            </w:hyperlink>
          </w:p>
        </w:tc>
        <w:tc>
          <w:tcPr>
            <w:tcW w:w="834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9900" w:type="dxa"/>
            <w:vAlign w:val="bottom"/>
            <w:gridSpan w:val="1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THE DEBENTURES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9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DIVIDEND POLICY</w:t>
              </w:r>
            </w:hyperlink>
          </w:p>
        </w:tc>
        <w:tc>
          <w:tcPr>
            <w:tcW w:w="6920" w:type="dxa"/>
            <w:vAlign w:val="bottom"/>
            <w:gridSpan w:val="7"/>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TAXATION</w:t>
              </w:r>
            </w:hyperlink>
          </w:p>
        </w:tc>
        <w:tc>
          <w:tcPr>
            <w:tcW w:w="836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FOREIGN EXCHANGE CONTROLS AND OTHER LIMITATIONS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9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SHARE CAPITAL</w:t>
              </w:r>
            </w:hyperlink>
          </w:p>
        </w:tc>
        <w:tc>
          <w:tcPr>
            <w:tcW w:w="496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7100" w:type="dxa"/>
            <w:vAlign w:val="bottom"/>
            <w:gridSpan w:val="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900" w:type="dxa"/>
            <w:vAlign w:val="bottom"/>
            <w:gridSpan w:val="17"/>
          </w:tcPr>
          <w:p>
            <w:pPr>
              <w:spacing w:after="0" w:line="196" w:lineRule="exact"/>
              <w:rPr>
                <w:sz w:val="20"/>
                <w:szCs w:val="20"/>
                <w:color w:val="auto"/>
              </w:rPr>
            </w:pPr>
            <w:r>
              <w:rPr>
                <w:rFonts w:ascii="Arial" w:cs="Arial" w:eastAsia="Arial" w:hAnsi="Arial"/>
                <w:sz w:val="18"/>
                <w:szCs w:val="18"/>
                <w:color w:val="0000EE"/>
              </w:rPr>
              <w:t>ENFORCEABILITY OF CIVIL LIABILITIES AND AGENT FOR SERVICE OF PROCESS IN THE UNITED STATES</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81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WHERE YOU CAN FIND MORE INFORMATION; INCORPORATION OF INFORMATION BY REFERENCE</w:t>
              </w:r>
            </w:hyperlink>
          </w:p>
        </w:tc>
        <w:tc>
          <w:tcPr>
            <w:tcW w:w="480" w:type="dxa"/>
            <w:vAlign w:val="bottom"/>
            <w:tcBorders>
              <w:top w:val="single" w:sz="8" w:color="0000EE"/>
            </w:tcBorders>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1079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240030</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References to “Israel Corporation” or “Israel Corp.” include its wholly-owned subsidiary Israel Corporation Technologies (ICTech) Ltd. (“ICTech”).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Israel and adjacent to our first facility, Fab 1. Depending on the process technology and product mix, as of December 31, 2005, Fab 1 is able to achieve capacity levels 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at the end of December 2005 was 15,400 wafers per month. Depending on the process technology and product mix, when fully ramped-up we estimate that Fab 2 will be able to achieve capacity levels of up to 36,000 wafers per month.</w:t>
      </w:r>
    </w:p>
    <w:p>
      <w:pPr>
        <w:spacing w:after="0" w:line="17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debentures that are convertible into our ordinary shares.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raise additional funds, we may not be able to maintain our operations.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accordance with the amended credit facility agreement with our banks, in addition to amounts we have raised to date, we are required to raise approximately $8 million by June 30, 2006. Even if we raise these additional funds, we will still need to raise significant additional funds in order to maintain our operations and finance our short-term activities and liabilities in 2006, at least until we achieve positive cash flows from our operations. In the event we fail to raise the amounts required for our short-term activities and liabilities in 2006, we may have to cease our operations.</w:t>
      </w:r>
    </w:p>
    <w:p>
      <w:pPr>
        <w:sectPr>
          <w:pgSz w:w="11900" w:h="16838" w:orient="portrait"/>
          <w:cols w:equalWidth="0" w:num="1">
            <w:col w:w="11420"/>
          </w:cols>
          <w:pgMar w:left="240" w:top="422" w:right="239" w:bottom="0" w:gutter="0" w:footer="0" w:header="0"/>
        </w:sectPr>
      </w:pPr>
    </w:p>
    <w:bookmarkStart w:id="3" w:name="page4"/>
    <w:bookmarkEnd w:id="3"/>
    <w:p>
      <w:pPr>
        <w:ind w:right="380"/>
        <w:spacing w:after="0" w:line="275" w:lineRule="auto"/>
        <w:rPr>
          <w:sz w:val="20"/>
          <w:szCs w:val="20"/>
          <w:color w:val="auto"/>
        </w:rPr>
      </w:pPr>
      <w:r>
        <w:rPr>
          <w:rFonts w:ascii="Arial" w:cs="Arial" w:eastAsia="Arial" w:hAnsi="Arial"/>
          <w:sz w:val="18"/>
          <w:szCs w:val="18"/>
          <w:b w:val="1"/>
          <w:bCs w:val="1"/>
          <w:color w:val="auto"/>
        </w:rPr>
        <w:t>If we do not complete the equipment installation, technology transfer and ramp-up of production in Fab 2, our business will be materially adversely affected.</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Fab 2 production capacity at the end of December 2005 was 15,400 200-mm wafers per month. Depending on the process technology and product mix, when fully ramped-up we estimate that Fab 2 will be able to achieve capacity levels of up to 36,000 wafers per month. We have not completed the acquisition, installation, equipping and financing necessary in order for production at our Fab 2 facility to reach such levels. Our determination as to the timing of the increase in Fab 2‘s production levels is dependent on prevailing and forecasted market conditions and our ability to fund these increases. We need to complete the qualification process of the 0.13-micron technology transferred from Freescale Semiconductor,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have sufficient funds to fully equip Fab 2, our business will be materially adversely affected.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will be required to scale back our equipment purchases and capacity forecasts, and, as a result, we will not fully utilize the substantial investment made in constructing Fab 2, which will adversely affect our financial results.</w:t>
      </w:r>
    </w:p>
    <w:p>
      <w:pPr>
        <w:spacing w:after="0" w:line="16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close our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government of Israel under its Approved Enterprise Program. Under the terms of the approval, we were eligible to receive grants of 20% of up to $1.25 billion invested in Fab 2 plant and equipment, or an aggregate of up to $250 million. As of December 31, 2005, we received $158.1 million in grants from the Investment Center.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complete the ramp-up of Fab 2,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close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may from time to time lack liquidity to finance our ramp up of Fab 2. Accordingly, there is no assurance that our future operations will increase or that we will succeed in raising the additional funding required for the completion of the ramp up of Fab 2. As a result, we may be unable to repay on time or repay at all our short-term and long-term debt consisting mainly of trade accounts payable, bank debt and convertible debentures. If we foresee that we will be unable to secure additional financing, we may have to revise our anticipated operations, or even cease our operations. We cannot assure you we will be successful at negotiating price reductions and arrangements to slow down or postpone payments to our suppliers and service providers, or negotiating revised repayment schedules of our long-term debt, when we have liquidity problems. Any postponement of payments to our suppliers and service providers may delay our ramp-up of Fab 2 and therefore significantly harm our financial results.</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be profitable.</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of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3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attract additional customers, our business may be adversely affected.</w:t>
      </w:r>
    </w:p>
    <w:p>
      <w:pPr>
        <w:sectPr>
          <w:pgSz w:w="11900" w:h="16838" w:orient="portrait"/>
          <w:cols w:equalWidth="0" w:num="1">
            <w:col w:w="11420"/>
          </w:cols>
          <w:pgMar w:left="240" w:top="125" w:right="239" w:bottom="0" w:gutter="0" w:footer="0" w:header="0"/>
        </w:sectPr>
      </w:pPr>
    </w:p>
    <w:bookmarkStart w:id="5" w:name="page6"/>
    <w:bookmarkEnd w:id="5"/>
    <w:p>
      <w:pPr>
        <w:ind w:right="40" w:firstLine="351"/>
        <w:spacing w:after="0" w:line="290" w:lineRule="auto"/>
        <w:rPr>
          <w:sz w:val="20"/>
          <w:szCs w:val="20"/>
          <w:color w:val="auto"/>
        </w:rPr>
      </w:pPr>
      <w:r>
        <w:rPr>
          <w:rFonts w:ascii="Arial" w:cs="Arial" w:eastAsia="Arial" w:hAnsi="Arial"/>
          <w:sz w:val="16"/>
          <w:szCs w:val="16"/>
          <w:color w:val="auto"/>
        </w:rPr>
        <w:t>For the nine months ended September 30, 2005, approximately 56% of our business was generated by five significant customers that contributed 23%, 12%, 11%, 5%, and 5% of our revenues, respectively. We expect to continue to receive a significant portion of our revenue from a limited number of customers in 2005 and 2006.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relatively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semiconductor foundry industry is highly competitive. We compete with more than ten independent dedicated foundries, the majority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effected. Many of our competitors may have one or more of the following competitive advantages over us: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We have a large amount of long-term debt, which could have significant negative consequences. As of January 25, 2006, we had approximately $526.7 million of bank debt and approximately $67.5 million of convertible debt. Our current and future indebtedness could have significant negative consequences, including:</w:t>
      </w:r>
    </w:p>
    <w:p>
      <w:pPr>
        <w:sectPr>
          <w:pgSz w:w="11900" w:h="16838" w:orient="portrait"/>
          <w:cols w:equalWidth="0" w:num="1">
            <w:col w:w="11420"/>
          </w:cols>
          <w:pgMar w:left="240" w:top="131" w:right="239" w:bottom="0" w:gutter="0" w:footer="0" w:header="0"/>
        </w:sectPr>
      </w:pPr>
    </w:p>
    <w:bookmarkStart w:id="6" w:name="page7"/>
    <w:bookmarkEnd w:id="6"/>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do not raise the funds required by the amendment to our credit facility agreement or fail to satisfy the covenants set forth in our amended credit facility, our banks will be able to call our loans.</w:t>
      </w:r>
    </w:p>
    <w:p>
      <w:pPr>
        <w:spacing w:after="0" w:line="180"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credit facility, under which we have drawn down approximately $526.7 million as of January 25, 2006, requires that we comply with certain financial, capital raising and production milestone covenants. In accordance with the amended credit facility agreement with our banks, in addition to amounts we have raised to date, we are required to raise approximately $8 million by June 30, 2006. In the July 2005 amendment to our credit facility agreement, our banks agreed to amend our financial ratios and covenants through the third quarter of 2006. We anticipate that we will not be in compliance with all of the financial ratios and covenants under the amended facility agreement commencing in the fourth quarter of 2006. Should we fail to raise the funds required under our facility agreement in a timely manner or to comply with our revised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our banks exceed these limitations, they may limit our ability to borrow other money in the future and may require us to return some or all of our outstanding borrowings (which were approximately $526.7 million as of January 25, 2006), which may have a material adverse effect on our business, financial condition and results of operations.</w:t>
      </w:r>
    </w:p>
    <w:p>
      <w:pPr>
        <w:spacing w:after="0" w:line="19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6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may increase our cost of operations.</w:t>
      </w:r>
    </w:p>
    <w:p>
      <w:pPr>
        <w:spacing w:after="0" w:line="23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61"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ectPr>
          <w:pgSz w:w="11900" w:h="16838" w:orient="portrait"/>
          <w:cols w:equalWidth="0" w:num="1">
            <w:col w:w="11400"/>
          </w:cols>
          <w:pgMar w:left="240" w:top="131" w:right="259" w:bottom="248"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248" w:gutter="0" w:footer="0" w:header="0"/>
          <w:type w:val="continuous"/>
        </w:sectPr>
      </w:pPr>
    </w:p>
    <w:bookmarkStart w:id="7" w:name="page8"/>
    <w:bookmarkEnd w:id="7"/>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defend our intellectual property rights could harm our business.</w:t>
      </w:r>
    </w:p>
    <w:p>
      <w:pPr>
        <w:spacing w:after="0" w:line="25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 One of these agreements expired at the end of 2005, and we are currently negotiating its renewal. If we are unable to renew it on similar terms, we may have to agree to less favorable terms or consider other alternatives, including designing around certain processes.</w:t>
      </w:r>
    </w:p>
    <w:p>
      <w:pPr>
        <w:spacing w:after="0" w:line="172"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As of December 31, 2005, we held 54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Israel Investment Center that we received in connection with Fab 1.</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w:t>
      </w:r>
    </w:p>
    <w:p>
      <w:pPr>
        <w:sectPr>
          <w:pgSz w:w="11900" w:h="16884" w:orient="portrait"/>
          <w:cols w:equalWidth="0" w:num="1">
            <w:col w:w="11420"/>
          </w:cols>
          <w:pgMar w:left="240" w:top="125" w:right="239" w:bottom="0" w:gutter="0" w:footer="0" w:header="0"/>
        </w:sectPr>
      </w:pPr>
    </w:p>
    <w:bookmarkStart w:id="8" w:name="page9"/>
    <w:bookmarkEnd w:id="8"/>
    <w:p>
      <w:pPr>
        <w:ind w:right="380"/>
        <w:spacing w:after="0" w:line="268" w:lineRule="auto"/>
        <w:rPr>
          <w:sz w:val="20"/>
          <w:szCs w:val="20"/>
          <w:color w:val="auto"/>
        </w:rPr>
      </w:pPr>
      <w:r>
        <w:rPr>
          <w:rFonts w:ascii="Arial" w:cs="Arial" w:eastAsia="Arial" w:hAnsi="Arial"/>
          <w:sz w:val="18"/>
          <w:szCs w:val="18"/>
          <w:color w:val="auto"/>
        </w:rPr>
        <w:t>$2.5 million. Since our actual level of Fab 1 revenues and employees for 2003 and 2004 were not in compliance with the above mentioned levels, we may be required to repay the Investment Center up to approximately $2.5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Since 2003, 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50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 such as the earthquakes experienced in China, Japan and Taiwan;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new executive officers are unable to fully transition into their new positions, our company may be adversely affected.</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made several changes to our senior management team in recent months. If our new executive officers are unable to fully transition into their new positions, or if such transition is significantly delayed, our company may be adversely affected.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Securities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31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Issuance of additional shares pursuant to our Fab 2 financing arrangements and options granted to our Fab 2 building contractor, employees and directors may dilute the interest of our shareholders.</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Fab 2, we have issued as of January 25, 2006, 54,895,538 ordinary shares to our wafer and equity partners and other shareholders. In December 2003, we issued to our banks and to one of our shareholders warrants exercisable into 896,596 and 58,906 ordinary shares, respectively, with an exercise price of $6.17. In addition, in connection with the July 2005 amendment to our credit facility agreement, we issued warrants to our banks exercisable into an aggregate 8,264,464 ordinary shares with an exercise price of $1.21, one-half of which shall only be exercisable if our banks agree to reschedule the repayment dates of the loans to be made available to us under the July 2005 amendment. As of January 23, 2006, up to approximately 51.3 million additional ordinary shares may be issued upon the conversion of our 2002 outstanding convertible debentures, 2006 outstanding convertible debentures and upon exercise of warrants held by some of our shareholders and others.</w:t>
      </w:r>
    </w:p>
    <w:p>
      <w:pPr>
        <w:spacing w:after="0" w:line="172" w:lineRule="exact"/>
        <w:rPr>
          <w:sz w:val="20"/>
          <w:szCs w:val="20"/>
          <w:color w:val="auto"/>
        </w:rPr>
      </w:pPr>
    </w:p>
    <w:p>
      <w:pPr>
        <w:ind w:right="180" w:firstLine="351"/>
        <w:spacing w:after="0" w:line="314" w:lineRule="auto"/>
        <w:rPr>
          <w:sz w:val="20"/>
          <w:szCs w:val="20"/>
          <w:color w:val="auto"/>
        </w:rPr>
      </w:pPr>
      <w:r>
        <w:rPr>
          <w:rFonts w:ascii="Arial" w:cs="Arial" w:eastAsia="Arial" w:hAnsi="Arial"/>
          <w:sz w:val="15"/>
          <w:szCs w:val="15"/>
          <w:color w:val="auto"/>
        </w:rPr>
        <w:t>In addition, as of December 31, 2005, we had outstanding employee and directors options to purchase up to approximately 13 million shares at a weighted average exercise price of $4.19.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relevant quarter. As of December 31, 2005, we had issued 1,286,574 of our ordinary shares to SanDisk Corporation and 62,849 ordinary shares to</w:t>
      </w:r>
    </w:p>
    <w:p>
      <w:pPr>
        <w:sectPr>
          <w:pgSz w:w="11900" w:h="16838" w:orient="portrait"/>
          <w:cols w:equalWidth="0" w:num="1">
            <w:col w:w="11420"/>
          </w:cols>
          <w:pgMar w:left="240" w:top="131" w:right="239" w:bottom="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Alliance Semiconductor upon conversion of $2.33 million of wafer credits. As of December 31, 2005, an aggregate of $37.8 million of credits issued to our three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major wafer partners were outstanding. As of the date of this prospectus, one of our major wafer partners notified us in January 2006 of its election to convert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$3.88 million of wafer credits into 2,455,905 shares, based on a price of $1.58 per share, which was the average closing sale price of our shares for the 15 trading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days prior to December 31, 2005.</w:t>
      </w:r>
    </w:p>
    <w:p>
      <w:pPr>
        <w:spacing w:after="0" w:line="21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addition, we need to raise significant additional funds from other sources to finance our short-term activities and liabilities, including payments on the long-term loans from our banks, and negative cash flows from operations, as well as to complete the ramp-up of Fab 2. We are regularly engaged in discussions with potential investors in order to attract them to make investments in our company.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Of our 67,189,547 outstanding ordinary shares as of January 23, 2006, 25,360,920 are freely tradable and held by non-affiliates. In addition, certain of our affiliates (Israel Corp., SanDisk Corporation, Alliance Semiconductor, and Macronix International) hold 41,828,627 of our shares, of which 4,086,037 are registered for resale and are therefore freely tradable and 36,252,839 are currently eligible for sale subject to the time, volume and manner of sale limitations of Rule 144. An additional 102,048 shares held by Alliance Semiconductor will become eligible for sale subject to the time, volume and manner of sale limitations of Rule 144 during 2006 and 2007. An additional 1,387,703 shares held by SanDisk Corporation will become eligible for sale subject to the time, volume and manner of sale limitations of Rule 144 during 2006 and 2007. On December 2, 2005, Alliance Semiconductor filed a Form 144 with the Securities and Exchange Commission to sell 662,860 of our shares and to our knowledge, sold 662,826 shares. Up to 43,790,272 additional shares issuable upon the conversion of our convertible debentures due 2012 (including the 28,356,005 ordinary shares the resale of which is covered by this prospectus) are not subject to time, volume and manner of sale limitations of Rule 144. Shares held by these affiliates are subject to the share transfer restrictions set forth in the shareholders agreement to which they are a party and which remain in effect through January 2008.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7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interest in ways which may be adverse to your interests.</w:t>
      </w:r>
    </w:p>
    <w:p>
      <w:pPr>
        <w:spacing w:after="0" w:line="180"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of December 31, 2005, our wafer partners and Israel Corp. collectively own approximately 62%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payment of principal of and interest on the debentures is subordinated to our indebtedness to our banks and obligations to secured creditors.</w:t>
      </w:r>
    </w:p>
    <w:p>
      <w:pPr>
        <w:spacing w:after="0" w:line="25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payment of the principal of and interest on the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$158.1 million in grants received through December 31, 2005 under the Investment Center’s “Approved Enterprise” program, and to a first ranking charge in favor of Siliconix Technology C.V., on one of our bank accounts in which Siliconix Technology C.V. deposited in 2004 $20 million for the purchase of equipment and other expenses in connection with the performance of our obligations under our agreement with Siliconix (of which as of December 31, 2005, there is a balance of approximately $10 million) and over the equipment which has been or which may be subsequently purchased with such funds. As a result, upon any distribution to our creditors in liquidation or reorganization or similar proceedings, these secured creditors will be entitled to be paid in full before any payment may be made with respect to the debentures issuable under this prospectus. In any of these circumstances, we may not have sufficient assets remaining to pay amounts due on any or all of the debentures then outstanding. In addition, if on a payment date of the principal of or interest on the debentures, an “Event of Default” exists under our facility agreement, the dates for payment of interest and principal on the debentures may be postponed, depending on various scenarios under the facility agreement. If, in such event, we reach an agreement with the banks (with respect to rescheduling our debt to the banks), the debenture holders may be bound thereby. The terms of the Indenture covering the debentures permit the Co-Trustees to initiate legal proceedings against us only in a limited number of cases, and always provided that an advance notice is given to us and to the banks (see “Description of the Debentures – Subordination of Debentures”).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including indebtedness that would be senior to our debentures.</w:t>
      </w:r>
    </w:p>
    <w:p>
      <w:pPr>
        <w:spacing w:after="0" w:line="231"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 If new indebtedness is added to our current indebtedness levels, the related risks that we now face could intensify.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ordinary shares may decline after debentures are converted into our ordinary shares.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cannot assure you that the public trading market price of our ordinary shares will not decline after conversion of the debentures. If the prevailing market price were to decline below the conversion price of our debentures then you may not be able to sell your ordinary shares at a price equal to or greater than the conversion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price of the debentures is not an indication of our present or future value.</w:t>
      </w:r>
    </w:p>
    <w:p>
      <w:pPr>
        <w:sectPr>
          <w:pgSz w:w="11900" w:h="16838" w:orient="portrait"/>
          <w:cols w:equalWidth="0" w:num="1">
            <w:col w:w="11420"/>
          </w:cols>
          <w:pgMar w:left="240" w:top="131" w:right="239" w:bottom="140" w:gutter="0" w:footer="0" w:header="0"/>
        </w:sectPr>
      </w:pPr>
    </w:p>
    <w:bookmarkStart w:id="10" w:name="page11"/>
    <w:bookmarkEnd w:id="10"/>
    <w:p>
      <w:pPr>
        <w:ind w:right="220" w:firstLine="351"/>
        <w:spacing w:after="0" w:line="290" w:lineRule="auto"/>
        <w:rPr>
          <w:sz w:val="20"/>
          <w:szCs w:val="20"/>
          <w:color w:val="auto"/>
        </w:rPr>
      </w:pPr>
      <w:r>
        <w:rPr>
          <w:rFonts w:ascii="Arial" w:cs="Arial" w:eastAsia="Arial" w:hAnsi="Arial"/>
          <w:sz w:val="16"/>
          <w:szCs w:val="16"/>
          <w:color w:val="auto"/>
        </w:rPr>
        <w:t>Our board of directors set all of the terms and conditions of the debentures, including the conversion price. Our company’s objective in establishing the conversion price was to reflect recent trading prices, raise the targeted proceeds and provide all of our shareholders with a reasonable opportunity to make an additional investment in our company. We consulted with a financial advisor in order to assist in the determination of the commercial terms. In establishing the commercial terms, including the conversion price, our board of directors and its audit committee considered the following factors: the strategic alternatives available to us for raising capital, the market price of our ordinary shares, the pro rata nature of the offering, pricing of similar transactions, the advice of the financial advisor, our business prospects and general conditions in the securities markets. The conversion price, however, does not necessarily bear any relationship to our past or expected future results of operations, cash flows, current financial condition, or any other established criteria for value.</w:t>
      </w:r>
    </w:p>
    <w:p>
      <w:pPr>
        <w:spacing w:after="0" w:line="172"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conversion price does not necessarily bear any relationship to the book value of our assets, past operations, cash flow, losses or financial condition. You should not consider the conversion price of the debentures an indication of our present or future value.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312"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0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by its terms on December 31, 2006.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60" w:firstLine="348"/>
        <w:spacing w:after="0" w:line="306" w:lineRule="auto"/>
        <w:rPr>
          <w:sz w:val="20"/>
          <w:szCs w:val="20"/>
          <w:color w:val="auto"/>
        </w:rPr>
      </w:pPr>
      <w:r>
        <w:rPr>
          <w:rFonts w:ascii="Arial" w:cs="Arial" w:eastAsia="Arial" w:hAnsi="Arial"/>
          <w:sz w:val="15"/>
          <w:szCs w:val="15"/>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w:t>
      </w:r>
    </w:p>
    <w:p>
      <w:pPr>
        <w:sectPr>
          <w:pgSz w:w="11900" w:h="16838" w:orient="portrait"/>
          <w:cols w:equalWidth="0" w:num="1">
            <w:col w:w="11400"/>
          </w:cols>
          <w:pgMar w:left="240" w:top="131" w:right="259" w:bottom="0" w:gutter="0" w:footer="0" w:header="0"/>
        </w:sectPr>
      </w:pPr>
    </w:p>
    <w:bookmarkStart w:id="11" w:name="page12"/>
    <w:bookmarkEnd w:id="11"/>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and directors and some of the experts named in this prospectus or to assert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12"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4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 of earnings to fixed charges in accordance with Israeli GAAP for the periods presented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720" w:type="dxa"/>
            <w:vAlign w:val="bottom"/>
            <w:gridSpan w:val="4"/>
          </w:tcPr>
          <w:p>
            <w:pPr>
              <w:jc w:val="center"/>
              <w:ind w:left="1362"/>
              <w:spacing w:after="0"/>
              <w:rPr>
                <w:sz w:val="20"/>
                <w:szCs w:val="20"/>
                <w:color w:val="auto"/>
              </w:rPr>
            </w:pPr>
            <w:r>
              <w:rPr>
                <w:rFonts w:ascii="Arial" w:cs="Arial" w:eastAsia="Arial" w:hAnsi="Arial"/>
                <w:sz w:val="14"/>
                <w:szCs w:val="14"/>
                <w:b w:val="1"/>
                <w:bCs w:val="1"/>
                <w:color w:val="auto"/>
                <w:w w:val="88"/>
              </w:rPr>
              <w:t>Nine Months Ended</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September 30, 2005</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(Unaudited)</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jc w:val="right"/>
              <w:ind w:right="362"/>
              <w:spacing w:after="0"/>
              <w:rPr>
                <w:sz w:val="20"/>
                <w:szCs w:val="20"/>
                <w:color w:val="auto"/>
              </w:rPr>
            </w:pPr>
            <w:r>
              <w:rPr>
                <w:rFonts w:ascii="Arial" w:cs="Arial" w:eastAsia="Arial" w:hAnsi="Arial"/>
                <w:sz w:val="14"/>
                <w:szCs w:val="14"/>
                <w:b w:val="1"/>
                <w:bCs w:val="1"/>
                <w:color w:val="auto"/>
              </w:rPr>
              <w:t>2004</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15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2002</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2001</w:t>
            </w:r>
          </w:p>
        </w:tc>
        <w:tc>
          <w:tcPr>
            <w:tcW w:w="700" w:type="dxa"/>
            <w:vAlign w:val="bottom"/>
            <w:gridSpan w:val="2"/>
          </w:tcPr>
          <w:p>
            <w:pPr>
              <w:ind w:left="240"/>
              <w:spacing w:after="0"/>
              <w:rPr>
                <w:sz w:val="20"/>
                <w:szCs w:val="20"/>
                <w:color w:val="auto"/>
              </w:rPr>
            </w:pPr>
            <w:r>
              <w:rPr>
                <w:rFonts w:ascii="Arial" w:cs="Arial" w:eastAsia="Arial" w:hAnsi="Arial"/>
                <w:sz w:val="14"/>
                <w:szCs w:val="14"/>
                <w:b w:val="1"/>
                <w:bCs w:val="1"/>
                <w:color w:val="auto"/>
              </w:rPr>
              <w:t>2000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32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1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3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320" w:type="dxa"/>
            <w:vAlign w:val="bottom"/>
          </w:tcPr>
          <w:p>
            <w:pPr>
              <w:spacing w:after="0"/>
              <w:rPr>
                <w:sz w:val="20"/>
                <w:szCs w:val="20"/>
                <w:color w:val="auto"/>
              </w:rPr>
            </w:pPr>
            <w:r>
              <w:rPr>
                <w:rFonts w:ascii="Arial" w:cs="Arial" w:eastAsia="Arial" w:hAnsi="Arial"/>
                <w:sz w:val="18"/>
                <w:szCs w:val="18"/>
                <w:color w:val="auto"/>
              </w:rPr>
              <w:t>charges</w:t>
            </w:r>
          </w:p>
        </w:tc>
        <w:tc>
          <w:tcPr>
            <w:tcW w:w="2660" w:type="dxa"/>
            <w:vAlign w:val="bottom"/>
            <w:gridSpan w:val="2"/>
          </w:tcPr>
          <w:p>
            <w:pPr>
              <w:jc w:val="right"/>
              <w:ind w:right="53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(3)</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(4)</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(5)</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106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16"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$154.8 million for the nine months ended September 30, 2005.</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$127.3 million in 2003.</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$63.7 million in 2002.</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$49.5 million in 2001.</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$3.5 million in 2000.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following table sets forth our long-term debt, convertible debentures and capitalization as of September 30, 2005 on an actual basis and, on an as adjusted basis to reflect the issuance of $48.17 million of our convertible debentures due 2012 (excluding the conversion of such debentures).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456"/>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22"/>
                <w:szCs w:val="22"/>
                <w:b w:val="1"/>
                <w:bCs w:val="1"/>
                <w:color w:val="auto"/>
                <w:vertAlign w:val="superscript"/>
              </w:rPr>
              <w:t>(1)</w:t>
            </w:r>
          </w:p>
        </w:tc>
      </w:tr>
      <w:tr>
        <w:trPr>
          <w:trHeight w:val="253"/>
        </w:trPr>
        <w:tc>
          <w:tcPr>
            <w:tcW w:w="84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maturities of convertibles debentures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6,397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6,397</w:t>
            </w:r>
          </w:p>
        </w:tc>
        <w:tc>
          <w:tcPr>
            <w:tcW w:w="20" w:type="dxa"/>
            <w:vAlign w:val="bottom"/>
            <w:shd w:val="clear" w:color="auto" w:fill="CCEEFF"/>
          </w:tcPr>
          <w:p>
            <w:pPr>
              <w:spacing w:after="0"/>
              <w:rPr>
                <w:sz w:val="18"/>
                <w:szCs w:val="18"/>
                <w:color w:val="auto"/>
              </w:rPr>
            </w:pPr>
          </w:p>
        </w:tc>
      </w:tr>
      <w:tr>
        <w:trPr>
          <w:trHeight w:val="257"/>
        </w:trPr>
        <w:tc>
          <w:tcPr>
            <w:tcW w:w="8480" w:type="dxa"/>
            <w:vAlign w:val="bottom"/>
          </w:tcPr>
          <w:p>
            <w:pPr>
              <w:ind w:left="60"/>
              <w:spacing w:after="0" w:line="25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9"/>
                <w:szCs w:val="29"/>
                <w:color w:val="auto"/>
                <w:vertAlign w:val="superscript"/>
              </w:rPr>
              <w:t>(2)</w:t>
            </w:r>
          </w:p>
        </w:tc>
        <w:tc>
          <w:tcPr>
            <w:tcW w:w="340" w:type="dxa"/>
            <w:vAlign w:val="bottom"/>
          </w:tcPr>
          <w:p>
            <w:pPr>
              <w:spacing w:after="0"/>
              <w:rPr>
                <w:sz w:val="22"/>
                <w:szCs w:val="22"/>
                <w:color w:val="auto"/>
              </w:rPr>
            </w:pPr>
          </w:p>
        </w:tc>
        <w:tc>
          <w:tcPr>
            <w:tcW w:w="1220" w:type="dxa"/>
            <w:vAlign w:val="bottom"/>
          </w:tcPr>
          <w:p>
            <w:pPr>
              <w:jc w:val="right"/>
              <w:ind w:right="336"/>
              <w:spacing w:after="0"/>
              <w:rPr>
                <w:sz w:val="20"/>
                <w:szCs w:val="20"/>
                <w:color w:val="auto"/>
              </w:rPr>
            </w:pPr>
            <w:r>
              <w:rPr>
                <w:rFonts w:ascii="Arial" w:cs="Arial" w:eastAsia="Arial" w:hAnsi="Arial"/>
                <w:sz w:val="18"/>
                <w:szCs w:val="18"/>
                <w:color w:val="auto"/>
              </w:rPr>
              <w:t>510,360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510,360</w:t>
            </w:r>
          </w:p>
        </w:tc>
        <w:tc>
          <w:tcPr>
            <w:tcW w:w="20" w:type="dxa"/>
            <w:vAlign w:val="bottom"/>
          </w:tcPr>
          <w:p>
            <w:pPr>
              <w:spacing w:after="0"/>
              <w:rPr>
                <w:sz w:val="22"/>
                <w:szCs w:val="22"/>
                <w:color w:val="auto"/>
              </w:rPr>
            </w:pPr>
          </w:p>
        </w:tc>
      </w:tr>
      <w:tr>
        <w:trPr>
          <w:trHeight w:val="216"/>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Convertible debentures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19,192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19,192</w:t>
            </w:r>
          </w:p>
        </w:tc>
        <w:tc>
          <w:tcPr>
            <w:tcW w:w="20" w:type="dxa"/>
            <w:vAlign w:val="bottom"/>
            <w:shd w:val="clear" w:color="auto" w:fill="CCEEFF"/>
          </w:tcPr>
          <w:p>
            <w:pPr>
              <w:spacing w:after="0"/>
              <w:rPr>
                <w:sz w:val="18"/>
                <w:szCs w:val="18"/>
                <w:color w:val="auto"/>
              </w:rPr>
            </w:pPr>
          </w:p>
        </w:tc>
      </w:tr>
      <w:tr>
        <w:trPr>
          <w:trHeight w:val="208"/>
        </w:trPr>
        <w:tc>
          <w:tcPr>
            <w:tcW w:w="8480" w:type="dxa"/>
            <w:vAlign w:val="bottom"/>
          </w:tcPr>
          <w:p>
            <w:pPr>
              <w:ind w:left="60"/>
              <w:spacing w:after="0"/>
              <w:rPr>
                <w:sz w:val="20"/>
                <w:szCs w:val="20"/>
                <w:color w:val="auto"/>
              </w:rPr>
            </w:pPr>
            <w:r>
              <w:rPr>
                <w:rFonts w:ascii="Arial" w:cs="Arial" w:eastAsia="Arial" w:hAnsi="Arial"/>
                <w:sz w:val="18"/>
                <w:szCs w:val="18"/>
                <w:color w:val="auto"/>
              </w:rPr>
              <w:t>Convertible debentures issued in recent rights offering</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8480" w:type="dxa"/>
            <w:vAlign w:val="bottom"/>
          </w:tcPr>
          <w:p>
            <w:pPr>
              <w:ind w:left="60"/>
              <w:spacing w:after="0"/>
              <w:rPr>
                <w:sz w:val="20"/>
                <w:szCs w:val="20"/>
                <w:color w:val="auto"/>
              </w:rPr>
            </w:pPr>
            <w:r>
              <w:rPr>
                <w:rFonts w:ascii="Arial" w:cs="Arial" w:eastAsia="Arial" w:hAnsi="Arial"/>
                <w:sz w:val="18"/>
                <w:szCs w:val="18"/>
                <w:color w:val="auto"/>
              </w:rPr>
              <w:t>due 2012</w:t>
            </w:r>
          </w:p>
        </w:tc>
        <w:tc>
          <w:tcPr>
            <w:tcW w:w="340" w:type="dxa"/>
            <w:vAlign w:val="bottom"/>
          </w:tcPr>
          <w:p>
            <w:pPr>
              <w:spacing w:after="0"/>
              <w:rPr>
                <w:sz w:val="19"/>
                <w:szCs w:val="19"/>
                <w:color w:val="auto"/>
              </w:rPr>
            </w:pPr>
          </w:p>
        </w:tc>
        <w:tc>
          <w:tcPr>
            <w:tcW w:w="1220" w:type="dxa"/>
            <w:vAlign w:val="bottom"/>
          </w:tcPr>
          <w:p>
            <w:pPr>
              <w:jc w:val="right"/>
              <w:ind w:right="33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48,169</w:t>
            </w:r>
          </w:p>
        </w:tc>
        <w:tc>
          <w:tcPr>
            <w:tcW w:w="20" w:type="dxa"/>
            <w:vAlign w:val="bottom"/>
          </w:tcPr>
          <w:p>
            <w:pPr>
              <w:spacing w:after="0"/>
              <w:rPr>
                <w:sz w:val="19"/>
                <w:szCs w:val="19"/>
                <w:color w:val="auto"/>
              </w:rPr>
            </w:pPr>
          </w:p>
        </w:tc>
      </w:tr>
      <w:tr>
        <w:trPr>
          <w:trHeight w:val="217"/>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Long-term liability in respect of customer advances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60,577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60,577</w:t>
            </w:r>
          </w:p>
        </w:tc>
        <w:tc>
          <w:tcPr>
            <w:tcW w:w="20" w:type="dxa"/>
            <w:vAlign w:val="bottom"/>
            <w:shd w:val="clear" w:color="auto" w:fill="CCEEFF"/>
          </w:tcPr>
          <w:p>
            <w:pPr>
              <w:spacing w:after="0"/>
              <w:rPr>
                <w:sz w:val="18"/>
                <w:szCs w:val="18"/>
                <w:color w:val="auto"/>
              </w:rPr>
            </w:pPr>
          </w:p>
        </w:tc>
      </w:tr>
      <w:tr>
        <w:trPr>
          <w:trHeight w:val="216"/>
        </w:trPr>
        <w:tc>
          <w:tcPr>
            <w:tcW w:w="8480" w:type="dxa"/>
            <w:vAlign w:val="bottom"/>
          </w:tcPr>
          <w:p>
            <w:pPr>
              <w:ind w:left="6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8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131" w:right="239" w:bottom="0" w:gutter="0" w:footer="0" w:header="0"/>
        </w:sectPr>
      </w:pPr>
    </w:p>
    <w:bookmarkStart w:id="12" w:name="page13"/>
    <w:bookmarkEnd w:id="12"/>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Ordinary Shares, NIS 1.00 par value per share;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250,000,000 authorized shares ***, 68,007,609 issued</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66,707,609 outstanding shares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521,489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521,489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receivables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(514,582)</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(514,582)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1,300,000 shares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(9,072)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14,308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14,308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688,727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1061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financial data is derived from unaudited condensed interim consolidated financial statements.</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Includes 1,300,000 treasury shares.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 July 2005, our board of directors approved increasing our authorized share capital to 500 million ordinary shares, par value NIS 1.00 per share. This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increase was approved by our shareholders in October 2005.</w:t>
      </w:r>
    </w:p>
    <w:p>
      <w:pPr>
        <w:spacing w:after="0" w:line="9" w:lineRule="exact"/>
        <w:rPr>
          <w:sz w:val="20"/>
          <w:szCs w:val="20"/>
          <w:color w:val="auto"/>
        </w:rPr>
      </w:pPr>
    </w:p>
    <w:p>
      <w:pPr>
        <w:ind w:left="580" w:right="60" w:hanging="572"/>
        <w:spacing w:after="0" w:line="214" w:lineRule="auto"/>
        <w:tabs>
          <w:tab w:leader="none" w:pos="58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As adjusted to reflect our issuance of $48,169,300 in principal amount of debentures convertible into our ordinary shares in our recently completed rights offering, but excluding the conversion of such debentures. The amounts as adjusted reflect the gross proceeds received from such rights offering.</w:t>
      </w:r>
    </w:p>
    <w:p>
      <w:pPr>
        <w:spacing w:after="0" w:line="1" w:lineRule="exact"/>
        <w:rPr>
          <w:rFonts w:ascii="Arial" w:cs="Arial" w:eastAsia="Arial" w:hAnsi="Arial"/>
          <w:sz w:val="26"/>
          <w:szCs w:val="26"/>
          <w:color w:val="auto"/>
          <w:vertAlign w:val="superscript"/>
        </w:rPr>
      </w:pPr>
    </w:p>
    <w:p>
      <w:pPr>
        <w:ind w:left="580" w:hanging="572"/>
        <w:spacing w:after="0" w:line="180" w:lineRule="auto"/>
        <w:tabs>
          <w:tab w:leader="none" w:pos="580"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The indebtedness represented by long-term debt is secured by specific and floating liens on all of our assets.</w:t>
      </w:r>
    </w:p>
    <w:p>
      <w:pPr>
        <w:spacing w:after="0" w:line="200" w:lineRule="exact"/>
        <w:rPr>
          <w:sz w:val="20"/>
          <w:szCs w:val="20"/>
          <w:color w:val="auto"/>
        </w:rPr>
      </w:pPr>
    </w:p>
    <w:p>
      <w:pPr>
        <w:spacing w:after="0" w:line="253" w:lineRule="exact"/>
        <w:rPr>
          <w:sz w:val="20"/>
          <w:szCs w:val="20"/>
          <w:color w:val="auto"/>
        </w:rPr>
      </w:pPr>
    </w:p>
    <w:p>
      <w:pPr>
        <w:ind w:right="40" w:firstLine="348"/>
        <w:spacing w:after="0" w:line="306" w:lineRule="auto"/>
        <w:rPr>
          <w:sz w:val="20"/>
          <w:szCs w:val="20"/>
          <w:color w:val="auto"/>
        </w:rPr>
      </w:pPr>
      <w:r>
        <w:rPr>
          <w:rFonts w:ascii="Arial" w:cs="Arial" w:eastAsia="Arial" w:hAnsi="Arial"/>
          <w:sz w:val="15"/>
          <w:szCs w:val="15"/>
          <w:color w:val="auto"/>
        </w:rPr>
        <w:t>The information set forth on an actual basis in the foregoing table excludes 224,447 ordinary shares that we issued in October 2005 and 257,491 issued in January 2006. The information excludes as of September 30, 2005: (i) 13,200,849 ordinary shares issuable upon exercise of options granted to employees and directors at a weighted average exercise price of $4.19; (ii) up to 2,697,068 ordinary shares issuable upon conversion of unsecured, subordinated convertible debentures, net that we issued in January 2002 in the amount of NIS 117.4 million (or $25.6 million, as of September 30, 2005), which are convertible through December 31, 2008; (iii) 2,211,596 ordinary shares issuable upon exercise of options exercisable through January 20, 2006 at an exercise price of NIS 42.0, linked to the Israeli Consumer Price Index (or $9.1, as of September 30, 2005); (iv) 3,594,070 ordinary shares issuable upon exercise of warrants with an exercise price of $7.50; (v) 400,000 and 896,596 ordinary shares issuable upon the exercise of warrants issued to our banks in connection with our credit facility with exercise prices of $6.20 and $6.17 per share, respectively; (vi) 58,906 ordinary shares issuable upon exercise of warrants issued to Israel Corp. in connection with the November 2003 amendment to our facility agreement with an exercise price of $6.17 per share and exercisable until December 2008; and (vii) 8,264,464 ordinary shares issuable upon exercise of the warrants we issued to our banks with an exercise price of $1.21 in connection with the July 2005 amendment to our facility agreement. In addition, the information does not reflect the $16.3 million we borrowed under our credit facility agreement after September 30, 2005, the repayment in January 2006 of NIS 29.9 million (approximately $6.5 million) principal amount of the debentures in (ii) above), and the future issuance of 2,455,905 ordinary shares further to the notice of one of our major wafer partners of its election to convert $3.88 million of wafer credits into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and agreements with our major wafer partners and with Israel Corp. which cannot be calculated as of the date of this prospectus since the number of shares issuable will depend upon future transactions in which we may engage: (i) ordinary shares issuable upon conversion of up to $36.3 million in wafer prepayment credits (as of December 31, 2005) which we have issued to our major wafer partners (including $3.88 million of wafer prepayment credits for which we received in January 2006 a notice of election to convert such amount into shares); and (ii) ordinary shares issuable upon conversion of securities we may be required to issue in connection with a rights offering and outside investor provisions agreed to in the November 2003 amendment to our facility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will not receive any of the proceeds from the sale of debentures by our selling securityholders or from the sale of the ordinary shares issuable upon conversion of the debentures or exercise of the warrants; however we will receive the exercise price if any of the warrants are exercised, unless the holders thereof exercise by way of a “cashless” exercise. We will receive approximately $15.5 million if all 9,161,060 warrants held by the selling securityholders are exercised, unless the holders thereof exercise by way of a “cashless” exercise. The net proceeds received from the exercise of the warrants will be used towards the construction and deployment of Fab 2 as well as for general corporate purposes. We have agreed to bear all expenses relating to the registration of the securities registered pursuant to the registration statement, of which this prospectus is a part.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and other information.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securities covered by this prospectus were issued to the selling securityholders pursuant to the following transactions.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January 12, 2006, we completed the issuance of debentures in connection with the distribution of rights to our shareholders and certain employee option holders in December 2005, resulting in gross proceeds of $48.17 million. Of the $48.17 million, $31,191,606 were the result of issuances of debentures to the below listed selling securityholders in transactions exempted from the requirements of the Securities Act. These debentures are convertible, at a conversion price of $1.10 of aggregate principal amount, into 28,356,005 ordinary shares.</w:t>
      </w:r>
    </w:p>
    <w:p>
      <w:pPr>
        <w:spacing w:after="0" w:line="19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Israel Corporation Ltd., Alliance Semiconductor Corporation, Macronix (BVI) Co Ltd., SanDisk Corporation, Sphera Master Fund LP, Do Tzah Ltd., Ramco 20 Flexible, and Ramco Stocks may use this prospectus to resell up to $31,191,606 principal amount in debentures and up to 28,356,005 ordinary shares issuable upon conversion of the debentures.</w:t>
      </w:r>
    </w:p>
    <w:p>
      <w:pPr>
        <w:spacing w:after="0" w:line="194"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In August 2005, we issued warrants for the purchase of 8,264,464 of our ordinary shares to Bank Hapoalim and Bank Leumi Le-Israel (4,132,232 each). These warrants were issued in connection with an amendment to our credit facility agreement. These warrants have an exercise price of $1.21 per share. One-half, or an aggregate of 4,132,232 of the warrants, are exercisable for five years ending in August 2010, and one-half, or an aggregate of 4,132,232 of the warrants,</w:t>
      </w:r>
    </w:p>
    <w:p>
      <w:pPr>
        <w:sectPr>
          <w:pgSz w:w="11900" w:h="16909" w:orient="portrait"/>
          <w:cols w:equalWidth="0" w:num="1">
            <w:col w:w="11420"/>
          </w:cols>
          <w:pgMar w:left="240" w:top="140" w:right="239" w:bottom="0" w:gutter="0" w:footer="0" w:header="0"/>
        </w:sectPr>
      </w:pPr>
    </w:p>
    <w:bookmarkStart w:id="13" w:name="page14"/>
    <w:bookmarkEnd w:id="13"/>
    <w:p>
      <w:pPr>
        <w:ind w:right="260"/>
        <w:spacing w:after="0" w:line="268" w:lineRule="auto"/>
        <w:rPr>
          <w:sz w:val="20"/>
          <w:szCs w:val="20"/>
          <w:color w:val="auto"/>
        </w:rPr>
      </w:pPr>
      <w:r>
        <w:rPr>
          <w:rFonts w:ascii="Arial" w:cs="Arial" w:eastAsia="Arial" w:hAnsi="Arial"/>
          <w:sz w:val="18"/>
          <w:szCs w:val="18"/>
          <w:color w:val="auto"/>
        </w:rPr>
        <w:t>shall be exercisable for a five-year period commencing on the date on which we and our banks will agree, if at all, to a rescheduling of the repayment dates for loans drawn down by us under the July 2005 amendment to our facility agreement.</w:t>
      </w:r>
    </w:p>
    <w:p>
      <w:pPr>
        <w:spacing w:after="0" w:line="186"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December 2003, we issued warrants for the purchase of 896,596 of our ordinary shares to Tarshish Hahzakot Vehashkaot Hapoalim Ltd., a subsidiary of Bank Hapoalim, and Bank Leumi Le-Israel (448,298 each). These warrants were issued in connection with an amendment to our credit facility agreement in November 2003. These warrants have an exercise price of $6.17 per share and expire in December 2008.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Bank Hapaolim, Tarshish Hahzakot Vehashkaot Hapoalim Ltd., and Bank Leumi may use this prospectus to resell warrants to purchase up to 9,161,060 shares and the shares which may issued upon their exercise.</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Nothing in this Registration Statement shall be construed as an admission that any selling securityholder is the beneficial owner of any of our securities, other than the securities held directly by such party, nor that any selling securityholder or other persons or entities constitute a “group”, for purposes of Section 13(d) of the Exchange Act and the rules promulgated thereunder.</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assumes that each selling securityholder will sell all of the securities owned by it and covered by this prospectus. Information included in the table is based upon information provided by the selling securityholders. Our registration of these securities does not necessarily mean that the selling securityholders will sell any or all of the securities.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4"/>
              </w:rPr>
              <w:t>Securities Beneficially</w:t>
            </w:r>
          </w:p>
        </w:tc>
        <w:tc>
          <w:tcPr>
            <w:tcW w:w="40" w:type="dxa"/>
            <w:vAlign w:val="bottom"/>
          </w:tcPr>
          <w:p>
            <w:pPr>
              <w:spacing w:after="0"/>
              <w:rPr>
                <w:sz w:val="14"/>
                <w:szCs w:val="14"/>
                <w:color w:val="auto"/>
              </w:rPr>
            </w:pPr>
          </w:p>
        </w:tc>
        <w:tc>
          <w:tcPr>
            <w:tcW w:w="3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Securities Beneficially Owned</w:t>
            </w:r>
          </w:p>
        </w:tc>
      </w:tr>
      <w:tr>
        <w:trPr>
          <w:trHeight w:val="149"/>
        </w:trPr>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Owned Prior to Offering /</w:t>
            </w:r>
          </w:p>
        </w:tc>
        <w:tc>
          <w:tcPr>
            <w:tcW w:w="40" w:type="dxa"/>
            <w:vAlign w:val="bottom"/>
          </w:tcPr>
          <w:p>
            <w:pPr>
              <w:spacing w:after="0"/>
              <w:rPr>
                <w:sz w:val="12"/>
                <w:szCs w:val="12"/>
                <w:color w:val="auto"/>
              </w:rPr>
            </w:pPr>
          </w:p>
        </w:tc>
        <w:tc>
          <w:tcPr>
            <w:tcW w:w="3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Upon Completion of Offering /</w:t>
            </w:r>
          </w:p>
        </w:tc>
      </w:tr>
      <w:tr>
        <w:trPr>
          <w:trHeight w:val="284"/>
        </w:trPr>
        <w:tc>
          <w:tcPr>
            <w:tcW w:w="80" w:type="dxa"/>
            <w:vAlign w:val="bottom"/>
          </w:tcPr>
          <w:p>
            <w:pPr>
              <w:spacing w:after="0"/>
              <w:rPr>
                <w:sz w:val="24"/>
                <w:szCs w:val="24"/>
                <w:color w:val="auto"/>
              </w:rPr>
            </w:pPr>
          </w:p>
        </w:tc>
        <w:tc>
          <w:tcPr>
            <w:tcW w:w="2800" w:type="dxa"/>
            <w:vAlign w:val="bottom"/>
          </w:tcPr>
          <w:p>
            <w:pPr>
              <w:ind w:left="860"/>
              <w:spacing w:after="0"/>
              <w:rPr>
                <w:sz w:val="20"/>
                <w:szCs w:val="20"/>
                <w:color w:val="auto"/>
              </w:rPr>
            </w:pPr>
            <w:r>
              <w:rPr>
                <w:rFonts w:ascii="Arial" w:cs="Arial" w:eastAsia="Arial" w:hAnsi="Arial"/>
                <w:sz w:val="14"/>
                <w:szCs w:val="14"/>
                <w:b w:val="1"/>
                <w:bCs w:val="1"/>
                <w:color w:val="auto"/>
              </w:rPr>
              <w:t>Names and Addresses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Securities Being Offered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3"/>
              </w:rPr>
              <w:t>Percentage of Class</w:t>
            </w:r>
            <w:r>
              <w:rPr>
                <w:rFonts w:ascii="Arial" w:cs="Arial" w:eastAsia="Arial" w:hAnsi="Arial"/>
                <w:sz w:val="22"/>
                <w:szCs w:val="22"/>
                <w:b w:val="1"/>
                <w:bCs w:val="1"/>
                <w:color w:val="auto"/>
                <w:w w:val="83"/>
                <w:vertAlign w:val="superscript"/>
              </w:rPr>
              <w:t>1</w:t>
            </w:r>
          </w:p>
        </w:tc>
        <w:tc>
          <w:tcPr>
            <w:tcW w:w="40" w:type="dxa"/>
            <w:vAlign w:val="bottom"/>
          </w:tcPr>
          <w:p>
            <w:pPr>
              <w:spacing w:after="0"/>
              <w:rPr>
                <w:sz w:val="24"/>
                <w:szCs w:val="24"/>
                <w:color w:val="auto"/>
              </w:rPr>
            </w:pPr>
          </w:p>
        </w:tc>
        <w:tc>
          <w:tcPr>
            <w:tcW w:w="3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Percentage of Class</w:t>
            </w:r>
          </w:p>
        </w:tc>
      </w:tr>
      <w:tr>
        <w:trPr>
          <w:trHeight w:val="102"/>
        </w:trPr>
        <w:tc>
          <w:tcPr>
            <w:tcW w:w="80" w:type="dxa"/>
            <w:vAlign w:val="bottom"/>
          </w:tcPr>
          <w:p>
            <w:pPr>
              <w:spacing w:after="0"/>
              <w:rPr>
                <w:sz w:val="8"/>
                <w:szCs w:val="8"/>
                <w:color w:val="auto"/>
              </w:rPr>
            </w:pPr>
          </w:p>
        </w:tc>
        <w:tc>
          <w:tcPr>
            <w:tcW w:w="28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7"/>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 Corporation Ltd.</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18,181,823</w:t>
            </w:r>
          </w:p>
        </w:tc>
        <w:tc>
          <w:tcPr>
            <w:tcW w:w="12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33,324,887</w:t>
            </w:r>
          </w:p>
        </w:tc>
        <w:tc>
          <w:tcPr>
            <w:tcW w:w="190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38.64%</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15,143,064</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 22.25%</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 Arania Street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20,000,006</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20,000,006</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 /41.52%</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Debentures / 0%</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Millenium Tower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Tel-Aviv, Israel 61204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64"/>
        </w:trPr>
        <w:tc>
          <w:tcPr>
            <w:tcW w:w="2880" w:type="dxa"/>
            <w:vAlign w:val="bottom"/>
            <w:gridSpan w:val="2"/>
          </w:tcPr>
          <w:p>
            <w:pPr>
              <w:spacing w:after="0"/>
              <w:rPr>
                <w:sz w:val="20"/>
                <w:szCs w:val="20"/>
                <w:color w:val="auto"/>
              </w:rPr>
            </w:pPr>
            <w:r>
              <w:rPr>
                <w:rFonts w:ascii="Arial" w:cs="Arial" w:eastAsia="Arial" w:hAnsi="Arial"/>
                <w:sz w:val="18"/>
                <w:szCs w:val="18"/>
                <w:color w:val="auto"/>
              </w:rPr>
              <w:t>Macronix (BVI) Co Ltd.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909,090</w:t>
            </w:r>
          </w:p>
        </w:tc>
        <w:tc>
          <w:tcPr>
            <w:tcW w:w="126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9,979,485</w:t>
            </w:r>
          </w:p>
        </w:tc>
        <w:tc>
          <w:tcPr>
            <w:tcW w:w="190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 14.59%</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9,070,395</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Shares / 13.44%</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PO Box 957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1,000,000</w:t>
            </w:r>
          </w:p>
        </w:tc>
        <w:tc>
          <w:tcPr>
            <w:tcW w:w="1260" w:type="dxa"/>
            <w:vAlign w:val="bottom"/>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1,000,000</w:t>
            </w:r>
          </w:p>
        </w:tc>
        <w:tc>
          <w:tcPr>
            <w:tcW w:w="1900" w:type="dxa"/>
            <w:vAlign w:val="bottom"/>
          </w:tcPr>
          <w:p>
            <w:pPr>
              <w:ind w:left="120"/>
              <w:spacing w:after="0"/>
              <w:rPr>
                <w:sz w:val="20"/>
                <w:szCs w:val="20"/>
                <w:color w:val="auto"/>
              </w:rPr>
            </w:pPr>
            <w:r>
              <w:rPr>
                <w:rFonts w:ascii="Arial" w:cs="Arial" w:eastAsia="Arial" w:hAnsi="Arial"/>
                <w:sz w:val="18"/>
                <w:szCs w:val="18"/>
                <w:color w:val="auto"/>
              </w:rPr>
              <w:t>Debentures / 2.08%</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Debentures / 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Offshore Incorporations Centre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Road Town Tortola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British Virgin Islands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Alliance Semiconductor</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3,009,818</w:t>
            </w:r>
          </w:p>
        </w:tc>
        <w:tc>
          <w:tcPr>
            <w:tcW w:w="12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11,715,177</w:t>
            </w:r>
          </w:p>
        </w:tc>
        <w:tc>
          <w:tcPr>
            <w:tcW w:w="190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 16.60%</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8,705,359</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 12.89%</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3,310,800</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3,310,800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 / 6.87%</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Debentures / 0%</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2575 Augustine Drive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Clara, CA 95054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64"/>
        </w:trPr>
        <w:tc>
          <w:tcPr>
            <w:tcW w:w="2880" w:type="dxa"/>
            <w:vAlign w:val="bottom"/>
            <w:gridSpan w:val="2"/>
          </w:tcPr>
          <w:p>
            <w:pPr>
              <w:spacing w:after="0"/>
              <w:rPr>
                <w:sz w:val="20"/>
                <w:szCs w:val="20"/>
                <w:color w:val="auto"/>
              </w:rPr>
            </w:pPr>
            <w:r>
              <w:rPr>
                <w:rFonts w:ascii="Arial" w:cs="Arial" w:eastAsia="Arial" w:hAnsi="Arial"/>
                <w:sz w:val="18"/>
                <w:szCs w:val="18"/>
                <w:color w:val="auto"/>
              </w:rPr>
              <w:t>SanDisk Corporation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3,181,818</w:t>
            </w:r>
          </w:p>
        </w:tc>
        <w:tc>
          <w:tcPr>
            <w:tcW w:w="126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86"/>
              </w:rPr>
              <w:t>13,989,245</w:t>
            </w:r>
          </w:p>
        </w:tc>
        <w:tc>
          <w:tcPr>
            <w:tcW w:w="190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 19.78%</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10,807,427</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Shares / 16.00%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140 Caspian Court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3,500,000</w:t>
            </w:r>
          </w:p>
        </w:tc>
        <w:tc>
          <w:tcPr>
            <w:tcW w:w="1260" w:type="dxa"/>
            <w:vAlign w:val="bottom"/>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3,500,000</w:t>
            </w:r>
          </w:p>
        </w:tc>
        <w:tc>
          <w:tcPr>
            <w:tcW w:w="1900" w:type="dxa"/>
            <w:vAlign w:val="bottom"/>
          </w:tcPr>
          <w:p>
            <w:pPr>
              <w:ind w:left="120"/>
              <w:spacing w:after="0"/>
              <w:rPr>
                <w:sz w:val="20"/>
                <w:szCs w:val="20"/>
                <w:color w:val="auto"/>
              </w:rPr>
            </w:pPr>
            <w:r>
              <w:rPr>
                <w:rFonts w:ascii="Arial" w:cs="Arial" w:eastAsia="Arial" w:hAnsi="Arial"/>
                <w:sz w:val="18"/>
                <w:szCs w:val="18"/>
                <w:color w:val="auto"/>
              </w:rPr>
              <w:t>Debentures / 7.27%</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Debentures / 0%</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Sunnyvale, California 94089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Sphera Master Fund LP</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2,179,181</w:t>
            </w:r>
          </w:p>
        </w:tc>
        <w:tc>
          <w:tcPr>
            <w:tcW w:w="12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2,179,181</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 3.14%</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 0%</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Haarbaah Street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2,397,100</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2,397,100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 / 4.98%</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Debentures / 0%</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Platinum House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Tel-Aviv, Israel 64739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64"/>
        </w:trPr>
        <w:tc>
          <w:tcPr>
            <w:tcW w:w="2880" w:type="dxa"/>
            <w:vAlign w:val="bottom"/>
            <w:gridSpan w:val="2"/>
          </w:tcPr>
          <w:p>
            <w:pPr>
              <w:spacing w:after="0"/>
              <w:rPr>
                <w:sz w:val="20"/>
                <w:szCs w:val="20"/>
                <w:color w:val="auto"/>
              </w:rPr>
            </w:pPr>
            <w:r>
              <w:rPr>
                <w:rFonts w:ascii="Arial" w:cs="Arial" w:eastAsia="Arial" w:hAnsi="Arial"/>
                <w:sz w:val="18"/>
                <w:szCs w:val="18"/>
                <w:color w:val="auto"/>
              </w:rPr>
              <w:t>Do Tzah Ltd.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474,454</w:t>
            </w:r>
          </w:p>
        </w:tc>
        <w:tc>
          <w:tcPr>
            <w:tcW w:w="126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474,454</w:t>
            </w:r>
          </w:p>
        </w:tc>
        <w:tc>
          <w:tcPr>
            <w:tcW w:w="1900" w:type="dxa"/>
            <w:vAlign w:val="bottom"/>
          </w:tcPr>
          <w:p>
            <w:pPr>
              <w:ind w:left="120"/>
              <w:spacing w:after="0"/>
              <w:rPr>
                <w:sz w:val="20"/>
                <w:szCs w:val="20"/>
                <w:color w:val="auto"/>
              </w:rPr>
            </w:pPr>
            <w:r>
              <w:rPr>
                <w:rFonts w:ascii="Arial" w:cs="Arial" w:eastAsia="Arial" w:hAnsi="Arial"/>
                <w:sz w:val="18"/>
                <w:szCs w:val="18"/>
                <w:color w:val="auto"/>
              </w:rPr>
              <w:t>Shares / 0.70%</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Shares / 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37 Menachem Begin Road</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521,900</w:t>
            </w:r>
          </w:p>
        </w:tc>
        <w:tc>
          <w:tcPr>
            <w:tcW w:w="1260" w:type="dxa"/>
            <w:vAlign w:val="bottom"/>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521,900</w:t>
            </w:r>
          </w:p>
        </w:tc>
        <w:tc>
          <w:tcPr>
            <w:tcW w:w="1900" w:type="dxa"/>
            <w:vAlign w:val="bottom"/>
          </w:tcPr>
          <w:p>
            <w:pPr>
              <w:ind w:left="120"/>
              <w:spacing w:after="0"/>
              <w:rPr>
                <w:sz w:val="20"/>
                <w:szCs w:val="20"/>
                <w:color w:val="auto"/>
              </w:rPr>
            </w:pPr>
            <w:r>
              <w:rPr>
                <w:rFonts w:ascii="Arial" w:cs="Arial" w:eastAsia="Arial" w:hAnsi="Arial"/>
                <w:sz w:val="18"/>
                <w:szCs w:val="18"/>
                <w:color w:val="auto"/>
              </w:rPr>
              <w:t>Debentures / 1.08%</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Debentures / 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Rubinstein House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Tel-Aviv, Israel 67137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Ramco 20 Flexible</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251,890</w:t>
            </w:r>
          </w:p>
        </w:tc>
        <w:tc>
          <w:tcPr>
            <w:tcW w:w="12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251,890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 0.37%</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 0%</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 Rotschild Boulevard</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277,080</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277,080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 / 0.58%</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Debentures / 0%</w:t>
            </w:r>
          </w:p>
        </w:tc>
      </w:tr>
      <w:tr>
        <w:trPr>
          <w:trHeight w:val="257"/>
        </w:trPr>
        <w:tc>
          <w:tcPr>
            <w:tcW w:w="28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Zion House - 14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Tel-Aviv, Israel 86784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64"/>
        </w:trPr>
        <w:tc>
          <w:tcPr>
            <w:tcW w:w="2880" w:type="dxa"/>
            <w:vAlign w:val="bottom"/>
            <w:gridSpan w:val="2"/>
          </w:tcPr>
          <w:p>
            <w:pPr>
              <w:spacing w:after="0"/>
              <w:rPr>
                <w:sz w:val="20"/>
                <w:szCs w:val="20"/>
                <w:color w:val="auto"/>
              </w:rPr>
            </w:pPr>
            <w:r>
              <w:rPr>
                <w:rFonts w:ascii="Arial" w:cs="Arial" w:eastAsia="Arial" w:hAnsi="Arial"/>
                <w:sz w:val="18"/>
                <w:szCs w:val="18"/>
                <w:color w:val="auto"/>
              </w:rPr>
              <w:t>Ramco Stocks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167,927</w:t>
            </w:r>
          </w:p>
        </w:tc>
        <w:tc>
          <w:tcPr>
            <w:tcW w:w="126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167,927</w:t>
            </w:r>
          </w:p>
        </w:tc>
        <w:tc>
          <w:tcPr>
            <w:tcW w:w="1900" w:type="dxa"/>
            <w:vAlign w:val="bottom"/>
          </w:tcPr>
          <w:p>
            <w:pPr>
              <w:ind w:left="120"/>
              <w:spacing w:after="0"/>
              <w:rPr>
                <w:sz w:val="20"/>
                <w:szCs w:val="20"/>
                <w:color w:val="auto"/>
              </w:rPr>
            </w:pPr>
            <w:r>
              <w:rPr>
                <w:rFonts w:ascii="Arial" w:cs="Arial" w:eastAsia="Arial" w:hAnsi="Arial"/>
                <w:sz w:val="18"/>
                <w:szCs w:val="18"/>
                <w:color w:val="auto"/>
              </w:rPr>
              <w:t>Shares / 0.25%</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Shares / 0%</w:t>
            </w:r>
          </w:p>
        </w:tc>
      </w:tr>
      <w:tr>
        <w:trPr>
          <w:trHeight w:val="217"/>
        </w:trPr>
        <w:tc>
          <w:tcPr>
            <w:tcW w:w="2880" w:type="dxa"/>
            <w:vAlign w:val="bottom"/>
            <w:gridSpan w:val="2"/>
          </w:tcPr>
          <w:p>
            <w:pPr>
              <w:spacing w:after="0"/>
              <w:rPr>
                <w:sz w:val="20"/>
                <w:szCs w:val="20"/>
                <w:color w:val="auto"/>
              </w:rPr>
            </w:pPr>
            <w:r>
              <w:rPr>
                <w:rFonts w:ascii="Arial" w:cs="Arial" w:eastAsia="Arial" w:hAnsi="Arial"/>
                <w:sz w:val="18"/>
                <w:szCs w:val="18"/>
                <w:color w:val="auto"/>
              </w:rPr>
              <w:t>41 Rotschild Boulevard</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184,720</w:t>
            </w:r>
          </w:p>
        </w:tc>
        <w:tc>
          <w:tcPr>
            <w:tcW w:w="1260" w:type="dxa"/>
            <w:vAlign w:val="bottom"/>
          </w:tcPr>
          <w:p>
            <w:pPr>
              <w:ind w:left="120"/>
              <w:spacing w:after="0"/>
              <w:rPr>
                <w:sz w:val="20"/>
                <w:szCs w:val="20"/>
                <w:color w:val="auto"/>
              </w:rPr>
            </w:pPr>
            <w:r>
              <w:rPr>
                <w:rFonts w:ascii="Arial" w:cs="Arial" w:eastAsia="Arial" w:hAnsi="Arial"/>
                <w:sz w:val="18"/>
                <w:szCs w:val="18"/>
                <w:color w:val="auto"/>
              </w:rPr>
              <w:t>Debentures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184,720</w:t>
            </w:r>
          </w:p>
        </w:tc>
        <w:tc>
          <w:tcPr>
            <w:tcW w:w="1900" w:type="dxa"/>
            <w:vAlign w:val="bottom"/>
          </w:tcPr>
          <w:p>
            <w:pPr>
              <w:ind w:left="120"/>
              <w:spacing w:after="0"/>
              <w:rPr>
                <w:sz w:val="20"/>
                <w:szCs w:val="20"/>
                <w:color w:val="auto"/>
              </w:rPr>
            </w:pPr>
            <w:r>
              <w:rPr>
                <w:rFonts w:ascii="Arial" w:cs="Arial" w:eastAsia="Arial" w:hAnsi="Arial"/>
                <w:sz w:val="18"/>
                <w:szCs w:val="18"/>
                <w:color w:val="auto"/>
              </w:rPr>
              <w:t>Debentures / 0.38%</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Debentures / 0%</w:t>
            </w:r>
          </w:p>
        </w:tc>
      </w:tr>
      <w:tr>
        <w:trPr>
          <w:trHeight w:val="255"/>
        </w:trPr>
        <w:tc>
          <w:tcPr>
            <w:tcW w:w="2880" w:type="dxa"/>
            <w:vAlign w:val="bottom"/>
            <w:gridSpan w:val="2"/>
          </w:tcPr>
          <w:p>
            <w:pPr>
              <w:spacing w:after="0" w:line="255" w:lineRule="exact"/>
              <w:rPr>
                <w:sz w:val="20"/>
                <w:szCs w:val="20"/>
                <w:color w:val="auto"/>
              </w:rPr>
            </w:pPr>
            <w:r>
              <w:rPr>
                <w:rFonts w:ascii="Arial" w:cs="Arial" w:eastAsia="Arial" w:hAnsi="Arial"/>
                <w:sz w:val="18"/>
                <w:szCs w:val="18"/>
                <w:color w:val="auto"/>
              </w:rPr>
              <w:t>Zion House - 14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Tel-Aviv, Israel 86784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Hapoalim</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4,580,530</w:t>
            </w:r>
          </w:p>
        </w:tc>
        <w:tc>
          <w:tcPr>
            <w:tcW w:w="12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4,580,530</w:t>
            </w:r>
          </w:p>
        </w:tc>
        <w:tc>
          <w:tcPr>
            <w:tcW w:w="190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7</w:t>
            </w:r>
            <w:r>
              <w:rPr>
                <w:rFonts w:ascii="Arial" w:cs="Arial" w:eastAsia="Arial" w:hAnsi="Arial"/>
                <w:sz w:val="18"/>
                <w:szCs w:val="18"/>
                <w:color w:val="auto"/>
              </w:rPr>
              <w:t>/ 6.38%</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 0%</w:t>
            </w:r>
          </w:p>
        </w:tc>
        <w:tc>
          <w:tcPr>
            <w:tcW w:w="20" w:type="dxa"/>
            <w:vAlign w:val="bottom"/>
            <w:shd w:val="clear" w:color="auto" w:fill="CCEEFF"/>
          </w:tcPr>
          <w:p>
            <w:pPr>
              <w:spacing w:after="0"/>
              <w:rPr>
                <w:sz w:val="22"/>
                <w:szCs w:val="22"/>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Zion Building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8"/>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 Rothschild Boulevard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4"/>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Tel-Aviv, Israel</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464"/>
        </w:trPr>
        <w:tc>
          <w:tcPr>
            <w:tcW w:w="2880" w:type="dxa"/>
            <w:vAlign w:val="bottom"/>
            <w:gridSpan w:val="2"/>
          </w:tcPr>
          <w:p>
            <w:pPr>
              <w:spacing w:after="0"/>
              <w:rPr>
                <w:sz w:val="20"/>
                <w:szCs w:val="20"/>
                <w:color w:val="auto"/>
              </w:rPr>
            </w:pPr>
            <w:r>
              <w:rPr>
                <w:rFonts w:ascii="Arial" w:cs="Arial" w:eastAsia="Arial" w:hAnsi="Arial"/>
                <w:sz w:val="18"/>
                <w:szCs w:val="18"/>
                <w:color w:val="auto"/>
              </w:rPr>
              <w:t>Bank Leumi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4,580,530</w:t>
            </w:r>
          </w:p>
        </w:tc>
        <w:tc>
          <w:tcPr>
            <w:tcW w:w="126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4,580,530</w:t>
            </w:r>
          </w:p>
        </w:tc>
        <w:tc>
          <w:tcPr>
            <w:tcW w:w="1900" w:type="dxa"/>
            <w:vAlign w:val="bottom"/>
          </w:tcPr>
          <w:p>
            <w:pPr>
              <w:ind w:left="12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29"/>
                <w:szCs w:val="29"/>
                <w:color w:val="auto"/>
                <w:vertAlign w:val="superscript"/>
              </w:rPr>
              <w:t>7</w:t>
            </w:r>
            <w:r>
              <w:rPr>
                <w:rFonts w:ascii="Arial" w:cs="Arial" w:eastAsia="Arial" w:hAnsi="Arial"/>
                <w:sz w:val="18"/>
                <w:szCs w:val="18"/>
                <w:color w:val="auto"/>
              </w:rPr>
              <w:t>/ 6.38%</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Shares / 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34 Yehuda Halevi Street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Tel-Aviv, Israel</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ectPr>
          <w:pgSz w:w="11900" w:h="16838" w:orient="portrait"/>
          <w:cols w:equalWidth="0" w:num="1">
            <w:col w:w="11420"/>
          </w:cols>
          <w:pgMar w:left="240" w:top="131" w:right="239" w:bottom="24"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1106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80" w:right="120" w:firstLine="9"/>
        <w:spacing w:after="0" w:line="194" w:lineRule="auto"/>
        <w:tabs>
          <w:tab w:leader="none" w:pos="697"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Beneficial ownership is calculated as of January 25, 2006 in accordance with General Instruction F. to Form 20-F. and is based on 67,189,547 ordinary shares outstanding.</w:t>
      </w:r>
    </w:p>
    <w:p>
      <w:pPr>
        <w:spacing w:after="0" w:line="1" w:lineRule="exact"/>
        <w:rPr>
          <w:rFonts w:ascii="Arial" w:cs="Arial" w:eastAsia="Arial" w:hAnsi="Arial"/>
          <w:sz w:val="29"/>
          <w:szCs w:val="29"/>
          <w:color w:val="auto"/>
          <w:vertAlign w:val="superscript"/>
        </w:rPr>
      </w:pPr>
    </w:p>
    <w:p>
      <w:pPr>
        <w:ind w:left="580"/>
        <w:spacing w:after="0" w:line="189"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To be issued upon conversion of debentures at a price of $1.10 aggregate debenture principal amount per share.</w:t>
      </w:r>
    </w:p>
    <w:p>
      <w:pPr>
        <w:spacing w:after="0" w:line="28" w:lineRule="exact"/>
        <w:rPr>
          <w:sz w:val="20"/>
          <w:szCs w:val="20"/>
          <w:color w:val="auto"/>
        </w:rPr>
      </w:pPr>
    </w:p>
    <w:p>
      <w:pPr>
        <w:ind w:left="580" w:right="380" w:firstLine="9"/>
        <w:spacing w:after="0" w:line="194" w:lineRule="auto"/>
        <w:tabs>
          <w:tab w:leader="none" w:pos="697"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Includes 823,654 ordinary shares issuable upon exercise of warrants and 58,906 ordinary shares issuable upon exercise of warrants and 18,181,823 ordinary shares issuable upon conversion of debentures.</w:t>
      </w:r>
    </w:p>
    <w:p>
      <w:pPr>
        <w:spacing w:after="0" w:line="1" w:lineRule="exact"/>
        <w:rPr>
          <w:rFonts w:ascii="Arial" w:cs="Arial" w:eastAsia="Arial" w:hAnsi="Arial"/>
          <w:sz w:val="29"/>
          <w:szCs w:val="29"/>
          <w:color w:val="auto"/>
          <w:vertAlign w:val="superscript"/>
        </w:rPr>
      </w:pPr>
    </w:p>
    <w:p>
      <w:pPr>
        <w:ind w:left="580"/>
        <w:spacing w:after="0" w:line="227" w:lineRule="auto"/>
        <w:rPr>
          <w:rFonts w:ascii="Arial" w:cs="Arial" w:eastAsia="Arial" w:hAnsi="Arial"/>
          <w:sz w:val="29"/>
          <w:szCs w:val="29"/>
          <w:color w:val="auto"/>
          <w:vertAlign w:val="superscript"/>
        </w:rPr>
      </w:pPr>
      <w:r>
        <w:rPr>
          <w:rFonts w:ascii="Arial" w:cs="Arial" w:eastAsia="Arial" w:hAnsi="Arial"/>
          <w:sz w:val="28"/>
          <w:szCs w:val="28"/>
          <w:color w:val="auto"/>
          <w:vertAlign w:val="superscript"/>
        </w:rPr>
        <w:t>4</w:t>
      </w:r>
      <w:r>
        <w:rPr>
          <w:rFonts w:ascii="Arial" w:cs="Arial" w:eastAsia="Arial" w:hAnsi="Arial"/>
          <w:sz w:val="17"/>
          <w:szCs w:val="17"/>
          <w:color w:val="auto"/>
        </w:rPr>
        <w:t xml:space="preserve"> Includes 297,000 ordinary shares issuable upon exercise of warrants and 909,090 ordinary shares issuable upon conversion of debentures.</w:t>
      </w:r>
    </w:p>
    <w:p>
      <w:pPr>
        <w:jc w:val="both"/>
        <w:ind w:left="580" w:right="900"/>
        <w:spacing w:after="0" w:line="252" w:lineRule="auto"/>
        <w:rPr>
          <w:rFonts w:ascii="Arial" w:cs="Arial" w:eastAsia="Arial" w:hAnsi="Arial"/>
          <w:sz w:val="29"/>
          <w:szCs w:val="29"/>
          <w:color w:val="auto"/>
          <w:vertAlign w:val="superscript"/>
        </w:rPr>
      </w:pPr>
      <w:r>
        <w:rPr>
          <w:rFonts w:ascii="Arial" w:cs="Arial" w:eastAsia="Arial" w:hAnsi="Arial"/>
          <w:sz w:val="24"/>
          <w:szCs w:val="24"/>
          <w:color w:val="auto"/>
          <w:vertAlign w:val="superscript"/>
        </w:rPr>
        <w:t>5</w:t>
      </w:r>
      <w:r>
        <w:rPr>
          <w:rFonts w:ascii="Arial" w:cs="Arial" w:eastAsia="Arial" w:hAnsi="Arial"/>
          <w:sz w:val="15"/>
          <w:szCs w:val="15"/>
          <w:color w:val="auto"/>
        </w:rPr>
        <w:t xml:space="preserve"> Includes 357,747 ordinary shares issuable upon exercise of warrants and 3,009,818 ordinary shares issuable upon conversion of debentures. </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Includes 360,312 ordinary shares issuable upon exercise of warrants and 3,181,818 ordinary shares issuable upon conversion of debentures.</w:t>
      </w:r>
    </w:p>
    <w:p>
      <w:pPr>
        <w:spacing w:after="0" w:line="28" w:lineRule="exact"/>
        <w:rPr>
          <w:sz w:val="20"/>
          <w:szCs w:val="20"/>
          <w:color w:val="auto"/>
        </w:rPr>
      </w:pPr>
    </w:p>
    <w:p>
      <w:pPr>
        <w:ind w:left="580" w:right="220" w:firstLine="9"/>
        <w:spacing w:after="0" w:line="203" w:lineRule="auto"/>
        <w:tabs>
          <w:tab w:leader="none" w:pos="697"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Includes 4,132,232 ordinary shares issuable upon exercise of selling security holder’s warrants and 448,298 ordinary shares issuable upon exercise of warrants issued to Tarshish Hahzakot Vehashkaot Hapoalim Ltd., a subsidiary of Bank Hapoalim and Bank Leumi Le-Israel.</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12"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This prospectus relates to the offer and sale of debentures and ordinary shares by the selling securityholders named herein. As used herein, “selling securityholder” includes donees, pledgees, transferees or other successors-in-interest selling securities received after the date of this prospectus from the named selling securityholders as a gift, pledge, partnership distribution or other non-sale related transfer. We will bear all costs, expenses and fees in connection with the registration of the securities offered by this prospectus, other than brokerage commissions and similar selling expenses, if any, attributable to the sale of securities offered hereby which will be borne by the selling securityholders. Sales of the securities offered hereby may be effected by the selling securityholders from time to time in one or more types of transactions (which may include block transactions) on Nasdaq and/or on the Tel Aviv Stock Exchange at prevailing market prices, in the over-the-counter market, in negotiated transactions, through put or call options transactions relating to the shares offered hereby, through short sales of the shares offered hereby, or a combination of such methods of sale, at market prices prevailing at the time of sale, or at negotiated prices. Such transactions may or may not involve brokers or dealers. The selling securityholders have advised us that they have not entered into any agreements, understandings or arrangements with any underwriters or broker-dealers regarding the sale of their securities, nor is there an underwriter or coordinating broker acting in connection with the proposed sale of the securities offered hereby by the selling securityholders.</w:t>
      </w:r>
    </w:p>
    <w:p>
      <w:pPr>
        <w:spacing w:after="0" w:line="18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spacing w:after="0" w:line="19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selling securityholders may effect these transactions by selling the securities offered hereby directly to purchasers or to or through broker-dealers, which may act as agents or principals.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w:t>
      </w:r>
    </w:p>
    <w:p>
      <w:pPr>
        <w:spacing w:after="0" w:line="16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selling securityholders and any broker-dealers that act in connection with the sale of the securities offered hereby might be deemed to be “underwriters” within the meaning of Section 2(11) of the Securities Act, and any commissions received by such broker-dealers and any profit on the resale of the securities offered hereby sold by them while acting as principals might be deemed to be underwriting discounts or commissions under the Securities Act. The selling securityholders may agree to indemnify any agent, dealer or broker-dealer that participates in transactions involving sales of the securities offered hereby against certain liabilities, including liabilities arising under the Securities Act and/or the Israeli Securities Law.</w:t>
      </w:r>
    </w:p>
    <w:p>
      <w:pPr>
        <w:spacing w:after="0" w:line="170" w:lineRule="exact"/>
        <w:rPr>
          <w:sz w:val="20"/>
          <w:szCs w:val="20"/>
          <w:color w:val="auto"/>
        </w:rPr>
      </w:pPr>
    </w:p>
    <w:p>
      <w:pPr>
        <w:ind w:right="780" w:firstLine="351"/>
        <w:spacing w:after="0" w:line="306" w:lineRule="auto"/>
        <w:rPr>
          <w:sz w:val="20"/>
          <w:szCs w:val="20"/>
          <w:color w:val="auto"/>
        </w:rPr>
      </w:pPr>
      <w:r>
        <w:rPr>
          <w:rFonts w:ascii="Arial" w:cs="Arial" w:eastAsia="Arial" w:hAnsi="Arial"/>
          <w:sz w:val="16"/>
          <w:szCs w:val="16"/>
          <w:color w:val="auto"/>
        </w:rPr>
        <w:t>Because the selling securityholders may be deemed to be “underwriters” within the meaning of Section 2(11) of the Securities Act, the selling securityholders will be subject to the prospectus delivery requirements of the Securities Act. We have informed the selling securityholders that the anti-manipulative provisions of Regulation M promulgated under the Exchange Act may apply to their sales in the market.</w:t>
      </w:r>
    </w:p>
    <w:p>
      <w:pPr>
        <w:spacing w:after="0" w:line="16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Subject to the limitations on the transfer of their shares (see “Selling Securityholders” above), the selling securityholders also may resell all or a portion of the securities offered hereby in open market transactions in reliance upon Rule 144 under the Securities Act, provided they meet the criteria and conform to the requirements of Rule 144.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Upon our being notified by any of the selling securityholders that any material arrangement has been entered into with a broker-dealer for the sale of shares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name of the selling securityholder and of the participating broker-dealer(s);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number and type of securities involved;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initial price at which such securities were sold;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commissions paid or discounts or concessions allowed to such broker-dealer(s), where applicable;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that such broker-dealer(s) did not conduct any investigation to verify the information set out or incorporated by reference in this prospectus;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other facts material to the transaction.</w:t>
      </w:r>
    </w:p>
    <w:p>
      <w:pPr>
        <w:sectPr>
          <w:pgSz w:w="11900" w:h="16838" w:orient="portrait"/>
          <w:cols w:equalWidth="0" w:num="1">
            <w:col w:w="11420"/>
          </w:cols>
          <w:pgMar w:left="240" w:top="131" w:right="239" w:bottom="290" w:gutter="0" w:footer="0" w:header="0"/>
        </w:sectPr>
      </w:pPr>
    </w:p>
    <w:bookmarkStart w:id="15" w:name="page16"/>
    <w:bookmarkEnd w:id="15"/>
    <w:p>
      <w:pPr>
        <w:spacing w:after="0" w:line="7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the Offering</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incurred, or expect to incur, the following estimated expenses in connection with the sale of the securities covered by this prospectus:</w:t>
      </w:r>
    </w:p>
    <w:p>
      <w:pPr>
        <w:spacing w:after="0" w:line="257"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457"/>
        </w:trPr>
        <w:tc>
          <w:tcPr>
            <w:tcW w:w="54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4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457"/>
        </w:trPr>
        <w:tc>
          <w:tcPr>
            <w:tcW w:w="5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86,860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DEBENTURES</w:t>
      </w:r>
    </w:p>
    <w:p>
      <w:pPr>
        <w:spacing w:after="0" w:line="31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debentures were originally issued under an indenture dated as of December 15, 2005 between us and The Bank of New York and Hermetic Trust (1975) Ltd., as co-trustees. The terms of the debentures include all the terms required to be made part of the indenture under the Israel Securities Law – 1968 and the Trust Indenture Act of 1939, as amended. The debentures are subject to all the terms of the indenture, and holders of the debentures are referred to the indenture for a statement thereof.</w:t>
      </w:r>
    </w:p>
    <w:p>
      <w:pPr>
        <w:spacing w:after="0" w:line="197"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We have summarized selected provisions of the indenture below. This summary is not complete. The form of the indenture has been filed with the Israel Securities Authority, the Securities and Exchange Commission and the Israeli Registrar of Companies and will be available for review at our registered office. You should read the entire indenture for provisions that may be important to you.</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Accrual of Interest</w:t>
      </w:r>
    </w:p>
    <w:p>
      <w:pPr>
        <w:spacing w:after="0" w:line="312"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debentures are general unsecured obligations. The debentures bear interest at the rate per annum of 5%. Principal of the debentures is payable, together with accrued interest, in one installment (in the aggregate maximum amount of approximately $65 million) on January 12, 2012. On January 12, 2012, the cumulative interest rate on the debentures will be 34.0096%. Instruments representing the debentures will be issued in denominations of $1.00 and integral multiples thereof.</w:t>
      </w:r>
    </w:p>
    <w:p>
      <w:pPr>
        <w:spacing w:after="0" w:line="197"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Interest is being accrued from January 13, 2006, and is computed on the basis of a 365-day year. Accrued interest will not be payable by us upon conversion of the debentures into our ordinary shares and you will lose your right to any accrued interest upon conversion of the debentures into our ordinary shares.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w:t>
      </w:r>
    </w:p>
    <w:p>
      <w:pPr>
        <w:spacing w:after="0" w:line="31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Until December 27, 2011 (inclusive) (16 days prior to the maturity date of the debentures, but if such date is not a trading day on the Tel Aviv Stock Exchange, then the last date to convert the debentures will be the first trading day on the Tel Aviv Stock Exchange after such date), the debentures are convertible into our ordinary shares at a conversion price of one ordinary share per each $1.10 amount of outstanding principal of the debentures. Debentures may only be converted in integral multiples of $1.00 amounts.</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86"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Accrued interest will not be payable by us upon conversion of the debentures into our ordinary shares and you will lose your right to any accrued interest upon conversion of the debentures into our ordinary shares. Consequently, the effective conversion price applicable to your debentures would be increased to reflect the amount of interest being forfeited upon conversion. For example, if you convert your debentures on December 27, 2011 (the last day on which debentures may be converted), the effective conversion price applicable to your debentures, assuming no adjustments are made to the conversion price, would be approximately $1.34.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Price Following a Future Financing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price will be adjusted if either of the following two scenarios occurs:</w:t>
      </w:r>
    </w:p>
    <w:p>
      <w:pPr>
        <w:spacing w:after="0" w:line="225" w:lineRule="exact"/>
        <w:rPr>
          <w:sz w:val="20"/>
          <w:szCs w:val="20"/>
          <w:color w:val="auto"/>
        </w:rPr>
      </w:pPr>
    </w:p>
    <w:p>
      <w:pPr>
        <w:ind w:left="1720" w:right="100" w:hanging="567"/>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December 20, 2006, we consummate one or more financings (excluding the rights offering completed in January 2006) in which we receive gross proceeds from each such financing of at least $5 million, the conversion price of the debentures will be adjusted to 90% of the lowest price per share (as calculated below) at which we sold securities in any one of these financings, if the lowest price per share at which we sold securities in any one of these financings would be lower than the original conversion price. We will issue a press release to announce the adjusted conversion price on the fifth Tel Aviv Stock Exchange trading day after December 20, 2006 and the adjustment will take effect on the first Tel Aviv Stock Exchange trading day following the twenty first day after the date of the press release.</w:t>
      </w:r>
    </w:p>
    <w:p>
      <w:pPr>
        <w:spacing w:after="0" w:line="199" w:lineRule="exact"/>
        <w:rPr>
          <w:sz w:val="20"/>
          <w:szCs w:val="20"/>
          <w:color w:val="auto"/>
        </w:rPr>
      </w:pPr>
    </w:p>
    <w:p>
      <w:pPr>
        <w:ind w:left="1720" w:hanging="567"/>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 the event that by December 20, 2006, we do not receive in any one financing (excluding the rights offering completed in January 2006) gross proceeds of at least $5 million, but execute prior to December 20, 2006 one or more agreements relating to transactions which have not closed, letters of intent, memorandums of understanding or similar agreements or understandings, for a proposed financing or financings, which have not been abandoned prior to December 20, 2006, and we receive in any one of these financings gross proceeds of at least $5 million by June 20, 2007, then, the conversion price will be adjusted to 90% of the lowest price per share (as calculated below)</w:t>
      </w:r>
    </w:p>
    <w:p>
      <w:pPr>
        <w:sectPr>
          <w:pgSz w:w="11900" w:h="16911" w:orient="portrait"/>
          <w:cols w:equalWidth="0" w:num="1">
            <w:col w:w="11420"/>
          </w:cols>
          <w:pgMar w:left="240" w:top="131" w:right="239" w:bottom="0" w:gutter="0" w:footer="0" w:header="0"/>
        </w:sectPr>
      </w:pPr>
    </w:p>
    <w:bookmarkStart w:id="16" w:name="page17"/>
    <w:bookmarkEnd w:id="16"/>
    <w:p>
      <w:pPr>
        <w:spacing w:after="0" w:line="1" w:lineRule="exact"/>
        <w:rPr>
          <w:sz w:val="20"/>
          <w:szCs w:val="20"/>
          <w:color w:val="auto"/>
        </w:rPr>
      </w:pPr>
    </w:p>
    <w:p>
      <w:pPr>
        <w:ind w:left="1720" w:right="100"/>
        <w:spacing w:after="0" w:line="298" w:lineRule="auto"/>
        <w:rPr>
          <w:sz w:val="20"/>
          <w:szCs w:val="20"/>
          <w:color w:val="auto"/>
        </w:rPr>
      </w:pPr>
      <w:r>
        <w:rPr>
          <w:rFonts w:ascii="Arial" w:cs="Arial" w:eastAsia="Arial" w:hAnsi="Arial"/>
          <w:sz w:val="16"/>
          <w:szCs w:val="16"/>
          <w:color w:val="auto"/>
        </w:rPr>
        <w:t>at which we sold securities in any of these financings, if the lowest price per share at which we sold securities in any one of these financings would be lower than the original conversion price. We will issue a press release to announce the adjusted conversion price on the fifth Tel Aviv Stock Exchange trading day after June 20, 2007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price to the debentures shall under no circumstances be lower than $0.01.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financing for purposes of adjustments to the conversion price means:</w:t>
      </w:r>
    </w:p>
    <w:p>
      <w:pPr>
        <w:spacing w:after="0" w:line="225" w:lineRule="exact"/>
        <w:rPr>
          <w:sz w:val="20"/>
          <w:szCs w:val="20"/>
          <w:color w:val="auto"/>
        </w:rPr>
      </w:pPr>
    </w:p>
    <w:p>
      <w:pPr>
        <w:ind w:left="1720" w:right="640" w:hanging="567"/>
        <w:spacing w:after="0" w:line="268" w:lineRule="auto"/>
        <w:rPr>
          <w:sz w:val="20"/>
          <w:szCs w:val="20"/>
          <w:color w:val="auto"/>
        </w:rPr>
      </w:pPr>
      <w:r>
        <w:rPr>
          <w:rFonts w:ascii="Arial" w:cs="Arial" w:eastAsia="Arial" w:hAnsi="Arial"/>
          <w:sz w:val="18"/>
          <w:szCs w:val="18"/>
          <w:color w:val="auto"/>
        </w:rPr>
        <w:t>—the sale of our shares, warrants or additional convertible debentures, other than employee options, existing outstanding warrants, employee options, convertible debentures or other rights; and</w:t>
      </w:r>
    </w:p>
    <w:p>
      <w:pPr>
        <w:spacing w:after="0" w:line="212" w:lineRule="exact"/>
        <w:rPr>
          <w:sz w:val="20"/>
          <w:szCs w:val="20"/>
          <w:color w:val="auto"/>
        </w:rPr>
      </w:pPr>
    </w:p>
    <w:p>
      <w:pPr>
        <w:ind w:left="1720" w:right="500" w:hanging="567"/>
        <w:spacing w:after="0" w:line="268" w:lineRule="auto"/>
        <w:rPr>
          <w:sz w:val="20"/>
          <w:szCs w:val="20"/>
          <w:color w:val="auto"/>
        </w:rPr>
      </w:pPr>
      <w:r>
        <w:rPr>
          <w:rFonts w:ascii="Arial" w:cs="Arial" w:eastAsia="Arial" w:hAnsi="Arial"/>
          <w:sz w:val="18"/>
          <w:szCs w:val="18"/>
          <w:color w:val="auto"/>
        </w:rPr>
        <w:t>—the conversion of existing debt into equity, other than the conversion of existing wafer credits into our ordinary shares and existing convertible debentures.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We will calculate the price per share for the purposes of the adjustment to the conversion price as set forth below. The examples presented below are for illustration only and are not based on any forecasts, assumptions or actual calculations of economic values and should not be relied upon for any other purpose.</w:t>
      </w:r>
    </w:p>
    <w:p>
      <w:pPr>
        <w:spacing w:after="0" w:line="116" w:lineRule="exact"/>
        <w:rPr>
          <w:sz w:val="20"/>
          <w:szCs w:val="20"/>
          <w:color w:val="auto"/>
        </w:rPr>
      </w:pPr>
    </w:p>
    <w:p>
      <w:pPr>
        <w:ind w:left="1720" w:right="120" w:hanging="567"/>
        <w:spacing w:after="0" w:line="268" w:lineRule="auto"/>
        <w:rPr>
          <w:sz w:val="20"/>
          <w:szCs w:val="20"/>
          <w:color w:val="auto"/>
        </w:rPr>
      </w:pPr>
      <w:r>
        <w:rPr>
          <w:rFonts w:ascii="Arial" w:cs="Arial" w:eastAsia="Arial" w:hAnsi="Arial"/>
          <w:sz w:val="18"/>
          <w:szCs w:val="18"/>
          <w:color w:val="auto"/>
        </w:rPr>
        <w:t>—If, in the financing or financings we issue only shares, the price per share for the purposes of calculating the adjustment will be the price per share in the financing or financings.</w:t>
      </w:r>
    </w:p>
    <w:p>
      <w:pPr>
        <w:spacing w:after="0" w:line="212" w:lineRule="exact"/>
        <w:rPr>
          <w:sz w:val="20"/>
          <w:szCs w:val="20"/>
          <w:color w:val="auto"/>
        </w:rPr>
      </w:pPr>
    </w:p>
    <w:p>
      <w:pPr>
        <w:ind w:left="1720" w:right="140" w:hanging="567"/>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only convertible debentures, the price per share for the purposes of calculating the adjustment will be the result of dividing the purchase price of the debentures issued in the financing or financings less the present value of the cumulative amount of interest payable prior to the last conversion date of the debentures issued in the financing or financings, by the number of shares issuable upon conversion of the debentures issued in the financing or financings.</w:t>
      </w:r>
    </w:p>
    <w:p>
      <w:pPr>
        <w:spacing w:after="0" w:line="193" w:lineRule="exact"/>
        <w:rPr>
          <w:sz w:val="20"/>
          <w:szCs w:val="20"/>
          <w:color w:val="auto"/>
        </w:rPr>
      </w:pPr>
    </w:p>
    <w:p>
      <w:pPr>
        <w:ind w:left="1720" w:right="40"/>
        <w:spacing w:after="0" w:line="306" w:lineRule="auto"/>
        <w:rPr>
          <w:sz w:val="20"/>
          <w:szCs w:val="20"/>
          <w:color w:val="auto"/>
        </w:rPr>
      </w:pPr>
      <w:r>
        <w:rPr>
          <w:rFonts w:ascii="Arial" w:cs="Arial" w:eastAsia="Arial" w:hAnsi="Arial"/>
          <w:sz w:val="16"/>
          <w:szCs w:val="16"/>
          <w:color w:val="auto"/>
        </w:rPr>
        <w:t>By way of illustration, if the purchase price of the debentures issued in the financing or financings is $1.10, the present value of the cumulative amount of interest payable prior to the last conversion date is $0.25 and the number of shares issuable upon conversion of the debentures issued in the financing or financings is 0.8 shares, the price per share would be ($1.10-$0.25)/0.8=$1.06.</w:t>
      </w:r>
    </w:p>
    <w:p>
      <w:pPr>
        <w:spacing w:after="0" w:line="187" w:lineRule="exact"/>
        <w:rPr>
          <w:sz w:val="20"/>
          <w:szCs w:val="20"/>
          <w:color w:val="auto"/>
        </w:rPr>
      </w:pPr>
    </w:p>
    <w:p>
      <w:pPr>
        <w:ind w:left="1720" w:right="20" w:hanging="567"/>
        <w:spacing w:after="0" w:line="259" w:lineRule="auto"/>
        <w:rPr>
          <w:sz w:val="20"/>
          <w:szCs w:val="20"/>
          <w:color w:val="auto"/>
        </w:rPr>
      </w:pPr>
      <w:r>
        <w:rPr>
          <w:rFonts w:ascii="Arial" w:cs="Arial" w:eastAsia="Arial" w:hAnsi="Arial"/>
          <w:sz w:val="18"/>
          <w:szCs w:val="18"/>
          <w:color w:val="auto"/>
        </w:rPr>
        <w:t>—If, in the financing or financings we issue only warrants, the price per share for the purposes of calculating the adjustment will be the purchase price of the warrants less the difference between the economic value of the warrants and the purchase price of the warrants, plus the present value of the exercise price of the warrants.</w:t>
      </w:r>
    </w:p>
    <w:p>
      <w:pPr>
        <w:spacing w:after="0" w:line="221" w:lineRule="exact"/>
        <w:rPr>
          <w:sz w:val="20"/>
          <w:szCs w:val="20"/>
          <w:color w:val="auto"/>
        </w:rPr>
      </w:pPr>
    </w:p>
    <w:p>
      <w:pPr>
        <w:ind w:left="1720" w:right="260"/>
        <w:spacing w:after="0" w:line="259" w:lineRule="auto"/>
        <w:rPr>
          <w:sz w:val="20"/>
          <w:szCs w:val="20"/>
          <w:color w:val="auto"/>
        </w:rPr>
      </w:pPr>
      <w:r>
        <w:rPr>
          <w:rFonts w:ascii="Arial" w:cs="Arial" w:eastAsia="Arial" w:hAnsi="Arial"/>
          <w:sz w:val="18"/>
          <w:szCs w:val="18"/>
          <w:color w:val="auto"/>
        </w:rPr>
        <w:t>By way of illustration, if the purchase price per warrant is $0.60, the economic value per warrant is $0.70, and the present value of the exercise price per warrant is $0.50, then the price per share for the purposes of calculating the adjustment would be $0.60-($0.70-$0.60)+$0.50=$1.00.</w:t>
      </w:r>
    </w:p>
    <w:p>
      <w:pPr>
        <w:spacing w:after="0" w:line="221" w:lineRule="exact"/>
        <w:rPr>
          <w:sz w:val="20"/>
          <w:szCs w:val="20"/>
          <w:color w:val="auto"/>
        </w:rPr>
      </w:pPr>
    </w:p>
    <w:p>
      <w:pPr>
        <w:ind w:left="1720" w:right="18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units consisting of shares and warrants, the price per share for the purposes of calculating the adjustment will be the result of dividing the purchase price per unit in the financing or financings, less the economic value of the warrants, by the number of shares in each unit (not including the number of shares issuable upon exercise of the warrants).</w:t>
      </w:r>
    </w:p>
    <w:p>
      <w:pPr>
        <w:spacing w:after="0" w:line="187" w:lineRule="exact"/>
        <w:rPr>
          <w:sz w:val="20"/>
          <w:szCs w:val="20"/>
          <w:color w:val="auto"/>
        </w:rPr>
      </w:pPr>
    </w:p>
    <w:p>
      <w:pPr>
        <w:ind w:left="1720" w:right="140"/>
        <w:spacing w:after="0" w:line="332" w:lineRule="auto"/>
        <w:rPr>
          <w:sz w:val="20"/>
          <w:szCs w:val="20"/>
          <w:color w:val="auto"/>
        </w:rPr>
      </w:pPr>
      <w:r>
        <w:rPr>
          <w:rFonts w:ascii="Arial" w:cs="Arial" w:eastAsia="Arial" w:hAnsi="Arial"/>
          <w:sz w:val="16"/>
          <w:szCs w:val="16"/>
          <w:color w:val="auto"/>
        </w:rPr>
        <w:t>By way of illustration, if the purchase price of a unit is $2.00, the economic value per warrant is $0.70 and the number of shares in each unit was 1 share, the price per share for the purposes of calculating the adjustment would be ($2.00-$0.70)/1=$1.30.</w:t>
      </w:r>
    </w:p>
    <w:p>
      <w:pPr>
        <w:spacing w:after="0" w:line="166" w:lineRule="exact"/>
        <w:rPr>
          <w:sz w:val="20"/>
          <w:szCs w:val="20"/>
          <w:color w:val="auto"/>
        </w:rPr>
      </w:pPr>
    </w:p>
    <w:p>
      <w:pPr>
        <w:ind w:left="1720" w:right="20" w:hanging="567"/>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units consisting of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issuable upon conversion of the debentures issued in the financing or financings, but not including the number of shares issuable upon exercise of the warrants.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240"/>
        <w:spacing w:after="0" w:line="306" w:lineRule="auto"/>
        <w:rPr>
          <w:sz w:val="20"/>
          <w:szCs w:val="20"/>
          <w:color w:val="auto"/>
        </w:rPr>
      </w:pPr>
      <w:r>
        <w:rPr>
          <w:rFonts w:ascii="Arial" w:cs="Arial" w:eastAsia="Arial" w:hAnsi="Arial"/>
          <w:sz w:val="16"/>
          <w:szCs w:val="16"/>
          <w:color w:val="auto"/>
        </w:rPr>
        <w:t>By way of illustration, if the purchase price of the unit is $1.70, the present value of the cumulative amount of interest payable prior to the last conversion date is $0.25, the economic value per warrant is $0.70, and the number of shares issuable upon conversion of the debentures issued in the financing or financings is 0.8 shares, the price per share would be ($1.70-$0.25-$0.7)/0.8=$0.94.</w:t>
      </w:r>
    </w:p>
    <w:p>
      <w:pPr>
        <w:spacing w:after="0" w:line="188" w:lineRule="exact"/>
        <w:rPr>
          <w:sz w:val="20"/>
          <w:szCs w:val="20"/>
          <w:color w:val="auto"/>
        </w:rPr>
      </w:pPr>
    </w:p>
    <w:p>
      <w:pPr>
        <w:ind w:left="1720" w:hanging="567"/>
        <w:spacing w:after="0" w:line="255" w:lineRule="auto"/>
        <w:rPr>
          <w:sz w:val="20"/>
          <w:szCs w:val="20"/>
          <w:color w:val="auto"/>
        </w:rPr>
      </w:pPr>
      <w:r>
        <w:rPr>
          <w:rFonts w:ascii="Arial" w:cs="Arial" w:eastAsia="Arial" w:hAnsi="Arial"/>
          <w:sz w:val="18"/>
          <w:szCs w:val="18"/>
          <w:color w:val="auto"/>
        </w:rPr>
        <w:t>—If, in the financing or financings we issue units consisting of shares and convertible debentures, the price per share for the purposes of calculating the adjustment will be the result of dividing the purchase price per unit in the financing or financings, less the present value of the cumulative amount of interest payable prior to the last conversion date of the debentures issued in the financing or financings, by the number of shares in each unit including the number of shares issuable upon conversion of the debentures issued in the financing or financings.</w:t>
      </w:r>
    </w:p>
    <w:p>
      <w:pPr>
        <w:spacing w:after="0" w:line="223" w:lineRule="exact"/>
        <w:rPr>
          <w:sz w:val="20"/>
          <w:szCs w:val="20"/>
          <w:color w:val="auto"/>
        </w:rPr>
      </w:pPr>
    </w:p>
    <w:p>
      <w:pPr>
        <w:ind w:left="1720" w:right="240"/>
        <w:spacing w:after="0" w:line="306" w:lineRule="auto"/>
        <w:rPr>
          <w:sz w:val="20"/>
          <w:szCs w:val="20"/>
          <w:color w:val="auto"/>
        </w:rPr>
      </w:pPr>
      <w:r>
        <w:rPr>
          <w:rFonts w:ascii="Arial" w:cs="Arial" w:eastAsia="Arial" w:hAnsi="Arial"/>
          <w:sz w:val="16"/>
          <w:szCs w:val="16"/>
          <w:color w:val="auto"/>
        </w:rPr>
        <w:t>By way of illustration, if the purchase price of the unit is $2.10, the present value of the cumulative amount of interest payable prior to the last conversion date is $0.25 and the number of shares in each unit is 1 and the number of shares issuable upon conversion of the debentures issued in the financing or financings is 0.8 shares, the price per share would be ($2.10-$0.25)/(1+0.8)=$1.03.</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in the financing or financings we issue units consisting of shares, convertible debentures and warrants, the price per share for the</w:t>
      </w:r>
    </w:p>
    <w:p>
      <w:pPr>
        <w:sectPr>
          <w:pgSz w:w="11900" w:h="16839" w:orient="portrait"/>
          <w:cols w:equalWidth="0" w:num="1">
            <w:col w:w="11400"/>
          </w:cols>
          <w:pgMar w:left="240" w:top="131" w:right="259" w:bottom="0" w:gutter="0" w:footer="0" w:header="0"/>
        </w:sectPr>
      </w:pPr>
    </w:p>
    <w:bookmarkStart w:id="17" w:name="page18"/>
    <w:bookmarkEnd w:id="17"/>
    <w:p>
      <w:pPr>
        <w:ind w:left="1720"/>
        <w:spacing w:after="0" w:line="255" w:lineRule="auto"/>
        <w:rPr>
          <w:sz w:val="20"/>
          <w:szCs w:val="20"/>
          <w:color w:val="auto"/>
        </w:rPr>
      </w:pPr>
      <w:r>
        <w:rPr>
          <w:rFonts w:ascii="Arial" w:cs="Arial" w:eastAsia="Arial" w:hAnsi="Arial"/>
          <w:sz w:val="18"/>
          <w:szCs w:val="18"/>
          <w:color w:val="auto"/>
        </w:rPr>
        <w:t>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including the number of shares issuable upon conversion of the debentures issued in the financing or financings, but not including the number of shares issuable upon exercise of the warrants.</w:t>
      </w:r>
    </w:p>
    <w:p>
      <w:pPr>
        <w:spacing w:after="0" w:line="237" w:lineRule="exact"/>
        <w:rPr>
          <w:sz w:val="20"/>
          <w:szCs w:val="20"/>
          <w:color w:val="auto"/>
        </w:rPr>
      </w:pPr>
    </w:p>
    <w:p>
      <w:pPr>
        <w:ind w:left="1720"/>
        <w:spacing w:after="0" w:line="256" w:lineRule="auto"/>
        <w:rPr>
          <w:sz w:val="20"/>
          <w:szCs w:val="20"/>
          <w:color w:val="auto"/>
        </w:rPr>
      </w:pPr>
      <w:r>
        <w:rPr>
          <w:rFonts w:ascii="Arial" w:cs="Arial" w:eastAsia="Arial" w:hAnsi="Arial"/>
          <w:sz w:val="18"/>
          <w:szCs w:val="18"/>
          <w:color w:val="auto"/>
        </w:rPr>
        <w:t>By way of illustration, if the purchase price of the unit is $2.80, the present value of the cumulative amount of interest payable prior to the last conversion date is $0.25, the economic value per warrant is $0.70, the number of shares in each unit is 1 and the number of shares issuable upon conversion of the debentures issued in the financing or financings is 0.8 shares, the price per share would be ($2.80-$0.25-$0.70)/(1+0.8)=$1.03.</w:t>
      </w:r>
    </w:p>
    <w:p>
      <w:pPr>
        <w:spacing w:after="0" w:line="200" w:lineRule="exact"/>
        <w:rPr>
          <w:sz w:val="20"/>
          <w:szCs w:val="20"/>
          <w:color w:val="auto"/>
        </w:rPr>
      </w:pPr>
    </w:p>
    <w:p>
      <w:pPr>
        <w:spacing w:after="0" w:line="24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For the purposes of the adjustments set forth above, the “economic value” of the warrants will be calculated according to the Black and Scholes model as set forth in the Tel Aviv Stock Exchange Rules for registered companies based on the average closing price of our ordinary shares on NASDAQ (or such other stock exchange or quotation system on which our ordinary shares are listed in the event that they cease to be traded on NASDAQ) during the 15 consecutive trading days immediately prior to the date on which the financing agreement is signed. The interest rate for this calculation will be the interest rate as published by the Tel Aviv Stock Exchange on the date of the relevant financing.</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the purposes of the adjustments set forth above, the “present value” will be calculated using the interest rate then applicable to the long term loans under our credit facility agreement. In the event that the financing or financings is denominated in a currency other than United States dollars, the amounts in the financing or financings will be converted to United States dollars according to the last known exchange rate on the date of the consummation of the relevant financing.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price to the debentures shall under no circumstances be lower than $0.01.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Price Following Issuance of Bonus Shares, Rights Offerings and Other Events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conversion price is also subject to adjustment as set forth in the indenture in certain events, including the issuance of our capital stock as a dividend (bonus shares), subdivisions, combinations and reclassifications of our ordinary shares and rights offerings. In the event of the distribution of bonus shares, the number of our ordinary shares issuable upon the conversion of each debenture will be increased by such number of our ordinary shares that the debenture holder would have received if such debenture holder had converted his debentures on the record date fixed for the bonus share distribution. In the event of a rights offering to our shareholders of any type of our securities at any time from the date of this prospectus but prior to the conversion of the debentures, the number of our ordinary shares to be issued upon the conversion of the debentures shall be adjusted to take into account the element of economic benefit in the future rights offering as is represented by the ratio between the price per share of our ordinary shares on the effective date of the future rights offering and the opening price per share of our ordinary shares that is established by the Tel Aviv Stock Exchange on the following trading day. If the Tel Aviv Stock Exchange does not establish an opening price per share of our ordinary shares, no adjustment in the number of shares issuable upon conversion of the debentures will be made with respect to such future rights offering. In the event of our consolidation or merger as a result of which our company is not the surviving entity, we will provide notice to the Trustees prior to the date of consummation of such consolidation or merger. The successor entity shall assume the obligation to repay the principal of and interest on the debentures in accordance with their terms. Debentures which are not converted prior to the date of consummation of such consolidation or merger shall no longer be convertible.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Redemption of Debentures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Redemption at the Discretion of the Company</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at our option announce the early redemption of the debentures, provided that the outstanding aggregate balance of principal on account of the debentures is equal to or less than $500,000. In the event we choose to redeem the debentures, the minimum portion of the debentures we will redeem is 100% of the then outstanding debentures. We will provide the debenture holders with advance notice of at least 30 days prior to any such redemption. Upon such early redemption, we will pay to the holders of the debentures the amount of outstanding principal of their debentures and interest accrued as of the redemption date. A resolution to announce an early redemption of the debentures will be adopted by our board of directors and we will provide notice of such resolution on Form 6-K, and in an immediate report in Israel as well as a notice to be published in two Israeli newspapers. The date of the early redemption will be between 30 to 45 days after the date of our notification.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facility agreement, we are not permitted to redeem debentures.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Debentures</w:t>
      </w:r>
    </w:p>
    <w:p>
      <w:pPr>
        <w:spacing w:after="0" w:line="299"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described below, the payment of the principal of and interest on the debentures is subordinated to the prior payment of all amounts payable by us to the banks under the facility agreement, whether outstanding on the date of the indenture or thereafter created, incurred or assumed. Upon our dissolution, winding up, liquidation or reorganization, the banks will be entitled to receive payment in full of all amounts due to them under the facility agreement before the holders of debentures are entitled to receive any payment.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Postponement of Payments under the Debentures</w:t>
      </w:r>
    </w:p>
    <w:p>
      <w:pPr>
        <w:spacing w:after="0" w:line="225"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In addition to the subordination of the debentures to the amounts payable by us to the banks under the facility agreement, upon dissolution, winding up, liquidation or reorganization, the debentures and the indenture provide, in accordance with the requirements of the facility agreement, that the dates for payment of interest and principal on the debentures may be postponed (with interest continuing to accrue at regular rates), depending on various scenarios relating to our relations with the banks as detailed below. In the event of such postponement in payments on the debentures, we will extend the conversion period for the debentures. The terms of the indenture permit the Co-Trustees to initiate legal proceedings against us only in a limited number of cases, and always provided that advance notice is given to us and to our banks. The indenture provides that each debenture holder waives any right or claim against the Co-Trustees based on the</w:t>
      </w:r>
    </w:p>
    <w:p>
      <w:pPr>
        <w:sectPr>
          <w:pgSz w:w="11900" w:h="16838" w:orient="portrait"/>
          <w:cols w:equalWidth="0" w:num="1">
            <w:col w:w="11400"/>
          </w:cols>
          <w:pgMar w:left="240" w:top="131" w:right="259" w:bottom="0" w:gutter="0" w:footer="0" w:header="0"/>
        </w:sectPr>
      </w:pPr>
    </w:p>
    <w:bookmarkStart w:id="18" w:name="page19"/>
    <w:bookmarkEnd w:id="18"/>
    <w:p>
      <w:pPr>
        <w:ind w:right="100"/>
        <w:spacing w:after="0" w:line="268" w:lineRule="auto"/>
        <w:rPr>
          <w:sz w:val="20"/>
          <w:szCs w:val="20"/>
          <w:color w:val="auto"/>
        </w:rPr>
      </w:pPr>
      <w:r>
        <w:rPr>
          <w:rFonts w:ascii="Arial" w:cs="Arial" w:eastAsia="Arial" w:hAnsi="Arial"/>
          <w:sz w:val="18"/>
          <w:szCs w:val="18"/>
          <w:color w:val="auto"/>
        </w:rPr>
        <w:t>grounds that they should have initiated any proceeding or act in any other way in spite of such provisions of the indenture while claiming that such provisions do not comply with applicable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Under the facility agreement, the payment dates of interest and principal to the banks fall on the last business day of each calendar quarter (a “Bank Payment Date”).</w:t>
      </w:r>
    </w:p>
    <w:p>
      <w:pPr>
        <w:spacing w:after="0" w:line="186"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In the event of the existence of an Event of Default, as such term is defined below, on a Bank Payment Date, then, subject to the provisions below, no payment of principal or interest on the debentures shall be made and the debenture holders and any person or entity acting on their behalf (including the Co-Trustees) shall not be entitled to take any action against us in connection with such non-payment, unless such non-payment shall continue for a period of more than 6 (six) months commencing on the applicable Bank Payment Date (a “Six Month Period”). To illustrate, if December 31, 2011 is a Bank Payment Date and on such date an Event of Default exists, the Six Month Period applicable to the payment to be made on the debentures on January 12, 2012 will be calculated beginning on December 31, 2011. For a description of additional events of default contained in our facility agreement, see “Events of Default under the Facility Agreement.”</w:t>
      </w:r>
    </w:p>
    <w:p>
      <w:pPr>
        <w:spacing w:after="0" w:line="201"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facility agreement further provides that after the conclusion of a Six Month Period, we may not make payments of principal and interest on the debentures unless we have either (i) paid the banks amounts then owing in full; or (ii) the holders of the debentures obtained a final judgment requiring us to make payment to them.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aforementioned Six Month Period, the following shall apply:</w:t>
      </w:r>
    </w:p>
    <w:p>
      <w:pPr>
        <w:spacing w:after="0" w:line="225" w:lineRule="exact"/>
        <w:rPr>
          <w:sz w:val="20"/>
          <w:szCs w:val="20"/>
          <w:color w:val="auto"/>
        </w:rPr>
      </w:pPr>
    </w:p>
    <w:p>
      <w:pPr>
        <w:ind w:right="260" w:firstLine="351"/>
        <w:spacing w:after="0" w:line="323" w:lineRule="auto"/>
        <w:rPr>
          <w:sz w:val="20"/>
          <w:szCs w:val="20"/>
          <w:color w:val="auto"/>
        </w:rPr>
      </w:pPr>
      <w:r>
        <w:rPr>
          <w:rFonts w:ascii="Arial" w:cs="Arial" w:eastAsia="Arial" w:hAnsi="Arial"/>
          <w:sz w:val="15"/>
          <w:szCs w:val="15"/>
          <w:color w:val="auto"/>
        </w:rPr>
        <w:t>If during such period, we shall make any payment to the banks on account of interest or principal under the facility agreement, then, on the date of such payment to the banks, we shall make a payment on account of interest or principal (as the case may be) then due and payable in respect of the debentures, such payment to be made at the same percentage of the interest or principal then due and payable on the debentures proportionate to the portion of the payment actually made to the banks to the amount (interest or principal as the case may be) due and payable under the facility agreement as of the payment date;</w:t>
      </w:r>
    </w:p>
    <w:p>
      <w:pPr>
        <w:spacing w:after="0" w:line="152"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In the event that during such Six Month Period the banks and us shall reach an agreement regarding a rescheduling of payments by us to the banks under the facility agreement, such rescheduling (whether of principal or interest) shall apply pro rata also to payments of principal and/or interest, as the case may be, in respect of the debentures and the holders of the debentures shall be bound by such rescheduling agreement. According to our facility agreement, such rescheduling agreement will apply only to payments (principal and interest) scheduled to be made on the debentures during the period of 12 (twelve) months beginning on the applicable Bank Payment Date, and shall postpone each payment on the debentures for no longer than 12 months. Pursuant to any such rescheduling agreement, we shall, in such 12 month period, pay to the holders of the debentures, such amounts on account of principal and/or interest at the same percentage of the scheduled repayments of principal or interest, during such 12 period in respect of the debentures, proportionate to the portion of the payments to be made to the banks during such 12 month period under such rescheduling agreement to the scheduled repayments of principal or of interest to the banks pursuant to the facility agreement for such 12 month period. Alternatively, such rescheduling agreement may provide that payments of principal and/or interest on account of the debentures shall, with effect from the termination of such Six Month Period, be made to the holders of the debentures in accordance with the original schedule under the terms of the debentures, provided that amounts not paid during such Six Month Period, or prior thereto shall be postponed to be paid pro rata to those payments not made to the banks during such Six Month Period or prior thereto and the holders of the debentures shall be bound by such an agreement. If during the rescheduling period another Event of Default under the facility agreement shall occur, the aforementioned provisions shall again apply. Notwithstanding the above, if, on a date scheduled for the payment of principal or interest on the debentures, any of the below events occur, then no amount of whatsoever nature shall be payable by us in respect of the debentures (whether in respect of principal, interest or any other amount) until all amounts owed by us under the facility agreement shall have been paid in full. In the event that, contrary to the above, the holders of the debentures (or, as applicable, any person or entity acting on their behalf, including a trustee) shall receive, during a period under which there is an Event of Default, any payment, distribution or benefit, the recipient thereof shall be deemed to hold same on trust for the banks and shall forthwith pay or transfer to the banks any payment, distribution or benefit so received. The events are as follows: (A) The existence of any of the following events: (i) our inability or admission of our inability to pay our debts as they fall due, (ii) the commencement of winding-up proceedings against us (including the granting of an order of receivership or any similar order against or in respect of us or any of our assets), provided that such proceedings are not cancelled or withdrawn within 60 days, (iii) any execution, attachment or sequestration or other process arises out of any third party claim against us where the amount being the subject of the relevant proceeding is in excess of $2.5 million; (B) If the banks shall declare that all loans and/or other credits received under the facility agreement are immediately due and payable, (C) In the event that the holders of the debentures (or any person or entity acting on their behalf, including the Co-Trustees), shall institute any legal proceedings against us other than in connection with excluded proceedings, and in accordance with the terms of the debentures. Excluded proceedings mean (i) proceedings where the sole claim relates to our failure to make payments of principal or interest on the debentures for more than 14 business days from the date on which we are required to make them, as these dates may be postponed in accordance with the above provisions; or (ii) proceedings in connection with a claim of “misleading information” in this prospectus.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Subordination to Secured Obligations; Statutory Priorities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Under the laws of the State of Israel, the following have priority over general unsecured creditors: unpaid wages to a specified limit plus severance payments to a specified limit if not covered by national insurance; certain past due taxes to the government; past due rent for a maximum of one year; and secured indebtedness in which the security interest (which may be a floating charge) is registered as required under the laws of Israel. As of September 30, 2005, we estimate that these statutory priorities would amount to approximately $5.4 million. As of the date of this prospectus, in addition to the first ranking charge which we granted to the banks under the facility agreement (see “Risk Factors – The payment of principal of and interest on the debentures is subordinated to our indebtedness to our banks and obligations to secured creditors.”), our assets are subject to a second ranking floating charge in favor of the government of the State of Israel, which secures our compliance with the terms of our grants in connection with our government “Approved Enterprise” programs for Fab 1 and Fab 2 (approximately $263 million received and approximately $7.3 million receivables, as of December 31, 2005) and Siliconix Technology C.V., one of our customers, which has a first ranking charge on a bank account into which Siliconix deposited in 2004, $20 million for the purchase of equipment and other expenses in connection with the performance of our obligations under our agreement with Siliconix (of which as of December 31, 2005, there is a balance of approximately $10 million) and over the equipment which has been or which may be subsequently purchased with such funds. The indenture does not limit the amount of additional indebtedness which we can create, incur, assume or guarantee nor our ability to create any security to secure our obligations to any third party.</w:t>
      </w:r>
    </w:p>
    <w:p>
      <w:pPr>
        <w:sectPr>
          <w:pgSz w:w="11900" w:h="16838" w:orient="portrait"/>
          <w:cols w:equalWidth="0" w:num="1">
            <w:col w:w="11420"/>
          </w:cols>
          <w:pgMar w:left="240" w:top="131" w:right="239" w:bottom="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Events of Default under the Facility Agreement</w:t>
      </w:r>
    </w:p>
    <w:p>
      <w:pPr>
        <w:sectPr>
          <w:pgSz w:w="11900" w:h="16838" w:orient="portrait"/>
          <w:cols w:equalWidth="0" w:num="1">
            <w:col w:w="11420"/>
          </w:cols>
          <w:pgMar w:left="240" w:top="131" w:right="239" w:bottom="0" w:gutter="0" w:footer="0" w:header="0"/>
          <w:type w:val="continuous"/>
        </w:sectPr>
      </w:pPr>
    </w:p>
    <w:bookmarkStart w:id="19" w:name="page20"/>
    <w:bookmarkEnd w:id="19"/>
    <w:p>
      <w:pPr>
        <w:spacing w:after="0" w:line="1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constitute Events of Default under our facility agreement:</w:t>
      </w:r>
    </w:p>
    <w:p>
      <w:pPr>
        <w:spacing w:after="0" w:line="225" w:lineRule="exact"/>
        <w:rPr>
          <w:sz w:val="20"/>
          <w:szCs w:val="20"/>
          <w:color w:val="auto"/>
        </w:rPr>
      </w:pPr>
    </w:p>
    <w:p>
      <w:pPr>
        <w:ind w:right="80" w:firstLine="8"/>
        <w:spacing w:after="0" w:line="268" w:lineRule="auto"/>
        <w:tabs>
          <w:tab w:leader="none" w:pos="56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Failure to make a payment: </w:t>
      </w:r>
      <w:r>
        <w:rPr>
          <w:rFonts w:ascii="Arial" w:cs="Arial" w:eastAsia="Arial" w:hAnsi="Arial"/>
          <w:sz w:val="18"/>
          <w:szCs w:val="18"/>
          <w:color w:val="auto"/>
        </w:rPr>
        <w:t>Our failure to pay any amount payable to our banks under the facility agreement within seven business days or ten days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payment. Payments under the facility agreement include payments of principal and interest.</w:t>
      </w:r>
    </w:p>
    <w:p>
      <w:pPr>
        <w:spacing w:after="0" w:line="185" w:lineRule="exact"/>
        <w:rPr>
          <w:rFonts w:ascii="Arial" w:cs="Arial" w:eastAsia="Arial" w:hAnsi="Arial"/>
          <w:sz w:val="18"/>
          <w:szCs w:val="18"/>
          <w:color w:val="auto"/>
        </w:rPr>
      </w:pPr>
    </w:p>
    <w:p>
      <w:pPr>
        <w:ind w:left="620" w:hanging="612"/>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Failure to meet production milestone</w:t>
      </w:r>
      <w:r>
        <w:rPr>
          <w:rFonts w:ascii="Arial" w:cs="Arial" w:eastAsia="Arial" w:hAnsi="Arial"/>
          <w:sz w:val="18"/>
          <w:szCs w:val="18"/>
          <w:color w:val="auto"/>
        </w:rPr>
        <w:t>: Fab 2 must reach production capacity of 33,000 wafers per month by December 31, 2007.</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Failure to raise additional funding within the agreed timetable:</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obligated to raise $8 million by June 30, 2006 from specified sources. The sources of this $8 million of funding are limited to: (a) investments in our equity; (b) proceeds, net of taxes paid and related expenses, from the sale of securities we own in Azalea Microelectronics Corporation; and (c) wafer prepayments under certain prepayment contracts.</w:t>
      </w:r>
    </w:p>
    <w:p>
      <w:pPr>
        <w:spacing w:after="0" w:line="194" w:lineRule="exact"/>
        <w:rPr>
          <w:sz w:val="20"/>
          <w:szCs w:val="20"/>
          <w:color w:val="auto"/>
        </w:rPr>
      </w:pPr>
    </w:p>
    <w:p>
      <w:pPr>
        <w:ind w:right="120" w:firstLine="8"/>
        <w:spacing w:after="0" w:line="30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Investment Center Grants</w:t>
      </w:r>
      <w:r>
        <w:rPr>
          <w:rFonts w:ascii="Arial" w:cs="Arial" w:eastAsia="Arial" w:hAnsi="Arial"/>
          <w:sz w:val="16"/>
          <w:szCs w:val="16"/>
          <w:color w:val="auto"/>
        </w:rPr>
        <w:t>. We must comply with the terms and conditions of the approval to receive grants for Fab 2 from the Investment Center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Ministry of Industry, Trade and Labor and must receive these Fab 2 grants in accordance with the timetable set forth in the amended facility agreement. The facility agreement allows us to replace up to $50 million of the Fab 2 grants with paid in equity or wafer prepayments.</w:t>
      </w:r>
    </w:p>
    <w:p>
      <w:pPr>
        <w:spacing w:after="0" w:line="160" w:lineRule="exact"/>
        <w:rPr>
          <w:rFonts w:ascii="Arial" w:cs="Arial" w:eastAsia="Arial" w:hAnsi="Arial"/>
          <w:sz w:val="16"/>
          <w:szCs w:val="16"/>
          <w:color w:val="auto"/>
        </w:rPr>
      </w:pPr>
    </w:p>
    <w:p>
      <w:pPr>
        <w:ind w:right="20" w:firstLine="8"/>
        <w:spacing w:after="0" w:line="288"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Failure to comply with certain financial ratios and covenants: </w:t>
      </w:r>
      <w:r>
        <w:rPr>
          <w:rFonts w:ascii="Arial" w:cs="Arial" w:eastAsia="Arial" w:hAnsi="Arial"/>
          <w:sz w:val="16"/>
          <w:szCs w:val="16"/>
          <w:color w:val="auto"/>
        </w:rPr>
        <w:t>Under the terms of the amended facility agreement, we must meet certain financial ratios</w:t>
      </w:r>
      <w:r>
        <w:rPr>
          <w:rFonts w:ascii="Arial" w:cs="Arial" w:eastAsia="Arial" w:hAnsi="Arial"/>
          <w:sz w:val="16"/>
          <w:szCs w:val="16"/>
          <w:i w:val="1"/>
          <w:iCs w:val="1"/>
          <w:color w:val="auto"/>
        </w:rPr>
        <w:t xml:space="preserve"> </w:t>
      </w:r>
      <w:r>
        <w:rPr>
          <w:rFonts w:ascii="Arial" w:cs="Arial" w:eastAsia="Arial" w:hAnsi="Arial"/>
          <w:sz w:val="16"/>
          <w:szCs w:val="16"/>
          <w:color w:val="auto"/>
        </w:rPr>
        <w:t>and covenants, including financial covenants relating to periodic sales, quarterly earnings before interest, taxes, depreciation and amortization (quarterly EBITDA), net cash flow as compared with total debt and equity as compared to total assets. In January 2005, we signed a waiver letter agreement with our banks according to which the banks waived our non-compliance with certain financial ratios and covenants for the fourth quarter of 2004 and which amended certain of the financial ratios and covenants for 2005. Under the terms of the July 2005 amendment to our credit facility agreement, our banks agreed to amend our financial ratios and covenants through the third quarter of 2006. As of today, we are in full compliance with our financial ratios and covenants. We anticipate that we will not be in compliance with all of the financial ratios and covenants under the amended facility agreement commencing in the fourth quarter of 2006. See “Risk Factors – If we do not raise the funds required by the amendment to our credit facility agreement or fail to satisfy the covenants set forth in our amended credit facility, our banks will be able to call our loans.”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Changes to and compliance with material contracts: </w:t>
      </w:r>
      <w:r>
        <w:rPr>
          <w:rFonts w:ascii="Arial" w:cs="Arial" w:eastAsia="Arial" w:hAnsi="Arial"/>
          <w:sz w:val="16"/>
          <w:szCs w:val="16"/>
          <w:color w:val="auto"/>
        </w:rPr>
        <w:t>We may not amend, cancel, terminate or waive any term of a material contract unless the</w:t>
      </w:r>
    </w:p>
    <w:p>
      <w:pPr>
        <w:spacing w:after="0" w:line="38"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aforementioned actions are not materially adverse to the interests of our banks. We also must materially comply with the terms of our material contracts. Subject to certain exceptions, certain of our material contracts must remain in full force and effect.</w:t>
      </w:r>
    </w:p>
    <w:p>
      <w:pPr>
        <w:spacing w:after="0" w:line="191" w:lineRule="exact"/>
        <w:rPr>
          <w:rFonts w:ascii="Arial" w:cs="Arial" w:eastAsia="Arial" w:hAnsi="Arial"/>
          <w:sz w:val="16"/>
          <w:szCs w:val="16"/>
          <w:color w:val="auto"/>
        </w:rPr>
      </w:pPr>
    </w:p>
    <w:p>
      <w:pPr>
        <w:ind w:left="700" w:hanging="692"/>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Use of excess cash flow from Fab 2: </w:t>
      </w:r>
      <w:r>
        <w:rPr>
          <w:rFonts w:ascii="Arial" w:cs="Arial" w:eastAsia="Arial" w:hAnsi="Arial"/>
          <w:sz w:val="18"/>
          <w:szCs w:val="18"/>
          <w:color w:val="auto"/>
        </w:rPr>
        <w:t>We must invest the operating cash flow derived from Fab 2 in the Fab 2 project.</w:t>
      </w:r>
    </w:p>
    <w:p>
      <w:pPr>
        <w:spacing w:after="0" w:line="225" w:lineRule="exact"/>
        <w:rPr>
          <w:rFonts w:ascii="Arial" w:cs="Arial" w:eastAsia="Arial" w:hAnsi="Arial"/>
          <w:sz w:val="18"/>
          <w:szCs w:val="18"/>
          <w:color w:val="auto"/>
        </w:rPr>
      </w:pPr>
    </w:p>
    <w:p>
      <w:pPr>
        <w:ind w:right="40" w:firstLine="8"/>
        <w:spacing w:after="0" w:line="306" w:lineRule="auto"/>
        <w:tabs>
          <w:tab w:leader="none" w:pos="74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Creation of encumbrances: </w:t>
      </w:r>
      <w:r>
        <w:rPr>
          <w:rFonts w:ascii="Arial" w:cs="Arial" w:eastAsia="Arial" w:hAnsi="Arial"/>
          <w:sz w:val="16"/>
          <w:szCs w:val="16"/>
          <w:color w:val="auto"/>
        </w:rPr>
        <w:t>We may not provide security interests in or otherwise encumber our assets, other than in favor of our banks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of the State of Israel in connection with grants from the Investment Center of the Ministry of Industry, Trade and Labor for Fab 1 and Fab 2 or unless approved by our banks, as was the case with the first ranking charges on certain of our Fab 1 assets in favor of Siliconix Technology C.V., one of our customers.</w:t>
      </w:r>
    </w:p>
    <w:p>
      <w:pPr>
        <w:spacing w:after="0" w:line="160" w:lineRule="exact"/>
        <w:rPr>
          <w:rFonts w:ascii="Arial" w:cs="Arial" w:eastAsia="Arial" w:hAnsi="Arial"/>
          <w:sz w:val="16"/>
          <w:szCs w:val="16"/>
          <w:color w:val="auto"/>
        </w:rPr>
      </w:pPr>
    </w:p>
    <w:p>
      <w:pPr>
        <w:ind w:firstLine="8"/>
        <w:spacing w:after="0" w:line="291"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Payment of dividends: </w:t>
      </w:r>
      <w:r>
        <w:rPr>
          <w:rFonts w:ascii="Arial" w:cs="Arial" w:eastAsia="Arial" w:hAnsi="Arial"/>
          <w:sz w:val="16"/>
          <w:szCs w:val="16"/>
          <w:color w:val="auto"/>
        </w:rPr>
        <w:t>We are not permitted to undertake to declare or pay a dividend or any other distribution (as defined in the Companies Law –</w:t>
      </w:r>
      <w:r>
        <w:rPr>
          <w:rFonts w:ascii="Arial" w:cs="Arial" w:eastAsia="Arial" w:hAnsi="Arial"/>
          <w:sz w:val="16"/>
          <w:szCs w:val="16"/>
          <w:i w:val="1"/>
          <w:iCs w:val="1"/>
          <w:color w:val="auto"/>
        </w:rPr>
        <w:t xml:space="preserve"> </w:t>
      </w:r>
      <w:r>
        <w:rPr>
          <w:rFonts w:ascii="Arial" w:cs="Arial" w:eastAsia="Arial" w:hAnsi="Arial"/>
          <w:sz w:val="16"/>
          <w:szCs w:val="16"/>
          <w:color w:val="auto"/>
        </w:rPr>
        <w:t>1999) or to redeem any of our shares or convertible securities (including the debentures issued in our 2002 and 2006 rights offerings) unless the facility agreement specifically grants us this right. The facility agreement provides that we may declare and pay a dividend on or in respect of our share capital provided that: (a) no such distribution shall take place prior to January 1, 2008 and prior to any such distribution, we must have placed on deposit with our banks an amount equal to the debt service for the quarter in which the distribution is to be made and pledged such deposit in favor of our banks, and (b) we must have complied with certain financial ratios and covenants. In addition, we may only declare and pay a dividend provided that:</w:t>
      </w:r>
    </w:p>
    <w:p>
      <w:pPr>
        <w:spacing w:after="0" w:line="174"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1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facility agreement; and</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right="120" w:firstLine="8"/>
        <w:spacing w:after="0" w:line="256"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Incurrence of financial indebtedness: </w:t>
      </w:r>
      <w:r>
        <w:rPr>
          <w:rFonts w:ascii="Arial" w:cs="Arial" w:eastAsia="Arial" w:hAnsi="Arial"/>
          <w:sz w:val="18"/>
          <w:szCs w:val="18"/>
          <w:color w:val="auto"/>
        </w:rPr>
        <w:t>We may not incur any financial indebtedness, unless we are specifically permitted to do so under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Examples of financial indebtedness which we are permitted to incur according to the terms of the facility agreement are: an amount of up to $40 million in respect of a credit facility for Fab 1, an amount of up to $10 million in respect of operating leases relating to Fab 2, the debt we incurred in connection with the issuance of convertible debentures in January 2002 and in January 2006.</w:t>
      </w:r>
    </w:p>
    <w:p>
      <w:pPr>
        <w:spacing w:after="0" w:line="197" w:lineRule="exact"/>
        <w:rPr>
          <w:rFonts w:ascii="Arial" w:cs="Arial" w:eastAsia="Arial" w:hAnsi="Arial"/>
          <w:sz w:val="18"/>
          <w:szCs w:val="18"/>
          <w:color w:val="auto"/>
        </w:rPr>
      </w:pPr>
    </w:p>
    <w:p>
      <w:pPr>
        <w:ind w:right="140" w:firstLine="8"/>
        <w:spacing w:after="0" w:line="332"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Purchase of shares or assets of another company: </w:t>
      </w:r>
      <w:r>
        <w:rPr>
          <w:rFonts w:ascii="Arial" w:cs="Arial" w:eastAsia="Arial" w:hAnsi="Arial"/>
          <w:sz w:val="16"/>
          <w:szCs w:val="16"/>
          <w:color w:val="auto"/>
        </w:rPr>
        <w:t>We may not purchase any interest in the share capital or the business or assets constituting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 another company unless the aggregate amount of all such investments or purchases does not exceed $5 million.</w:t>
      </w:r>
    </w:p>
    <w:p>
      <w:pPr>
        <w:spacing w:after="0" w:line="139" w:lineRule="exact"/>
        <w:rPr>
          <w:rFonts w:ascii="Arial" w:cs="Arial" w:eastAsia="Arial" w:hAnsi="Arial"/>
          <w:sz w:val="16"/>
          <w:szCs w:val="16"/>
          <w:color w:val="auto"/>
        </w:rPr>
      </w:pPr>
    </w:p>
    <w:p>
      <w:pPr>
        <w:ind w:right="100" w:firstLine="8"/>
        <w:spacing w:after="0" w:line="306" w:lineRule="auto"/>
        <w:tabs>
          <w:tab w:leader="none" w:pos="697"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Suspension or cancellation of approvals and permits</w:t>
      </w:r>
      <w:r>
        <w:rPr>
          <w:rFonts w:ascii="Arial" w:cs="Arial" w:eastAsia="Arial" w:hAnsi="Arial"/>
          <w:sz w:val="16"/>
          <w:szCs w:val="16"/>
          <w:color w:val="auto"/>
        </w:rPr>
        <w:t>: We must obtain all of the permits, approvals or licenses necessary for the performance of the Fab</w:t>
      </w:r>
      <w:r>
        <w:rPr>
          <w:rFonts w:ascii="Arial" w:cs="Arial" w:eastAsia="Arial" w:hAnsi="Arial"/>
          <w:sz w:val="16"/>
          <w:szCs w:val="16"/>
          <w:i w:val="1"/>
          <w:iCs w:val="1"/>
          <w:color w:val="auto"/>
        </w:rPr>
        <w:t xml:space="preserve"> </w:t>
      </w:r>
      <w:r>
        <w:rPr>
          <w:rFonts w:ascii="Arial" w:cs="Arial" w:eastAsia="Arial" w:hAnsi="Arial"/>
          <w:sz w:val="16"/>
          <w:szCs w:val="16"/>
          <w:color w:val="auto"/>
        </w:rPr>
        <w:t>2 project and must ensure that they are not suspended, cancelled, revoked or lapse without our having obtained adequate replacements. In addition, we must comply with the terms of such permits, approvals or licenses and their terms cannot be modified in a material adverse respect.</w:t>
      </w:r>
    </w:p>
    <w:p>
      <w:pPr>
        <w:spacing w:after="0" w:line="160" w:lineRule="exact"/>
        <w:rPr>
          <w:rFonts w:ascii="Arial" w:cs="Arial" w:eastAsia="Arial" w:hAnsi="Arial"/>
          <w:sz w:val="16"/>
          <w:szCs w:val="16"/>
          <w:color w:val="auto"/>
        </w:rPr>
      </w:pPr>
    </w:p>
    <w:p>
      <w:pPr>
        <w:ind w:right="220" w:firstLine="8"/>
        <w:spacing w:after="0" w:line="306" w:lineRule="auto"/>
        <w:tabs>
          <w:tab w:leader="none" w:pos="74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A “change of ownership”: </w:t>
      </w:r>
      <w:r>
        <w:rPr>
          <w:rFonts w:ascii="Arial" w:cs="Arial" w:eastAsia="Arial" w:hAnsi="Arial"/>
          <w:sz w:val="16"/>
          <w:szCs w:val="16"/>
          <w:color w:val="auto"/>
        </w:rPr>
        <w:t>The facility agreement provides that certain events would be considered to be a change of ownership of our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would constitute an event of default. These events include limitations of the number of our shares that the Israel Corp. and our major wafer partners (SanDisk Corporation, Alliance Semiconductor Corporation and Macronix Co. Ltd.) may sell or hold and the composition of our board of directors including that:</w:t>
      </w:r>
    </w:p>
    <w:p>
      <w:pPr>
        <w:spacing w:after="0" w:line="160" w:lineRule="exact"/>
        <w:rPr>
          <w:rFonts w:ascii="Arial" w:cs="Arial" w:eastAsia="Arial" w:hAnsi="Arial"/>
          <w:sz w:val="16"/>
          <w:szCs w:val="16"/>
          <w:color w:val="auto"/>
        </w:rPr>
      </w:pPr>
    </w:p>
    <w:p>
      <w:pPr>
        <w:ind w:left="1720" w:right="180" w:hanging="567"/>
        <w:spacing w:after="0" w:line="268" w:lineRule="auto"/>
        <w:rPr>
          <w:rFonts w:ascii="Arial" w:cs="Arial" w:eastAsia="Arial" w:hAnsi="Arial"/>
          <w:sz w:val="16"/>
          <w:szCs w:val="16"/>
          <w:color w:val="auto"/>
        </w:rPr>
      </w:pPr>
      <w:r>
        <w:rPr>
          <w:rFonts w:ascii="Arial" w:cs="Arial" w:eastAsia="Arial" w:hAnsi="Arial"/>
          <w:sz w:val="18"/>
          <w:szCs w:val="18"/>
          <w:color w:val="auto"/>
        </w:rPr>
        <w:t>—From December 16, 2003 through January 29, 2006, Israel Corp. must hold at least the higher of (i) eight million of our ordinary shares or (ii) 16.5% of our issued share capital less two million ordinary shares.</w:t>
      </w:r>
    </w:p>
    <w:p>
      <w:pPr>
        <w:spacing w:after="0" w:line="212" w:lineRule="exact"/>
        <w:rPr>
          <w:rFonts w:ascii="Arial" w:cs="Arial" w:eastAsia="Arial" w:hAnsi="Arial"/>
          <w:sz w:val="16"/>
          <w:szCs w:val="16"/>
          <w:color w:val="auto"/>
        </w:rPr>
      </w:pPr>
    </w:p>
    <w:p>
      <w:pPr>
        <w:ind w:left="1720" w:right="180" w:hanging="567"/>
        <w:spacing w:after="0" w:line="268" w:lineRule="auto"/>
        <w:rPr>
          <w:rFonts w:ascii="Arial" w:cs="Arial" w:eastAsia="Arial" w:hAnsi="Arial"/>
          <w:sz w:val="16"/>
          <w:szCs w:val="16"/>
          <w:color w:val="auto"/>
        </w:rPr>
      </w:pPr>
      <w:r>
        <w:rPr>
          <w:rFonts w:ascii="Arial" w:cs="Arial" w:eastAsia="Arial" w:hAnsi="Arial"/>
          <w:sz w:val="18"/>
          <w:szCs w:val="18"/>
          <w:color w:val="auto"/>
        </w:rPr>
        <w:t>—During the three-year period beginning January 29, 2006, Israel Corp. may gradually sell between 25% to 100% of the shares held by it on December 16, 2003, less the amount of shares it was entitled to sell through January 29, 2006.</w:t>
      </w:r>
    </w:p>
    <w:p>
      <w:pPr>
        <w:spacing w:after="0" w:line="212" w:lineRule="exact"/>
        <w:rPr>
          <w:rFonts w:ascii="Arial" w:cs="Arial" w:eastAsia="Arial" w:hAnsi="Arial"/>
          <w:sz w:val="16"/>
          <w:szCs w:val="16"/>
          <w:color w:val="auto"/>
        </w:rPr>
      </w:pPr>
    </w:p>
    <w:p>
      <w:pPr>
        <w:jc w:val="right"/>
        <w:ind w:left="1720" w:right="60" w:hanging="567"/>
        <w:spacing w:after="0" w:line="370"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Until January 29, 2006, SanDisk Corporation, Alliance Semiconductor Corporation and Macronix Co. Ltd. cannot sell more than 30% of the number of our shares held by them on January 29, 2004 which were purchased pursuant to the year 2000 investment agreements with</w:t>
      </w:r>
    </w:p>
    <w:p>
      <w:pPr>
        <w:sectPr>
          <w:pgSz w:w="11900" w:h="16948" w:orient="portrait"/>
          <w:cols w:equalWidth="0" w:num="1">
            <w:col w:w="11420"/>
          </w:cols>
          <w:pgMar w:left="240" w:top="131" w:right="239" w:bottom="0" w:gutter="0" w:footer="0" w:header="0"/>
        </w:sectPr>
      </w:pPr>
    </w:p>
    <w:bookmarkStart w:id="20" w:name="page21"/>
    <w:bookmarkEnd w:id="20"/>
    <w:p>
      <w:pPr>
        <w:ind w:left="1712"/>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12" w:right="100" w:hanging="567"/>
        <w:spacing w:after="0" w:line="256" w:lineRule="auto"/>
        <w:rPr>
          <w:sz w:val="20"/>
          <w:szCs w:val="20"/>
          <w:color w:val="auto"/>
        </w:rPr>
      </w:pPr>
      <w:r>
        <w:rPr>
          <w:rFonts w:ascii="Arial" w:cs="Arial" w:eastAsia="Arial" w:hAnsi="Arial"/>
          <w:sz w:val="18"/>
          <w:szCs w:val="18"/>
          <w:color w:val="auto"/>
        </w:rPr>
        <w:t>—At any time during the period between January 30, 2006, and at least 12 months from January 29, 2006, the aggregate shareholdings of SanDisk Corporation, Alliance Semiconductor Corporation and Macronix Co. Ltd. must equal at least 60% of the amount of their aggregate shareholdings on January 29, 2006 (which may be reduced under certain conditions) less an amount of shares equal to 30% of the number of our shares held by them on January 29, 2004.</w:t>
      </w:r>
    </w:p>
    <w:p>
      <w:pPr>
        <w:spacing w:after="0" w:line="224" w:lineRule="exact"/>
        <w:rPr>
          <w:sz w:val="20"/>
          <w:szCs w:val="20"/>
          <w:color w:val="auto"/>
        </w:rPr>
      </w:pPr>
    </w:p>
    <w:p>
      <w:pPr>
        <w:ind w:left="1712" w:right="20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maximum number of directors that Israel Corp. may nominate may not exceed the number of directors nominated by SanDisk Corporation, Alliance Semiconductor Corporation and Macronix Co. Ltd. For the purpose of this calculation external directors and our office holders that are also directors are not taken into account as members of our board of directors.</w:t>
      </w:r>
    </w:p>
    <w:p>
      <w:pPr>
        <w:spacing w:after="0" w:line="187" w:lineRule="exact"/>
        <w:rPr>
          <w:sz w:val="20"/>
          <w:szCs w:val="20"/>
          <w:color w:val="auto"/>
        </w:rPr>
      </w:pPr>
    </w:p>
    <w:p>
      <w:pPr>
        <w:ind w:left="1712" w:right="220" w:hanging="567"/>
        <w:spacing w:after="0" w:line="256" w:lineRule="auto"/>
        <w:rPr>
          <w:sz w:val="20"/>
          <w:szCs w:val="20"/>
          <w:color w:val="auto"/>
        </w:rPr>
      </w:pPr>
      <w:r>
        <w:rPr>
          <w:rFonts w:ascii="Arial" w:cs="Arial" w:eastAsia="Arial" w:hAnsi="Arial"/>
          <w:sz w:val="18"/>
          <w:szCs w:val="18"/>
          <w:color w:val="auto"/>
        </w:rPr>
        <w:t>—Israel Corp. may not hold for more than 7 days ordinary shares that it acquires through the conversion of convertible debentures if, at such time, the number of our ordinary shares held by it exceeds the sum of the number of our ordinary shares held by it on January 18, 2001 (the date the facility agreement was signed) and the number of our ordinary shares purchased by Israel Corp. pursuant to its December 2000 investment agreements with us.</w:t>
      </w:r>
    </w:p>
    <w:p>
      <w:pPr>
        <w:spacing w:after="0" w:line="224" w:lineRule="exact"/>
        <w:rPr>
          <w:sz w:val="20"/>
          <w:szCs w:val="20"/>
          <w:color w:val="auto"/>
        </w:rPr>
      </w:pPr>
    </w:p>
    <w:p>
      <w:pPr>
        <w:ind w:left="1712" w:right="40" w:hanging="567"/>
        <w:spacing w:after="0" w:line="259" w:lineRule="auto"/>
        <w:rPr>
          <w:sz w:val="20"/>
          <w:szCs w:val="20"/>
          <w:color w:val="auto"/>
        </w:rPr>
      </w:pPr>
      <w:r>
        <w:rPr>
          <w:rFonts w:ascii="Arial" w:cs="Arial" w:eastAsia="Arial" w:hAnsi="Arial"/>
          <w:sz w:val="18"/>
          <w:szCs w:val="18"/>
          <w:color w:val="auto"/>
        </w:rPr>
        <w:t>—SanDisk Corporation, Alliance Semiconductor Corporation, Macronix Co. Ltd., and Israel Corp., no longer nominate in excess of half of our directors. For the purpose of this calculation external directors and our office holders that are also directors are not taken into account as members of our board of directors.</w:t>
      </w:r>
    </w:p>
    <w:p>
      <w:pPr>
        <w:spacing w:after="0" w:line="200" w:lineRule="exact"/>
        <w:rPr>
          <w:sz w:val="20"/>
          <w:szCs w:val="20"/>
          <w:color w:val="auto"/>
        </w:rPr>
      </w:pPr>
    </w:p>
    <w:p>
      <w:pPr>
        <w:spacing w:after="0" w:line="237" w:lineRule="exact"/>
        <w:rPr>
          <w:sz w:val="20"/>
          <w:szCs w:val="20"/>
          <w:color w:val="auto"/>
        </w:rPr>
      </w:pPr>
    </w:p>
    <w:p>
      <w:pPr>
        <w:ind w:left="-8" w:right="80" w:firstLine="8"/>
        <w:spacing w:after="0" w:line="268" w:lineRule="auto"/>
        <w:tabs>
          <w:tab w:leader="none" w:pos="72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Purpose of Credits: </w:t>
      </w:r>
      <w:r>
        <w:rPr>
          <w:rFonts w:ascii="Arial" w:cs="Arial" w:eastAsia="Arial" w:hAnsi="Arial"/>
          <w:sz w:val="18"/>
          <w:szCs w:val="18"/>
          <w:color w:val="auto"/>
        </w:rPr>
        <w:t>We may not use the different forms of credits available under the facility agreement other than for the purposes permitted therefor,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generally relate to costs and expenses associated with the Fab 2 project.</w:t>
      </w:r>
    </w:p>
    <w:p>
      <w:pPr>
        <w:spacing w:after="0" w:line="185" w:lineRule="exact"/>
        <w:rPr>
          <w:rFonts w:ascii="Arial" w:cs="Arial" w:eastAsia="Arial" w:hAnsi="Arial"/>
          <w:sz w:val="18"/>
          <w:szCs w:val="18"/>
          <w:color w:val="auto"/>
        </w:rPr>
      </w:pPr>
    </w:p>
    <w:p>
      <w:pPr>
        <w:ind w:left="-8" w:right="120" w:firstLine="8"/>
        <w:spacing w:after="0" w:line="268"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We may not create any obligations to any third party that rank senior in right and priority of payment to the banks or in priority of security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banks, other than obligations which are mandatorily preferred by law applying to companies generally.</w:t>
      </w:r>
    </w:p>
    <w:p>
      <w:pPr>
        <w:spacing w:after="0" w:line="185" w:lineRule="exact"/>
        <w:rPr>
          <w:rFonts w:ascii="Arial" w:cs="Arial" w:eastAsia="Arial" w:hAnsi="Arial"/>
          <w:sz w:val="18"/>
          <w:szCs w:val="18"/>
          <w:color w:val="auto"/>
        </w:rPr>
      </w:pPr>
    </w:p>
    <w:p>
      <w:pPr>
        <w:ind w:left="-8" w:firstLine="8"/>
        <w:spacing w:after="0" w:line="298" w:lineRule="auto"/>
        <w:tabs>
          <w:tab w:leader="none" w:pos="728"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All of our properties and assets must be insured with reputable insurance companies or underwriters approved by the banks. We must also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insurance which is generally and customarily maintained by companies carrying on a business similar to ours. The proceeds payable under the insurance polices in the event of loss of Fab 2 must equal at least 110% of the aggregate amount of debt we owe our banks under the facility agreement at any given time. In addition, the insurance policies are to be assigned by way of charge in favor of the banks and the banks are to be joined as an additional insured.</w:t>
      </w:r>
    </w:p>
    <w:p>
      <w:pPr>
        <w:spacing w:after="0" w:line="166" w:lineRule="exact"/>
        <w:rPr>
          <w:rFonts w:ascii="Arial" w:cs="Arial" w:eastAsia="Arial" w:hAnsi="Arial"/>
          <w:sz w:val="16"/>
          <w:szCs w:val="16"/>
          <w:color w:val="auto"/>
        </w:rPr>
      </w:pPr>
    </w:p>
    <w:p>
      <w:pPr>
        <w:ind w:left="-8" w:right="340" w:firstLine="8"/>
        <w:spacing w:after="0" w:line="259" w:lineRule="auto"/>
        <w:tabs>
          <w:tab w:leader="none" w:pos="777"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Contract: </w:t>
      </w:r>
      <w:r>
        <w:rPr>
          <w:rFonts w:ascii="Arial" w:cs="Arial" w:eastAsia="Arial" w:hAnsi="Arial"/>
          <w:sz w:val="18"/>
          <w:szCs w:val="18"/>
          <w:color w:val="auto"/>
        </w:rPr>
        <w:t>We may not terminate or exercise any right or suspension under our agreement with our Fab 2 contractor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banks. In addition, the suspension of performance under the agreement with our Fab 2 contractor for a continuous period of more than ninety days or the abandonment of the Fab 2 project or a material part thereof are events of default.</w:t>
      </w:r>
    </w:p>
    <w:p>
      <w:pPr>
        <w:spacing w:after="0" w:line="194" w:lineRule="exact"/>
        <w:rPr>
          <w:rFonts w:ascii="Arial" w:cs="Arial" w:eastAsia="Arial" w:hAnsi="Arial"/>
          <w:sz w:val="18"/>
          <w:szCs w:val="18"/>
          <w:color w:val="auto"/>
        </w:rPr>
      </w:pPr>
    </w:p>
    <w:p>
      <w:pPr>
        <w:ind w:left="-8" w:right="20" w:firstLine="8"/>
        <w:spacing w:after="0" w:line="306" w:lineRule="auto"/>
        <w:tabs>
          <w:tab w:leader="none" w:pos="826"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Agreements providing for wafer order rights</w:t>
      </w:r>
      <w:r>
        <w:rPr>
          <w:rFonts w:ascii="Arial" w:cs="Arial" w:eastAsia="Arial" w:hAnsi="Arial"/>
          <w:sz w:val="16"/>
          <w:szCs w:val="16"/>
          <w:color w:val="auto"/>
        </w:rPr>
        <w:t>: We must have binding agreements providing for a wafer order right providing for the sale of a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in Fab 2 in aggregate of at least 15,733 wafer starts per month for the three year period commencing after Fab 2 reaches production capacity of 10,000 wafer starts per month. At the present time, this obligation is satisfied as a result of the foundry agreements with our wafer partners.</w:t>
      </w:r>
    </w:p>
    <w:p>
      <w:pPr>
        <w:spacing w:after="0" w:line="160" w:lineRule="exact"/>
        <w:rPr>
          <w:rFonts w:ascii="Arial" w:cs="Arial" w:eastAsia="Arial" w:hAnsi="Arial"/>
          <w:sz w:val="16"/>
          <w:szCs w:val="16"/>
          <w:color w:val="auto"/>
        </w:rPr>
      </w:pPr>
    </w:p>
    <w:p>
      <w:pPr>
        <w:ind w:left="-8" w:right="100" w:firstLine="8"/>
        <w:spacing w:after="0" w:line="323" w:lineRule="auto"/>
        <w:tabs>
          <w:tab w:leader="none" w:pos="728" w:val="left"/>
        </w:tabs>
        <w:numPr>
          <w:ilvl w:val="0"/>
          <w:numId w:val="24"/>
        </w:numPr>
        <w:rPr>
          <w:rFonts w:ascii="Arial" w:cs="Arial" w:eastAsia="Arial" w:hAnsi="Arial"/>
          <w:sz w:val="15"/>
          <w:szCs w:val="15"/>
          <w:color w:val="auto"/>
        </w:rPr>
      </w:pPr>
      <w:r>
        <w:rPr>
          <w:rFonts w:ascii="Arial" w:cs="Arial" w:eastAsia="Arial" w:hAnsi="Arial"/>
          <w:sz w:val="15"/>
          <w:szCs w:val="15"/>
          <w:i w:val="1"/>
          <w:iCs w:val="1"/>
          <w:color w:val="auto"/>
        </w:rPr>
        <w:t>Representation and warranties</w:t>
      </w:r>
      <w:r>
        <w:rPr>
          <w:rFonts w:ascii="Arial" w:cs="Arial" w:eastAsia="Arial" w:hAnsi="Arial"/>
          <w:sz w:val="15"/>
          <w:szCs w:val="15"/>
          <w:color w:val="auto"/>
        </w:rPr>
        <w:t>: Prior to the closing of the facility agreement with the banks, we made certain representations and warranties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banks and we were deemed to have been repeated certain of those representations and warranties to the banks each time we delivered a request to borrow money under the facility agreement. We also made certain representations and warranties to the banks in connection with the amendments to our facility agreement the last of which is dated December 2005. When made, the representations and warranties must have been correct and not misleading in a material manner.</w:t>
      </w:r>
    </w:p>
    <w:p>
      <w:pPr>
        <w:spacing w:after="0" w:line="1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 w:right="40" w:firstLine="8"/>
        <w:spacing w:after="0" w:line="268"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Continuous legal validity of the facility agreement</w:t>
      </w:r>
      <w:r>
        <w:rPr>
          <w:rFonts w:ascii="Arial" w:cs="Arial" w:eastAsia="Arial" w:hAnsi="Arial"/>
          <w:sz w:val="18"/>
          <w:szCs w:val="18"/>
          <w:color w:val="auto"/>
        </w:rPr>
        <w:t>: The facility agreement or any of its ancillary agreements shall not cease to be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any respect or fail to provide the intended perfected security over our assets in favor of our banks.</w:t>
      </w:r>
    </w:p>
    <w:p>
      <w:pPr>
        <w:spacing w:after="0" w:line="185" w:lineRule="exact"/>
        <w:rPr>
          <w:rFonts w:ascii="Arial" w:cs="Arial" w:eastAsia="Arial" w:hAnsi="Arial"/>
          <w:sz w:val="18"/>
          <w:szCs w:val="18"/>
          <w:color w:val="auto"/>
        </w:rPr>
      </w:pPr>
    </w:p>
    <w:p>
      <w:pPr>
        <w:ind w:left="-8" w:right="60" w:firstLine="8"/>
        <w:spacing w:after="0" w:line="306" w:lineRule="auto"/>
        <w:tabs>
          <w:tab w:leader="none" w:pos="72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Liquidation; Insolvency</w:t>
      </w:r>
      <w:r>
        <w:rPr>
          <w:rFonts w:ascii="Arial" w:cs="Arial" w:eastAsia="Arial" w:hAnsi="Arial"/>
          <w:sz w:val="16"/>
          <w:szCs w:val="16"/>
          <w:color w:val="auto"/>
        </w:rPr>
        <w:t>: Our becoming insolvent or admitting to being insolvent or our commencement of negotiations with any one or more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with a view to a general readjustment or rescheduling of our indebtedness. In addition, any steps taken for our liquidation, winding up or similar events, including our seeking protection from our creditors, and any proceedings or orders with respect thereto must be cancelled or withdrawn within sixty days.</w:t>
      </w:r>
    </w:p>
    <w:p>
      <w:pPr>
        <w:spacing w:after="0" w:line="160" w:lineRule="exact"/>
        <w:rPr>
          <w:rFonts w:ascii="Arial" w:cs="Arial" w:eastAsia="Arial" w:hAnsi="Arial"/>
          <w:sz w:val="16"/>
          <w:szCs w:val="16"/>
          <w:color w:val="auto"/>
        </w:rPr>
      </w:pPr>
    </w:p>
    <w:p>
      <w:pPr>
        <w:ind w:left="-8" w:right="140" w:firstLine="8"/>
        <w:spacing w:after="0" w:line="332" w:lineRule="auto"/>
        <w:tabs>
          <w:tab w:leader="none" w:pos="777"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Cross acceleration of other indebtedness</w:t>
      </w:r>
      <w:r>
        <w:rPr>
          <w:rFonts w:ascii="Arial" w:cs="Arial" w:eastAsia="Arial" w:hAnsi="Arial"/>
          <w:sz w:val="16"/>
          <w:szCs w:val="16"/>
          <w:color w:val="auto"/>
        </w:rPr>
        <w:t>: We may not fail to make payments regarding any of our other financial indebtedness which aggregates $20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more. In addition, $20 million or more of our other financial indebtedness cannot become prematurely due and payable or be placed on demand.</w:t>
      </w:r>
    </w:p>
    <w:p>
      <w:pPr>
        <w:spacing w:after="0" w:line="139" w:lineRule="exact"/>
        <w:rPr>
          <w:rFonts w:ascii="Arial" w:cs="Arial" w:eastAsia="Arial" w:hAnsi="Arial"/>
          <w:sz w:val="16"/>
          <w:szCs w:val="16"/>
          <w:color w:val="auto"/>
        </w:rPr>
      </w:pPr>
    </w:p>
    <w:p>
      <w:pPr>
        <w:ind w:left="-8" w:right="80" w:firstLine="8"/>
        <w:spacing w:after="0" w:line="306" w:lineRule="auto"/>
        <w:tabs>
          <w:tab w:leader="none" w:pos="826"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Breach of Convertible Debentures</w:t>
      </w:r>
      <w:r>
        <w:rPr>
          <w:rFonts w:ascii="Arial" w:cs="Arial" w:eastAsia="Arial" w:hAnsi="Arial"/>
          <w:sz w:val="16"/>
          <w:szCs w:val="16"/>
          <w:color w:val="auto"/>
        </w:rPr>
        <w:t>. Our default under or breach of any of the terms and conditions of the convertible debentures we issued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2002 or the convertible debentures issued in January 2006 or our making any payment in relation thereto which is not permitted under the facility agreement or the institution by the holders of the debentures (or anyone acting on their behalf, including a trustee) of proceedings against us.</w:t>
      </w:r>
    </w:p>
    <w:p>
      <w:pPr>
        <w:spacing w:after="0" w:line="160" w:lineRule="exact"/>
        <w:rPr>
          <w:rFonts w:ascii="Arial" w:cs="Arial" w:eastAsia="Arial" w:hAnsi="Arial"/>
          <w:sz w:val="16"/>
          <w:szCs w:val="16"/>
          <w:color w:val="auto"/>
        </w:rPr>
      </w:pPr>
    </w:p>
    <w:p>
      <w:pPr>
        <w:ind w:left="-8" w:right="20" w:firstLine="8"/>
        <w:spacing w:after="0" w:line="268" w:lineRule="auto"/>
        <w:tabs>
          <w:tab w:leader="none" w:pos="81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Execution, Attachment, Sequestration: </w:t>
      </w:r>
      <w:r>
        <w:rPr>
          <w:rFonts w:ascii="Arial" w:cs="Arial" w:eastAsia="Arial" w:hAnsi="Arial"/>
          <w:sz w:val="18"/>
          <w:szCs w:val="18"/>
          <w:color w:val="auto"/>
        </w:rPr>
        <w:t>We may not permit any execution, attachment, sequestration or other similar process taken against us to subsist</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than 45 days.</w:t>
      </w:r>
    </w:p>
    <w:p>
      <w:pPr>
        <w:spacing w:after="0" w:line="185" w:lineRule="exact"/>
        <w:rPr>
          <w:rFonts w:ascii="Arial" w:cs="Arial" w:eastAsia="Arial" w:hAnsi="Arial"/>
          <w:sz w:val="18"/>
          <w:szCs w:val="18"/>
          <w:color w:val="auto"/>
        </w:rPr>
      </w:pPr>
    </w:p>
    <w:p>
      <w:pPr>
        <w:ind w:left="-8" w:right="280" w:firstLine="8"/>
        <w:spacing w:after="0" w:line="268" w:lineRule="auto"/>
        <w:tabs>
          <w:tab w:leader="none" w:pos="767"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The existence of any litigation or other proceedings involving us, or any event or series of events, which is likely to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on our company.</w:t>
      </w:r>
    </w:p>
    <w:p>
      <w:pPr>
        <w:spacing w:after="0" w:line="185" w:lineRule="exact"/>
        <w:rPr>
          <w:rFonts w:ascii="Arial" w:cs="Arial" w:eastAsia="Arial" w:hAnsi="Arial"/>
          <w:sz w:val="18"/>
          <w:szCs w:val="18"/>
          <w:color w:val="auto"/>
        </w:rPr>
      </w:pPr>
    </w:p>
    <w:p>
      <w:pPr>
        <w:ind w:left="-8" w:right="540" w:firstLine="8"/>
        <w:spacing w:after="0" w:line="268" w:lineRule="auto"/>
        <w:tabs>
          <w:tab w:leader="none" w:pos="81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Fab 2 being declared a total loss: </w:t>
      </w:r>
      <w:r>
        <w:rPr>
          <w:rFonts w:ascii="Arial" w:cs="Arial" w:eastAsia="Arial" w:hAnsi="Arial"/>
          <w:sz w:val="18"/>
          <w:szCs w:val="18"/>
          <w:color w:val="auto"/>
        </w:rPr>
        <w:t>Fab 2 or a substantial portion thereof is rendered inoperable or declared by our insurers to be a total loss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constructive total loss.</w:t>
      </w:r>
    </w:p>
    <w:p>
      <w:pPr>
        <w:sectPr>
          <w:pgSz w:w="11900" w:h="16838" w:orient="portrait"/>
          <w:cols w:equalWidth="0" w:num="1">
            <w:col w:w="11392"/>
          </w:cols>
          <w:pgMar w:left="248" w:top="131" w:right="259" w:bottom="68" w:gutter="0" w:footer="0" w:header="0"/>
        </w:sectPr>
      </w:pPr>
    </w:p>
    <w:bookmarkStart w:id="21" w:name="page22"/>
    <w:bookmarkEnd w:id="21"/>
    <w:p>
      <w:pPr>
        <w:ind w:right="400" w:firstLine="8"/>
        <w:spacing w:after="0" w:line="268" w:lineRule="auto"/>
        <w:tabs>
          <w:tab w:leader="none" w:pos="87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Government action against us</w:t>
      </w:r>
      <w:r>
        <w:rPr>
          <w:rFonts w:ascii="Arial" w:cs="Arial" w:eastAsia="Arial" w:hAnsi="Arial"/>
          <w:sz w:val="18"/>
          <w:szCs w:val="18"/>
          <w:color w:val="auto"/>
        </w:rPr>
        <w:t>: Any nationalization, seizure or expropriation of all or any substantial or material part of our assets,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by any governmental authority.</w:t>
      </w:r>
    </w:p>
    <w:p>
      <w:pPr>
        <w:spacing w:after="0" w:line="185" w:lineRule="exact"/>
        <w:rPr>
          <w:rFonts w:ascii="Arial" w:cs="Arial" w:eastAsia="Arial" w:hAnsi="Arial"/>
          <w:sz w:val="18"/>
          <w:szCs w:val="18"/>
          <w:color w:val="auto"/>
        </w:rPr>
      </w:pPr>
    </w:p>
    <w:p>
      <w:pPr>
        <w:ind w:right="300" w:firstLine="8"/>
        <w:spacing w:after="0" w:line="268" w:lineRule="auto"/>
        <w:tabs>
          <w:tab w:leader="none" w:pos="922"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Restrictions on the free exchange of NIS for United States dollars</w:t>
      </w:r>
      <w:r>
        <w:rPr>
          <w:rFonts w:ascii="Arial" w:cs="Arial" w:eastAsia="Arial" w:hAnsi="Arial"/>
          <w:sz w:val="18"/>
          <w:szCs w:val="18"/>
          <w:color w:val="auto"/>
        </w:rPr>
        <w:t>: The imposition of restrictions by an Israeli governmental authority on the free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NIS for United States dollars or United States dollars for NIS.</w:t>
      </w:r>
    </w:p>
    <w:p>
      <w:pPr>
        <w:spacing w:after="0" w:line="185" w:lineRule="exact"/>
        <w:rPr>
          <w:rFonts w:ascii="Arial" w:cs="Arial" w:eastAsia="Arial" w:hAnsi="Arial"/>
          <w:sz w:val="18"/>
          <w:szCs w:val="18"/>
          <w:color w:val="auto"/>
        </w:rPr>
      </w:pPr>
    </w:p>
    <w:p>
      <w:pPr>
        <w:ind w:left="840" w:hanging="832"/>
        <w:spacing w:after="0"/>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Claim that we defaulted under certain prepayment contracts: </w:t>
      </w:r>
      <w:r>
        <w:rPr>
          <w:rFonts w:ascii="Arial" w:cs="Arial" w:eastAsia="Arial" w:hAnsi="Arial"/>
          <w:sz w:val="16"/>
          <w:szCs w:val="16"/>
          <w:color w:val="auto"/>
        </w:rPr>
        <w:t>The counter party to certain prepayment contracts makes a claim that we defaulted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9" w:lineRule="exact"/>
        <w:rPr>
          <w:sz w:val="20"/>
          <w:szCs w:val="20"/>
          <w:color w:val="auto"/>
        </w:rPr>
      </w:pPr>
    </w:p>
    <w:p>
      <w:pPr>
        <w:ind w:left="880" w:hanging="872"/>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Additional Restrictions: </w:t>
      </w:r>
      <w:r>
        <w:rPr>
          <w:rFonts w:ascii="Arial" w:cs="Arial" w:eastAsia="Arial" w:hAnsi="Arial"/>
          <w:sz w:val="16"/>
          <w:szCs w:val="16"/>
          <w:color w:val="auto"/>
        </w:rPr>
        <w:t>Without the prior written consent of our banks or as permitted under the facility agreement, we are restricted from:</w:t>
      </w:r>
    </w:p>
    <w:p>
      <w:pPr>
        <w:spacing w:after="0" w:line="24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altering the Fab 2 business plan;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entering into or resolving to approve any merger, reorganization or transfer of any part our business;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amending our articles of association in a manner which is materially adverse to the interests of our banks;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making any payment or transferring our assets to our shareholders or their affiliates;</w:t>
      </w:r>
    </w:p>
    <w:p>
      <w:pPr>
        <w:spacing w:after="0" w:line="252" w:lineRule="exact"/>
        <w:rPr>
          <w:rFonts w:ascii="Arial" w:cs="Arial" w:eastAsia="Arial" w:hAnsi="Arial"/>
          <w:sz w:val="16"/>
          <w:szCs w:val="16"/>
          <w:color w:val="auto"/>
        </w:rPr>
      </w:pPr>
    </w:p>
    <w:p>
      <w:pPr>
        <w:ind w:left="1720" w:right="400" w:hanging="567"/>
        <w:spacing w:after="0" w:line="268" w:lineRule="auto"/>
        <w:rPr>
          <w:rFonts w:ascii="Arial" w:cs="Arial" w:eastAsia="Arial" w:hAnsi="Arial"/>
          <w:sz w:val="16"/>
          <w:szCs w:val="16"/>
          <w:color w:val="auto"/>
        </w:rPr>
      </w:pPr>
      <w:r>
        <w:rPr>
          <w:rFonts w:ascii="Arial" w:cs="Arial" w:eastAsia="Arial" w:hAnsi="Arial"/>
          <w:sz w:val="18"/>
          <w:szCs w:val="18"/>
          <w:color w:val="auto"/>
        </w:rPr>
        <w:t>—disposing of our assets other than in the ordinary course of business or other than to replace such assets with comparable or superior assets;</w:t>
      </w:r>
    </w:p>
    <w:p>
      <w:pPr>
        <w:spacing w:after="0" w:line="212" w:lineRule="exact"/>
        <w:rPr>
          <w:rFonts w:ascii="Arial" w:cs="Arial" w:eastAsia="Arial" w:hAnsi="Arial"/>
          <w:sz w:val="16"/>
          <w:szCs w:val="16"/>
          <w:color w:val="auto"/>
        </w:rPr>
      </w:pPr>
    </w:p>
    <w:p>
      <w:pPr>
        <w:ind w:left="1720" w:right="60" w:hanging="567"/>
        <w:spacing w:after="0" w:line="256" w:lineRule="auto"/>
        <w:rPr>
          <w:rFonts w:ascii="Arial" w:cs="Arial" w:eastAsia="Arial" w:hAnsi="Arial"/>
          <w:sz w:val="16"/>
          <w:szCs w:val="16"/>
          <w:color w:val="auto"/>
        </w:rPr>
      </w:pPr>
      <w:r>
        <w:rPr>
          <w:rFonts w:ascii="Arial" w:cs="Arial" w:eastAsia="Arial" w:hAnsi="Arial"/>
          <w:sz w:val="18"/>
          <w:szCs w:val="18"/>
          <w:color w:val="auto"/>
        </w:rPr>
        <w:t>—selling, transferring or licensing on an exclusive basis any of our intellectual property assets which are material to the Fab 2 project or over which the banks have received a fixed security interest; however, we may enter into exclusive license arrangements on arms’ length bases which are in the ordinary course of business, provided that such arrangements do not adversely affect the interests of the banks or the conduct of the Fab 2 project;</w:t>
      </w:r>
    </w:p>
    <w:p>
      <w:pPr>
        <w:spacing w:after="0" w:line="224"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incurring any capital expenditures other than for the Fab 2 project or for Fab 1;</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delegating the management of the Fab 2 project to any other person;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abandoning all or any part of the Fab 2 project; and</w:t>
      </w:r>
    </w:p>
    <w:p>
      <w:pPr>
        <w:spacing w:after="0" w:line="252" w:lineRule="exact"/>
        <w:rPr>
          <w:sz w:val="20"/>
          <w:szCs w:val="20"/>
          <w:color w:val="auto"/>
        </w:rPr>
      </w:pPr>
    </w:p>
    <w:p>
      <w:pPr>
        <w:ind w:left="1720" w:hanging="567"/>
        <w:spacing w:after="0" w:line="268" w:lineRule="auto"/>
        <w:rPr>
          <w:sz w:val="20"/>
          <w:szCs w:val="20"/>
          <w:color w:val="auto"/>
        </w:rPr>
      </w:pPr>
      <w:r>
        <w:rPr>
          <w:rFonts w:ascii="Arial" w:cs="Arial" w:eastAsia="Arial" w:hAnsi="Arial"/>
          <w:sz w:val="18"/>
          <w:szCs w:val="18"/>
          <w:color w:val="auto"/>
        </w:rPr>
        <w:t>—maintaining any bank accounts other than the accounts with our banks and all payments related to the Fab 2 project shall be made from or to those accounts.</w:t>
      </w:r>
    </w:p>
    <w:p>
      <w:pPr>
        <w:spacing w:after="0" w:line="200" w:lineRule="exact"/>
        <w:rPr>
          <w:sz w:val="20"/>
          <w:szCs w:val="20"/>
          <w:color w:val="auto"/>
        </w:rPr>
      </w:pPr>
    </w:p>
    <w:p>
      <w:pPr>
        <w:spacing w:after="0" w:line="229" w:lineRule="exact"/>
        <w:rPr>
          <w:sz w:val="20"/>
          <w:szCs w:val="20"/>
          <w:color w:val="auto"/>
        </w:rPr>
      </w:pPr>
    </w:p>
    <w:p>
      <w:pPr>
        <w:jc w:val="both"/>
        <w:ind w:right="200" w:firstLine="348"/>
        <w:spacing w:after="0" w:line="298" w:lineRule="auto"/>
        <w:rPr>
          <w:sz w:val="20"/>
          <w:szCs w:val="20"/>
          <w:color w:val="auto"/>
        </w:rPr>
      </w:pPr>
      <w:r>
        <w:rPr>
          <w:rFonts w:ascii="Arial" w:cs="Arial" w:eastAsia="Arial" w:hAnsi="Arial"/>
          <w:sz w:val="16"/>
          <w:szCs w:val="16"/>
          <w:color w:val="auto"/>
        </w:rPr>
        <w:t>We must notify the banks of any event of default of which we are aware and report on the steps, if any, being taken by us to remedy such event of default. With respect to the majority of the aforementioned events of default, the facility agreement provides that if such event of default is capable of remedy, or if our failure to comply with other obligations under the facility agreement is capable of remedy, then such events will not entitle our banks to exercise their remedies under the facility agreement if we cure such breach within the period or time set forth in the facility agreement (generally 7 or 14 days).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 Under the Debentures Due 2012</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Event of Default under the debentures is:</w:t>
      </w:r>
    </w:p>
    <w:p>
      <w:pPr>
        <w:spacing w:after="0" w:line="225" w:lineRule="exact"/>
        <w:rPr>
          <w:sz w:val="20"/>
          <w:szCs w:val="20"/>
          <w:color w:val="auto"/>
        </w:rPr>
      </w:pPr>
    </w:p>
    <w:p>
      <w:pPr>
        <w:ind w:left="1720" w:right="140" w:hanging="567"/>
        <w:spacing w:after="0" w:line="255" w:lineRule="auto"/>
        <w:rPr>
          <w:sz w:val="20"/>
          <w:szCs w:val="20"/>
          <w:color w:val="auto"/>
        </w:rPr>
      </w:pPr>
      <w:r>
        <w:rPr>
          <w:rFonts w:ascii="Arial" w:cs="Arial" w:eastAsia="Arial" w:hAnsi="Arial"/>
          <w:sz w:val="18"/>
          <w:szCs w:val="18"/>
          <w:color w:val="auto"/>
        </w:rPr>
        <w:t>—Any corporate action taken by us or other steps taken or proceedings started or consented to or any order made for our winding up, administration or re-organization (or for the suspension of payments generally or any process giving protection against creditors), or for the appointment of a liquidator, receiver, administrator, administrative receiver or similar officer for all or any part of our revenues or assets or such a person is appointed, which action, steps, proceedings or order are not cancelled or withdrawn within 60 days of the occurrence or the institution thereof.</w:t>
      </w:r>
    </w:p>
    <w:p>
      <w:pPr>
        <w:spacing w:after="0" w:line="223" w:lineRule="exact"/>
        <w:rPr>
          <w:sz w:val="20"/>
          <w:szCs w:val="20"/>
          <w:color w:val="auto"/>
        </w:rPr>
      </w:pPr>
    </w:p>
    <w:p>
      <w:pPr>
        <w:ind w:left="172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Our failure to pay an amount of principal or interest in respect of the debentures within 14 Business Days (as defined below) of the date we are required to make the payment under the debentures as such date may be postponed in accordance with the terms of the debentures.</w:t>
      </w:r>
    </w:p>
    <w:p>
      <w:pPr>
        <w:spacing w:after="0" w:line="360"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accordance with the terms of the facility agreement, the indenture provides that no action may be taken by the debenture holders and/or the Co-Trustees with respect to an Event of Default under the debentures unless we have not remedied such Event of Default within 39 days after the later of (i) the date of our receipt of a demand to cure such default, and (ii) the date of the receipt by our banks of the copy of a demand to cure such default, which must be sent to our banks that are or become a party to the facility agreement on the same day as we receive service.</w:t>
      </w:r>
    </w:p>
    <w:p>
      <w:pPr>
        <w:spacing w:after="0" w:line="167"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“Business Day” is a day on which the banks that are or become a party to the facility agreement are open for trading in Israel in US dollars and banks generally are open for trading in US dollars in London and New York.</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Holders of the debentures and the Co-Trustees on their behalf may not enforce the indenture or the debentures except as provided in the indenture. Subject to certain limitations, the holders of a majority of the aggregate principal amount of the debentures may direct the Co-Trustees in their exercise of any trust or power under the indenture. In addition to other documents that we are required to deliver to the Co-trustees under the Securities Law, we undertook in the indenture to provide the Co-Trustees (i) annually a statement regarding compliance with the indenture, and (ii) upon becoming aware of any default or Event of Default under the indenture, with a statement specifying such default and further stating what action we have taken, are taking or propose to take with respect to such default.</w:t>
      </w:r>
    </w:p>
    <w:p>
      <w:pPr>
        <w:sectPr>
          <w:pgSz w:w="11900" w:h="16838" w:orient="portrait"/>
          <w:cols w:equalWidth="0" w:num="1">
            <w:col w:w="11400"/>
          </w:cols>
          <w:pgMar w:left="240" w:top="131" w:right="25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Amendments to Indenture; Supplemental Indentures; Waiver of Defaults</w:t>
      </w:r>
    </w:p>
    <w:p>
      <w:pPr>
        <w:spacing w:after="0" w:line="29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certain exceptions, the indenture or the debentures may be amended or supplemented at a duly convened meeting of the debenture holders with the approval of (a) the holders of a majority of the aggregate principal amount of the debentures and (b) at least 75% of the debenture holders participating in such meeting. Subject to certain exceptions, an Event of Default under the indenture may be waived, by a duly convened meeting of the debenture holders, if (a) the holders of a majority of the aggregate principal amount of the debentures, and (b) at least 75% of the debenture holders participating in such meeting vote in favor of such waiver. We may not amend or modify any term, covenant or provisions of the Indenture which under the provisions of the Trust Indenture Act cannot be modified or amended without the consent of the holders of each or all debentures then outstanding or affected thereby, without the consent of the holder of each debenture so affected. We may not amend the conversion price, the manner in which the conversion rate may be adjusted, the number of shares issuable upon conversion of the debentures or the maturity date of the debentures, except as disclosed in this prospectus or by way of an arrangement pursuant to Section 350 and following of the Israeli Companies Law – 1999 or in the context of a statutory merger under the Companies Law.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9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 prior to January 1, 2008, and before any such distribution, we must have placed on deposit with our banks in an amount equal to the debt service for the quarter in which the distribution is to be made and charged such deposit in favor of our banks, and we must have complied with financial ratios and covenants. In addition, we may only declare and pay a dividend provided that:</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credit facility agreement;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sz w:val="20"/>
          <w:szCs w:val="20"/>
          <w:color w:val="auto"/>
        </w:rPr>
      </w:pPr>
    </w:p>
    <w:p>
      <w:pPr>
        <w:spacing w:after="0" w:line="26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99"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following is a summary of the certain tax consequences in Israel and the United States to individual and corporate residents of Israel and the United States resulting from the sale of debentures that are convertible into our ordinary shares or of ordinary shares issued by us. Since our bank credit facility prohibits the payment of dividends on our ordinary shares, this summary does not discuss the tax consequences in Israel or the United States that would result from the payment of dividends. To the extent that the discussion is based on tax legislation that has not been subject to judicial or administrative interpretation, we cannot assure you that the tax authorities will accept the views expressed in this summary. This summary is not intended, and should not be construed, as legal or professional tax advice and is not exhaustive of all possible tax consequences that may be relevant to each person’s decision to exercise or sell the rights we are distributing, the convertible debentures to be issued once the rights are exercised, or the sale of our ordinary shares issued upon the conversion of the convertible debentures.</w:t>
      </w:r>
    </w:p>
    <w:p>
      <w:pPr>
        <w:spacing w:after="0" w:line="172" w:lineRule="exact"/>
        <w:rPr>
          <w:sz w:val="20"/>
          <w:szCs w:val="20"/>
          <w:color w:val="auto"/>
        </w:rPr>
      </w:pPr>
    </w:p>
    <w:p>
      <w:pPr>
        <w:ind w:right="840" w:firstLine="351"/>
        <w:spacing w:after="0" w:line="332" w:lineRule="auto"/>
        <w:rPr>
          <w:sz w:val="20"/>
          <w:szCs w:val="20"/>
          <w:color w:val="auto"/>
        </w:rPr>
      </w:pPr>
      <w:r>
        <w:rPr>
          <w:rFonts w:ascii="Arial" w:cs="Arial" w:eastAsia="Arial" w:hAnsi="Arial"/>
          <w:sz w:val="16"/>
          <w:szCs w:val="16"/>
          <w:color w:val="auto"/>
        </w:rPr>
        <w:t>Prospective purchasers of our ordinary shares and other securities should consult their own tax advisors as to the United States, Israel or other tax consequences of the purchase, ownership and disposition of our securities, including, in particular, the effect of any foreign, state or local taxes.</w:t>
      </w:r>
    </w:p>
    <w:p>
      <w:pPr>
        <w:spacing w:after="0" w:line="139"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In August 2005, the Israeli parliament approved an amendment to the Israeli tax regime, which became effective on January 1, 2006 (“the 2006 Tax Reform”). The 2006 Tax Reform significantly changed the tax rates applicable to income derived from our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29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Israeli law imposes a capital gains tax on the sale of capital assets, including securities and debentures. In general, the conversion of the debentures into ordinary shares will not be subject to Israeli tax.</w:t>
      </w:r>
    </w:p>
    <w:p>
      <w:pPr>
        <w:spacing w:after="0" w:line="186" w:lineRule="exact"/>
        <w:rPr>
          <w:sz w:val="20"/>
          <w:szCs w:val="20"/>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Israeli Capital Gains Tax</w:t>
      </w:r>
    </w:p>
    <w:p>
      <w:pPr>
        <w:spacing w:after="0" w:line="200" w:lineRule="exact"/>
        <w:rPr>
          <w:sz w:val="20"/>
          <w:szCs w:val="20"/>
          <w:color w:val="auto"/>
        </w:rPr>
      </w:pPr>
    </w:p>
    <w:p>
      <w:pPr>
        <w:spacing w:after="0" w:line="268"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According to the 2006 Tax Reform, an individual will be subject to a 20% tax on real capital gains on the sale of securities, including debentures, warrants and shares, so long the individual is not a controlling shareholder (generally a shareholder with 10% or more in the right to profits, right to nominate a director and voting rights) in the company issuing the securities. This implies an increase in the tax rate on the gains from publicly traded securities from 15%, which was applicable to sales before January 1, 2006, to 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240" w:firstLine="341"/>
        <w:spacing w:after="0" w:line="306" w:lineRule="auto"/>
        <w:rPr>
          <w:sz w:val="20"/>
          <w:szCs w:val="20"/>
          <w:color w:val="auto"/>
        </w:rPr>
      </w:pPr>
      <w:r>
        <w:rPr>
          <w:rFonts w:ascii="Arial" w:cs="Arial" w:eastAsia="Arial" w:hAnsi="Arial"/>
          <w:sz w:val="16"/>
          <w:szCs w:val="16"/>
          <w:color w:val="auto"/>
        </w:rPr>
        <w:t>A controlling shareholder will be subject to tax at a rate of 25% in respect of real capital gains derived from the sale of securities issued by the controlled company. The determination of whether the individual is a controlling shareholder will be made on the date the securities are sold. Nevertheless, the individual will be viewed as a controlling shareholder even if at any time during the 12 months preceding this date he had been a controlling shareholder.</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Corporations will be subject to corporate tax rates in respect of total income, including capital gains, with the corporate tax rate reduced gradually from 31% in 2006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w:t>
      </w:r>
    </w:p>
    <w:p>
      <w:pPr>
        <w:sectPr>
          <w:pgSz w:w="11900" w:h="16838" w:orient="portrait"/>
          <w:cols w:equalWidth="0" w:num="1">
            <w:col w:w="11420"/>
          </w:cols>
          <w:pgMar w:left="240" w:top="125" w:right="239" w:bottom="0" w:gutter="0" w:footer="0" w:header="0"/>
        </w:sectPr>
      </w:pPr>
    </w:p>
    <w:bookmarkStart w:id="23" w:name="page24"/>
    <w:bookmarkEnd w:id="23"/>
    <w:p>
      <w:pPr>
        <w:spacing w:after="0" w:line="268" w:lineRule="auto"/>
        <w:rPr>
          <w:sz w:val="20"/>
          <w:szCs w:val="20"/>
          <w:color w:val="auto"/>
        </w:rPr>
      </w:pPr>
      <w:r>
        <w:rPr>
          <w:rFonts w:ascii="Arial" w:cs="Arial" w:eastAsia="Arial" w:hAnsi="Arial"/>
          <w:sz w:val="18"/>
          <w:szCs w:val="18"/>
          <w:color w:val="auto"/>
        </w:rPr>
        <w:t>Bookkeeping by Foreign Invested Companies and Certain Partnership and Determination of their Chargeable Income), 1984 (“Dollar Regulations”) will generally be taxed at a rate of 25% on their capital gains from the sale of their securities.</w:t>
      </w:r>
    </w:p>
    <w:p>
      <w:pPr>
        <w:spacing w:after="0" w:line="186"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Non-residents of Israel will be exempt from any capital gains tax from the sale of our securities, so long as the gains are not derived through a permanent establishment that the non-resident maintains in Israel. A non-resident corporation will generally not enjoy this exemption if Israeli residents are: (1) its controlling shareholders, as defined for the purpose of section 68 of the Israeli Income Tax Ordinance, or (2) directly or indirectly eligible to receive or are beneficial owners of 25% or more of the income or the profits of the non-resident corporation.</w:t>
      </w:r>
    </w:p>
    <w:p>
      <w:pPr>
        <w:spacing w:after="0" w:line="16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any event, under the US-Israel Tax Treaty, a person who qualifies as a resident of the United States within the meaning of the Tax Treaty and who is entitled to claim benefits under the Treaty, will in general not be taxable in Israel on capital gains from the sale of securities, unless that US treaty resident is both selling shares and holds 10% or more of the voting power in our company (subject to the provisions of Israeli domestic law as described above).</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computing a capital gain derived from the sale of our shares originating from a converted debenture, the “purchase date” and “balance of its original cost” will be deemed as the convertible debenture purchase date and cost (plus any additional related costs), respectively.</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These provisions dealing with capital gains are not applicable to an Israeli resident whose gains from selling or otherwise disposing of our securities are deemed to be business income.</w:t>
      </w:r>
    </w:p>
    <w:p>
      <w:pPr>
        <w:spacing w:after="0" w:line="186" w:lineRule="exact"/>
        <w:rPr>
          <w:sz w:val="20"/>
          <w:szCs w:val="20"/>
          <w:color w:val="auto"/>
        </w:rPr>
      </w:pPr>
    </w:p>
    <w:p>
      <w:pPr>
        <w:ind w:left="1160" w:hanging="57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on Income Paid on our Debentures</w:t>
      </w:r>
    </w:p>
    <w:p>
      <w:pPr>
        <w:spacing w:after="0" w:line="200" w:lineRule="exact"/>
        <w:rPr>
          <w:sz w:val="20"/>
          <w:szCs w:val="20"/>
          <w:color w:val="auto"/>
        </w:rPr>
      </w:pPr>
    </w:p>
    <w:p>
      <w:pPr>
        <w:spacing w:after="0" w:line="26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Interest and Original Issuance Discount (OID) on our convertible debentures purchased after January 1, 2006, will, in general, be subject to Israeli tax of up to 20% if received by an individual who is not a “controlling shareholder” in the company from which the income is derived. Interest received by an individual from a company of which he is a controlling shareholder will be taxed based on the recipient’s marginal tax rates which will be reduced gradually from the current 49% rate to 44% in 2010. The 2006 Tax Reform does not specify the date in which a controlling shareholder should be determined as such if that controlling shareholder receives interest.</w:t>
      </w:r>
    </w:p>
    <w:p>
      <w:pPr>
        <w:spacing w:after="0" w:line="197"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Despite the above, interest income in the hands of an individual will be taxed based on his marginal tax rate in the following instances: (i) the individual claimed interest expenses against this income; (ii) the interest income is business income in his hands or it is such that requires inclusion in the books; and (iii) special relations exist between the payer of the interest and its recipient (for example: that of supplier/customer/employee).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Corporations will be subject to corporate tax rates in respect of total income, including interest income.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Withholding tax at source from debenture interest and OID paid to resident individuals will, in general, be at a rate of 20%, however the payment of interest to an individual who is a controlling shareholder, an employee, contractor or supplier of the company will be subject to withholding tax at the individual’s maximum marginal tax rate according to section 121 of the Israeli Income Tax Ordinance (which will decline from 49% in 2006 to 44% in 2010). Interest paid to holders of convertible debentures which are corporations will be subject to withholding tax at the current corporate tax rate (which will decline from 31% in 2006 to 25% in 2010). Withholding tax at source from debenture interest and OID paid to non-resident individuals or corporations will be at a rate of 25% or less, subject to any relevant tax treaty relating to their domicile country.</w:t>
      </w:r>
    </w:p>
    <w:p>
      <w:pPr>
        <w:spacing w:after="0" w:line="174"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In any event, under the US-Israel Tax Treaty, the maximum Israeli tax withheld on interest and OID paid on our convertible debentures to a US treaty resident (other than a US bank, savings institution or company) is 17.5%.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Interest accrued upon redemption of the debentures will be deemed as part of the proceeds from the redemption and not as interest income, if the redemption resulted in a capital loss and it is not in the hands of a controlling shareholder or a holder of the debentures from allotment date and on – up to the ceiling of the capital loss.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United States Tax Considerations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Subject to the limitations described in the next paragraph, the following describes the United States federal income tax consequences resulting from the purchase, ownership, conversion or disposition of debentures and the ownership or disposition of ordinary shares by a “U.S. Holder.” For purposes of this discussion, a U.S. Holder means any U.S. person who acquires debentures or ordinary shares issued upon the conversion of such debentures from a prior holder. For purposes of our discussion, a U.S. person is: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citizen or resident of the United States;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corporation created or organized in the United States or under the laws of the United States or any State;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estate, the income of which is includable in gross income for U.S. federal income tax purposes regardless of its source; or</w:t>
      </w:r>
    </w:p>
    <w:p>
      <w:pPr>
        <w:spacing w:after="0" w:line="9" w:lineRule="exact"/>
        <w:rPr>
          <w:sz w:val="20"/>
          <w:szCs w:val="20"/>
          <w:color w:val="auto"/>
        </w:rPr>
      </w:pPr>
    </w:p>
    <w:p>
      <w:pPr>
        <w:ind w:left="1160" w:hanging="567"/>
        <w:spacing w:after="0" w:line="255" w:lineRule="auto"/>
        <w:rPr>
          <w:sz w:val="20"/>
          <w:szCs w:val="20"/>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the authority to control all substantial decisions of the trust or if the trust has validly elected to be treated as a U.S. person under applicable Treasury regulations.</w:t>
      </w:r>
    </w:p>
    <w:p>
      <w:pPr>
        <w:spacing w:after="0" w:line="200" w:lineRule="exact"/>
        <w:rPr>
          <w:sz w:val="20"/>
          <w:szCs w:val="20"/>
          <w:color w:val="auto"/>
        </w:rPr>
      </w:pPr>
    </w:p>
    <w:p>
      <w:pPr>
        <w:spacing w:after="0" w:line="24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discussion is based on current provisions of the Internal Revenue Code of 1986, or the Code, as amended, current and proposed Treasury regulations promulgated thereunder, and administrative and judicial decisions as of the date hereof, all of which are subject to change, possibly on a retroactive basis. This discussion is not a representation of, nor does it address, all aspects of United States federal income taxation that may be relevant to any particular U.S. Holder based on such U.S. Holder’s individual circumstances. In particular, this discussion considers only U.S. Holders that will own the debentures, or ordinary shares as capital assets at all relevant times and does not address the potential application of the alternative minimum tax or U.S. federal income tax consequences to U.S. Holders that are subject to special treatment, including U.S. Holders that:</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are broker-dealers or insurance companies;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elected mark-to-market accounting;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are financial institutions or financial services entities;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hold rights, debentures, or ordinary shares as part of a straddle, hedge or conversion transaction with other investments;</w:t>
      </w:r>
    </w:p>
    <w:p>
      <w:pPr>
        <w:sectPr>
          <w:pgSz w:w="11900" w:h="16838" w:orient="portrait"/>
          <w:cols w:equalWidth="0" w:num="1">
            <w:col w:w="11400"/>
          </w:cols>
          <w:pgMar w:left="240" w:top="131" w:right="259" w:bottom="0" w:gutter="0" w:footer="0" w:header="0"/>
        </w:sectPr>
      </w:pPr>
    </w:p>
    <w:bookmarkStart w:id="24" w:name="page25"/>
    <w:bookmarkEnd w:id="24"/>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own directly, indirectly or by attribution at least 10% of our voting power; 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a functional currency that is not the U.S. dollar.</w:t>
      </w:r>
    </w:p>
    <w:p>
      <w:pPr>
        <w:spacing w:after="0" w:line="200" w:lineRule="exact"/>
        <w:rPr>
          <w:sz w:val="20"/>
          <w:szCs w:val="20"/>
          <w:color w:val="auto"/>
        </w:rPr>
      </w:pPr>
    </w:p>
    <w:p>
      <w:pPr>
        <w:spacing w:after="0" w:line="262"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Additionally, the discussion does not consider the tax treatment of persons who hold debentures or ordinary shares through a partnership or other pass-through entity or the possible application of U.S. federal gift or estate tax.</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this discussion does not address any aspect of state, local or non-U.S. tax laws.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Debt Characterization of the Debentures</w:t>
      </w:r>
    </w:p>
    <w:p>
      <w:pPr>
        <w:spacing w:after="0" w:line="231"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Certain characteristics of the debentures raise an issue of whether such debentures should be treated as debt or equity for U.S. income tax purposes. Such characteristics include subordination, the absence of interest payments prior to maturity, provisions for optional conversion into our ordinary shares, and the absence, in certain circumstances, of a fixed maturity date. Tower intend to take the position that the debentures are characterized as debt for U.S. income tax purposes, but this conclusion is not free of doubt. Due to the fact-intensive nature of the issue, and in particular to the characteristics described in the second preceding sentence, it is unclear whether the debentures should be characterized as debt for U.S. income tax purposes.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40" w:firstLine="351"/>
        <w:spacing w:after="0" w:line="306" w:lineRule="auto"/>
        <w:rPr>
          <w:sz w:val="20"/>
          <w:szCs w:val="20"/>
          <w:color w:val="auto"/>
        </w:rPr>
      </w:pPr>
      <w:r>
        <w:rPr>
          <w:rFonts w:ascii="Arial" w:cs="Arial" w:eastAsia="Arial" w:hAnsi="Arial"/>
          <w:sz w:val="16"/>
          <w:szCs w:val="16"/>
          <w:color w:val="auto"/>
        </w:rPr>
        <w:t>In any case, if the debentures were determined to be characterized as equity for U.S. tax purposes, the U.S. income tax consequences to U.S. Holders generally should not be materially less favorable than those described herein. The consequences of the debentures being characterized as equity for U.S. tax purposes are addressed in greater detail below under the subheading “Tax Consequences if the Debentures Are Characterized as Equity.”</w:t>
      </w:r>
    </w:p>
    <w:p>
      <w:pPr>
        <w:spacing w:after="0" w:line="16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discussion below, other than under the subheading “Tax Consequences if the Debentures Are Characterized as Equity” assumes that the debentures are characterized as debt for U.S. income tax purposes.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Conversion of Debentures</w:t>
      </w:r>
    </w:p>
    <w:p>
      <w:pPr>
        <w:spacing w:after="0" w:line="231"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 U.S. Holder will not recognize gain or loss upon the conversion of the debentures (except with respect to any cash received in lieu of a fractional share). A U.S. Holder’s basis in the ordinary shares received upon conversion will equal the U.S. Holder’s basis in such debentures. A U.S. Holder’s holding period for the ordinary shares received upon exercise of a debenture should include the U.S. Holder’s holding period for the debenture.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Disposition of Debentures, or Ordinary Shares Issued Upon the Conversion of Debentures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discussion is qualified by the discussions below under the subheading “Tax Consequences if We Are a Passive Foreign Investment Company.”</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Upon the sale, exchange or other disposition of debentures or ordinary shares issued upon the conversion of debentures, a U.S. Holder generally will recognize capital gain or loss in an amount equal to the difference between the amount realized and such U.S. Holder’s basis in the debentures or ordinary shares. In the case of a U.S. Holder who purchases a debenture at a market discount, however, any gain attributable to accrued market discount will be treated as ordinary income. See the discussion below under the subheading “Original Issue Discount, Acquisition Premium and Market Discount.”</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Capital gain from the sale, exchange or other disposition of debentures or ordinary shares for which the U.S. Holder has a holding period of more than one year will be long-term capital gain. In the case of a U.S. Holder that is an individual, estate or trust, long-term capital gains generally are eligible for taxation at reduced rates. For taxable years beginning before 2009, the maximum federal income tax rate for long-term capital gains earned by a noncorporate U.S. Holder is 15%. The deductibility of capital losses is subject to limitations.</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Gains and losses recognized by a U.S. Holder on a sale, exchange or other disposition debentures, or ordinary shares generally will have a U.S. source for foreign tax credit purposes.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Original Issue Discount, Acquisition Premium and Market Discount</w:t>
      </w:r>
    </w:p>
    <w:p>
      <w:pPr>
        <w:spacing w:after="0" w:line="231"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U.S. Holder of debentures will accrue original issue discount (“OID”), and include such OID in income on a current basis, regardless of the U.S. Holder’s regular method of accounting. The amount of OID accrued for each accrual period generally is determined by multiplying the debenture’s yield-to-maturity (adjusted for the length of the accrual period) by its adjusted issue price at the beginning of the accrual period. The amount of OID so determined will then be allocated on a ratable basis to each day in the accrual period on which the U.S. Holder holds the debenture. A U.S. Holder’s adjusted tax basis in the debenture will be increased by the amount of any OID included in income with respect thereto and decreased by any payments received thereon. The adjusted issue price of a debenture at the beginning of any accrual period is equal to the issue price of the debenture increased by the amount of OID accrued, and reduced by any interest paid, during all prior accrual periods.</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Special rules will apply to a U.S. Holder who purchases a debenture for an amount other than its adjusted issue price. If the purchase price paid by the U.S. Holder exceeds the adjusted issue price of the debenture, the debenture is considered to have “acquisition premium,” and the amount of OID otherwise allocable to an accrual period is reduced by a portion of such acquisition premium. If the purchase price paid by the U.S. Holder is less than the adjusted issue price of the debenture, the debenture is considered to have “market discount.” Any gain recognized by a U.S. Holder upon the disposition of a debenture purchased at a market discount will be treated as ordinary income to the extent of the market discount accrued through the date of the disposition. Market discount generally accrues ratably, </w:t>
      </w:r>
      <w:r>
        <w:rPr>
          <w:rFonts w:ascii="Arial" w:cs="Arial" w:eastAsia="Arial" w:hAnsi="Arial"/>
          <w:sz w:val="16"/>
          <w:szCs w:val="16"/>
          <w:i w:val="1"/>
          <w:iCs w:val="1"/>
          <w:color w:val="auto"/>
        </w:rPr>
        <w:t>i.e.</w:t>
      </w:r>
      <w:r>
        <w:rPr>
          <w:rFonts w:ascii="Arial" w:cs="Arial" w:eastAsia="Arial" w:hAnsi="Arial"/>
          <w:sz w:val="16"/>
          <w:szCs w:val="16"/>
          <w:color w:val="auto"/>
        </w:rPr>
        <w:t>, with the same amount of discount allocable to each day during the holding period of the U.S. Holder. Alternatively, a U.S. Holder may elect to accrue market discount on the basis of a constant interest rate. Under this alternative method, market discount accrues under rules similar to the rules described above governing the accrual of OID. This election is irrevocable once made with respect to a debenture.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Constructive Dividends</w:t>
      </w:r>
    </w:p>
    <w:p>
      <w:pPr>
        <w:spacing w:after="0" w:line="231" w:lineRule="exact"/>
        <w:rPr>
          <w:sz w:val="20"/>
          <w:szCs w:val="20"/>
          <w:color w:val="auto"/>
        </w:rPr>
      </w:pPr>
    </w:p>
    <w:p>
      <w:pPr>
        <w:ind w:right="160" w:firstLine="341"/>
        <w:spacing w:after="0" w:line="370" w:lineRule="auto"/>
        <w:rPr>
          <w:sz w:val="20"/>
          <w:szCs w:val="20"/>
          <w:color w:val="auto"/>
        </w:rPr>
      </w:pPr>
      <w:r>
        <w:rPr>
          <w:rFonts w:ascii="Arial" w:cs="Arial" w:eastAsia="Arial" w:hAnsi="Arial"/>
          <w:sz w:val="15"/>
          <w:szCs w:val="15"/>
          <w:color w:val="auto"/>
        </w:rPr>
        <w:t>As noted above, the conversion price of the debentures is subject to adjustment under certain circumstances. Under Section 305 of the Code and applicable Treasury regulations, an adjustment to the conversion price, or a failure to adjust the conversion price, may in certain circumstances result in a constructive</w:t>
      </w:r>
    </w:p>
    <w:p>
      <w:pPr>
        <w:sectPr>
          <w:pgSz w:w="11900" w:h="16908" w:orient="portrait"/>
          <w:cols w:equalWidth="0" w:num="1">
            <w:col w:w="11400"/>
          </w:cols>
          <w:pgMar w:left="240" w:top="131" w:right="259" w:bottom="0" w:gutter="0" w:footer="0" w:header="0"/>
        </w:sectPr>
      </w:pPr>
    </w:p>
    <w:bookmarkStart w:id="25" w:name="page26"/>
    <w:bookmarkEnd w:id="25"/>
    <w:p>
      <w:pPr>
        <w:spacing w:after="0" w:line="255" w:lineRule="auto"/>
        <w:rPr>
          <w:sz w:val="20"/>
          <w:szCs w:val="20"/>
          <w:color w:val="auto"/>
        </w:rPr>
      </w:pPr>
      <w:r>
        <w:rPr>
          <w:rFonts w:ascii="Arial" w:cs="Arial" w:eastAsia="Arial" w:hAnsi="Arial"/>
          <w:sz w:val="18"/>
          <w:szCs w:val="18"/>
          <w:color w:val="auto"/>
        </w:rPr>
        <w:t>distribution to a U.S. Holder if, and to the extent that, such adjustment to the conversion price, or failure to adjust the conversion price, increases the proportionate interest of a U.S. Holder in our earnings and profits or assets, whether or not such U.S. Holder ever converts his, her or its debentures into ordinary shares. Any such constructive distribution would be taxable to the U.S. Holder as a dividend to the extent of our current or accumulated earnings and profits, as determined under U.S. federal income tax principles, with any excess treated as a tax-free return of capital up to such U.S. Holder’s tax basis in his, her or its debentures, and then as capital gain.</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Dividends generally are taxed as ordinary income. In the case of a noncorporate U.S. Holder, certain “qualified dividends” are taxable at the same reduced rates as are applicable to long-term capital gains for taxable years beginning before 2009. It is not clear whether a constructive dividend with respect to our ordinary shares would be treated as a qualified dividend eligible for such reduced rate. In addition, the reduced rate will not apply if we are treated as a passive foreign investment company in the year that a dividend (or constructive dividend) is paid or in the prior year. See the discussion below under the heading “Tax Consequences if We Are a Passive Foreign Investment Company.”</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Tax Consequences if We Are a Passive Foreign Investment Company</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quarterly over the year and ordinarily determined based on fair market value and including the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offerings. If we are a PFIC, and a U.S. Holder does not make an election to treat us as a qualified electing fund (as described below) or a mark to market election (as described below):</w:t>
      </w:r>
    </w:p>
    <w:p>
      <w:pPr>
        <w:spacing w:after="0" w:line="172" w:lineRule="exact"/>
        <w:rPr>
          <w:sz w:val="20"/>
          <w:szCs w:val="20"/>
          <w:color w:val="auto"/>
        </w:rPr>
      </w:pPr>
    </w:p>
    <w:p>
      <w:pPr>
        <w:ind w:left="1160" w:right="100" w:hanging="5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Excess distributions by us to a U.S. Holder will be taxed in a special way. Excess distributions are amounts received by a U.S. Holder with respect to our stock in any taxable year that exceed 125% of the average distributions received by such U.S. Holder from us in the shorter of either the three previous years or such U.S. Holder’s holding period for ordinary shares before the present taxable year. This amount may exceed our current or accumulated earnings and profits. Excess distributions must be allocated ratably to each day that a U.S. Holder has held our stock. A U.S. Holder must include amounts allocated to the current taxable year (or to any year prior to the first year in which we were a PFIC) in its gross 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underpayments of income tax.</w:t>
      </w:r>
    </w:p>
    <w:p>
      <w:pPr>
        <w:spacing w:after="0" w:line="5" w:lineRule="exact"/>
        <w:rPr>
          <w:sz w:val="20"/>
          <w:szCs w:val="20"/>
          <w:color w:val="auto"/>
        </w:rPr>
      </w:pPr>
    </w:p>
    <w:p>
      <w:pPr>
        <w:ind w:left="1160" w:right="640" w:hanging="567"/>
        <w:spacing w:after="0" w:line="250" w:lineRule="auto"/>
        <w:rPr>
          <w:sz w:val="20"/>
          <w:szCs w:val="20"/>
          <w:color w:val="auto"/>
        </w:rPr>
      </w:pPr>
      <w:r>
        <w:rPr>
          <w:rFonts w:ascii="Arial" w:cs="Arial" w:eastAsia="Arial" w:hAnsi="Arial"/>
          <w:sz w:val="18"/>
          <w:szCs w:val="18"/>
          <w:color w:val="auto"/>
        </w:rPr>
        <w:t>—The entire amount of gain realized by a U.S. Holder upon the sale or other disposition of ordinary shares will also be treated as an excess distribution and will be subject to tax as described above.</w:t>
      </w:r>
    </w:p>
    <w:p>
      <w:pPr>
        <w:ind w:left="1160" w:right="240" w:hanging="567"/>
        <w:spacing w:after="0" w:line="250" w:lineRule="auto"/>
        <w:rPr>
          <w:sz w:val="20"/>
          <w:szCs w:val="20"/>
          <w:color w:val="auto"/>
        </w:rPr>
      </w:pPr>
      <w:r>
        <w:rPr>
          <w:rFonts w:ascii="Arial" w:cs="Arial" w:eastAsia="Arial" w:hAnsi="Arial"/>
          <w:sz w:val="18"/>
          <w:szCs w:val="18"/>
          <w:color w:val="auto"/>
        </w:rPr>
        <w:t>—A subsequent holder’s tax basis in shares of our stock that are acquired from a decedent will not receive a step-up to fair market value as of the date of the decedent’s death but would instead be equal to the decedent’s basis, if lower.</w:t>
      </w:r>
    </w:p>
    <w:p>
      <w:pPr>
        <w:ind w:left="1160" w:right="200" w:hanging="567"/>
        <w:spacing w:after="0" w:line="254" w:lineRule="auto"/>
        <w:rPr>
          <w:sz w:val="20"/>
          <w:szCs w:val="20"/>
          <w:color w:val="auto"/>
        </w:rPr>
      </w:pPr>
      <w:r>
        <w:rPr>
          <w:rFonts w:ascii="Arial" w:cs="Arial" w:eastAsia="Arial" w:hAnsi="Arial"/>
          <w:sz w:val="18"/>
          <w:szCs w:val="18"/>
          <w:color w:val="auto"/>
        </w:rPr>
        <w:t>—If we are a PFIC, and any foreign subsidiary or other foreign company in which we own shares is also a PFIC, then a U.S. Holder of our shares will also be treated as owning shares of that lower-tier PFIC. For purposes of the above-described rules relating to dispositions of PFIC shares, certain proposed Treasury regulations generally would treat any transaction that reduces a U.S. Holder’s proportionate interest in a lower-tier PFIC as a disposition of shares of such lower-tier PFIC.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60" w:hanging="567"/>
        <w:spacing w:after="0" w:line="268" w:lineRule="auto"/>
        <w:rPr>
          <w:sz w:val="20"/>
          <w:szCs w:val="20"/>
          <w:color w:val="auto"/>
        </w:rPr>
      </w:pPr>
      <w:r>
        <w:rPr>
          <w:rFonts w:ascii="Arial" w:cs="Arial" w:eastAsia="Arial" w:hAnsi="Arial"/>
          <w:sz w:val="18"/>
          <w:szCs w:val="18"/>
          <w:color w:val="auto"/>
        </w:rPr>
        <w:t>—Under proposed Treasury regulations, a U.S. Holder of a convertible debenture would be treated as owning ordinary shares for purposes of the PFIC rules above.</w:t>
      </w:r>
    </w:p>
    <w:p>
      <w:pPr>
        <w:spacing w:after="0" w:line="200" w:lineRule="exact"/>
        <w:rPr>
          <w:sz w:val="20"/>
          <w:szCs w:val="20"/>
          <w:color w:val="auto"/>
        </w:rPr>
      </w:pPr>
    </w:p>
    <w:p>
      <w:pPr>
        <w:spacing w:after="0" w:line="229"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provide the Internal Revenue Service, or IRS, with information regarding our earnings; a late (retroactive) election may be made 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IRS. A shareholder makes a QEF election by attaching a completed IRS Form 8621, including the PFIC annual information statement, to a timely filed U.S. federal income tax return or, if no federal income tax return is required to be filed, by filing such form with the IRS Service Center in Philadelphia, Pennsylvania. Even if a QEF election is not made, a shareholder in a PFIC who is a U.S. person must file a completed IRS Form 8621 every year.</w:t>
      </w:r>
    </w:p>
    <w:p>
      <w:pPr>
        <w:spacing w:after="0" w:line="177"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 the lower-tier PFIC provides the IRS with information regarding its earnings. A QEF election with respect to our shares does not constitute an election with respect to any lower-tier PFIC.</w:t>
      </w:r>
    </w:p>
    <w:p>
      <w:pPr>
        <w:spacing w:after="0" w:line="197"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noted above, the proposed regulations would treat a U.S. Holder of a convertible debenture as if the holder held ordinary shares for purposes of the PFIC rules. A convertible debenture holder, however, may not make a QEF election. If we are considered a PFIC (presently or in the future), a U.S. Holder of a convertible debenture might be unable to make a timely QEF election for our shares or for shares of any lower-tier PFIC.</w:t>
      </w:r>
    </w:p>
    <w:p>
      <w:pPr>
        <w:spacing w:after="0" w:line="16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 U.S. Holder of PFIC stock which is publicly traded could elect to mark the stock to market annually, recognizing as ordinary income or loss each year an amount equal to the difference as of the close of the taxable year between the fair market value of the PFIC stock and the holder’s adjusted basis in the PFIC 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167"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do not believe that we currently are a PFIC.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there can be no assurance that we will not become a PFIC. If we determine that we have become a PFIC, we will</w:t>
      </w:r>
    </w:p>
    <w:p>
      <w:pPr>
        <w:sectPr>
          <w:pgSz w:w="11900" w:h="16838" w:orient="portrait"/>
          <w:cols w:equalWidth="0" w:num="1">
            <w:col w:w="11420"/>
          </w:cols>
          <w:pgMar w:left="240" w:top="131" w:right="239" w:bottom="0" w:gutter="0" w:footer="0" w:header="0"/>
        </w:sectPr>
      </w:pPr>
    </w:p>
    <w:bookmarkStart w:id="26" w:name="page27"/>
    <w:bookmarkEnd w:id="26"/>
    <w:p>
      <w:pPr>
        <w:spacing w:after="0" w:line="298" w:lineRule="auto"/>
        <w:rPr>
          <w:sz w:val="20"/>
          <w:szCs w:val="20"/>
          <w:color w:val="auto"/>
        </w:rPr>
      </w:pPr>
      <w:r>
        <w:rPr>
          <w:rFonts w:ascii="Arial" w:cs="Arial" w:eastAsia="Arial" w:hAnsi="Arial"/>
          <w:sz w:val="16"/>
          <w:szCs w:val="16"/>
          <w:color w:val="auto"/>
        </w:rPr>
        <w:t>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 or mark-to-market election. U.S. Holders are urged to consult their tax advisors about the PFIC rules, including the consequences to them of making a mark-to-market or QEF election with respect to our ordinary shares in the event that we qualify as a PFIC.</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Tax Consequences if the Debentures Are Characterized as Equity</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the U.S. income tax consequences to U.S. Holders generally would not be materially less favorable than those described herein. The principal consequences would be as follows: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Conversion of Debentures</w:t>
      </w:r>
    </w:p>
    <w:p>
      <w:pPr>
        <w:spacing w:after="0" w:line="225"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to a U.S. Holder upon a conversion of debentures into our ordinary shares.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Disposition of Debentures or Ordinary Shares Issued Upon the Conversion of Debentures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as described above, to a U.S. Holder who disposes of debentures or ordinary shares issued upon conversion of debentures, except that the special rules described above regarding market discount would not apply.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Original Issue Discount, Acquisition Premium and Market Discount; Constructive Dividends</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If the debentures were characterized as equity for U.S. tax purposes, the rules described above regarding original issue discount, acquisition premium and market discount would not apply. However, the excess of the amount to be paid at maturity to a U.S. Holder of a debenture over the issue price of the debenture (the “redemption premium”) likely would be treated as a constructive distribution to the U.S. Holder under Section 305 of the Code. Such redemption premium would be taken into account under timing rules similar to those discussed above governing the accrual of original issue discount on a debt instrument. It is also possible that, in certain circumstances, the characterization of the debentures as equity for U.S. tax purposes could affect the determination of whether, under Section 305 of the Code and the applicable Treasury regulations, an adjustment to the conversion price, or a failure to adjust the conversion price, results in a constructive distribution to a U.S. Holder.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Consequences if We Are a Passive Foreign Investment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debentures were characterized as equity for U.S. tax purposes, this generally would not affect the application of the PFIC rules, except that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of debentures would be able to make a QEF or mark-to-market election.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authorized share capital consists of 500 million ordinary shares, par value NIS 1.00 per share. Under our articles of association, the ordinary shares do not have preemptive rights, however, we have granted preemptive rights to a number of our Fab 2 investors, regarding which we will seek waivers in connection with this offering. We may from time to time, by approval of a majority of our shareholders, increase our authorized share capital. All ordinary shares are registered shares, rather than bearer shares.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w:t>
      </w:r>
    </w:p>
    <w:p>
      <w:pPr>
        <w:sectPr>
          <w:pgSz w:w="11900" w:h="16838" w:orient="portrait"/>
          <w:cols w:equalWidth="0" w:num="1">
            <w:col w:w="11400"/>
          </w:cols>
          <w:pgMar w:left="240" w:top="131" w:right="259" w:bottom="0" w:gutter="0" w:footer="0" w:header="0"/>
        </w:sectPr>
      </w:pPr>
    </w:p>
    <w:bookmarkStart w:id="27" w:name="page28"/>
    <w:bookmarkEnd w:id="27"/>
    <w:p>
      <w:pPr>
        <w:ind w:right="220"/>
        <w:spacing w:after="0" w:line="259" w:lineRule="auto"/>
        <w:rPr>
          <w:sz w:val="20"/>
          <w:szCs w:val="20"/>
          <w:color w:val="auto"/>
        </w:rPr>
      </w:pPr>
      <w:r>
        <w:rPr>
          <w:rFonts w:ascii="Arial" w:cs="Arial" w:eastAsia="Arial" w:hAnsi="Arial"/>
          <w:sz w:val="18"/>
          <w:szCs w:val="18"/>
          <w:color w:val="auto"/>
        </w:rPr>
        <w:t>class of shares with preferential rights that may be authorized in the future. Dividends may be paid only out of profits, as defined in the Israeli Companies Law. Our Board of Directors is authorized to declare dividends, although our bank covenants currently in effect prohibit the payment of dividends on our ordinary shares, unless such payments are approved by our banks.</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right="800" w:firstLine="341"/>
        <w:spacing w:after="0" w:line="332" w:lineRule="auto"/>
        <w:rPr>
          <w:sz w:val="20"/>
          <w:szCs w:val="20"/>
          <w:color w:val="auto"/>
        </w:rPr>
      </w:pPr>
      <w:r>
        <w:rPr>
          <w:rFonts w:ascii="Arial" w:cs="Arial" w:eastAsia="Arial" w:hAnsi="Arial"/>
          <w:sz w:val="16"/>
          <w:szCs w:val="16"/>
          <w:color w:val="auto"/>
        </w:rPr>
        <w:t>As of December 31, 2004, 65,699,796 of our ordinary shares were outstanding. As of December 31, 2005, 66,932,056 of our ordinary shares were outstanding. The above numbers of outstanding ordinary shares do not include 1.3 million treasury shares held by us through a trustee.</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validity of the securities offered in this prospectus will be passed upon for us by Yigal Arnon &amp; Co., our Israeli counsel, and by Eilenberg &amp; Krause LLP, New York, New York, our United States counsel.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312"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20-F for the year ended December 31, 2004 have been audited by Brightman Almagor &amp; Co., a member firm of Deloitte Touche Tohmatsu, an independent registered public accounting firm, as stated in their report, which is incorporated herein by reference (which report expressed an unqualified opinion and included an explanatory paragraph about the differences between accounting principles generally accepted in Israel and in the United States of America), and have been so incorporated in reliance upon the report of such firm given upon their authority as experts in accounting and auditing.</w:t>
      </w: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300"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300" w:lineRule="exact"/>
        <w:rPr>
          <w:sz w:val="20"/>
          <w:szCs w:val="20"/>
          <w:color w:val="auto"/>
        </w:rPr>
      </w:pPr>
    </w:p>
    <w:p>
      <w:pPr>
        <w:ind w:right="340" w:firstLine="348"/>
        <w:spacing w:after="0" w:line="294" w:lineRule="auto"/>
        <w:rPr>
          <w:sz w:val="20"/>
          <w:szCs w:val="20"/>
          <w:color w:val="auto"/>
        </w:rPr>
      </w:pPr>
      <w:r>
        <w:rPr>
          <w:rFonts w:ascii="Arial" w:cs="Arial" w:eastAsia="Arial" w:hAnsi="Arial"/>
          <w:sz w:val="16"/>
          <w:szCs w:val="16"/>
          <w:color w:val="auto"/>
        </w:rPr>
        <w:t>We have filed a registration statement on Form F-3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Securities and Exchange Commission’s Internet 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We incorporate</w:t>
      </w:r>
    </w:p>
    <w:p>
      <w:pPr>
        <w:sectPr>
          <w:pgSz w:w="11900" w:h="16838" w:orient="portrait"/>
          <w:cols w:equalWidth="0" w:num="1">
            <w:col w:w="11420"/>
          </w:cols>
          <w:pgMar w:left="240" w:top="131" w:right="239" w:bottom="0" w:gutter="0" w:footer="0" w:header="0"/>
        </w:sectPr>
      </w:pPr>
    </w:p>
    <w:bookmarkStart w:id="28" w:name="page29"/>
    <w:bookmarkEnd w:id="28"/>
    <w:p>
      <w:pPr>
        <w:ind w:right="680"/>
        <w:spacing w:after="0" w:line="268" w:lineRule="auto"/>
        <w:rPr>
          <w:sz w:val="20"/>
          <w:szCs w:val="20"/>
          <w:color w:val="auto"/>
        </w:rPr>
      </w:pPr>
      <w:r>
        <w:rPr>
          <w:rFonts w:ascii="Arial" w:cs="Arial" w:eastAsia="Arial" w:hAnsi="Arial"/>
          <w:sz w:val="18"/>
          <w:szCs w:val="18"/>
          <w:color w:val="auto"/>
        </w:rPr>
        <w:t>by reference the documents listed below and amendments to them. These documents and their amendments were previously filed with the Securities and Exchange Commission.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our registration on Form 8-A filed on November 22, 2005, as amended on December 29, 2005;</w:t>
      </w:r>
    </w:p>
    <w:p>
      <w:pPr>
        <w:spacing w:after="0" w:line="252" w:lineRule="exact"/>
        <w:rPr>
          <w:sz w:val="20"/>
          <w:szCs w:val="20"/>
          <w:color w:val="auto"/>
        </w:rPr>
      </w:pPr>
    </w:p>
    <w:p>
      <w:pPr>
        <w:ind w:left="1160" w:right="60" w:hanging="567"/>
        <w:spacing w:after="0" w:line="268" w:lineRule="auto"/>
        <w:rPr>
          <w:sz w:val="20"/>
          <w:szCs w:val="20"/>
          <w:color w:val="auto"/>
        </w:rPr>
      </w:pPr>
      <w:r>
        <w:rPr>
          <w:rFonts w:ascii="Arial" w:cs="Arial" w:eastAsia="Arial" w:hAnsi="Arial"/>
          <w:sz w:val="18"/>
          <w:szCs w:val="18"/>
          <w:color w:val="auto"/>
        </w:rPr>
        <w:t>—our annual report on Form 20-F for the year ended December 31, 2004, filed on June 29, 2005, to the extent the information in that report has not been updated or superseded by this prospectus;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—our report on Form 6-K filed on August 3, 2005, as amended on Form 6-K/A filed on September 22, 2005 and on Form 6-K/A filed on November 7, 2005;</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November 8, 2005, as amended on Form 6-K/A filed on November 22, 2005;</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December 19, 2005;</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January 3, 2006;</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January 4, 2006;</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January 9, 2006;</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January 17, 2006;</w:t>
      </w:r>
    </w:p>
    <w:p>
      <w:pPr>
        <w:spacing w:after="0" w:line="200" w:lineRule="exact"/>
        <w:rPr>
          <w:sz w:val="20"/>
          <w:szCs w:val="20"/>
          <w:color w:val="auto"/>
        </w:rPr>
      </w:pPr>
    </w:p>
    <w:p>
      <w:pPr>
        <w:spacing w:after="0" w:line="268"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This prospectus shall also be deemed to incorporate by reference all subsequent annual reports filed on Form 20-F, Form 40-F or Form 10-K, and all subsequent filings on Forms 10-Q and 8-K filed by the registrant pursuant to the Exchange Act, prior to the termination of the offering made by this prospectus. We may incorporate by reference into this prospectus, any Form 6-K meeting the requirements of Form F-3 which is submitted to the Securities and Exchange Commission after the date of this prospectus meeting the requirements of this Form. Any such Form 6-K which we intend to so incorporate shall state in such form that it is being incorporated by reference into this Form.</w:t>
      </w:r>
    </w:p>
    <w:p>
      <w:pPr>
        <w:spacing w:after="0" w:line="197"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6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copy of this prospectus, our memorandum of association, our articles of association and the documents filed as exhibits, are available for inspection at our offices at Hamada Avenue, Ramat Gavriel Industrial Park, Migdal Haemek, Israel.</w:t>
      </w:r>
    </w:p>
    <w:p>
      <w:pPr>
        <w:spacing w:after="0" w:line="186"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294005</wp:posOffset>
            </wp:positionV>
            <wp:extent cx="1715135" cy="565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$31,191,606 of Convertible Debentures due 2012</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37,517,065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133350</wp:posOffset>
            </wp:positionV>
            <wp:extent cx="11061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211455</wp:posOffset>
            </wp:positionV>
            <wp:extent cx="1106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60" w:right="100"/>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is not permitted. You should not assume that the information in this prospectus is accurate as of any date other than the date that appears below.</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January ___, 2006</w:t>
      </w:r>
    </w:p>
    <w:p>
      <w:pPr>
        <w:sectPr>
          <w:pgSz w:w="11900" w:h="16838" w:orient="portrait"/>
          <w:cols w:equalWidth="0" w:num="1">
            <w:col w:w="11420"/>
          </w:cols>
          <w:pgMar w:left="240" w:top="131" w:right="239" w:bottom="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0" w:lineRule="exact"/>
        <w:rPr>
          <w:sz w:val="20"/>
          <w:szCs w:val="20"/>
          <w:color w:val="auto"/>
        </w:rPr>
      </w:pPr>
    </w:p>
    <w:p>
      <w:pPr>
        <w:spacing w:after="0" w:line="2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Israeli Companies Law-1999, or the Companies Law, which entered into effect on February 1, 2000 and was amended most recently in March 2005, provides that a company may include in its articles of association provisions allowing it to:</w:t>
      </w:r>
    </w:p>
    <w:p>
      <w:pPr>
        <w:spacing w:after="0" w:line="186" w:lineRule="exact"/>
        <w:rPr>
          <w:sz w:val="20"/>
          <w:szCs w:val="20"/>
          <w:color w:val="auto"/>
        </w:rPr>
      </w:pPr>
    </w:p>
    <w:p>
      <w:pPr>
        <w:jc w:val="both"/>
        <w:ind w:left="580" w:right="80" w:hanging="572"/>
        <w:spacing w:after="0" w:line="259"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20" w:hanging="571"/>
        <w:spacing w:after="0" w:line="332"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w:t>
      </w:r>
    </w:p>
    <w:p>
      <w:pPr>
        <w:spacing w:after="0" w:line="166" w:lineRule="exact"/>
        <w:rPr>
          <w:rFonts w:ascii="Arial" w:cs="Arial" w:eastAsia="Arial" w:hAnsi="Arial"/>
          <w:sz w:val="16"/>
          <w:szCs w:val="16"/>
          <w:color w:val="auto"/>
        </w:rPr>
      </w:pPr>
    </w:p>
    <w:p>
      <w:pPr>
        <w:ind w:left="1160" w:hanging="571"/>
        <w:spacing w:after="0" w:line="256" w:lineRule="auto"/>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 and</w:t>
      </w:r>
    </w:p>
    <w:p>
      <w:pPr>
        <w:spacing w:after="0" w:line="224" w:lineRule="exact"/>
        <w:rPr>
          <w:rFonts w:ascii="Arial" w:cs="Arial" w:eastAsia="Arial" w:hAnsi="Arial"/>
          <w:sz w:val="18"/>
          <w:szCs w:val="18"/>
          <w:color w:val="auto"/>
        </w:rPr>
      </w:pPr>
    </w:p>
    <w:p>
      <w:pPr>
        <w:jc w:val="both"/>
        <w:ind w:left="1160" w:right="20" w:hanging="571"/>
        <w:spacing w:after="0" w:line="294"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180" w:hanging="571"/>
        <w:spacing w:after="0" w:line="306" w:lineRule="auto"/>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breach of his fiduciary duty, except to the extent described above;</w:t>
      </w:r>
    </w:p>
    <w:p>
      <w:pPr>
        <w:spacing w:after="0" w:line="252" w:lineRule="exact"/>
        <w:rPr>
          <w:sz w:val="20"/>
          <w:szCs w:val="20"/>
          <w:color w:val="auto"/>
        </w:rPr>
      </w:pPr>
    </w:p>
    <w:p>
      <w:pPr>
        <w:ind w:left="1720" w:right="220" w:hanging="567"/>
        <w:spacing w:after="0" w:line="268" w:lineRule="auto"/>
        <w:rPr>
          <w:sz w:val="20"/>
          <w:szCs w:val="20"/>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act or omission done with the intent to unlawfully realize personal gain; or</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jc w:val="both"/>
        <w:ind w:right="720" w:firstLine="351"/>
        <w:spacing w:after="0" w:line="259" w:lineRule="auto"/>
        <w:rPr>
          <w:sz w:val="20"/>
          <w:szCs w:val="20"/>
          <w:color w:val="auto"/>
        </w:rPr>
      </w:pPr>
      <w:r>
        <w:rPr>
          <w:rFonts w:ascii="Arial" w:cs="Arial" w:eastAsia="Arial" w:hAnsi="Arial"/>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ectPr>
          <w:pgSz w:w="11900" w:h="16838" w:orient="portrait"/>
          <w:cols w:equalWidth="0" w:num="1">
            <w:col w:w="11420"/>
          </w:cols>
          <w:pgMar w:left="240" w:top="131" w:right="239" w:bottom="0" w:gutter="0" w:footer="0" w:header="0"/>
        </w:sectPr>
      </w:pPr>
    </w:p>
    <w:bookmarkStart w:id="30" w:name="page31"/>
    <w:bookmarkEnd w:id="30"/>
    <w:p>
      <w:pPr>
        <w:jc w:val="both"/>
        <w:ind w:right="20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w:t>
            </w: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r>
      <w:tr>
        <w:trPr>
          <w:trHeight w:val="74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20" w:type="dxa"/>
            <w:vAlign w:val="bottom"/>
          </w:tcPr>
          <w:p>
            <w:pPr>
              <w:ind w:left="1780"/>
              <w:spacing w:after="0"/>
              <w:rPr>
                <w:sz w:val="20"/>
                <w:szCs w:val="20"/>
                <w:color w:val="auto"/>
              </w:rPr>
            </w:pPr>
            <w:r>
              <w:rPr>
                <w:rFonts w:ascii="Arial" w:cs="Arial" w:eastAsia="Arial" w:hAnsi="Arial"/>
                <w:sz w:val="18"/>
                <w:szCs w:val="18"/>
                <w:b w:val="1"/>
                <w:bCs w:val="1"/>
                <w:color w:val="auto"/>
              </w:rPr>
              <w:t>EXHIBIT INDEX</w:t>
            </w:r>
          </w:p>
        </w:tc>
      </w:tr>
      <w:tr>
        <w:trPr>
          <w:trHeight w:val="501"/>
        </w:trPr>
        <w:tc>
          <w:tcPr>
            <w:tcW w:w="180" w:type="dxa"/>
            <w:vAlign w:val="bottom"/>
          </w:tcPr>
          <w:p>
            <w:pPr>
              <w:spacing w:after="0"/>
              <w:rPr>
                <w:sz w:val="24"/>
                <w:szCs w:val="2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Exhibit</w:t>
            </w:r>
          </w:p>
        </w:tc>
        <w:tc>
          <w:tcPr>
            <w:tcW w:w="1880" w:type="dxa"/>
            <w:vAlign w:val="bottom"/>
          </w:tcPr>
          <w:p>
            <w:pPr>
              <w:spacing w:after="0"/>
              <w:rPr>
                <w:sz w:val="24"/>
                <w:szCs w:val="24"/>
                <w:color w:val="auto"/>
              </w:rPr>
            </w:pPr>
          </w:p>
        </w:tc>
        <w:tc>
          <w:tcPr>
            <w:tcW w:w="8020" w:type="dxa"/>
            <w:vAlign w:val="bottom"/>
          </w:tcPr>
          <w:p>
            <w:pPr>
              <w:spacing w:after="0"/>
              <w:rPr>
                <w:sz w:val="24"/>
                <w:szCs w:val="24"/>
                <w:color w:val="auto"/>
              </w:rPr>
            </w:pPr>
          </w:p>
        </w:tc>
      </w:tr>
      <w:tr>
        <w:trPr>
          <w:trHeight w:val="190"/>
        </w:trPr>
        <w:tc>
          <w:tcPr>
            <w:tcW w:w="1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Numbers</w:t>
            </w:r>
          </w:p>
        </w:tc>
        <w:tc>
          <w:tcPr>
            <w:tcW w:w="500" w:type="dxa"/>
            <w:vAlign w:val="bottom"/>
          </w:tcPr>
          <w:p>
            <w:pPr>
              <w:spacing w:after="0"/>
              <w:rPr>
                <w:sz w:val="16"/>
                <w:szCs w:val="16"/>
                <w:color w:val="auto"/>
              </w:rPr>
            </w:pPr>
          </w:p>
        </w:tc>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Description of Document</w:t>
            </w:r>
          </w:p>
        </w:tc>
        <w:tc>
          <w:tcPr>
            <w:tcW w:w="8020" w:type="dxa"/>
            <w:vAlign w:val="bottom"/>
          </w:tcPr>
          <w:p>
            <w:pPr>
              <w:spacing w:after="0"/>
              <w:rPr>
                <w:sz w:val="16"/>
                <w:szCs w:val="16"/>
                <w:color w:val="auto"/>
              </w:rPr>
            </w:pPr>
          </w:p>
        </w:tc>
      </w:tr>
      <w:tr>
        <w:trPr>
          <w:trHeight w:val="478"/>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Articles of Association of the Issuer, as amended.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4.2</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Indenture*</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4.3</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Eleventh Amendment, dated October 27,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Israel Ltd.*</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4.4</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Tenth Amendment, dated September 29,2005,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Israel Ltd. *</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4.5</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1"/>
              </w:rPr>
              <w:t>Ninth Amendment, dated July 24, 2005, to the Facility Agreement among the Registrant, Bank Hapoalim B.M. and Bank Leumi Le-Israel</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Ltd.*</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4.6</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9"/>
              </w:rPr>
              <w:t>Twelfth Amendment, dated November 30,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Israel Ltd.*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5.2</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Opinion of Eilenberg &amp; Krause LLP</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12.1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23.2</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23.3</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Consent of Eilenberg &amp; Krause (contained in their opinion constituting Exhibit 5.2)</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24.1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Power of Attorney (set forth on signature page)</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25.1</w:t>
            </w:r>
          </w:p>
        </w:tc>
        <w:tc>
          <w:tcPr>
            <w:tcW w:w="5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Incorporated by reference to the like numbered exhibit filed with the Registrant’s Registration Statement on Form F-1, File No. 333-126909.</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UNDERTAKINGS</w:t>
      </w:r>
    </w:p>
    <w:p>
      <w:pPr>
        <w:spacing w:after="0" w:line="258" w:lineRule="exact"/>
        <w:rPr>
          <w:sz w:val="20"/>
          <w:szCs w:val="20"/>
          <w:color w:val="auto"/>
        </w:rPr>
      </w:pPr>
    </w:p>
    <w:p>
      <w:pPr>
        <w:ind w:left="1880" w:hanging="548"/>
        <w:spacing w:after="0"/>
        <w:tabs>
          <w:tab w:leader="none" w:pos="1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920" w:hanging="545"/>
        <w:spacing w:after="0"/>
        <w:tabs>
          <w:tab w:leader="none" w:pos="19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75" w:lineRule="exact"/>
        <w:rPr>
          <w:rFonts w:ascii="Arial" w:cs="Arial" w:eastAsia="Arial" w:hAnsi="Arial"/>
          <w:sz w:val="16"/>
          <w:szCs w:val="16"/>
          <w:color w:val="auto"/>
        </w:rPr>
      </w:pPr>
    </w:p>
    <w:p>
      <w:pPr>
        <w:ind w:left="2420" w:hanging="521"/>
        <w:spacing w:after="0"/>
        <w:tabs>
          <w:tab w:leader="none" w:pos="24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720" w:firstLine="179"/>
        <w:spacing w:after="0" w:line="290" w:lineRule="auto"/>
        <w:tabs>
          <w:tab w:leader="none" w:pos="2458" w:val="left"/>
        </w:tabs>
        <w:numPr>
          <w:ilvl w:val="2"/>
          <w:numId w:val="4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ectPr>
          <w:pgSz w:w="11900" w:h="16838" w:orient="portrait"/>
          <w:cols w:equalWidth="0" w:num="1">
            <w:col w:w="11360"/>
          </w:cols>
          <w:pgMar w:left="240" w:top="131" w:right="299" w:bottom="0" w:gutter="0" w:footer="0" w:header="0"/>
        </w:sectPr>
      </w:pPr>
    </w:p>
    <w:bookmarkStart w:id="31" w:name="page32"/>
    <w:bookmarkEnd w:id="31"/>
    <w:p>
      <w:pPr>
        <w:ind w:left="1720" w:right="440" w:firstLine="179"/>
        <w:spacing w:after="0" w:line="268" w:lineRule="auto"/>
        <w:tabs>
          <w:tab w:leader="none" w:pos="25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94" w:lineRule="exact"/>
        <w:rPr>
          <w:sz w:val="20"/>
          <w:szCs w:val="20"/>
          <w:color w:val="auto"/>
        </w:rPr>
      </w:pPr>
    </w:p>
    <w:p>
      <w:pPr>
        <w:ind w:left="1160" w:firstLine="172"/>
        <w:spacing w:after="0" w:line="259" w:lineRule="auto"/>
        <w:tabs>
          <w:tab w:leader="none" w:pos="18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21" w:lineRule="exact"/>
        <w:rPr>
          <w:rFonts w:ascii="Arial" w:cs="Arial" w:eastAsia="Arial" w:hAnsi="Arial"/>
          <w:sz w:val="18"/>
          <w:szCs w:val="18"/>
          <w:color w:val="auto"/>
        </w:rPr>
      </w:pPr>
    </w:p>
    <w:p>
      <w:pPr>
        <w:ind w:left="1160" w:right="20" w:firstLine="172"/>
        <w:spacing w:after="0" w:line="268" w:lineRule="auto"/>
        <w:tabs>
          <w:tab w:leader="none" w:pos="18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1160" w:firstLine="172"/>
        <w:spacing w:after="0" w:line="288" w:lineRule="auto"/>
        <w:tabs>
          <w:tab w:leader="none" w:pos="18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184"/>
        <w:spacing w:after="0" w:line="255" w:lineRule="auto"/>
        <w:tabs>
          <w:tab w:leader="none" w:pos="7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ind w:right="60" w:firstLine="184"/>
        <w:spacing w:after="0" w:line="290" w:lineRule="auto"/>
        <w:tabs>
          <w:tab w:leader="none" w:pos="72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on Form F-3 to be signed on its behalf by the undersigned, thereunto duly authorized, in the City of Migdal Haemek, Israel, on January 26, 2006.</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3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KNOW ALL MEN BY THESE PRESENTS, each director and officer whose signature appears below constitutes and appoints, Russell C. Ellwanger, Oren Shirazi or any of them, his true and lawful attorney-in-fact and agent, with full power of substitution and re-substitution, to sign in any and all capacities any and all amendments or post-effective amendments to this registration statement on Form F-3 and to file the same with all exhibits thereto and other documents in connection therewith with the Securities Exchange Commission, granting such attorneys-in-fact and agents, and each of them, full power and authority to do all such other acts and execute all such other documents as they, or any of them, may deem necessary or desirable in connection with the foregoing, as fully as the undersigned might or could do in person, hereby ratifying and confirming all that such attorneys-in-fact and agents, or any of them, may lawfully do or cause to be done by virtue hereof.</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340"/>
          </w:cols>
          <w:pgMar w:left="240" w:top="131" w:right="319" w:bottom="0" w:gutter="0" w:footer="0" w:header="0"/>
        </w:sectPr>
      </w:pPr>
    </w:p>
    <w:bookmarkStart w:id="32" w:name="page33"/>
    <w:bookmarkEnd w:id="32"/>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780" w:type="dxa"/>
            <w:vAlign w:val="bottom"/>
            <w:gridSpan w:val="2"/>
          </w:tcPr>
          <w:p>
            <w:pPr>
              <w:spacing w:after="0"/>
              <w:rPr>
                <w:sz w:val="20"/>
                <w:szCs w:val="20"/>
                <w:color w:val="auto"/>
              </w:rPr>
            </w:pPr>
            <w:r>
              <w:rPr>
                <w:rFonts w:ascii="Arial" w:cs="Arial" w:eastAsia="Arial" w:hAnsi="Arial"/>
                <w:sz w:val="18"/>
                <w:szCs w:val="18"/>
                <w:color w:val="auto"/>
              </w:rPr>
              <w:t>/s/ Ehud Hillman</w:t>
            </w:r>
          </w:p>
        </w:tc>
        <w:tc>
          <w:tcPr>
            <w:tcW w:w="37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Ehud Hillman</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7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3780" w:type="dxa"/>
            <w:vAlign w:val="bottom"/>
            <w:gridSpan w:val="2"/>
          </w:tcPr>
          <w:p>
            <w:pPr>
              <w:spacing w:after="0"/>
              <w:rPr>
                <w:sz w:val="20"/>
                <w:szCs w:val="20"/>
                <w:color w:val="auto"/>
              </w:rPr>
            </w:pPr>
            <w:r>
              <w:rPr>
                <w:rFonts w:ascii="Arial" w:cs="Arial" w:eastAsia="Arial" w:hAnsi="Arial"/>
                <w:sz w:val="18"/>
                <w:szCs w:val="18"/>
                <w:color w:val="auto"/>
              </w:rPr>
              <w:t>/s/ Oren Shirazi</w:t>
            </w:r>
          </w:p>
        </w:tc>
        <w:tc>
          <w:tcPr>
            <w:tcW w:w="3760" w:type="dxa"/>
            <w:vAlign w:val="bottom"/>
            <w:gridSpan w:val="2"/>
          </w:tcPr>
          <w:p>
            <w:pPr>
              <w:spacing w:after="0"/>
              <w:rPr>
                <w:sz w:val="20"/>
                <w:szCs w:val="20"/>
                <w:color w:val="auto"/>
              </w:rPr>
            </w:pPr>
            <w:r>
              <w:rPr>
                <w:rFonts w:ascii="Arial" w:cs="Arial" w:eastAsia="Arial" w:hAnsi="Arial"/>
                <w:sz w:val="18"/>
                <w:szCs w:val="18"/>
                <w:color w:val="auto"/>
              </w:rPr>
              <w:t>Acting Chief Financial Officer</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76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76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3780" w:type="dxa"/>
            <w:vAlign w:val="bottom"/>
            <w:gridSpan w:val="2"/>
          </w:tcPr>
          <w:p>
            <w:pPr>
              <w:spacing w:after="0"/>
              <w:rPr>
                <w:sz w:val="20"/>
                <w:szCs w:val="20"/>
                <w:color w:val="auto"/>
              </w:rPr>
            </w:pPr>
            <w:r>
              <w:rPr>
                <w:rFonts w:ascii="Arial" w:cs="Arial" w:eastAsia="Arial" w:hAnsi="Arial"/>
                <w:sz w:val="18"/>
                <w:szCs w:val="18"/>
                <w:color w:val="auto"/>
              </w:rPr>
              <w:t>/s/ Yossi Rosen</w:t>
            </w: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Yossi Rosen</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Dr. Eli Harari</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8"/>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60" w:type="dxa"/>
            <w:vAlign w:val="bottom"/>
            <w:gridSpan w:val="2"/>
          </w:tcPr>
          <w:p>
            <w:pPr>
              <w:ind w:left="190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5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Miin Wu</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3780" w:type="dxa"/>
            <w:vAlign w:val="bottom"/>
            <w:gridSpan w:val="2"/>
          </w:tcPr>
          <w:p>
            <w:pPr>
              <w:spacing w:after="0"/>
              <w:rPr>
                <w:sz w:val="20"/>
                <w:szCs w:val="20"/>
                <w:color w:val="auto"/>
              </w:rPr>
            </w:pPr>
            <w:r>
              <w:rPr>
                <w:rFonts w:ascii="Arial" w:cs="Arial" w:eastAsia="Arial" w:hAnsi="Arial"/>
                <w:sz w:val="18"/>
                <w:szCs w:val="18"/>
                <w:color w:val="auto"/>
              </w:rPr>
              <w:t>/s/ N.D. Reddy</w:t>
            </w: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N.D. Reddy</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Tal Yaron-Eldar</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3780" w:type="dxa"/>
            <w:vAlign w:val="bottom"/>
            <w:gridSpan w:val="2"/>
          </w:tcPr>
          <w:p>
            <w:pPr>
              <w:spacing w:after="0"/>
              <w:rPr>
                <w:sz w:val="20"/>
                <w:szCs w:val="20"/>
                <w:color w:val="auto"/>
              </w:rPr>
            </w:pPr>
            <w:r>
              <w:rPr>
                <w:rFonts w:ascii="Arial" w:cs="Arial" w:eastAsia="Arial" w:hAnsi="Arial"/>
                <w:sz w:val="18"/>
                <w:szCs w:val="18"/>
                <w:color w:val="auto"/>
              </w:rPr>
              <w:t>/s/ Hans Rohrer</w:t>
            </w: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Hans Rohrer</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3780" w:type="dxa"/>
            <w:vAlign w:val="bottom"/>
            <w:gridSpan w:val="2"/>
          </w:tcPr>
          <w:p>
            <w:pPr>
              <w:spacing w:after="0"/>
              <w:rPr>
                <w:sz w:val="20"/>
                <w:szCs w:val="20"/>
                <w:color w:val="auto"/>
              </w:rPr>
            </w:pPr>
            <w:r>
              <w:rPr>
                <w:rFonts w:ascii="Arial" w:cs="Arial" w:eastAsia="Arial" w:hAnsi="Arial"/>
                <w:sz w:val="18"/>
                <w:szCs w:val="18"/>
                <w:color w:val="auto"/>
              </w:rPr>
              <w:t>/s/ Kalman Kaufman</w:t>
            </w: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Kalman Kaufman</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7540" w:type="dxa"/>
            <w:vAlign w:val="bottom"/>
            <w:gridSpan w:val="4"/>
          </w:tcPr>
          <w:p>
            <w:pPr>
              <w:spacing w:after="0"/>
              <w:rPr>
                <w:sz w:val="20"/>
                <w:szCs w:val="20"/>
                <w:color w:val="auto"/>
              </w:rPr>
            </w:pPr>
            <w:r>
              <w:rPr>
                <w:rFonts w:ascii="Arial" w:cs="Arial" w:eastAsia="Arial" w:hAnsi="Arial"/>
                <w:sz w:val="18"/>
                <w:szCs w:val="18"/>
                <w:color w:val="auto"/>
              </w:rPr>
              <w:t>AUTHORIZED REPRESENTATIVE IN THE UNITED STATES</w:t>
            </w:r>
          </w:p>
        </w:tc>
        <w:tc>
          <w:tcPr>
            <w:tcW w:w="3880" w:type="dxa"/>
            <w:vAlign w:val="bottom"/>
            <w:gridSpan w:val="2"/>
          </w:tcPr>
          <w:p>
            <w:pPr>
              <w:spacing w:after="0"/>
              <w:rPr>
                <w:sz w:val="20"/>
                <w:szCs w:val="20"/>
                <w:color w:val="auto"/>
              </w:rPr>
            </w:pPr>
            <w:r>
              <w:rPr>
                <w:rFonts w:ascii="Arial" w:cs="Arial" w:eastAsia="Arial" w:hAnsi="Arial"/>
                <w:sz w:val="18"/>
                <w:szCs w:val="18"/>
                <w:color w:val="auto"/>
              </w:rPr>
              <w:t>January 26, 2006</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Tower Semiconductor USA, Inc.</w:t>
            </w: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Exhibit</w:t>
            </w:r>
          </w:p>
        </w:tc>
        <w:tc>
          <w:tcPr>
            <w:tcW w:w="17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84"/>
        </w:trPr>
        <w:tc>
          <w:tcPr>
            <w:tcW w:w="1180" w:type="dxa"/>
            <w:vAlign w:val="bottom"/>
            <w:gridSpan w:val="2"/>
          </w:tcPr>
          <w:p>
            <w:pPr>
              <w:jc w:val="center"/>
              <w:ind w:right="540"/>
              <w:spacing w:after="0" w:line="184" w:lineRule="exact"/>
              <w:rPr>
                <w:sz w:val="20"/>
                <w:szCs w:val="20"/>
                <w:color w:val="auto"/>
              </w:rPr>
            </w:pPr>
            <w:r>
              <w:rPr>
                <w:rFonts w:ascii="Arial" w:cs="Arial" w:eastAsia="Arial" w:hAnsi="Arial"/>
                <w:sz w:val="18"/>
                <w:szCs w:val="18"/>
                <w:color w:val="auto"/>
                <w:w w:val="87"/>
              </w:rPr>
              <w:t>Numbers</w:t>
            </w:r>
          </w:p>
        </w:tc>
        <w:tc>
          <w:tcPr>
            <w:tcW w:w="3620" w:type="dxa"/>
            <w:vAlign w:val="bottom"/>
            <w:gridSpan w:val="2"/>
          </w:tcPr>
          <w:p>
            <w:pPr>
              <w:spacing w:after="0" w:line="184" w:lineRule="exact"/>
              <w:rPr>
                <w:sz w:val="20"/>
                <w:szCs w:val="20"/>
                <w:color w:val="auto"/>
              </w:rPr>
            </w:pPr>
            <w:r>
              <w:rPr>
                <w:rFonts w:ascii="Arial" w:cs="Arial" w:eastAsia="Arial" w:hAnsi="Arial"/>
                <w:sz w:val="18"/>
                <w:szCs w:val="18"/>
                <w:color w:val="auto"/>
              </w:rPr>
              <w:t>Description of Document</w:t>
            </w:r>
          </w:p>
        </w:tc>
      </w:tr>
      <w:tr>
        <w:trPr>
          <w:trHeight w:val="20"/>
        </w:trPr>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78"/>
        </w:trPr>
        <w:tc>
          <w:tcPr>
            <w:tcW w:w="6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4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w w:val="88"/>
              </w:rPr>
              <w:t>Articles of Association of the Issuer, as amended. *</w:t>
            </w:r>
          </w:p>
        </w:tc>
      </w:tr>
    </w:tbl>
    <w:p>
      <w:pPr>
        <w:sectPr>
          <w:pgSz w:w="11900" w:h="16868" w:orient="portrait"/>
          <w:cols w:equalWidth="0" w:num="1">
            <w:col w:w="11420"/>
          </w:cols>
          <w:pgMar w:left="240" w:top="108" w:right="239" w:bottom="0" w:gutter="0" w:footer="0" w:header="0"/>
        </w:sectPr>
      </w:pPr>
    </w:p>
    <w:bookmarkStart w:id="33" w:name="page34"/>
    <w:bookmarkEnd w:id="33"/>
    <w:p>
      <w:pPr>
        <w:spacing w:after="0" w:line="1" w:lineRule="exact"/>
        <w:rPr>
          <w:sz w:val="20"/>
          <w:szCs w:val="20"/>
          <w:color w:val="auto"/>
        </w:rPr>
      </w:pPr>
    </w:p>
    <w:tbl>
      <w:tblPr>
        <w:tblLayout w:type="fixed"/>
        <w:tblInd w:w="372" w:type="dxa"/>
        <w:tblCellMar>
          <w:top w:w="0" w:type="dxa"/>
          <w:left w:w="0" w:type="dxa"/>
          <w:bottom w:w="0" w:type="dxa"/>
          <w:right w:w="0" w:type="dxa"/>
        </w:tblCellMar>
      </w:tblPr>
      <w:tr>
        <w:trPr>
          <w:trHeight w:val="222"/>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4.2</w:t>
            </w:r>
          </w:p>
        </w:tc>
        <w:tc>
          <w:tcPr>
            <w:tcW w:w="10240" w:type="dxa"/>
            <w:vAlign w:val="bottom"/>
          </w:tcPr>
          <w:p>
            <w:pPr>
              <w:ind w:left="340"/>
              <w:spacing w:after="0"/>
              <w:rPr>
                <w:sz w:val="20"/>
                <w:szCs w:val="20"/>
                <w:color w:val="auto"/>
              </w:rPr>
            </w:pPr>
            <w:r>
              <w:rPr>
                <w:rFonts w:ascii="Arial" w:cs="Arial" w:eastAsia="Arial" w:hAnsi="Arial"/>
                <w:sz w:val="18"/>
                <w:szCs w:val="18"/>
                <w:color w:val="auto"/>
              </w:rPr>
              <w:t>Form of Indenture*</w:t>
            </w:r>
          </w:p>
        </w:tc>
      </w:tr>
      <w:tr>
        <w:trPr>
          <w:trHeight w:val="453"/>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4.3</w:t>
            </w:r>
          </w:p>
        </w:tc>
        <w:tc>
          <w:tcPr>
            <w:tcW w:w="10240" w:type="dxa"/>
            <w:vAlign w:val="bottom"/>
          </w:tcPr>
          <w:p>
            <w:pPr>
              <w:ind w:left="340"/>
              <w:spacing w:after="0"/>
              <w:rPr>
                <w:sz w:val="20"/>
                <w:szCs w:val="20"/>
                <w:color w:val="auto"/>
              </w:rPr>
            </w:pPr>
            <w:r>
              <w:rPr>
                <w:rFonts w:ascii="Arial" w:cs="Arial" w:eastAsia="Arial" w:hAnsi="Arial"/>
                <w:sz w:val="18"/>
                <w:szCs w:val="18"/>
                <w:color w:val="auto"/>
                <w:w w:val="90"/>
              </w:rPr>
              <w:t>Eleventh Amendment, dated October 27, 2005, to the Facility Agreement among the Registrant, Bank Hapoalim B.M. and Bank Leumi Le-</w:t>
            </w:r>
          </w:p>
        </w:tc>
      </w:tr>
      <w:tr>
        <w:trPr>
          <w:trHeight w:val="222"/>
        </w:trPr>
        <w:tc>
          <w:tcPr>
            <w:tcW w:w="660" w:type="dxa"/>
            <w:vAlign w:val="bottom"/>
          </w:tcPr>
          <w:p>
            <w:pPr>
              <w:spacing w:after="0"/>
              <w:rPr>
                <w:sz w:val="19"/>
                <w:szCs w:val="19"/>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Israel Ltd.*</w:t>
            </w:r>
          </w:p>
        </w:tc>
      </w:tr>
      <w:tr>
        <w:trPr>
          <w:trHeight w:val="453"/>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4.4</w:t>
            </w:r>
          </w:p>
        </w:tc>
        <w:tc>
          <w:tcPr>
            <w:tcW w:w="10240" w:type="dxa"/>
            <w:vAlign w:val="bottom"/>
          </w:tcPr>
          <w:p>
            <w:pPr>
              <w:ind w:left="340"/>
              <w:spacing w:after="0"/>
              <w:rPr>
                <w:sz w:val="20"/>
                <w:szCs w:val="20"/>
                <w:color w:val="auto"/>
              </w:rPr>
            </w:pPr>
            <w:r>
              <w:rPr>
                <w:rFonts w:ascii="Arial" w:cs="Arial" w:eastAsia="Arial" w:hAnsi="Arial"/>
                <w:sz w:val="18"/>
                <w:szCs w:val="18"/>
                <w:color w:val="auto"/>
                <w:w w:val="90"/>
              </w:rPr>
              <w:t>Tenth Amendment, dated September 29,2005, to the Facility Agreement among the Registrant, Bank Hapoalim B.M. and Bank Leumi Le-</w:t>
            </w:r>
          </w:p>
        </w:tc>
      </w:tr>
      <w:tr>
        <w:trPr>
          <w:trHeight w:val="222"/>
        </w:trPr>
        <w:tc>
          <w:tcPr>
            <w:tcW w:w="660" w:type="dxa"/>
            <w:vAlign w:val="bottom"/>
          </w:tcPr>
          <w:p>
            <w:pPr>
              <w:spacing w:after="0"/>
              <w:rPr>
                <w:sz w:val="19"/>
                <w:szCs w:val="19"/>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Israel Ltd. *</w:t>
            </w:r>
          </w:p>
        </w:tc>
      </w:tr>
      <w:tr>
        <w:trPr>
          <w:trHeight w:val="453"/>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4.5</w:t>
            </w:r>
          </w:p>
        </w:tc>
        <w:tc>
          <w:tcPr>
            <w:tcW w:w="10240" w:type="dxa"/>
            <w:vAlign w:val="bottom"/>
          </w:tcPr>
          <w:p>
            <w:pPr>
              <w:ind w:left="340"/>
              <w:spacing w:after="0"/>
              <w:rPr>
                <w:sz w:val="20"/>
                <w:szCs w:val="20"/>
                <w:color w:val="auto"/>
              </w:rPr>
            </w:pPr>
            <w:r>
              <w:rPr>
                <w:rFonts w:ascii="Arial" w:cs="Arial" w:eastAsia="Arial" w:hAnsi="Arial"/>
                <w:sz w:val="18"/>
                <w:szCs w:val="18"/>
                <w:color w:val="auto"/>
                <w:w w:val="91"/>
              </w:rPr>
              <w:t>Ninth Amendment, dated July 24, 2005, to the Facility Agreement among the Registrant, Bank Hapoalim B.M. and Bank Leumi Le-Israel</w:t>
            </w:r>
          </w:p>
        </w:tc>
      </w:tr>
      <w:tr>
        <w:trPr>
          <w:trHeight w:val="222"/>
        </w:trPr>
        <w:tc>
          <w:tcPr>
            <w:tcW w:w="660" w:type="dxa"/>
            <w:vAlign w:val="bottom"/>
          </w:tcPr>
          <w:p>
            <w:pPr>
              <w:spacing w:after="0"/>
              <w:rPr>
                <w:sz w:val="19"/>
                <w:szCs w:val="19"/>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Ltd.*</w:t>
            </w:r>
          </w:p>
        </w:tc>
      </w:tr>
      <w:tr>
        <w:trPr>
          <w:trHeight w:val="453"/>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4.6</w:t>
            </w:r>
          </w:p>
        </w:tc>
        <w:tc>
          <w:tcPr>
            <w:tcW w:w="10240" w:type="dxa"/>
            <w:vAlign w:val="bottom"/>
          </w:tcPr>
          <w:p>
            <w:pPr>
              <w:ind w:left="340"/>
              <w:spacing w:after="0"/>
              <w:rPr>
                <w:sz w:val="20"/>
                <w:szCs w:val="20"/>
                <w:color w:val="auto"/>
              </w:rPr>
            </w:pPr>
            <w:r>
              <w:rPr>
                <w:rFonts w:ascii="Arial" w:cs="Arial" w:eastAsia="Arial" w:hAnsi="Arial"/>
                <w:sz w:val="18"/>
                <w:szCs w:val="18"/>
                <w:color w:val="auto"/>
                <w:w w:val="89"/>
              </w:rPr>
              <w:t>Twelfth Amendment, dated November 30, 2005, to the Facility Agreement among the Registrant, Bank Hapoalim B.M. and Bank Leumi Le-</w:t>
            </w:r>
          </w:p>
        </w:tc>
      </w:tr>
      <w:tr>
        <w:trPr>
          <w:trHeight w:val="222"/>
        </w:trPr>
        <w:tc>
          <w:tcPr>
            <w:tcW w:w="660" w:type="dxa"/>
            <w:vAlign w:val="bottom"/>
          </w:tcPr>
          <w:p>
            <w:pPr>
              <w:spacing w:after="0"/>
              <w:rPr>
                <w:sz w:val="19"/>
                <w:szCs w:val="19"/>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Israel Ltd.*</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5.1</w:t>
            </w:r>
          </w:p>
        </w:tc>
        <w:tc>
          <w:tcPr>
            <w:tcW w:w="10240" w:type="dxa"/>
            <w:vAlign w:val="bottom"/>
          </w:tcPr>
          <w:p>
            <w:pPr>
              <w:ind w:left="340"/>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5.2</w:t>
            </w:r>
          </w:p>
        </w:tc>
        <w:tc>
          <w:tcPr>
            <w:tcW w:w="10240" w:type="dxa"/>
            <w:vAlign w:val="bottom"/>
          </w:tcPr>
          <w:p>
            <w:pPr>
              <w:ind w:left="340"/>
              <w:spacing w:after="0"/>
              <w:rPr>
                <w:sz w:val="20"/>
                <w:szCs w:val="20"/>
                <w:color w:val="auto"/>
              </w:rPr>
            </w:pPr>
            <w:r>
              <w:rPr>
                <w:rFonts w:ascii="Arial" w:cs="Arial" w:eastAsia="Arial" w:hAnsi="Arial"/>
                <w:sz w:val="18"/>
                <w:szCs w:val="18"/>
                <w:color w:val="auto"/>
              </w:rPr>
              <w:t>Opinion of Eilenberg &amp; Krause LLP</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12.1</w:t>
            </w:r>
          </w:p>
        </w:tc>
        <w:tc>
          <w:tcPr>
            <w:tcW w:w="10240" w:type="dxa"/>
            <w:vAlign w:val="bottom"/>
          </w:tcPr>
          <w:p>
            <w:pPr>
              <w:ind w:left="34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23.1</w:t>
            </w:r>
          </w:p>
        </w:tc>
        <w:tc>
          <w:tcPr>
            <w:tcW w:w="10240" w:type="dxa"/>
            <w:vAlign w:val="bottom"/>
          </w:tcPr>
          <w:p>
            <w:pPr>
              <w:ind w:left="340"/>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23.2</w:t>
            </w:r>
          </w:p>
        </w:tc>
        <w:tc>
          <w:tcPr>
            <w:tcW w:w="10240" w:type="dxa"/>
            <w:vAlign w:val="bottom"/>
          </w:tcPr>
          <w:p>
            <w:pPr>
              <w:ind w:left="340"/>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23.3</w:t>
            </w:r>
          </w:p>
        </w:tc>
        <w:tc>
          <w:tcPr>
            <w:tcW w:w="10240" w:type="dxa"/>
            <w:vAlign w:val="bottom"/>
          </w:tcPr>
          <w:p>
            <w:pPr>
              <w:ind w:left="340"/>
              <w:spacing w:after="0"/>
              <w:rPr>
                <w:sz w:val="20"/>
                <w:szCs w:val="20"/>
                <w:color w:val="auto"/>
              </w:rPr>
            </w:pPr>
            <w:r>
              <w:rPr>
                <w:rFonts w:ascii="Arial" w:cs="Arial" w:eastAsia="Arial" w:hAnsi="Arial"/>
                <w:sz w:val="18"/>
                <w:szCs w:val="18"/>
                <w:color w:val="auto"/>
              </w:rPr>
              <w:t>Consent of Eilenberg &amp; Krause (contained in their opinion constituting Exhibit 5.2)</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24.1</w:t>
            </w:r>
          </w:p>
        </w:tc>
        <w:tc>
          <w:tcPr>
            <w:tcW w:w="10240" w:type="dxa"/>
            <w:vAlign w:val="bottom"/>
          </w:tcPr>
          <w:p>
            <w:pPr>
              <w:ind w:left="340"/>
              <w:spacing w:after="0"/>
              <w:rPr>
                <w:sz w:val="20"/>
                <w:szCs w:val="20"/>
                <w:color w:val="auto"/>
              </w:rPr>
            </w:pPr>
            <w:r>
              <w:rPr>
                <w:rFonts w:ascii="Arial" w:cs="Arial" w:eastAsia="Arial" w:hAnsi="Arial"/>
                <w:sz w:val="18"/>
                <w:szCs w:val="18"/>
                <w:color w:val="auto"/>
              </w:rPr>
              <w:t>Power of Attorney (set forth on signature page)</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25.1</w:t>
            </w:r>
          </w:p>
        </w:tc>
        <w:tc>
          <w:tcPr>
            <w:tcW w:w="10240" w:type="dxa"/>
            <w:vAlign w:val="bottom"/>
          </w:tcPr>
          <w:p>
            <w:pPr>
              <w:ind w:left="340"/>
              <w:spacing w:after="0"/>
              <w:rPr>
                <w:sz w:val="20"/>
                <w:szCs w:val="20"/>
                <w:color w:val="auto"/>
              </w:rPr>
            </w:pPr>
            <w:r>
              <w:rPr>
                <w:rFonts w:ascii="Arial" w:cs="Arial" w:eastAsia="Arial" w:hAnsi="Arial"/>
                <w:sz w:val="18"/>
                <w:szCs w:val="18"/>
                <w:color w:val="auto"/>
              </w:rPr>
              <w:t>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11061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5672" w:right="1260" w:hanging="5672"/>
        <w:spacing w:after="0" w:line="519" w:lineRule="auto"/>
        <w:tabs>
          <w:tab w:leader="none" w:pos="1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the like numbered exhibit filed with the Registrant’s Registration Statement on Form F-1, File No. 333-126909.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5206365</wp:posOffset>
            </wp:positionV>
            <wp:extent cx="726757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272"/>
          </w:cols>
          <w:pgMar w:left="248" w:top="374"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YIGAL ARNON &amp; CO.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ADVOCATES AND NOTARY</w:t>
      </w:r>
    </w:p>
    <w:p>
      <w:pPr>
        <w:spacing w:after="0" w:line="213" w:lineRule="exact"/>
        <w:rPr>
          <w:sz w:val="20"/>
          <w:szCs w:val="20"/>
          <w:color w:val="auto"/>
        </w:rPr>
      </w:pPr>
    </w:p>
    <w:p>
      <w:pPr>
        <w:ind w:left="4600"/>
        <w:spacing w:after="0"/>
        <w:tabs>
          <w:tab w:leader="none" w:pos="5600" w:val="left"/>
        </w:tabs>
        <w:rPr>
          <w:sz w:val="20"/>
          <w:szCs w:val="20"/>
          <w:color w:val="auto"/>
        </w:rPr>
      </w:pPr>
      <w:r>
        <w:rPr>
          <w:rFonts w:ascii="Arial" w:cs="Arial" w:eastAsia="Arial" w:hAnsi="Arial"/>
          <w:sz w:val="18"/>
          <w:szCs w:val="18"/>
          <w:b w:val="1"/>
          <w:bCs w:val="1"/>
          <w:color w:val="auto"/>
        </w:rPr>
        <w:t>Tel Aviv</w:t>
      </w:r>
      <w:r>
        <w:rPr>
          <w:sz w:val="20"/>
          <w:szCs w:val="20"/>
          <w:color w:val="auto"/>
        </w:rPr>
        <w:tab/>
      </w:r>
      <w:r>
        <w:rPr>
          <w:rFonts w:ascii="Arial" w:cs="Arial" w:eastAsia="Arial" w:hAnsi="Arial"/>
          <w:sz w:val="15"/>
          <w:szCs w:val="15"/>
          <w:color w:val="auto"/>
        </w:rPr>
        <w:t>January 26, 2006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Direct Dial:</w:t>
            </w:r>
          </w:p>
        </w:tc>
        <w:tc>
          <w:tcPr>
            <w:tcW w:w="2100" w:type="dxa"/>
            <w:vAlign w:val="bottom"/>
          </w:tcPr>
          <w:p>
            <w:pPr>
              <w:ind w:left="740"/>
              <w:spacing w:after="0"/>
              <w:rPr>
                <w:sz w:val="20"/>
                <w:szCs w:val="20"/>
                <w:color w:val="auto"/>
              </w:rPr>
            </w:pPr>
            <w:r>
              <w:rPr>
                <w:rFonts w:ascii="Arial" w:cs="Arial" w:eastAsia="Arial" w:hAnsi="Arial"/>
                <w:sz w:val="18"/>
                <w:szCs w:val="18"/>
                <w:color w:val="auto"/>
              </w:rPr>
              <w:t>972-608-7856</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Direct Fax:</w:t>
            </w:r>
          </w:p>
        </w:tc>
        <w:tc>
          <w:tcPr>
            <w:tcW w:w="2100" w:type="dxa"/>
            <w:vAlign w:val="bottom"/>
          </w:tcPr>
          <w:p>
            <w:pPr>
              <w:ind w:left="740"/>
              <w:spacing w:after="0"/>
              <w:rPr>
                <w:sz w:val="20"/>
                <w:szCs w:val="20"/>
                <w:color w:val="auto"/>
              </w:rPr>
            </w:pPr>
            <w:r>
              <w:rPr>
                <w:rFonts w:ascii="Arial" w:cs="Arial" w:eastAsia="Arial" w:hAnsi="Arial"/>
                <w:sz w:val="18"/>
                <w:szCs w:val="18"/>
                <w:color w:val="auto"/>
              </w:rPr>
              <w:t>972-608-7714</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E-mail:</w:t>
            </w:r>
          </w:p>
        </w:tc>
        <w:tc>
          <w:tcPr>
            <w:tcW w:w="2100" w:type="dxa"/>
            <w:vAlign w:val="bottom"/>
          </w:tcPr>
          <w:p>
            <w:pPr>
              <w:ind w:left="740"/>
              <w:spacing w:after="0"/>
              <w:rPr>
                <w:sz w:val="20"/>
                <w:szCs w:val="20"/>
                <w:color w:val="auto"/>
              </w:rPr>
            </w:pPr>
            <w:r>
              <w:rPr>
                <w:rFonts w:ascii="Arial" w:cs="Arial" w:eastAsia="Arial" w:hAnsi="Arial"/>
                <w:sz w:val="18"/>
                <w:szCs w:val="18"/>
                <w:color w:val="auto"/>
                <w:w w:val="87"/>
              </w:rPr>
              <w:t>davids@arnon.co.il</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 and Madam:</w:t>
      </w:r>
    </w:p>
    <w:p>
      <w:pPr>
        <w:spacing w:after="0" w:line="225" w:lineRule="exact"/>
        <w:rPr>
          <w:sz w:val="20"/>
          <w:szCs w:val="20"/>
          <w:color w:val="auto"/>
        </w:rPr>
      </w:pPr>
    </w:p>
    <w:p>
      <w:pPr>
        <w:ind w:right="200" w:firstLine="348"/>
        <w:spacing w:after="0" w:line="253" w:lineRule="auto"/>
        <w:rPr>
          <w:sz w:val="20"/>
          <w:szCs w:val="20"/>
          <w:color w:val="auto"/>
        </w:rPr>
      </w:pPr>
      <w:r>
        <w:rPr>
          <w:rFonts w:ascii="Arial" w:cs="Arial" w:eastAsia="Arial" w:hAnsi="Arial"/>
          <w:sz w:val="18"/>
          <w:szCs w:val="18"/>
          <w:color w:val="auto"/>
        </w:rPr>
        <w:t>We have acted as Israeli counsel to Tower Semiconductor Ltd. (the “Company”), a corporation organized under the laws of the State of Israel. As such, we have participated in the preparation of the Company's registration statement on Form F-3 (the “Registration Statement”) relating to the registration, under the United States Securities Act of 1933, as amended, of the following offerings: (i) the resale of up to 31,191,606 U.S. dollar denominated debentures (the “Debentures”), each of $1.00 in principal amount, convertible into ordinary shares of the Company, par value 1.00 NIS each; (ii) the resale of up to 28,356,005 ordinary shares of the Company, par value 1.00 NIS each, issuable upon the conversion of the Debentures (the “Debenture Shares”); and (iii) the resale of up to 9,161,060 ordinary shares of the Company, par value 1.00 NIS each, issuable upon the exercise of warrants (the “Warrants”) by certain selling security holders (the “Warrant Shares”).</w:t>
      </w:r>
    </w:p>
    <w:p>
      <w:pPr>
        <w:spacing w:after="0" w:line="201" w:lineRule="exact"/>
        <w:rPr>
          <w:sz w:val="20"/>
          <w:szCs w:val="20"/>
          <w:color w:val="auto"/>
        </w:rPr>
      </w:pPr>
    </w:p>
    <w:p>
      <w:pPr>
        <w:ind w:right="400" w:firstLine="341"/>
        <w:spacing w:after="0" w:line="332" w:lineRule="auto"/>
        <w:rPr>
          <w:sz w:val="20"/>
          <w:szCs w:val="20"/>
          <w:color w:val="auto"/>
        </w:rPr>
      </w:pPr>
      <w:r>
        <w:rPr>
          <w:rFonts w:ascii="Arial" w:cs="Arial" w:eastAsia="Arial" w:hAnsi="Arial"/>
          <w:sz w:val="16"/>
          <w:szCs w:val="16"/>
          <w:color w:val="auto"/>
        </w:rPr>
        <w:t>As counsel to the Company in Israel, we have examined such corporate records, documents, agreements and such matters of law, as we have considered necessary or appropriate for the purpose of rendering this opinion. Upon the basis of such examination, we advise you that in our opinion:</w:t>
      </w:r>
    </w:p>
    <w:p>
      <w:pPr>
        <w:spacing w:after="0" w:line="139" w:lineRule="exact"/>
        <w:rPr>
          <w:sz w:val="20"/>
          <w:szCs w:val="20"/>
          <w:color w:val="auto"/>
        </w:rPr>
      </w:pPr>
    </w:p>
    <w:p>
      <w:pPr>
        <w:ind w:left="1160" w:right="840" w:hanging="571"/>
        <w:spacing w:after="0" w:line="268"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Debentures are duly authorized, legally issued under the laws of the State of Israel and are entitled to the benefits of the indenture substantially in the form filed as an exhibit to the Registration Statement (the “Indenture”).</w:t>
      </w:r>
    </w:p>
    <w:p>
      <w:pPr>
        <w:spacing w:after="0" w:line="212" w:lineRule="exact"/>
        <w:rPr>
          <w:rFonts w:ascii="Arial" w:cs="Arial" w:eastAsia="Arial" w:hAnsi="Arial"/>
          <w:sz w:val="18"/>
          <w:szCs w:val="18"/>
          <w:color w:val="auto"/>
        </w:rPr>
      </w:pPr>
    </w:p>
    <w:p>
      <w:pPr>
        <w:ind w:left="1160" w:right="100" w:hanging="571"/>
        <w:spacing w:after="0" w:line="268"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Debenture Shares, if and when paid for through the conversion of the Debentures and issued in accordance with the terms of the Debentures and the Indenture, will be duly authorized, legally issued, fully paid and nonassesable.</w:t>
      </w:r>
    </w:p>
    <w:p>
      <w:pPr>
        <w:spacing w:after="0" w:line="212"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Warrant Shares, if and when paid for and issued in accordance with the terms and conditions of the exercise of the Warrants, will be duly authorized, legally issued, fully paid and nonassesable.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YIGAL ARNON &amp; CO.</w:t>
      </w:r>
    </w:p>
    <w:p>
      <w:pPr>
        <w:spacing w:after="0" w:line="225"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We are members of the Israel Bar, and the opinions expressed herein are limited to questions arising under the laws of the State of Israel, and we disclaim any opinion whatsoever with respect to matters governed by the laws of any other jurisdiction. Eilenberg &amp; Krause LLP may rely upon this opinion for the purpose of rendering their opinion dated the date hereof, with respect to certain matters concerning the Debentures.</w:t>
      </w:r>
    </w:p>
    <w:p>
      <w:pPr>
        <w:spacing w:after="0" w:line="16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consent to the reference to this firm under the caption “Legal Matters” in the Registration Statement, and we consent to the filing of this opinion as an exhibit to the Registration Statement.</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Yigal Arnon &amp; Co.</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Yigal Arnon &amp; Co.</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2281555</wp:posOffset>
            </wp:positionV>
            <wp:extent cx="726757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Eilenberg &amp; Krause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EAST 44TH STREET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(212) 986-9700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(212) 986-2399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26,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have acted as United States counsel to Tower Semiconductor Ltd. (the "Company"), a corporation organized under the laws of the State of Israel. As such, we have participated in the preparation of the Company's registration statement on Form F-3 (the "Registration Statement") relating to the registration, under the United States Securities Act of 1933, as amended, of the following offerings: (i) the resale of up to 31,191,606 U.S. dollar denominated debentures (the "Debentures"), each of $1.00 in principal amount, convertible into ordinary shares of the Company, par value 1.00 NIS each; (ii) the resale of up to 28,356,005 ordinary shares of the Company, par value 1.00 NIS each, issuable upon the conversion of the Debentures; and (iii) the resale of up to 9,161,060 ordinary shares of the Company, par value 1.00 NIS each, issuable upon the exercise of warrants by certain selling security holders.</w:t>
      </w:r>
    </w:p>
    <w:p>
      <w:pPr>
        <w:spacing w:after="0" w:line="174"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United States counsel to the Company, we have examined such corporate records, documents, agreements and such matters of law, as we have considered necessary or appropriate for the purpose of rendering this opinion. Upon the basis of such examination, we advise you that in our opinion the Debentures are legally issued and are entitled to the benefits of the indenture substantially in the form filed as an exhibit to the Registration Statement.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express no opinion as to the laws of any jurisdiction other than the laws of the State of New York and the federal laws of the United States of America.</w:t>
      </w:r>
    </w:p>
    <w:p>
      <w:pPr>
        <w:spacing w:after="0" w:line="24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hereby consent to the use of this opinion as an exhibit to the Registration Statement and to the reference to our firm under the heading "Legal Matters" in the prospectus that forms a part thereof.</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Eilenberg &amp; Krause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4982845</wp:posOffset>
            </wp:positionV>
            <wp:extent cx="726757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31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on Form F-3, of our report dated February 3, 2005 (May 30, 2005 as for Note 20), relating to the financial statements of Tower Semiconductor Ltd. appearing in the Annual Report on Form 20-F of Tower Semiconductor Ltd. for the year ended December 31, 2004, and to the reference to us under the heading “Experts” in this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emdash "/>
      <w:numFmt w:val="bullet"/>
      <w:start w:val="1"/>
    </w:lvl>
  </w:abstractNum>
  <w:abstractNum w:abstractNumId="2">
    <w:nsid w:val="4353D0CD"/>
    <w:multiLevelType w:val="hybridMultilevel"/>
    <w:lvl w:ilvl="0">
      <w:lvlJc w:val="left"/>
      <w:lvlText w:val="\emdash "/>
      <w:numFmt w:val="bullet"/>
      <w:start w:val="1"/>
    </w:lvl>
  </w:abstractNum>
  <w:abstractNum w:abstractNumId="3">
    <w:nsid w:val="B03E0C6"/>
    <w:multiLevelType w:val="hybridMultilevel"/>
    <w:lvl w:ilvl="0">
      <w:lvlJc w:val="left"/>
      <w:lvlText w:val="\emdash "/>
      <w:numFmt w:val="bullet"/>
      <w:start w:val="1"/>
    </w:lvl>
  </w:abstractNum>
  <w:abstractNum w:abstractNumId="4">
    <w:nsid w:val="189A769B"/>
    <w:multiLevelType w:val="hybridMultilevel"/>
    <w:lvl w:ilvl="0">
      <w:lvlJc w:val="left"/>
      <w:lvlText w:val="\emdash "/>
      <w:numFmt w:val="bullet"/>
      <w:start w:val="1"/>
    </w:lvl>
  </w:abstractNum>
  <w:abstractNum w:abstractNumId="5">
    <w:nsid w:val="54E49EB4"/>
    <w:multiLevelType w:val="hybridMultilevel"/>
    <w:lvl w:ilvl="0">
      <w:lvlJc w:val="left"/>
      <w:lvlText w:val="\emdash "/>
      <w:numFmt w:val="bullet"/>
      <w:start w:val="1"/>
    </w:lvl>
  </w:abstractNum>
  <w:abstractNum w:abstractNumId="6">
    <w:nsid w:val="71F32454"/>
    <w:multiLevelType w:val="hybridMultilevel"/>
    <w:lvl w:ilvl="0">
      <w:lvlJc w:val="left"/>
      <w:lvlText w:val="\emdash "/>
      <w:numFmt w:val="bullet"/>
      <w:start w:val="1"/>
    </w:lvl>
  </w:abstractNum>
  <w:abstractNum w:abstractNumId="7">
    <w:nsid w:val="2CA88611"/>
    <w:multiLevelType w:val="hybridMultilevel"/>
    <w:lvl w:ilvl="0">
      <w:lvlJc w:val="left"/>
      <w:lvlText w:val="\emdash "/>
      <w:numFmt w:val="bullet"/>
      <w:start w:val="1"/>
    </w:lvl>
  </w:abstractNum>
  <w:abstractNum w:abstractNumId="8">
    <w:nsid w:val="836C40E"/>
    <w:multiLevelType w:val="hybridMultilevel"/>
    <w:lvl w:ilvl="0">
      <w:lvlJc w:val="left"/>
      <w:lvlText w:val="\emdash "/>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bullet"/>
      <w:start w:val="1"/>
    </w:lvl>
  </w:abstractNum>
  <w:abstractNum w:abstractNumId="13">
    <w:nsid w:val="7C3DBD3D"/>
    <w:multiLevelType w:val="hybridMultilevel"/>
    <w:lvl w:ilvl="0">
      <w:lvlJc w:val="left"/>
      <w:lvlText w:val="3"/>
      <w:numFmt w:val="bullet"/>
      <w:start w:val="1"/>
    </w:lvl>
  </w:abstractNum>
  <w:abstractNum w:abstractNumId="14">
    <w:nsid w:val="737B8DDC"/>
    <w:multiLevelType w:val="hybridMultilevel"/>
    <w:lvl w:ilvl="0">
      <w:lvlJc w:val="left"/>
      <w:lvlText w:val="7"/>
      <w:numFmt w:val="bullet"/>
      <w:start w:val="1"/>
    </w:lvl>
  </w:abstractNum>
  <w:abstractNum w:abstractNumId="15">
    <w:nsid w:val="6CEAF087"/>
    <w:multiLevelType w:val="hybridMultilevel"/>
    <w:lvl w:ilvl="0">
      <w:lvlJc w:val="left"/>
      <w:lvlText w:val="\emdash "/>
      <w:numFmt w:val="bullet"/>
      <w:start w:val="1"/>
    </w:lvl>
  </w:abstractNum>
  <w:abstractNum w:abstractNumId="16">
    <w:nsid w:val="22221A70"/>
    <w:multiLevelType w:val="hybridMultilevel"/>
    <w:lvl w:ilvl="0">
      <w:lvlJc w:val="left"/>
      <w:lvlText w:val="\emdash "/>
      <w:numFmt w:val="bullet"/>
      <w:start w:val="1"/>
    </w:lvl>
  </w:abstractNum>
  <w:abstractNum w:abstractNumId="17">
    <w:nsid w:val="4516DDE9"/>
    <w:multiLevelType w:val="hybridMultilevel"/>
    <w:lvl w:ilvl="0">
      <w:lvlJc w:val="left"/>
      <w:lvlText w:val="\emdash "/>
      <w:numFmt w:val="bullet"/>
      <w:start w:val="1"/>
    </w:lvl>
  </w:abstractNum>
  <w:abstractNum w:abstractNumId="18">
    <w:nsid w:val="3006C83E"/>
    <w:multiLevelType w:val="hybridMultilevel"/>
    <w:lvl w:ilvl="0">
      <w:lvlJc w:val="left"/>
      <w:lvlText w:val="\emdash "/>
      <w:numFmt w:val="bullet"/>
      <w:start w:val="1"/>
    </w:lvl>
  </w:abstractNum>
  <w:abstractNum w:abstractNumId="19">
    <w:nsid w:val="614FD4A1"/>
    <w:multiLevelType w:val="hybridMultilevel"/>
    <w:lvl w:ilvl="0">
      <w:lvlJc w:val="left"/>
      <w:lvlText w:val="\emdash "/>
      <w:numFmt w:val="bullet"/>
      <w:start w:val="1"/>
    </w:lvl>
  </w:abstractNum>
  <w:abstractNum w:abstractNumId="20">
    <w:nsid w:val="419AC241"/>
    <w:multiLevelType w:val="hybridMultilevel"/>
    <w:lvl w:ilvl="0">
      <w:lvlJc w:val="left"/>
      <w:lvlText w:val="(%1)"/>
      <w:numFmt w:val="lowerRoman"/>
      <w:start w:val="1"/>
    </w:lvl>
  </w:abstractNum>
  <w:abstractNum w:abstractNumId="21">
    <w:nsid w:val="5577F8E1"/>
    <w:multiLevelType w:val="hybridMultilevel"/>
    <w:lvl w:ilvl="0">
      <w:lvlJc w:val="left"/>
      <w:lvlText w:val="(%1)"/>
      <w:numFmt w:val="lowerRoman"/>
      <w:start w:val="4"/>
    </w:lvl>
  </w:abstractNum>
  <w:abstractNum w:abstractNumId="22">
    <w:nsid w:val="440BADFC"/>
    <w:multiLevelType w:val="hybridMultilevel"/>
    <w:lvl w:ilvl="0">
      <w:lvlJc w:val="left"/>
      <w:lvlText w:val="(%1)"/>
      <w:numFmt w:val="lowerRoman"/>
      <w:start w:val="6"/>
    </w:lvl>
    <w:lvl w:ilvl="1">
      <w:lvlJc w:val="left"/>
      <w:lvlText w:val="\emdash "/>
      <w:numFmt w:val="bullet"/>
      <w:start w:val="1"/>
    </w:lvl>
    <w:lvl w:ilvl="2">
      <w:lvlJc w:val="left"/>
      <w:lvlText w:val="\emdash "/>
      <w:numFmt w:val="bullet"/>
      <w:start w:val="1"/>
    </w:lvl>
  </w:abstractNum>
  <w:abstractNum w:abstractNumId="23">
    <w:nsid w:val="5072367"/>
    <w:multiLevelType w:val="hybridMultilevel"/>
    <w:lvl w:ilvl="0">
      <w:lvlJc w:val="left"/>
      <w:lvlText w:val="(%1)"/>
      <w:numFmt w:val="lowerRoman"/>
      <w:start w:val="14"/>
    </w:lvl>
    <w:lvl w:ilvl="1">
      <w:lvlJc w:val="left"/>
      <w:lvlText w:val="\emdash "/>
      <w:numFmt w:val="bullet"/>
      <w:start w:val="1"/>
    </w:lvl>
  </w:abstractNum>
  <w:abstractNum w:abstractNumId="24">
    <w:nsid w:val="3804823E"/>
    <w:multiLevelType w:val="hybridMultilevel"/>
    <w:lvl w:ilvl="0">
      <w:lvlJc w:val="left"/>
      <w:lvlText w:val="(%1)"/>
      <w:numFmt w:val="lowerRoman"/>
      <w:start w:val="20"/>
    </w:lvl>
  </w:abstractNum>
  <w:abstractNum w:abstractNumId="25">
    <w:nsid w:val="77465F01"/>
    <w:multiLevelType w:val="hybridMultilevel"/>
    <w:lvl w:ilvl="0">
      <w:lvlJc w:val="left"/>
      <w:lvlText w:val="(%1)"/>
      <w:numFmt w:val="lowerRoman"/>
      <w:start w:val="27"/>
    </w:lvl>
  </w:abstractNum>
  <w:abstractNum w:abstractNumId="26">
    <w:nsid w:val="7724C67E"/>
    <w:multiLevelType w:val="hybridMultilevel"/>
    <w:lvl w:ilvl="0">
      <w:lvlJc w:val="left"/>
      <w:lvlText w:val="(%1)"/>
      <w:numFmt w:val="lowerRoman"/>
      <w:start w:val="32"/>
    </w:lvl>
    <w:lvl w:ilvl="1">
      <w:lvlJc w:val="left"/>
      <w:lvlText w:val="\emdash "/>
      <w:numFmt w:val="bullet"/>
      <w:start w:val="1"/>
    </w:lvl>
  </w:abstractNum>
  <w:abstractNum w:abstractNumId="27">
    <w:nsid w:val="5C482A97"/>
    <w:multiLevelType w:val="hybridMultilevel"/>
    <w:lvl w:ilvl="0">
      <w:lvlJc w:val="left"/>
      <w:lvlText w:val="\emdash "/>
      <w:numFmt w:val="bullet"/>
      <w:start w:val="1"/>
    </w:lvl>
  </w:abstractNum>
  <w:abstractNum w:abstractNumId="28">
    <w:nsid w:val="2463B9EA"/>
    <w:multiLevelType w:val="hybridMultilevel"/>
    <w:lvl w:ilvl="0">
      <w:lvlJc w:val="left"/>
      <w:lvlText w:val="\emdash "/>
      <w:numFmt w:val="bullet"/>
      <w:start w:val="1"/>
    </w:lvl>
  </w:abstractNum>
  <w:abstractNum w:abstractNumId="29">
    <w:nsid w:val="5E884ADC"/>
    <w:multiLevelType w:val="hybridMultilevel"/>
    <w:lvl w:ilvl="0">
      <w:lvlJc w:val="left"/>
      <w:lvlText w:val="\emdash "/>
      <w:numFmt w:val="bullet"/>
      <w:start w:val="1"/>
    </w:lvl>
  </w:abstractNum>
  <w:abstractNum w:abstractNumId="30">
    <w:nsid w:val="51EAD36B"/>
    <w:multiLevelType w:val="hybridMultilevel"/>
    <w:lvl w:ilvl="0">
      <w:lvlJc w:val="left"/>
      <w:lvlText w:val="%1."/>
      <w:numFmt w:val="upperLetter"/>
      <w:start w:val="1"/>
    </w:lvl>
  </w:abstractNum>
  <w:abstractNum w:abstractNumId="31">
    <w:nsid w:val="2D517796"/>
    <w:multiLevelType w:val="hybridMultilevel"/>
    <w:lvl w:ilvl="0">
      <w:lvlJc w:val="left"/>
      <w:lvlText w:val="%1."/>
      <w:numFmt w:val="upperLetter"/>
      <w:start w:val="2"/>
    </w:lvl>
  </w:abstractNum>
  <w:abstractNum w:abstractNumId="32">
    <w:nsid w:val="580BD78F"/>
    <w:multiLevelType w:val="hybridMultilevel"/>
    <w:lvl w:ilvl="0">
      <w:lvlJc w:val="left"/>
      <w:lvlText w:val="\emdash "/>
      <w:numFmt w:val="bullet"/>
      <w:start w:val="1"/>
    </w:lvl>
  </w:abstractNum>
  <w:abstractNum w:abstractNumId="33">
    <w:nsid w:val="153EA438"/>
    <w:multiLevelType w:val="hybridMultilevel"/>
    <w:lvl w:ilvl="0">
      <w:lvlJc w:val="left"/>
      <w:lvlText w:val="\emdash "/>
      <w:numFmt w:val="bullet"/>
      <w:start w:val="1"/>
    </w:lvl>
  </w:abstractNum>
  <w:abstractNum w:abstractNumId="34">
    <w:nsid w:val="3855585C"/>
    <w:multiLevelType w:val="hybridMultilevel"/>
    <w:lvl w:ilvl="0">
      <w:lvlJc w:val="left"/>
      <w:lvlText w:val="\emdash "/>
      <w:numFmt w:val="bullet"/>
      <w:start w:val="1"/>
    </w:lvl>
  </w:abstractNum>
  <w:abstractNum w:abstractNumId="35">
    <w:nsid w:val="70A64E2A"/>
    <w:multiLevelType w:val="hybridMultilevel"/>
    <w:lvl w:ilvl="0">
      <w:lvlJc w:val="left"/>
      <w:lvlText w:val="\emdash "/>
      <w:numFmt w:val="bullet"/>
      <w:start w:val="1"/>
    </w:lvl>
  </w:abstractNum>
  <w:abstractNum w:abstractNumId="36">
    <w:nsid w:val="6A2342EC"/>
    <w:multiLevelType w:val="hybridMultilevel"/>
    <w:lvl w:ilvl="0">
      <w:lvlJc w:val="left"/>
      <w:lvlText w:val="\emdash "/>
      <w:numFmt w:val="bullet"/>
      <w:start w:val="1"/>
    </w:lvl>
  </w:abstractNum>
  <w:abstractNum w:abstractNumId="37">
    <w:nsid w:val="2A487CB0"/>
    <w:multiLevelType w:val="hybridMultilevel"/>
    <w:lvl w:ilvl="0">
      <w:lvlJc w:val="left"/>
      <w:lvlText w:val="\emdash "/>
      <w:numFmt w:val="bullet"/>
      <w:start w:val="1"/>
    </w:lvl>
  </w:abstractNum>
  <w:abstractNum w:abstractNumId="38">
    <w:nsid w:val="1D4ED43B"/>
    <w:multiLevelType w:val="hybridMultilevel"/>
    <w:lvl w:ilvl="0">
      <w:lvlJc w:val="left"/>
      <w:lvlText w:val="\emdash "/>
      <w:numFmt w:val="bullet"/>
      <w:start w:val="1"/>
    </w:lvl>
  </w:abstractNum>
  <w:abstractNum w:abstractNumId="39">
    <w:nsid w:val="725A06FB"/>
    <w:multiLevelType w:val="hybridMultilevel"/>
    <w:lvl w:ilvl="0">
      <w:lvlJc w:val="left"/>
      <w:lvlText w:val="%1."/>
      <w:numFmt w:val="decimal"/>
      <w:start w:val="1"/>
    </w:lvl>
    <w:lvl w:ilvl="1">
      <w:lvlJc w:val="left"/>
      <w:lvlText w:val="(%2)"/>
      <w:numFmt w:val="lowerLetter"/>
      <w:start w:val="1"/>
    </w:lvl>
  </w:abstractNum>
  <w:abstractNum w:abstractNumId="40">
    <w:nsid w:val="2CD89A32"/>
    <w:multiLevelType w:val="hybridMultilevel"/>
    <w:lvl w:ilvl="0">
      <w:lvlJc w:val="left"/>
      <w:lvlText w:val="%1."/>
      <w:numFmt w:val="lowerRoman"/>
      <w:start w:val="1"/>
    </w:lvl>
  </w:abstractNum>
  <w:abstractNum w:abstractNumId="41">
    <w:nsid w:val="57E4CCAF"/>
    <w:multiLevelType w:val="hybridMultilevel"/>
    <w:lvl w:ilvl="0">
      <w:lvlJc w:val="left"/>
      <w:lvlText w:val="\emdash "/>
      <w:numFmt w:val="bullet"/>
      <w:start w:val="1"/>
    </w:lvl>
  </w:abstractNum>
  <w:abstractNum w:abstractNumId="42">
    <w:nsid w:val="7A6D8D3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3">
    <w:nsid w:val="4B588F54"/>
    <w:multiLevelType w:val="hybridMultilevel"/>
    <w:lvl w:ilvl="0">
      <w:lvlJc w:val="left"/>
      <w:lvlText w:val="(%1)"/>
      <w:numFmt w:val="lowerRoman"/>
      <w:start w:val="3"/>
    </w:lvl>
  </w:abstractNum>
  <w:abstractNum w:abstractNumId="44">
    <w:nsid w:val="542289EC"/>
    <w:multiLevelType w:val="hybridMultilevel"/>
    <w:lvl w:ilvl="0">
      <w:lvlJc w:val="left"/>
      <w:lvlText w:val="(%1)"/>
      <w:numFmt w:val="decimal"/>
      <w:start w:val="2"/>
    </w:lvl>
  </w:abstractNum>
  <w:abstractNum w:abstractNumId="45">
    <w:nsid w:val="6DE91B18"/>
    <w:multiLevelType w:val="hybridMultilevel"/>
    <w:lvl w:ilvl="0">
      <w:lvlJc w:val="left"/>
      <w:lvlText w:val="(%1)"/>
      <w:numFmt w:val="lowerLetter"/>
      <w:start w:val="2"/>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2019-12-12T11:41:58Z</dcterms:created>
  <dcterms:modified xsi:type="dcterms:W3CDTF">2019-12-12T11:41:58Z</dcterms:modified>
</cp:coreProperties>
</file>