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2"/>
          <w:szCs w:val="12"/>
          <w:color w:val="auto"/>
        </w:rPr>
        <w:t>UNITED STATES</w:t>
      </w:r>
    </w:p>
    <w:p>
      <w:pPr>
        <w:spacing w:after="0" w:line="1" w:lineRule="exact"/>
        <w:rPr>
          <w:sz w:val="24"/>
          <w:szCs w:val="24"/>
          <w:color w:val="auto"/>
        </w:rPr>
      </w:pPr>
    </w:p>
    <w:p>
      <w:pPr>
        <w:jc w:val="center"/>
        <w:ind w:right="4532"/>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 w:lineRule="exact"/>
        <w:rPr>
          <w:sz w:val="24"/>
          <w:szCs w:val="24"/>
          <w:color w:val="auto"/>
        </w:rPr>
      </w:pPr>
    </w:p>
    <w:p>
      <w:pPr>
        <w:jc w:val="center"/>
        <w:ind w:right="4532"/>
        <w:spacing w:after="0"/>
        <w:rPr>
          <w:sz w:val="20"/>
          <w:szCs w:val="20"/>
          <w:color w:val="auto"/>
        </w:rPr>
      </w:pPr>
      <w:r>
        <w:rPr>
          <w:rFonts w:ascii="Courier New" w:cs="Courier New" w:eastAsia="Courier New" w:hAnsi="Courier New"/>
          <w:sz w:val="12"/>
          <w:szCs w:val="12"/>
          <w:color w:val="auto"/>
        </w:rPr>
        <w:t>WASHINGTON, D.C. 20549</w:t>
      </w:r>
    </w:p>
    <w:p>
      <w:pPr>
        <w:spacing w:after="0" w:line="139" w:lineRule="exact"/>
        <w:rPr>
          <w:sz w:val="24"/>
          <w:szCs w:val="24"/>
          <w:color w:val="auto"/>
        </w:rPr>
      </w:pPr>
    </w:p>
    <w:p>
      <w:pPr>
        <w:ind w:left="2567"/>
        <w:spacing w:after="0"/>
        <w:rPr>
          <w:sz w:val="20"/>
          <w:szCs w:val="20"/>
          <w:color w:val="auto"/>
        </w:rPr>
      </w:pPr>
      <w:r>
        <w:rPr>
          <w:rFonts w:ascii="Courier New" w:cs="Courier New" w:eastAsia="Courier New" w:hAnsi="Courier New"/>
          <w:sz w:val="12"/>
          <w:szCs w:val="12"/>
          <w:color w:val="auto"/>
        </w:rPr>
        <w:t>---------</w:t>
      </w:r>
    </w:p>
    <w:p>
      <w:pPr>
        <w:spacing w:after="0" w:line="1" w:lineRule="exact"/>
        <w:rPr>
          <w:sz w:val="24"/>
          <w:szCs w:val="24"/>
          <w:color w:val="auto"/>
        </w:rPr>
      </w:pPr>
    </w:p>
    <w:p>
      <w:pPr>
        <w:ind w:left="2567"/>
        <w:spacing w:after="0"/>
        <w:rPr>
          <w:sz w:val="20"/>
          <w:szCs w:val="20"/>
          <w:color w:val="auto"/>
        </w:rPr>
      </w:pPr>
      <w:r>
        <w:rPr>
          <w:rFonts w:ascii="Courier New" w:cs="Courier New" w:eastAsia="Courier New" w:hAnsi="Courier New"/>
          <w:sz w:val="12"/>
          <w:szCs w:val="12"/>
          <w:color w:val="auto"/>
        </w:rPr>
        <w:t>FORM 20-F</w:t>
      </w:r>
    </w:p>
    <w:p>
      <w:pPr>
        <w:spacing w:after="0" w:line="1" w:lineRule="exact"/>
        <w:rPr>
          <w:sz w:val="24"/>
          <w:szCs w:val="24"/>
          <w:color w:val="auto"/>
        </w:rPr>
      </w:pPr>
    </w:p>
    <w:p>
      <w:pPr>
        <w:ind w:left="2567"/>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4"/>
          <w:szCs w:val="24"/>
          <w:color w:val="auto"/>
        </w:rPr>
      </w:pPr>
    </w:p>
    <w:p>
      <w:pPr>
        <w:ind w:left="1147"/>
        <w:spacing w:after="0"/>
        <w:rPr>
          <w:sz w:val="20"/>
          <w:szCs w:val="20"/>
          <w:color w:val="auto"/>
        </w:rPr>
      </w:pPr>
      <w:r>
        <w:rPr>
          <w:rFonts w:ascii="Courier New" w:cs="Courier New" w:eastAsia="Courier New" w:hAnsi="Courier New"/>
          <w:sz w:val="12"/>
          <w:szCs w:val="12"/>
          <w:color w:val="auto"/>
        </w:rPr>
        <w:t>ANNUAL REPORT PURSUANT TO SECTION 13 OR 15(D) OF</w:t>
      </w:r>
    </w:p>
    <w:p>
      <w:pPr>
        <w:spacing w:after="0" w:line="1" w:lineRule="exact"/>
        <w:rPr>
          <w:sz w:val="24"/>
          <w:szCs w:val="24"/>
          <w:color w:val="auto"/>
        </w:rPr>
      </w:pPr>
    </w:p>
    <w:p>
      <w:pPr>
        <w:ind w:left="1567"/>
        <w:spacing w:after="0"/>
        <w:rPr>
          <w:sz w:val="20"/>
          <w:szCs w:val="20"/>
          <w:color w:val="auto"/>
        </w:rPr>
      </w:pPr>
      <w:r>
        <w:rPr>
          <w:rFonts w:ascii="Courier New" w:cs="Courier New" w:eastAsia="Courier New" w:hAnsi="Courier New"/>
          <w:sz w:val="12"/>
          <w:szCs w:val="12"/>
          <w:color w:val="auto"/>
        </w:rPr>
        <w:t>THE SECURITIES EXCHANGE ACT OF 1934</w:t>
      </w:r>
    </w:p>
    <w:p>
      <w:pPr>
        <w:spacing w:after="0" w:line="139" w:lineRule="exact"/>
        <w:rPr>
          <w:sz w:val="24"/>
          <w:szCs w:val="24"/>
          <w:color w:val="auto"/>
        </w:rPr>
      </w:pPr>
    </w:p>
    <w:p>
      <w:pPr>
        <w:ind w:left="7"/>
        <w:spacing w:after="0"/>
        <w:tabs>
          <w:tab w:leader="none" w:pos="3466" w:val="left"/>
        </w:tabs>
        <w:rPr>
          <w:sz w:val="20"/>
          <w:szCs w:val="20"/>
          <w:color w:val="auto"/>
        </w:rPr>
      </w:pPr>
      <w:r>
        <w:rPr>
          <w:rFonts w:ascii="Courier New" w:cs="Courier New" w:eastAsia="Courier New" w:hAnsi="Courier New"/>
          <w:sz w:val="12"/>
          <w:szCs w:val="12"/>
          <w:color w:val="auto"/>
        </w:rPr>
        <w:t>FOR THE FISCAL YEAR ENDED DECEMBER 31, 2005</w:t>
      </w:r>
      <w:r>
        <w:rPr>
          <w:sz w:val="20"/>
          <w:szCs w:val="20"/>
          <w:color w:val="auto"/>
        </w:rPr>
        <w:tab/>
      </w:r>
      <w:r>
        <w:rPr>
          <w:rFonts w:ascii="Courier New" w:cs="Courier New" w:eastAsia="Courier New" w:hAnsi="Courier New"/>
          <w:sz w:val="11"/>
          <w:szCs w:val="11"/>
          <w:color w:val="auto"/>
        </w:rPr>
        <w:t>Commission File number: 0-24790</w:t>
      </w:r>
    </w:p>
    <w:p>
      <w:pPr>
        <w:spacing w:after="0" w:line="139" w:lineRule="exact"/>
        <w:rPr>
          <w:sz w:val="24"/>
          <w:szCs w:val="24"/>
          <w:color w:val="auto"/>
        </w:rPr>
      </w:pPr>
    </w:p>
    <w:p>
      <w:pPr>
        <w:ind w:left="2007"/>
        <w:spacing w:after="0"/>
        <w:rPr>
          <w:sz w:val="20"/>
          <w:szCs w:val="20"/>
          <w:color w:val="auto"/>
        </w:rPr>
      </w:pPr>
      <w:r>
        <w:rPr>
          <w:rFonts w:ascii="Courier New" w:cs="Courier New" w:eastAsia="Courier New" w:hAnsi="Courier New"/>
          <w:sz w:val="12"/>
          <w:szCs w:val="12"/>
          <w:color w:val="auto"/>
        </w:rPr>
        <w:t>------------------------</w:t>
      </w:r>
    </w:p>
    <w:p>
      <w:pPr>
        <w:spacing w:after="0" w:line="1" w:lineRule="exact"/>
        <w:rPr>
          <w:sz w:val="24"/>
          <w:szCs w:val="24"/>
          <w:color w:val="auto"/>
        </w:rPr>
      </w:pPr>
    </w:p>
    <w:p>
      <w:pPr>
        <w:jc w:val="center"/>
        <w:ind w:right="4532"/>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4"/>
          <w:szCs w:val="24"/>
          <w:color w:val="auto"/>
        </w:rPr>
      </w:pPr>
    </w:p>
    <w:p>
      <w:pPr>
        <w:jc w:val="center"/>
        <w:ind w:right="4532"/>
        <w:spacing w:after="0"/>
        <w:rPr>
          <w:sz w:val="20"/>
          <w:szCs w:val="20"/>
          <w:color w:val="auto"/>
        </w:rPr>
      </w:pPr>
      <w:r>
        <w:rPr>
          <w:rFonts w:ascii="Courier New" w:cs="Courier New" w:eastAsia="Courier New" w:hAnsi="Courier New"/>
          <w:sz w:val="12"/>
          <w:szCs w:val="12"/>
          <w:color w:val="auto"/>
        </w:rPr>
        <w:t>(Exact name of registrant as specified in its charter and translation of</w:t>
      </w:r>
    </w:p>
    <w:p>
      <w:pPr>
        <w:spacing w:after="0" w:line="1" w:lineRule="exact"/>
        <w:rPr>
          <w:sz w:val="24"/>
          <w:szCs w:val="24"/>
          <w:color w:val="auto"/>
        </w:rPr>
      </w:pPr>
    </w:p>
    <w:p>
      <w:pPr>
        <w:jc w:val="center"/>
        <w:ind w:right="4592"/>
        <w:spacing w:after="0"/>
        <w:rPr>
          <w:sz w:val="20"/>
          <w:szCs w:val="20"/>
          <w:color w:val="auto"/>
        </w:rPr>
      </w:pPr>
      <w:r>
        <w:rPr>
          <w:rFonts w:ascii="Courier New" w:cs="Courier New" w:eastAsia="Courier New" w:hAnsi="Courier New"/>
          <w:sz w:val="12"/>
          <w:szCs w:val="12"/>
          <w:color w:val="auto"/>
        </w:rPr>
        <w:t>registrant's name into English)</w:t>
      </w:r>
    </w:p>
    <w:p>
      <w:pPr>
        <w:spacing w:after="0" w:line="1" w:lineRule="exact"/>
        <w:rPr>
          <w:sz w:val="24"/>
          <w:szCs w:val="24"/>
          <w:color w:val="auto"/>
        </w:rPr>
      </w:pPr>
    </w:p>
    <w:p>
      <w:pPr>
        <w:ind w:left="427"/>
        <w:spacing w:after="0"/>
        <w:rPr>
          <w:sz w:val="20"/>
          <w:szCs w:val="20"/>
          <w:color w:val="auto"/>
        </w:rPr>
      </w:pPr>
      <w:r>
        <w:rPr>
          <w:rFonts w:ascii="Courier New" w:cs="Courier New" w:eastAsia="Courier New" w:hAnsi="Courier New"/>
          <w:sz w:val="12"/>
          <w:szCs w:val="12"/>
          <w:color w:val="auto"/>
        </w:rPr>
        <w:t>----------------------------------------------------------------------</w:t>
      </w:r>
    </w:p>
    <w:p>
      <w:pPr>
        <w:spacing w:after="0" w:line="1" w:lineRule="exact"/>
        <w:rPr>
          <w:sz w:val="24"/>
          <w:szCs w:val="24"/>
          <w:color w:val="auto"/>
        </w:rPr>
      </w:pPr>
    </w:p>
    <w:p>
      <w:pPr>
        <w:jc w:val="center"/>
        <w:ind w:right="4532"/>
        <w:spacing w:after="0"/>
        <w:rPr>
          <w:sz w:val="20"/>
          <w:szCs w:val="20"/>
          <w:color w:val="auto"/>
        </w:rPr>
      </w:pPr>
      <w:r>
        <w:rPr>
          <w:rFonts w:ascii="Courier New" w:cs="Courier New" w:eastAsia="Courier New" w:hAnsi="Courier New"/>
          <w:sz w:val="12"/>
          <w:szCs w:val="12"/>
          <w:color w:val="auto"/>
        </w:rPr>
        <w:t>ISRAEL</w:t>
      </w:r>
    </w:p>
    <w:p>
      <w:pPr>
        <w:spacing w:after="0" w:line="1"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2"/>
          <w:szCs w:val="12"/>
          <w:color w:val="auto"/>
        </w:rPr>
        <w:t>(Jurisdiction of incorporation or organization)</w:t>
      </w:r>
    </w:p>
    <w:p>
      <w:pPr>
        <w:spacing w:after="0" w:line="139"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2"/>
          <w:szCs w:val="12"/>
          <w:color w:val="auto"/>
        </w:rPr>
        <w:t>RAMAT GAVRIEL INDUSTRIAL PARK</w:t>
      </w:r>
    </w:p>
    <w:p>
      <w:pPr>
        <w:spacing w:after="0" w:line="1" w:lineRule="exact"/>
        <w:rPr>
          <w:sz w:val="24"/>
          <w:szCs w:val="24"/>
          <w:color w:val="auto"/>
        </w:rPr>
      </w:pPr>
    </w:p>
    <w:p>
      <w:pPr>
        <w:ind w:left="1427"/>
        <w:spacing w:after="0"/>
        <w:rPr>
          <w:sz w:val="20"/>
          <w:szCs w:val="20"/>
          <w:color w:val="auto"/>
        </w:rPr>
      </w:pPr>
      <w:r>
        <w:rPr>
          <w:rFonts w:ascii="Courier New" w:cs="Courier New" w:eastAsia="Courier New" w:hAnsi="Courier New"/>
          <w:sz w:val="12"/>
          <w:szCs w:val="12"/>
          <w:color w:val="auto"/>
        </w:rPr>
        <w:t>P.O. BOX 619, MIGDAL HAEMEK, ISRAEL 23105</w:t>
      </w:r>
    </w:p>
    <w:p>
      <w:pPr>
        <w:spacing w:after="0" w:line="1" w:lineRule="exact"/>
        <w:rPr>
          <w:sz w:val="24"/>
          <w:szCs w:val="24"/>
          <w:color w:val="auto"/>
        </w:rPr>
      </w:pPr>
    </w:p>
    <w:p>
      <w:pPr>
        <w:ind w:left="1427"/>
        <w:spacing w:after="0"/>
        <w:rPr>
          <w:sz w:val="20"/>
          <w:szCs w:val="20"/>
          <w:color w:val="auto"/>
        </w:rPr>
      </w:pPr>
      <w:r>
        <w:rPr>
          <w:rFonts w:ascii="Courier New" w:cs="Courier New" w:eastAsia="Courier New" w:hAnsi="Courier New"/>
          <w:sz w:val="12"/>
          <w:szCs w:val="12"/>
          <w:color w:val="auto"/>
        </w:rPr>
        <w:t>(Address of principal executive offices)</w:t>
      </w:r>
    </w:p>
    <w:p>
      <w:pPr>
        <w:spacing w:after="0" w:line="139" w:lineRule="exact"/>
        <w:rPr>
          <w:sz w:val="24"/>
          <w:szCs w:val="24"/>
          <w:color w:val="auto"/>
        </w:rPr>
      </w:pPr>
    </w:p>
    <w:p>
      <w:pPr>
        <w:ind w:left="1427"/>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2"/>
          <w:szCs w:val="12"/>
          <w:color w:val="auto"/>
        </w:rPr>
        <w:t>SECURITIES REGISTERED OR TO BE REGISTERED PURSUANT TO SECTION 12(B) OF THE ACT:</w:t>
      </w:r>
    </w:p>
    <w:p>
      <w:pPr>
        <w:spacing w:after="0" w:line="1" w:lineRule="exact"/>
        <w:rPr>
          <w:sz w:val="24"/>
          <w:szCs w:val="24"/>
          <w:color w:val="auto"/>
        </w:rPr>
      </w:pPr>
    </w:p>
    <w:p>
      <w:pPr>
        <w:jc w:val="center"/>
        <w:ind w:right="4532"/>
        <w:spacing w:after="0"/>
        <w:rPr>
          <w:sz w:val="20"/>
          <w:szCs w:val="20"/>
          <w:color w:val="auto"/>
        </w:rPr>
      </w:pPr>
      <w:r>
        <w:rPr>
          <w:rFonts w:ascii="Courier New" w:cs="Courier New" w:eastAsia="Courier New" w:hAnsi="Courier New"/>
          <w:sz w:val="12"/>
          <w:szCs w:val="12"/>
          <w:color w:val="auto"/>
        </w:rPr>
        <w:t>None</w:t>
      </w:r>
    </w:p>
    <w:p>
      <w:pPr>
        <w:spacing w:after="0" w:line="1"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2"/>
          <w:szCs w:val="12"/>
          <w:color w:val="auto"/>
        </w:rPr>
        <w:t>SECURITIES REGISTERED OR TO BE REGISTERED PURSUANT TO SECTION 12(G) OF THE ACT:</w:t>
      </w:r>
    </w:p>
    <w:p>
      <w:pPr>
        <w:spacing w:after="0" w:line="1" w:lineRule="exact"/>
        <w:rPr>
          <w:sz w:val="24"/>
          <w:szCs w:val="24"/>
          <w:color w:val="auto"/>
        </w:rPr>
      </w:pPr>
    </w:p>
    <w:p>
      <w:pPr>
        <w:ind w:left="707"/>
        <w:spacing w:after="0"/>
        <w:rPr>
          <w:sz w:val="20"/>
          <w:szCs w:val="20"/>
          <w:color w:val="auto"/>
        </w:rPr>
      </w:pPr>
      <w:r>
        <w:rPr>
          <w:rFonts w:ascii="Courier New" w:cs="Courier New" w:eastAsia="Courier New" w:hAnsi="Courier New"/>
          <w:sz w:val="12"/>
          <w:szCs w:val="12"/>
          <w:color w:val="auto"/>
        </w:rPr>
        <w:t>Ordinary Shares, par value New Israeli Shekels 1.00 per share</w:t>
      </w:r>
    </w:p>
    <w:p>
      <w:pPr>
        <w:spacing w:after="0" w:line="4" w:lineRule="exact"/>
        <w:rPr>
          <w:sz w:val="24"/>
          <w:szCs w:val="24"/>
          <w:color w:val="auto"/>
        </w:rPr>
      </w:pPr>
    </w:p>
    <w:p>
      <w:pPr>
        <w:ind w:left="147" w:hanging="147"/>
        <w:spacing w:after="0"/>
        <w:tabs>
          <w:tab w:leader="none" w:pos="147"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9" w:lineRule="exact"/>
        <w:rPr>
          <w:rFonts w:ascii="Courier New" w:cs="Courier New" w:eastAsia="Courier New" w:hAnsi="Courier New"/>
          <w:sz w:val="11"/>
          <w:szCs w:val="11"/>
          <w:color w:val="auto"/>
        </w:rPr>
      </w:pPr>
    </w:p>
    <w:p>
      <w:pPr>
        <w:ind w:left="2287"/>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(Title of Class)</w:t>
      </w:r>
    </w:p>
    <w:p>
      <w:pPr>
        <w:spacing w:after="0" w:line="139" w:lineRule="exact"/>
        <w:rPr>
          <w:sz w:val="24"/>
          <w:szCs w:val="24"/>
          <w:color w:val="auto"/>
        </w:rPr>
      </w:pPr>
    </w:p>
    <w:p>
      <w:pPr>
        <w:ind w:left="2567"/>
        <w:spacing w:after="0"/>
        <w:rPr>
          <w:sz w:val="20"/>
          <w:szCs w:val="20"/>
          <w:color w:val="auto"/>
        </w:rPr>
      </w:pPr>
      <w:r>
        <w:rPr>
          <w:rFonts w:ascii="Courier New" w:cs="Courier New" w:eastAsia="Courier New" w:hAnsi="Courier New"/>
          <w:sz w:val="12"/>
          <w:szCs w:val="12"/>
          <w:color w:val="auto"/>
        </w:rPr>
        <w:t>Warrants</w:t>
      </w:r>
    </w:p>
    <w:p>
      <w:pPr>
        <w:spacing w:after="0" w:line="4" w:lineRule="exact"/>
        <w:rPr>
          <w:sz w:val="24"/>
          <w:szCs w:val="24"/>
          <w:color w:val="auto"/>
        </w:rPr>
      </w:pPr>
    </w:p>
    <w:p>
      <w:pPr>
        <w:ind w:left="147" w:hanging="147"/>
        <w:spacing w:after="0"/>
        <w:tabs>
          <w:tab w:leader="none" w:pos="147"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9" w:lineRule="exact"/>
        <w:rPr>
          <w:rFonts w:ascii="Courier New" w:cs="Courier New" w:eastAsia="Courier New" w:hAnsi="Courier New"/>
          <w:sz w:val="11"/>
          <w:szCs w:val="11"/>
          <w:color w:val="auto"/>
        </w:rPr>
      </w:pPr>
    </w:p>
    <w:p>
      <w:pPr>
        <w:ind w:left="2287"/>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(Title of Class)</w:t>
      </w:r>
    </w:p>
    <w:p>
      <w:pPr>
        <w:spacing w:after="0" w:line="139" w:lineRule="exact"/>
        <w:rPr>
          <w:sz w:val="24"/>
          <w:szCs w:val="24"/>
          <w:color w:val="auto"/>
        </w:rPr>
      </w:pPr>
    </w:p>
    <w:p>
      <w:pPr>
        <w:ind w:left="2067"/>
        <w:spacing w:after="0"/>
        <w:rPr>
          <w:sz w:val="20"/>
          <w:szCs w:val="20"/>
          <w:color w:val="auto"/>
        </w:rPr>
      </w:pPr>
      <w:r>
        <w:rPr>
          <w:rFonts w:ascii="Courier New" w:cs="Courier New" w:eastAsia="Courier New" w:hAnsi="Courier New"/>
          <w:sz w:val="12"/>
          <w:szCs w:val="12"/>
          <w:color w:val="auto"/>
        </w:rPr>
        <w:t>Convertible Debentures</w:t>
      </w:r>
    </w:p>
    <w:p>
      <w:pPr>
        <w:spacing w:after="0" w:line="4" w:lineRule="exact"/>
        <w:rPr>
          <w:sz w:val="24"/>
          <w:szCs w:val="24"/>
          <w:color w:val="auto"/>
        </w:rPr>
      </w:pPr>
    </w:p>
    <w:p>
      <w:pPr>
        <w:ind w:left="147" w:hanging="147"/>
        <w:spacing w:after="0"/>
        <w:tabs>
          <w:tab w:leader="none" w:pos="147"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9" w:lineRule="exact"/>
        <w:rPr>
          <w:rFonts w:ascii="Courier New" w:cs="Courier New" w:eastAsia="Courier New" w:hAnsi="Courier New"/>
          <w:sz w:val="11"/>
          <w:szCs w:val="11"/>
          <w:color w:val="auto"/>
        </w:rPr>
      </w:pPr>
    </w:p>
    <w:p>
      <w:pPr>
        <w:ind w:left="2287"/>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(Title of Class)</w:t>
      </w:r>
    </w:p>
    <w:p>
      <w:pPr>
        <w:spacing w:after="0" w:line="139" w:lineRule="exact"/>
        <w:rPr>
          <w:sz w:val="24"/>
          <w:szCs w:val="24"/>
          <w:color w:val="auto"/>
        </w:rPr>
      </w:pPr>
    </w:p>
    <w:p>
      <w:pPr>
        <w:jc w:val="center"/>
        <w:ind w:right="4532"/>
        <w:spacing w:after="0"/>
        <w:rPr>
          <w:sz w:val="20"/>
          <w:szCs w:val="20"/>
          <w:color w:val="auto"/>
        </w:rPr>
      </w:pPr>
      <w:r>
        <w:rPr>
          <w:rFonts w:ascii="Courier New" w:cs="Courier New" w:eastAsia="Courier New" w:hAnsi="Courier New"/>
          <w:sz w:val="12"/>
          <w:szCs w:val="12"/>
          <w:color w:val="auto"/>
        </w:rPr>
        <w:t>SECURITIES FOR WHICH THERE IS A REPORTING OBLIGATION PURSUANT TO</w:t>
      </w:r>
    </w:p>
    <w:p>
      <w:pPr>
        <w:spacing w:after="0" w:line="1" w:lineRule="exact"/>
        <w:rPr>
          <w:sz w:val="24"/>
          <w:szCs w:val="24"/>
          <w:color w:val="auto"/>
        </w:rPr>
      </w:pPr>
    </w:p>
    <w:p>
      <w:pPr>
        <w:jc w:val="center"/>
        <w:ind w:right="4532"/>
        <w:spacing w:after="0"/>
        <w:rPr>
          <w:sz w:val="20"/>
          <w:szCs w:val="20"/>
          <w:color w:val="auto"/>
        </w:rPr>
      </w:pPr>
      <w:r>
        <w:rPr>
          <w:rFonts w:ascii="Courier New" w:cs="Courier New" w:eastAsia="Courier New" w:hAnsi="Courier New"/>
          <w:sz w:val="12"/>
          <w:szCs w:val="12"/>
          <w:color w:val="auto"/>
        </w:rPr>
        <w:t>SECTION 15(D) OF THE ACT: None</w:t>
      </w:r>
    </w:p>
    <w:p>
      <w:pPr>
        <w:spacing w:after="0" w:line="141" w:lineRule="exact"/>
        <w:rPr>
          <w:sz w:val="24"/>
          <w:szCs w:val="24"/>
          <w:color w:val="auto"/>
        </w:rPr>
      </w:pPr>
    </w:p>
    <w:p>
      <w:pPr>
        <w:jc w:val="both"/>
        <w:ind w:left="7" w:right="4679" w:firstLine="357"/>
        <w:spacing w:after="0" w:line="239" w:lineRule="auto"/>
        <w:rPr>
          <w:sz w:val="20"/>
          <w:szCs w:val="20"/>
          <w:color w:val="auto"/>
        </w:rPr>
      </w:pPr>
      <w:r>
        <w:rPr>
          <w:rFonts w:ascii="Courier New" w:cs="Courier New" w:eastAsia="Courier New" w:hAnsi="Courier New"/>
          <w:sz w:val="12"/>
          <w:szCs w:val="12"/>
          <w:color w:val="auto"/>
        </w:rPr>
        <w:t>Indicate the number of outstanding shares of each of the issuer's classes of capital or common stock as of the close of the period covered by the annual report: 66,932,056 Ordinary Shares</w:t>
      </w:r>
    </w:p>
    <w:p>
      <w:pPr>
        <w:spacing w:after="0" w:line="143" w:lineRule="exact"/>
        <w:rPr>
          <w:sz w:val="24"/>
          <w:szCs w:val="24"/>
          <w:color w:val="auto"/>
        </w:rPr>
      </w:pPr>
    </w:p>
    <w:p>
      <w:pPr>
        <w:jc w:val="both"/>
        <w:ind w:left="7" w:right="4679" w:firstLine="357"/>
        <w:spacing w:after="0" w:line="238" w:lineRule="auto"/>
        <w:rPr>
          <w:sz w:val="20"/>
          <w:szCs w:val="20"/>
          <w:color w:val="auto"/>
        </w:rPr>
      </w:pPr>
      <w:r>
        <w:rPr>
          <w:rFonts w:ascii="Courier New" w:cs="Courier New" w:eastAsia="Courier New" w:hAnsi="Courier New"/>
          <w:sz w:val="12"/>
          <w:szCs w:val="12"/>
          <w:color w:val="auto"/>
        </w:rPr>
        <w:t>Indicate by check mark if the registrant is a well-known seasoned issuer, as defined in Rule 405 of the Securities Act.</w:t>
      </w:r>
    </w:p>
    <w:p>
      <w:pPr>
        <w:spacing w:after="0" w:line="139" w:lineRule="exact"/>
        <w:rPr>
          <w:sz w:val="24"/>
          <w:szCs w:val="24"/>
          <w:color w:val="auto"/>
        </w:rPr>
      </w:pPr>
    </w:p>
    <w:p>
      <w:pPr>
        <w:ind w:left="2207"/>
        <w:spacing w:after="0"/>
        <w:tabs>
          <w:tab w:leader="none" w:pos="3046"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141" w:lineRule="exact"/>
        <w:rPr>
          <w:sz w:val="24"/>
          <w:szCs w:val="24"/>
          <w:color w:val="auto"/>
        </w:rPr>
      </w:pPr>
    </w:p>
    <w:p>
      <w:pPr>
        <w:ind w:left="7" w:right="4539" w:firstLine="357"/>
        <w:spacing w:after="0" w:line="239" w:lineRule="auto"/>
        <w:rPr>
          <w:sz w:val="20"/>
          <w:szCs w:val="20"/>
          <w:color w:val="auto"/>
        </w:rPr>
      </w:pPr>
      <w:r>
        <w:rPr>
          <w:rFonts w:ascii="Courier New" w:cs="Courier New" w:eastAsia="Courier New" w:hAnsi="Courier New"/>
          <w:sz w:val="12"/>
          <w:szCs w:val="12"/>
          <w:color w:val="auto"/>
        </w:rPr>
        <w:t>If this report is an annual or transition report, indicate by check mark if the registrant is not required to file reports pursuant to Section 13 or 15(d) of the Securities Exchange Act of 1934.</w:t>
      </w:r>
    </w:p>
    <w:p>
      <w:pPr>
        <w:spacing w:after="0" w:line="140" w:lineRule="exact"/>
        <w:rPr>
          <w:sz w:val="24"/>
          <w:szCs w:val="24"/>
          <w:color w:val="auto"/>
        </w:rPr>
      </w:pPr>
    </w:p>
    <w:p>
      <w:pPr>
        <w:ind w:left="2207"/>
        <w:spacing w:after="0"/>
        <w:tabs>
          <w:tab w:leader="none" w:pos="3046"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141" w:lineRule="exact"/>
        <w:rPr>
          <w:sz w:val="24"/>
          <w:szCs w:val="24"/>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8" w:lineRule="exact"/>
        <w:rPr>
          <w:sz w:val="24"/>
          <w:szCs w:val="24"/>
          <w:color w:val="auto"/>
        </w:rPr>
      </w:pPr>
    </w:p>
    <w:p>
      <w:pPr>
        <w:ind w:left="2207"/>
        <w:spacing w:after="0"/>
        <w:tabs>
          <w:tab w:leader="none" w:pos="3046" w:val="left"/>
        </w:tabs>
        <w:rPr>
          <w:sz w:val="20"/>
          <w:szCs w:val="20"/>
          <w:color w:val="auto"/>
        </w:rPr>
      </w:pPr>
      <w:r>
        <w:rPr>
          <w:rFonts w:ascii="Courier New" w:cs="Courier New" w:eastAsia="Courier New" w:hAnsi="Courier New"/>
          <w:sz w:val="12"/>
          <w:szCs w:val="12"/>
          <w:color w:val="auto"/>
        </w:rPr>
        <w:t>Yes [X]</w:t>
      </w:r>
      <w:r>
        <w:rPr>
          <w:sz w:val="20"/>
          <w:szCs w:val="20"/>
          <w:color w:val="auto"/>
        </w:rPr>
        <w:tab/>
      </w:r>
      <w:r>
        <w:rPr>
          <w:rFonts w:ascii="Courier New" w:cs="Courier New" w:eastAsia="Courier New" w:hAnsi="Courier New"/>
          <w:sz w:val="11"/>
          <w:szCs w:val="11"/>
          <w:color w:val="auto"/>
        </w:rPr>
        <w:t>No [_]</w:t>
      </w:r>
    </w:p>
    <w:p>
      <w:pPr>
        <w:spacing w:after="0" w:line="398" w:lineRule="exact"/>
        <w:rPr>
          <w:sz w:val="24"/>
          <w:szCs w:val="24"/>
          <w:color w:val="auto"/>
        </w:rPr>
      </w:pPr>
    </w:p>
    <w:p>
      <w:pPr>
        <w:ind w:left="7" w:right="4539" w:firstLine="357"/>
        <w:spacing w:after="0"/>
        <w:rPr>
          <w:sz w:val="20"/>
          <w:szCs w:val="20"/>
          <w:color w:val="auto"/>
        </w:rPr>
      </w:pPr>
      <w:r>
        <w:rPr>
          <w:rFonts w:ascii="Courier New" w:cs="Courier New" w:eastAsia="Courier New" w:hAnsi="Courier New"/>
          <w:sz w:val="12"/>
          <w:szCs w:val="12"/>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4"/>
          <w:szCs w:val="24"/>
          <w:color w:val="auto"/>
        </w:rPr>
      </w:pPr>
    </w:p>
    <w:p>
      <w:pPr>
        <w:ind w:left="207"/>
        <w:spacing w:after="0"/>
        <w:rPr>
          <w:sz w:val="20"/>
          <w:szCs w:val="20"/>
          <w:color w:val="auto"/>
        </w:rPr>
      </w:pPr>
      <w:r>
        <w:rPr>
          <w:rFonts w:ascii="Courier New" w:cs="Courier New" w:eastAsia="Courier New" w:hAnsi="Courier New"/>
          <w:sz w:val="12"/>
          <w:szCs w:val="12"/>
          <w:color w:val="auto"/>
        </w:rPr>
        <w:t>Large accelerated filer [_] Accelerated filer [_] Non-accelerated filer [X]</w:t>
      </w:r>
    </w:p>
    <w:p>
      <w:pPr>
        <w:spacing w:after="0" w:line="141" w:lineRule="exact"/>
        <w:rPr>
          <w:sz w:val="24"/>
          <w:szCs w:val="24"/>
          <w:color w:val="auto"/>
        </w:rPr>
      </w:pPr>
    </w:p>
    <w:p>
      <w:pPr>
        <w:ind w:left="7" w:right="4759" w:firstLine="357"/>
        <w:spacing w:after="0" w:line="238" w:lineRule="auto"/>
        <w:rPr>
          <w:sz w:val="20"/>
          <w:szCs w:val="20"/>
          <w:color w:val="auto"/>
        </w:rPr>
      </w:pPr>
      <w:r>
        <w:rPr>
          <w:rFonts w:ascii="Courier New" w:cs="Courier New" w:eastAsia="Courier New" w:hAnsi="Courier New"/>
          <w:sz w:val="12"/>
          <w:szCs w:val="12"/>
          <w:color w:val="auto"/>
        </w:rPr>
        <w:t>Indicate by check mark which financial statement item the registrant has elected to follow.</w:t>
      </w:r>
    </w:p>
    <w:p>
      <w:pPr>
        <w:spacing w:after="0" w:line="139" w:lineRule="exact"/>
        <w:rPr>
          <w:sz w:val="24"/>
          <w:szCs w:val="24"/>
          <w:color w:val="auto"/>
        </w:rPr>
      </w:pPr>
    </w:p>
    <w:p>
      <w:pPr>
        <w:ind w:left="1847"/>
        <w:spacing w:after="0"/>
        <w:tabs>
          <w:tab w:leader="none" w:pos="2986" w:val="left"/>
        </w:tabs>
        <w:rPr>
          <w:sz w:val="20"/>
          <w:szCs w:val="20"/>
          <w:color w:val="auto"/>
        </w:rPr>
      </w:pPr>
      <w:r>
        <w:rPr>
          <w:rFonts w:ascii="Courier New" w:cs="Courier New" w:eastAsia="Courier New" w:hAnsi="Courier New"/>
          <w:sz w:val="12"/>
          <w:szCs w:val="12"/>
          <w:color w:val="auto"/>
        </w:rPr>
        <w:t>Item 17 [_]</w:t>
      </w:r>
      <w:r>
        <w:rPr>
          <w:sz w:val="20"/>
          <w:szCs w:val="20"/>
          <w:color w:val="auto"/>
        </w:rPr>
        <w:tab/>
      </w:r>
      <w:r>
        <w:rPr>
          <w:rFonts w:ascii="Courier New" w:cs="Courier New" w:eastAsia="Courier New" w:hAnsi="Courier New"/>
          <w:sz w:val="11"/>
          <w:szCs w:val="11"/>
          <w:color w:val="auto"/>
        </w:rPr>
        <w:t>Item 18 [X]</w:t>
      </w:r>
    </w:p>
    <w:p>
      <w:pPr>
        <w:spacing w:after="0" w:line="141" w:lineRule="exact"/>
        <w:rPr>
          <w:sz w:val="24"/>
          <w:szCs w:val="24"/>
          <w:color w:val="auto"/>
        </w:rPr>
      </w:pPr>
    </w:p>
    <w:p>
      <w:pPr>
        <w:ind w:left="7" w:right="4599" w:firstLine="357"/>
        <w:spacing w:after="0" w:line="238" w:lineRule="auto"/>
        <w:rPr>
          <w:sz w:val="20"/>
          <w:szCs w:val="20"/>
          <w:color w:val="auto"/>
        </w:rPr>
      </w:pPr>
      <w:r>
        <w:rPr>
          <w:rFonts w:ascii="Courier New" w:cs="Courier New" w:eastAsia="Courier New" w:hAnsi="Courier New"/>
          <w:sz w:val="12"/>
          <w:szCs w:val="12"/>
          <w:color w:val="auto"/>
        </w:rPr>
        <w:t>If this is an annual report, indicate by check mark whether the registrant is a shell company (as defined in Rule 12b-2 of the Exchange Act).</w:t>
      </w:r>
    </w:p>
    <w:p>
      <w:pPr>
        <w:spacing w:after="0" w:line="139" w:lineRule="exact"/>
        <w:rPr>
          <w:sz w:val="24"/>
          <w:szCs w:val="24"/>
          <w:color w:val="auto"/>
        </w:rPr>
      </w:pPr>
    </w:p>
    <w:p>
      <w:pPr>
        <w:ind w:left="2207"/>
        <w:spacing w:after="0"/>
        <w:tabs>
          <w:tab w:leader="none" w:pos="3046"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139" w:lineRule="exact"/>
        <w:rPr>
          <w:sz w:val="24"/>
          <w:szCs w:val="24"/>
          <w:color w:val="auto"/>
        </w:rPr>
      </w:pPr>
    </w:p>
    <w:p>
      <w:pPr>
        <w:ind w:left="2787"/>
        <w:spacing w:after="0"/>
        <w:rPr>
          <w:sz w:val="20"/>
          <w:szCs w:val="20"/>
          <w:color w:val="auto"/>
        </w:rPr>
      </w:pPr>
      <w:r>
        <w:rPr>
          <w:rFonts w:ascii="Courier New" w:cs="Courier New" w:eastAsia="Courier New" w:hAnsi="Courier New"/>
          <w:sz w:val="12"/>
          <w:szCs w:val="12"/>
          <w:color w:val="auto"/>
        </w:rPr>
        <w:t>ii</w:t>
      </w:r>
    </w:p>
    <w:p>
      <w:pPr>
        <w:spacing w:after="0" w:line="200" w:lineRule="exact"/>
        <w:rPr>
          <w:sz w:val="24"/>
          <w:szCs w:val="24"/>
          <w:color w:val="auto"/>
        </w:rPr>
      </w:pPr>
    </w:p>
    <w:p>
      <w:pPr>
        <w:spacing w:after="0" w:line="335" w:lineRule="exact"/>
        <w:rPr>
          <w:sz w:val="24"/>
          <w:szCs w:val="24"/>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at "Item 3. Risk Factors."</w:t>
      </w:r>
    </w:p>
    <w:p>
      <w:pPr>
        <w:spacing w:after="0" w:line="141" w:lineRule="exact"/>
        <w:rPr>
          <w:sz w:val="24"/>
          <w:szCs w:val="24"/>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4"/>
          <w:szCs w:val="24"/>
          <w:color w:val="auto"/>
        </w:rPr>
      </w:pPr>
    </w:p>
    <w:p>
      <w:pPr>
        <w:ind w:left="7" w:right="4599" w:firstLine="357"/>
        <w:spacing w:after="0" w:line="266" w:lineRule="auto"/>
        <w:rPr>
          <w:sz w:val="20"/>
          <w:szCs w:val="20"/>
          <w:color w:val="auto"/>
        </w:rPr>
      </w:pPr>
      <w:r>
        <w:rPr>
          <w:rFonts w:ascii="Courier New" w:cs="Courier New" w:eastAsia="Courier New" w:hAnsi="Courier New"/>
          <w:sz w:val="11"/>
          <w:szCs w:val="11"/>
          <w:color w:val="auto"/>
        </w:rPr>
        <w:t>We have prepared our consolidated financial statements in United States dollars and in accordance with accounting principles generally accepted in Israel ("Israeli GAAP"). Israeli GAAP varies in certain significant respects from accounting principles generally accepted in the United States of America ("U.S. GAAP"). The effect of the application of the latter on the financial position and results of operations as of the dates and for the years presented herein is summarized in Note 20 to our consolidated financial statements included herein. All references herein to "dollars" or "$" are to United States dollars, and all references to "Shekels" or "NIS" are to New Israeli Shekels.</w:t>
      </w:r>
    </w:p>
    <w:p>
      <w:pPr>
        <w:spacing w:after="0" w:line="126" w:lineRule="exact"/>
        <w:rPr>
          <w:sz w:val="24"/>
          <w:szCs w:val="24"/>
          <w:color w:val="auto"/>
        </w:rPr>
      </w:pPr>
    </w:p>
    <w:p>
      <w:pPr>
        <w:ind w:left="2427"/>
        <w:spacing w:after="0"/>
        <w:rPr>
          <w:sz w:val="20"/>
          <w:szCs w:val="20"/>
          <w:color w:val="auto"/>
        </w:rPr>
      </w:pPr>
      <w:r>
        <w:rPr>
          <w:rFonts w:ascii="Courier New" w:cs="Courier New" w:eastAsia="Courier New" w:hAnsi="Courier New"/>
          <w:sz w:val="12"/>
          <w:szCs w:val="12"/>
          <w:color w:val="auto"/>
        </w:rPr>
        <w:t>------------</w:t>
      </w:r>
    </w:p>
    <w:p>
      <w:pPr>
        <w:spacing w:after="0" w:line="141" w:lineRule="exact"/>
        <w:rPr>
          <w:sz w:val="24"/>
          <w:szCs w:val="24"/>
          <w:color w:val="auto"/>
        </w:rPr>
      </w:pPr>
    </w:p>
    <w:p>
      <w:pPr>
        <w:ind w:left="7" w:right="4539" w:firstLine="357"/>
        <w:spacing w:after="0" w:line="269" w:lineRule="auto"/>
        <w:rPr>
          <w:sz w:val="20"/>
          <w:szCs w:val="20"/>
          <w:color w:val="auto"/>
        </w:rPr>
      </w:pPr>
      <w:r>
        <w:rPr>
          <w:rFonts w:ascii="Courier New" w:cs="Courier New" w:eastAsia="Courier New" w:hAnsi="Courier New"/>
          <w:sz w:val="11"/>
          <w:szCs w:val="11"/>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w:t>
      </w:r>
    </w:p>
    <w:p>
      <w:pPr>
        <w:sectPr>
          <w:pgSz w:w="11900" w:h="16856" w:orient="portrait"/>
          <w:cols w:equalWidth="0" w:num="1">
            <w:col w:w="10246"/>
          </w:cols>
          <w:pgMar w:left="213" w:top="211" w:right="1440" w:bottom="0" w:gutter="0" w:footer="0" w:header="0"/>
        </w:sectPr>
      </w:pPr>
    </w:p>
    <w:bookmarkStart w:id="1" w:name="page2"/>
    <w:bookmarkEnd w:id="1"/>
    <w:p>
      <w:pPr>
        <w:spacing w:after="0" w:line="48" w:lineRule="exact"/>
        <w:rPr>
          <w:sz w:val="20"/>
          <w:szCs w:val="20"/>
          <w:color w:val="auto"/>
        </w:rPr>
      </w:pPr>
    </w:p>
    <w:p>
      <w:pPr>
        <w:ind w:right="4539"/>
        <w:spacing w:after="0" w:line="268" w:lineRule="auto"/>
        <w:rPr>
          <w:sz w:val="20"/>
          <w:szCs w:val="20"/>
          <w:color w:val="auto"/>
        </w:rPr>
      </w:pPr>
      <w:r>
        <w:rPr>
          <w:rFonts w:ascii="Courier New" w:cs="Courier New" w:eastAsia="Courier New" w:hAnsi="Courier New"/>
          <w:sz w:val="11"/>
          <w:szCs w:val="11"/>
          <w:color w:val="auto"/>
        </w:rPr>
        <w:t>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25" w:lineRule="exact"/>
        <w:rPr>
          <w:sz w:val="20"/>
          <w:szCs w:val="20"/>
          <w:color w:val="auto"/>
        </w:rPr>
      </w:pPr>
    </w:p>
    <w:p>
      <w:pPr>
        <w:ind w:left="2420"/>
        <w:spacing w:after="0"/>
        <w:rPr>
          <w:sz w:val="20"/>
          <w:szCs w:val="20"/>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right="5099" w:firstLine="357"/>
        <w:spacing w:after="0" w:line="238" w:lineRule="auto"/>
        <w:rPr>
          <w:sz w:val="20"/>
          <w:szCs w:val="20"/>
          <w:color w:val="auto"/>
        </w:rPr>
      </w:pPr>
      <w:r>
        <w:rPr>
          <w:rFonts w:ascii="Courier New" w:cs="Courier New" w:eastAsia="Courier New" w:hAnsi="Courier New"/>
          <w:sz w:val="12"/>
          <w:szCs w:val="12"/>
          <w:color w:val="auto"/>
        </w:rPr>
        <w:t>MICROFLASH(R) is a registered trademark of Tower and N-ROM(TM) is a trademark of Saifun Semiconductor Ltd.</w:t>
      </w:r>
    </w:p>
    <w:p>
      <w:pPr>
        <w:spacing w:after="0" w:line="139"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i</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00" w:type="dxa"/>
            <w:vAlign w:val="bottom"/>
          </w:tcPr>
          <w:p>
            <w:pPr>
              <w:spacing w:after="0"/>
              <w:rPr>
                <w:sz w:val="11"/>
                <w:szCs w:val="11"/>
                <w:color w:val="auto"/>
              </w:rPr>
            </w:pPr>
          </w:p>
        </w:tc>
        <w:tc>
          <w:tcPr>
            <w:tcW w:w="5000" w:type="dxa"/>
            <w:vAlign w:val="bottom"/>
          </w:tcPr>
          <w:p>
            <w:pPr>
              <w:ind w:left="1680"/>
              <w:spacing w:after="0"/>
              <w:rPr>
                <w:sz w:val="20"/>
                <w:szCs w:val="20"/>
                <w:color w:val="auto"/>
              </w:rPr>
            </w:pPr>
            <w:r>
              <w:rPr>
                <w:rFonts w:ascii="Courier New" w:cs="Courier New" w:eastAsia="Courier New" w:hAnsi="Courier New"/>
                <w:sz w:val="12"/>
                <w:szCs w:val="12"/>
                <w:color w:val="auto"/>
              </w:rPr>
              <w:t>TABLE OF CONTENTS</w:t>
            </w:r>
          </w:p>
        </w:tc>
        <w:tc>
          <w:tcPr>
            <w:tcW w:w="240" w:type="dxa"/>
            <w:vAlign w:val="bottom"/>
          </w:tcPr>
          <w:p>
            <w:pPr>
              <w:spacing w:after="0"/>
              <w:rPr>
                <w:sz w:val="11"/>
                <w:szCs w:val="11"/>
                <w:color w:val="auto"/>
              </w:rPr>
            </w:pP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PART 1</w:t>
            </w:r>
          </w:p>
        </w:tc>
        <w:tc>
          <w:tcPr>
            <w:tcW w:w="500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1. IDENTITY OF DIRECTORS, SENIOR MANAGEMENT AND ADVISORS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2. OFFER STATISTICS AND EXPECTED TIMETABLE</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3. KEY INFORMATION</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4. INFORMATION ON THE COMPANY</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21</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4A.</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UNRESOLVED STAFF COMMENTS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42</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5. OPERATING AND FINANCIAL REVIEW AND PROSPECTS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42</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6. DIRECTORS, SENIOR MANAGEMENT AND EMPLOYEES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61</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7. MAJOR SHAREHOLDERS AND RELATED PARTY TRANSACTIONS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72</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8. FINANCIAL INFORMATION</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9. THE OFFER AND LISTING</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10.</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ADDITIONAL INFORMATION</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11.</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QUANTITATIVE AND QUALITATIVE DISCLOSURES ABOUT MARKET RISKS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86</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12.</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DESCRIPTION OF SECURITIES OTHER THAN EQUITY SECURITIES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93</w:t>
            </w:r>
          </w:p>
        </w:tc>
      </w:tr>
      <w:tr>
        <w:trPr>
          <w:trHeight w:val="412"/>
        </w:trPr>
        <w:tc>
          <w:tcPr>
            <w:tcW w:w="600" w:type="dxa"/>
            <w:vAlign w:val="bottom"/>
          </w:tcPr>
          <w:p>
            <w:pPr>
              <w:spacing w:after="0"/>
              <w:rPr>
                <w:sz w:val="20"/>
                <w:szCs w:val="20"/>
                <w:color w:val="auto"/>
              </w:rPr>
            </w:pPr>
            <w:r>
              <w:rPr>
                <w:rFonts w:ascii="Courier New" w:cs="Courier New" w:eastAsia="Courier New" w:hAnsi="Courier New"/>
                <w:sz w:val="12"/>
                <w:szCs w:val="12"/>
                <w:color w:val="auto"/>
              </w:rPr>
              <w:t>PART II</w:t>
            </w:r>
          </w:p>
        </w:tc>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13.</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DEFAULTS, DIVIDEND AVERAGES AND DELINQUENCIES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90</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14.</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MATERIAL MODIFICATIONS TO THE RIGHTS OF SECURITY HOLDERS AND USE OF</w:t>
            </w:r>
          </w:p>
        </w:tc>
        <w:tc>
          <w:tcPr>
            <w:tcW w:w="240" w:type="dxa"/>
            <w:vAlign w:val="bottom"/>
          </w:tcPr>
          <w:p>
            <w:pPr>
              <w:spacing w:after="0"/>
              <w:rPr>
                <w:sz w:val="23"/>
                <w:szCs w:val="23"/>
                <w:color w:val="auto"/>
              </w:rPr>
            </w:pPr>
          </w:p>
        </w:tc>
      </w:tr>
      <w:tr>
        <w:trPr>
          <w:trHeight w:val="137"/>
        </w:trPr>
        <w:tc>
          <w:tcPr>
            <w:tcW w:w="600" w:type="dxa"/>
            <w:vAlign w:val="bottom"/>
          </w:tcPr>
          <w:p>
            <w:pPr>
              <w:spacing w:after="0"/>
              <w:rPr>
                <w:sz w:val="20"/>
                <w:szCs w:val="20"/>
                <w:color w:val="auto"/>
              </w:rPr>
            </w:pPr>
            <w:r>
              <w:rPr>
                <w:rFonts w:ascii="Courier New" w:cs="Courier New" w:eastAsia="Courier New" w:hAnsi="Courier New"/>
                <w:sz w:val="12"/>
                <w:szCs w:val="12"/>
                <w:color w:val="auto"/>
              </w:rPr>
              <w:t>PROCEEDS</w:t>
            </w:r>
          </w:p>
        </w:tc>
        <w:tc>
          <w:tcPr>
            <w:tcW w:w="50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90</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15.</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CONTROLS AND PROCEDURES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90</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16.</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[RESERVED]</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90</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16A. AUDIT COMMITTEE FINANCIAL EXPERT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91</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16B. CODE OF ETHICS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91</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16C. PRINCIPAL ACCOUNTANT FEES AND SERVICES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91</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16D. EXEMPTIONS FROM THE LISTING STANDARDS FROM AUDIT COMMITTEES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274"/>
        </w:trPr>
        <w:tc>
          <w:tcPr>
            <w:tcW w:w="5600" w:type="dxa"/>
            <w:vAlign w:val="bottom"/>
            <w:gridSpan w:val="2"/>
          </w:tcPr>
          <w:p>
            <w:pPr>
              <w:spacing w:after="0"/>
              <w:rPr>
                <w:sz w:val="20"/>
                <w:szCs w:val="20"/>
                <w:color w:val="auto"/>
              </w:rPr>
            </w:pPr>
            <w:r>
              <w:rPr>
                <w:rFonts w:ascii="Courier New" w:cs="Courier New" w:eastAsia="Courier New" w:hAnsi="Courier New"/>
                <w:sz w:val="12"/>
                <w:szCs w:val="12"/>
                <w:color w:val="auto"/>
              </w:rPr>
              <w:t>ITEM 16E. PURCHASES OF EQUITY SECURITIES BY THE ISSUER AND AFFILIATED PARTIES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412"/>
        </w:trPr>
        <w:tc>
          <w:tcPr>
            <w:tcW w:w="600" w:type="dxa"/>
            <w:vAlign w:val="bottom"/>
          </w:tcPr>
          <w:p>
            <w:pPr>
              <w:spacing w:after="0"/>
              <w:rPr>
                <w:sz w:val="20"/>
                <w:szCs w:val="20"/>
                <w:color w:val="auto"/>
              </w:rPr>
            </w:pPr>
            <w:r>
              <w:rPr>
                <w:rFonts w:ascii="Courier New" w:cs="Courier New" w:eastAsia="Courier New" w:hAnsi="Courier New"/>
                <w:sz w:val="12"/>
                <w:szCs w:val="12"/>
                <w:color w:val="auto"/>
              </w:rPr>
              <w:t>PART III</w:t>
            </w:r>
          </w:p>
        </w:tc>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17.</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FINANCIAL STATEMENTS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18.</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FINANCIAL STATEMENTS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19.</w:t>
            </w:r>
          </w:p>
        </w:tc>
        <w:tc>
          <w:tcPr>
            <w:tcW w:w="5000" w:type="dxa"/>
            <w:vAlign w:val="bottom"/>
          </w:tcPr>
          <w:p>
            <w:pPr>
              <w:ind w:left="40"/>
              <w:spacing w:after="0"/>
              <w:rPr>
                <w:sz w:val="20"/>
                <w:szCs w:val="20"/>
                <w:color w:val="auto"/>
              </w:rPr>
            </w:pPr>
            <w:r>
              <w:rPr>
                <w:rFonts w:ascii="Courier New" w:cs="Courier New" w:eastAsia="Courier New" w:hAnsi="Courier New"/>
                <w:sz w:val="12"/>
                <w:szCs w:val="12"/>
                <w:color w:val="auto"/>
              </w:rPr>
              <w:t>EXHIBITS</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r>
      <w:tr>
        <w:trPr>
          <w:trHeight w:val="412"/>
        </w:trPr>
        <w:tc>
          <w:tcPr>
            <w:tcW w:w="600" w:type="dxa"/>
            <w:vAlign w:val="bottom"/>
          </w:tcPr>
          <w:p>
            <w:pPr>
              <w:spacing w:after="0"/>
              <w:rPr>
                <w:sz w:val="24"/>
                <w:szCs w:val="24"/>
                <w:color w:val="auto"/>
              </w:rPr>
            </w:pPr>
          </w:p>
        </w:tc>
        <w:tc>
          <w:tcPr>
            <w:tcW w:w="5000" w:type="dxa"/>
            <w:vAlign w:val="bottom"/>
          </w:tcPr>
          <w:p>
            <w:pPr>
              <w:ind w:left="2180"/>
              <w:spacing w:after="0"/>
              <w:rPr>
                <w:sz w:val="20"/>
                <w:szCs w:val="20"/>
                <w:color w:val="auto"/>
              </w:rPr>
            </w:pPr>
            <w:r>
              <w:rPr>
                <w:rFonts w:ascii="Courier New" w:cs="Courier New" w:eastAsia="Courier New" w:hAnsi="Courier New"/>
                <w:sz w:val="12"/>
                <w:szCs w:val="12"/>
                <w:color w:val="auto"/>
              </w:rPr>
              <w:t>ii</w:t>
            </w:r>
          </w:p>
        </w:tc>
        <w:tc>
          <w:tcPr>
            <w:tcW w:w="240" w:type="dxa"/>
            <w:vAlign w:val="bottom"/>
          </w:tcPr>
          <w:p>
            <w:pPr>
              <w:spacing w:after="0"/>
              <w:rPr>
                <w:sz w:val="24"/>
                <w:szCs w:val="24"/>
                <w:color w:val="auto"/>
              </w:rPr>
            </w:pPr>
          </w:p>
        </w:tc>
      </w:tr>
      <w:tr>
        <w:trPr>
          <w:trHeight w:val="668"/>
        </w:trPr>
        <w:tc>
          <w:tcPr>
            <w:tcW w:w="600" w:type="dxa"/>
            <w:vAlign w:val="bottom"/>
          </w:tcPr>
          <w:p>
            <w:pPr>
              <w:spacing w:after="0"/>
              <w:rPr>
                <w:sz w:val="20"/>
                <w:szCs w:val="20"/>
                <w:color w:val="auto"/>
              </w:rPr>
            </w:pPr>
            <w:r>
              <w:rPr>
                <w:rFonts w:ascii="Courier New" w:cs="Courier New" w:eastAsia="Courier New" w:hAnsi="Courier New"/>
                <w:sz w:val="12"/>
                <w:szCs w:val="12"/>
                <w:color w:val="auto"/>
              </w:rPr>
              <w:t>PART I.</w:t>
            </w:r>
          </w:p>
        </w:tc>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4"/>
        </w:trPr>
        <w:tc>
          <w:tcPr>
            <w:tcW w:w="600" w:type="dxa"/>
            <w:vAlign w:val="bottom"/>
          </w:tcPr>
          <w:p>
            <w:pPr>
              <w:spacing w:after="0"/>
              <w:rPr>
                <w:sz w:val="20"/>
                <w:szCs w:val="20"/>
                <w:color w:val="auto"/>
              </w:rPr>
            </w:pPr>
            <w:r>
              <w:rPr>
                <w:rFonts w:ascii="Courier New" w:cs="Courier New" w:eastAsia="Courier New" w:hAnsi="Courier New"/>
                <w:sz w:val="12"/>
                <w:szCs w:val="12"/>
                <w:color w:val="auto"/>
              </w:rPr>
              <w:t>ITEM 1.</w:t>
            </w:r>
          </w:p>
        </w:tc>
        <w:tc>
          <w:tcPr>
            <w:tcW w:w="5000" w:type="dxa"/>
            <w:vAlign w:val="bottom"/>
          </w:tcPr>
          <w:p>
            <w:pPr>
              <w:ind w:left="100"/>
              <w:spacing w:after="0"/>
              <w:rPr>
                <w:sz w:val="20"/>
                <w:szCs w:val="20"/>
                <w:color w:val="auto"/>
              </w:rPr>
            </w:pPr>
            <w:r>
              <w:rPr>
                <w:rFonts w:ascii="Courier New" w:cs="Courier New" w:eastAsia="Courier New" w:hAnsi="Courier New"/>
                <w:sz w:val="12"/>
                <w:szCs w:val="12"/>
                <w:color w:val="auto"/>
              </w:rPr>
              <w:t>IDENTITY OF DIRECTORS, SENIOR MANAGEMENT AND ADVISORS</w:t>
            </w:r>
          </w:p>
        </w:tc>
        <w:tc>
          <w:tcPr>
            <w:tcW w:w="240" w:type="dxa"/>
            <w:vAlign w:val="bottom"/>
          </w:tcPr>
          <w:p>
            <w:pPr>
              <w:spacing w:after="0"/>
              <w:rPr>
                <w:sz w:val="23"/>
                <w:szCs w:val="23"/>
                <w:color w:val="auto"/>
              </w:rPr>
            </w:pPr>
          </w:p>
        </w:tc>
      </w:tr>
    </w:tbl>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Not applicable.</w:t>
      </w:r>
    </w:p>
    <w:p>
      <w:pPr>
        <w:spacing w:after="0" w:line="13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2.</w:t>
      </w:r>
      <w:r>
        <w:rPr>
          <w:sz w:val="20"/>
          <w:szCs w:val="20"/>
          <w:color w:val="auto"/>
        </w:rPr>
        <w:tab/>
      </w:r>
      <w:r>
        <w:rPr>
          <w:rFonts w:ascii="Courier New" w:cs="Courier New" w:eastAsia="Courier New" w:hAnsi="Courier New"/>
          <w:sz w:val="11"/>
          <w:szCs w:val="11"/>
          <w:color w:val="auto"/>
        </w:rPr>
        <w:t>OFFER STATISTICS AND EXPECTED TIMETABLE</w:t>
      </w:r>
    </w:p>
    <w:p>
      <w:pPr>
        <w:spacing w:after="0" w:line="139" w:lineRule="exact"/>
        <w:rPr>
          <w:sz w:val="20"/>
          <w:szCs w:val="20"/>
          <w:color w:val="auto"/>
        </w:rPr>
      </w:pPr>
    </w:p>
    <w:p>
      <w:pPr>
        <w:jc w:val="center"/>
        <w:ind w:right="8459"/>
        <w:spacing w:after="0"/>
        <w:rPr>
          <w:sz w:val="20"/>
          <w:szCs w:val="20"/>
          <w:color w:val="auto"/>
        </w:rPr>
      </w:pPr>
      <w:r>
        <w:rPr>
          <w:rFonts w:ascii="Courier New" w:cs="Courier New" w:eastAsia="Courier New" w:hAnsi="Courier New"/>
          <w:sz w:val="12"/>
          <w:szCs w:val="12"/>
          <w:color w:val="auto"/>
        </w:rPr>
        <w:t>Not applicable.</w:t>
      </w:r>
    </w:p>
    <w:p>
      <w:pPr>
        <w:spacing w:after="0" w:line="13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1"/>
          <w:szCs w:val="11"/>
          <w:color w:val="auto"/>
        </w:rPr>
        <w:t>KEY INFORMATION</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SELECTED FINANCIAL DATA</w:t>
      </w:r>
    </w:p>
    <w:p>
      <w:pPr>
        <w:spacing w:after="0" w:line="141" w:lineRule="exact"/>
        <w:rPr>
          <w:sz w:val="20"/>
          <w:szCs w:val="20"/>
          <w:color w:val="auto"/>
        </w:rPr>
      </w:pPr>
    </w:p>
    <w:p>
      <w:pPr>
        <w:ind w:right="4759" w:firstLine="357"/>
        <w:spacing w:after="0"/>
        <w:rPr>
          <w:sz w:val="20"/>
          <w:szCs w:val="20"/>
          <w:color w:val="auto"/>
        </w:rPr>
      </w:pPr>
      <w:r>
        <w:rPr>
          <w:rFonts w:ascii="Courier New" w:cs="Courier New" w:eastAsia="Courier New" w:hAnsi="Courier New"/>
          <w:sz w:val="12"/>
          <w:szCs w:val="12"/>
          <w:color w:val="auto"/>
        </w:rPr>
        <w:t>This section presents our selected historical financial data. You should carefully read the financial statements included in this annual report, including the notes to the financial statements. The selected data in this section is not intended to replace the financial statements.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derived the selected statement of operations data and other financial data for the years ended December 31, 2005, 2004 and 2003, and selected balance sheet data as of December 31, 2005 and 2004 from the audited financial statements in this annual report. Those financial statements were prepared in accordance with Israeli GAAP and audited by Brightman Almagor &amp; Co., a member firm of Deloitte Touche Tohmatsu, independent registered public accounting firm. We derived the selected statement of operations data and other financial data for the years ended December 31, 2002 and 2001 and the selected balance sheet data as of December 31, 2003, 2002 and 2001 from our audited financial statements that are not included in this annual report, which were prepared in accordance with Israeli GAAP. The differences between statements of operations and balance sheet data in accordance with US GAAP and the respective data in accordance with Israeli GAAP are presented below. See also note 20 to our audited financial statements in this annual report. Our management believes that the financial statements contain all adjustments needed to present fairly the information included therein.</w:t>
      </w:r>
    </w:p>
    <w:p>
      <w:pPr>
        <w:sectPr>
          <w:pgSz w:w="11900" w:h="16886" w:orient="portrait"/>
          <w:cols w:equalWidth="0" w:num="1">
            <w:col w:w="10239"/>
          </w:cols>
          <w:pgMar w:left="220" w:top="141" w:right="1440" w:bottom="0" w:gutter="0" w:footer="0" w:header="0"/>
        </w:sectPr>
      </w:pPr>
    </w:p>
    <w:p>
      <w:pPr>
        <w:spacing w:after="0" w:line="286" w:lineRule="exact"/>
        <w:rPr>
          <w:sz w:val="20"/>
          <w:szCs w:val="20"/>
          <w:color w:val="auto"/>
        </w:rPr>
      </w:pPr>
    </w:p>
    <w:p>
      <w:pPr>
        <w:ind w:left="2780"/>
        <w:spacing w:after="0"/>
        <w:rPr>
          <w:sz w:val="20"/>
          <w:szCs w:val="20"/>
          <w:color w:val="auto"/>
        </w:rPr>
      </w:pPr>
      <w:r>
        <w:rPr>
          <w:rFonts w:ascii="Courier New" w:cs="Courier New" w:eastAsia="Courier New" w:hAnsi="Courier New"/>
          <w:sz w:val="10"/>
          <w:szCs w:val="10"/>
          <w:color w:val="auto"/>
        </w:rPr>
        <w:t>1</w:t>
      </w:r>
    </w:p>
    <w:p>
      <w:pPr>
        <w:sectPr>
          <w:pgSz w:w="11900" w:h="16886" w:orient="portrait"/>
          <w:cols w:equalWidth="0" w:num="1">
            <w:col w:w="10239"/>
          </w:cols>
          <w:pgMar w:left="220" w:top="141" w:right="1440" w:bottom="0" w:gutter="0" w:footer="0" w:header="0"/>
          <w:type w:val="continuous"/>
        </w:sectPr>
      </w:pPr>
    </w:p>
    <w:bookmarkStart w:id="2" w:name="page3"/>
    <w:bookmarkEnd w:id="2"/>
    <w:p>
      <w:pPr>
        <w:spacing w:after="0" w:line="67"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YEAR ENDED DECEMBER 31,</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spacing w:after="0"/>
              <w:rPr>
                <w:sz w:val="11"/>
                <w:szCs w:val="11"/>
                <w:color w:val="auto"/>
              </w:rPr>
            </w:pPr>
          </w:p>
        </w:tc>
        <w:tc>
          <w:tcPr>
            <w:tcW w:w="4560" w:type="dxa"/>
            <w:vAlign w:val="bottom"/>
            <w:gridSpan w:val="11"/>
          </w:tcPr>
          <w:p>
            <w:pPr>
              <w:jc w:val="right"/>
              <w:ind w:right="161"/>
              <w:spacing w:after="0"/>
              <w:rPr>
                <w:sz w:val="20"/>
                <w:szCs w:val="20"/>
                <w:color w:val="auto"/>
              </w:rPr>
            </w:pPr>
            <w:r>
              <w:rPr>
                <w:rFonts w:ascii="Courier New" w:cs="Courier New" w:eastAsia="Courier New" w:hAnsi="Courier New"/>
                <w:sz w:val="12"/>
                <w:szCs w:val="12"/>
                <w:color w:val="auto"/>
                <w:w w:val="98"/>
              </w:rPr>
              <w:t>-------------------------------------------------------------</w:t>
            </w:r>
          </w:p>
        </w:tc>
      </w:tr>
      <w:tr>
        <w:trPr>
          <w:trHeight w:val="137"/>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2005</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2004</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2003</w:t>
            </w:r>
          </w:p>
        </w:tc>
        <w:tc>
          <w:tcPr>
            <w:tcW w:w="1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Courier New" w:cs="Courier New" w:eastAsia="Courier New" w:hAnsi="Courier New"/>
                <w:sz w:val="12"/>
                <w:szCs w:val="12"/>
                <w:color w:val="auto"/>
              </w:rPr>
              <w:t>2002</w:t>
            </w:r>
          </w:p>
        </w:tc>
        <w:tc>
          <w:tcPr>
            <w:tcW w:w="9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2001</w:t>
            </w:r>
          </w:p>
        </w:tc>
      </w:tr>
      <w:tr>
        <w:trPr>
          <w:trHeight w:val="137"/>
        </w:trPr>
        <w:tc>
          <w:tcPr>
            <w:tcW w:w="2140" w:type="dxa"/>
            <w:vAlign w:val="bottom"/>
          </w:tcPr>
          <w:p>
            <w:pPr>
              <w:spacing w:after="0"/>
              <w:rPr>
                <w:sz w:val="11"/>
                <w:szCs w:val="11"/>
                <w:color w:val="auto"/>
              </w:rPr>
            </w:pP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STATEMENT OF</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5"/>
          </w:tcPr>
          <w:p>
            <w:pPr>
              <w:jc w:val="right"/>
              <w:spacing w:after="0"/>
              <w:rPr>
                <w:sz w:val="20"/>
                <w:szCs w:val="20"/>
                <w:color w:val="auto"/>
              </w:rPr>
            </w:pPr>
            <w:r>
              <w:rPr>
                <w:rFonts w:ascii="Courier New" w:cs="Courier New" w:eastAsia="Courier New" w:hAnsi="Courier New"/>
                <w:sz w:val="12"/>
                <w:szCs w:val="12"/>
                <w:color w:val="auto"/>
                <w:w w:val="97"/>
              </w:rPr>
              <w:t>(in thousands, except share</w:t>
            </w:r>
          </w:p>
        </w:tc>
        <w:tc>
          <w:tcPr>
            <w:tcW w:w="740" w:type="dxa"/>
            <w:vAlign w:val="bottom"/>
          </w:tcPr>
          <w:p>
            <w:pPr>
              <w:ind w:left="80"/>
              <w:spacing w:after="0"/>
              <w:rPr>
                <w:sz w:val="20"/>
                <w:szCs w:val="20"/>
                <w:color w:val="auto"/>
              </w:rPr>
            </w:pPr>
            <w:r>
              <w:rPr>
                <w:rFonts w:ascii="Courier New" w:cs="Courier New" w:eastAsia="Courier New" w:hAnsi="Courier New"/>
                <w:sz w:val="12"/>
                <w:szCs w:val="12"/>
                <w:color w:val="auto"/>
              </w:rPr>
              <w:t>data)</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OPERATIONS DATA IN</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ACCORDANCE WITH ISRAELI</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GAAP:</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$ 101,991</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$ 126,055</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61,368</w:t>
            </w:r>
          </w:p>
        </w:tc>
        <w:tc>
          <w:tcPr>
            <w:tcW w:w="140" w:type="dxa"/>
            <w:vAlign w:val="bottom"/>
          </w:tcPr>
          <w:p>
            <w:pPr>
              <w:jc w:val="right"/>
              <w:ind w:right="25"/>
              <w:spacing w:after="0"/>
              <w:rPr>
                <w:sz w:val="20"/>
                <w:szCs w:val="20"/>
                <w:color w:val="auto"/>
              </w:rPr>
            </w:pPr>
            <w:r>
              <w:rPr>
                <w:rFonts w:ascii="Courier New" w:cs="Courier New" w:eastAsia="Courier New" w:hAnsi="Courier New"/>
                <w:sz w:val="8"/>
                <w:szCs w:val="8"/>
                <w:color w:val="auto"/>
                <w:w w:val="82"/>
              </w:rPr>
              <w:t>$</w:t>
            </w: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51,801</w:t>
            </w:r>
          </w:p>
        </w:tc>
        <w:tc>
          <w:tcPr>
            <w:tcW w:w="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52,372</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6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238,358</w:t>
            </w:r>
          </w:p>
        </w:tc>
        <w:tc>
          <w:tcPr>
            <w:tcW w:w="120" w:type="dxa"/>
            <w:vAlign w:val="bottom"/>
          </w:tcPr>
          <w:p>
            <w:pPr>
              <w:spacing w:after="0"/>
              <w:rPr>
                <w:sz w:val="11"/>
                <w:szCs w:val="11"/>
                <w:color w:val="auto"/>
              </w:rPr>
            </w:pPr>
          </w:p>
        </w:tc>
        <w:tc>
          <w:tcPr>
            <w:tcW w:w="7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228,410</w:t>
            </w:r>
          </w:p>
        </w:tc>
        <w:tc>
          <w:tcPr>
            <w:tcW w:w="140" w:type="dxa"/>
            <w:vAlign w:val="bottom"/>
          </w:tcPr>
          <w:p>
            <w:pPr>
              <w:spacing w:after="0"/>
              <w:rPr>
                <w:sz w:val="11"/>
                <w:szCs w:val="11"/>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122,395</w:t>
            </w:r>
          </w:p>
        </w:tc>
        <w:tc>
          <w:tcPr>
            <w:tcW w:w="14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67,022</w:t>
            </w:r>
          </w:p>
        </w:tc>
        <w:tc>
          <w:tcPr>
            <w:tcW w:w="26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76,733</w:t>
            </w:r>
          </w:p>
        </w:tc>
      </w:tr>
      <w:tr>
        <w:trPr>
          <w:trHeight w:val="137"/>
        </w:trPr>
        <w:tc>
          <w:tcPr>
            <w:tcW w:w="2140" w:type="dxa"/>
            <w:vAlign w:val="bottom"/>
          </w:tcPr>
          <w:p>
            <w:pPr>
              <w:spacing w:after="0"/>
              <w:rPr>
                <w:sz w:val="11"/>
                <w:szCs w:val="11"/>
                <w:color w:val="auto"/>
              </w:rPr>
            </w:pP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(136,367)</w:t>
            </w:r>
          </w:p>
        </w:tc>
        <w:tc>
          <w:tcPr>
            <w:tcW w:w="120" w:type="dxa"/>
            <w:vAlign w:val="bottom"/>
          </w:tcPr>
          <w:p>
            <w:pPr>
              <w:spacing w:after="0"/>
              <w:rPr>
                <w:sz w:val="11"/>
                <w:szCs w:val="11"/>
                <w:color w:val="auto"/>
              </w:rPr>
            </w:pPr>
          </w:p>
        </w:tc>
        <w:tc>
          <w:tcPr>
            <w:tcW w:w="7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5"/>
              </w:rPr>
              <w:t>(102,355)</w:t>
            </w:r>
          </w:p>
        </w:tc>
        <w:tc>
          <w:tcPr>
            <w:tcW w:w="140" w:type="dxa"/>
            <w:vAlign w:val="bottom"/>
          </w:tcPr>
          <w:p>
            <w:pPr>
              <w:spacing w:after="0"/>
              <w:rPr>
                <w:sz w:val="11"/>
                <w:szCs w:val="11"/>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(61,027)</w:t>
            </w:r>
          </w:p>
        </w:tc>
        <w:tc>
          <w:tcPr>
            <w:tcW w:w="140" w:type="dxa"/>
            <w:vAlign w:val="bottom"/>
          </w:tcPr>
          <w:p>
            <w:pPr>
              <w:spacing w:after="0"/>
              <w:rPr>
                <w:sz w:val="11"/>
                <w:szCs w:val="11"/>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7"/>
              </w:rPr>
              <w:t>(15,221)</w:t>
            </w:r>
          </w:p>
        </w:tc>
        <w:tc>
          <w:tcPr>
            <w:tcW w:w="9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(24,361)</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Research and development</w:t>
            </w:r>
          </w:p>
        </w:tc>
        <w:tc>
          <w:tcPr>
            <w:tcW w:w="6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16,029</w:t>
            </w:r>
          </w:p>
        </w:tc>
        <w:tc>
          <w:tcPr>
            <w:tcW w:w="120" w:type="dxa"/>
            <w:vAlign w:val="bottom"/>
          </w:tcPr>
          <w:p>
            <w:pPr>
              <w:spacing w:after="0"/>
              <w:rPr>
                <w:sz w:val="11"/>
                <w:szCs w:val="11"/>
                <w:color w:val="auto"/>
              </w:rPr>
            </w:pPr>
          </w:p>
        </w:tc>
        <w:tc>
          <w:tcPr>
            <w:tcW w:w="7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17,053</w:t>
            </w:r>
          </w:p>
        </w:tc>
        <w:tc>
          <w:tcPr>
            <w:tcW w:w="140" w:type="dxa"/>
            <w:vAlign w:val="bottom"/>
          </w:tcPr>
          <w:p>
            <w:pPr>
              <w:spacing w:after="0"/>
              <w:rPr>
                <w:sz w:val="11"/>
                <w:szCs w:val="11"/>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20,709</w:t>
            </w:r>
          </w:p>
        </w:tc>
        <w:tc>
          <w:tcPr>
            <w:tcW w:w="14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17,031</w:t>
            </w:r>
          </w:p>
        </w:tc>
        <w:tc>
          <w:tcPr>
            <w:tcW w:w="26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9,556</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Marketing, general and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administrative</w:t>
            </w:r>
          </w:p>
        </w:tc>
        <w:tc>
          <w:tcPr>
            <w:tcW w:w="6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17,418</w:t>
            </w:r>
          </w:p>
        </w:tc>
        <w:tc>
          <w:tcPr>
            <w:tcW w:w="120" w:type="dxa"/>
            <w:vAlign w:val="bottom"/>
          </w:tcPr>
          <w:p>
            <w:pPr>
              <w:spacing w:after="0"/>
              <w:rPr>
                <w:sz w:val="11"/>
                <w:szCs w:val="11"/>
                <w:color w:val="auto"/>
              </w:rPr>
            </w:pPr>
          </w:p>
        </w:tc>
        <w:tc>
          <w:tcPr>
            <w:tcW w:w="7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21,297</w:t>
            </w:r>
          </w:p>
        </w:tc>
        <w:tc>
          <w:tcPr>
            <w:tcW w:w="140" w:type="dxa"/>
            <w:vAlign w:val="bottom"/>
          </w:tcPr>
          <w:p>
            <w:pPr>
              <w:spacing w:after="0"/>
              <w:rPr>
                <w:sz w:val="11"/>
                <w:szCs w:val="11"/>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22,615</w:t>
            </w:r>
          </w:p>
        </w:tc>
        <w:tc>
          <w:tcPr>
            <w:tcW w:w="14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17,091</w:t>
            </w:r>
          </w:p>
        </w:tc>
        <w:tc>
          <w:tcPr>
            <w:tcW w:w="26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14,489</w:t>
            </w:r>
          </w:p>
        </w:tc>
      </w:tr>
      <w:tr>
        <w:trPr>
          <w:trHeight w:val="137"/>
        </w:trPr>
        <w:tc>
          <w:tcPr>
            <w:tcW w:w="2140" w:type="dxa"/>
            <w:vAlign w:val="bottom"/>
          </w:tcPr>
          <w:p>
            <w:pPr>
              <w:spacing w:after="0"/>
              <w:rPr>
                <w:sz w:val="11"/>
                <w:szCs w:val="11"/>
                <w:color w:val="auto"/>
              </w:rPr>
            </w:pP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(169,814)</w:t>
            </w:r>
          </w:p>
        </w:tc>
        <w:tc>
          <w:tcPr>
            <w:tcW w:w="120" w:type="dxa"/>
            <w:vAlign w:val="bottom"/>
          </w:tcPr>
          <w:p>
            <w:pPr>
              <w:spacing w:after="0"/>
              <w:rPr>
                <w:sz w:val="11"/>
                <w:szCs w:val="11"/>
                <w:color w:val="auto"/>
              </w:rPr>
            </w:pPr>
          </w:p>
        </w:tc>
        <w:tc>
          <w:tcPr>
            <w:tcW w:w="7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5"/>
              </w:rPr>
              <w:t>(140,705)</w:t>
            </w:r>
          </w:p>
        </w:tc>
        <w:tc>
          <w:tcPr>
            <w:tcW w:w="140" w:type="dxa"/>
            <w:vAlign w:val="bottom"/>
          </w:tcPr>
          <w:p>
            <w:pPr>
              <w:spacing w:after="0"/>
              <w:rPr>
                <w:sz w:val="11"/>
                <w:szCs w:val="11"/>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5"/>
              </w:rPr>
              <w:t>(104,351)</w:t>
            </w:r>
          </w:p>
        </w:tc>
        <w:tc>
          <w:tcPr>
            <w:tcW w:w="140" w:type="dxa"/>
            <w:vAlign w:val="bottom"/>
          </w:tcPr>
          <w:p>
            <w:pPr>
              <w:spacing w:after="0"/>
              <w:rPr>
                <w:sz w:val="11"/>
                <w:szCs w:val="11"/>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7"/>
              </w:rPr>
              <w:t>(49,343)</w:t>
            </w:r>
          </w:p>
        </w:tc>
        <w:tc>
          <w:tcPr>
            <w:tcW w:w="9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(48,406)</w:t>
            </w: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Financing income</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(expense), net</w:t>
            </w:r>
          </w:p>
        </w:tc>
        <w:tc>
          <w:tcPr>
            <w:tcW w:w="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(35,651)</w:t>
            </w:r>
          </w:p>
        </w:tc>
        <w:tc>
          <w:tcPr>
            <w:tcW w:w="120" w:type="dxa"/>
            <w:vAlign w:val="bottom"/>
          </w:tcPr>
          <w:p>
            <w:pPr>
              <w:spacing w:after="0"/>
              <w:rPr>
                <w:sz w:val="11"/>
                <w:szCs w:val="11"/>
                <w:color w:val="auto"/>
              </w:rPr>
            </w:pPr>
          </w:p>
        </w:tc>
        <w:tc>
          <w:tcPr>
            <w:tcW w:w="7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(29,745)</w:t>
            </w:r>
          </w:p>
        </w:tc>
        <w:tc>
          <w:tcPr>
            <w:tcW w:w="140" w:type="dxa"/>
            <w:vAlign w:val="bottom"/>
          </w:tcPr>
          <w:p>
            <w:pPr>
              <w:spacing w:after="0"/>
              <w:rPr>
                <w:sz w:val="11"/>
                <w:szCs w:val="11"/>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(9,826)</w:t>
            </w:r>
          </w:p>
        </w:tc>
        <w:tc>
          <w:tcPr>
            <w:tcW w:w="140" w:type="dxa"/>
            <w:vAlign w:val="bottom"/>
          </w:tcPr>
          <w:p>
            <w:pPr>
              <w:spacing w:after="0"/>
              <w:rPr>
                <w:sz w:val="11"/>
                <w:szCs w:val="11"/>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(2,104)</w:t>
            </w:r>
          </w:p>
        </w:tc>
        <w:tc>
          <w:tcPr>
            <w:tcW w:w="26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1,465</w:t>
            </w: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Other income (expense), net</w:t>
            </w:r>
          </w:p>
        </w:tc>
        <w:tc>
          <w:tcPr>
            <w:tcW w:w="6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2,383</w:t>
            </w:r>
          </w:p>
        </w:tc>
        <w:tc>
          <w:tcPr>
            <w:tcW w:w="120" w:type="dxa"/>
            <w:vAlign w:val="bottom"/>
          </w:tcPr>
          <w:p>
            <w:pPr>
              <w:spacing w:after="0"/>
              <w:rPr>
                <w:sz w:val="23"/>
                <w:szCs w:val="23"/>
                <w:color w:val="auto"/>
              </w:rPr>
            </w:pPr>
          </w:p>
        </w:tc>
        <w:tc>
          <w:tcPr>
            <w:tcW w:w="7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32,682</w:t>
            </w:r>
          </w:p>
        </w:tc>
        <w:tc>
          <w:tcPr>
            <w:tcW w:w="140" w:type="dxa"/>
            <w:vAlign w:val="bottom"/>
          </w:tcPr>
          <w:p>
            <w:pPr>
              <w:spacing w:after="0"/>
              <w:rPr>
                <w:sz w:val="23"/>
                <w:szCs w:val="23"/>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(84)</w:t>
            </w:r>
          </w:p>
        </w:tc>
        <w:tc>
          <w:tcPr>
            <w:tcW w:w="140" w:type="dxa"/>
            <w:vAlign w:val="bottom"/>
          </w:tcPr>
          <w:p>
            <w:pPr>
              <w:spacing w:after="0"/>
              <w:rPr>
                <w:sz w:val="23"/>
                <w:szCs w:val="23"/>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45</w:t>
            </w:r>
          </w:p>
        </w:tc>
        <w:tc>
          <w:tcPr>
            <w:tcW w:w="260" w:type="dxa"/>
            <w:vAlign w:val="bottom"/>
          </w:tcPr>
          <w:p>
            <w:pPr>
              <w:spacing w:after="0"/>
              <w:rPr>
                <w:sz w:val="23"/>
                <w:szCs w:val="23"/>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8,419</w:t>
            </w:r>
          </w:p>
        </w:tc>
      </w:tr>
      <w:tr>
        <w:trPr>
          <w:trHeight w:val="137"/>
        </w:trPr>
        <w:tc>
          <w:tcPr>
            <w:tcW w:w="2140" w:type="dxa"/>
            <w:vAlign w:val="bottom"/>
          </w:tcPr>
          <w:p>
            <w:pPr>
              <w:spacing w:after="0"/>
              <w:rPr>
                <w:sz w:val="11"/>
                <w:szCs w:val="11"/>
                <w:color w:val="auto"/>
              </w:rPr>
            </w:pP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412"/>
        </w:trPr>
        <w:tc>
          <w:tcPr>
            <w:tcW w:w="214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8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4"/>
              </w:rPr>
              <w:t>$(203,082)</w:t>
            </w:r>
          </w:p>
        </w:tc>
        <w:tc>
          <w:tcPr>
            <w:tcW w:w="90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$(137,768)</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$(114,261)</w:t>
            </w:r>
          </w:p>
        </w:tc>
        <w:tc>
          <w:tcPr>
            <w:tcW w:w="88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w w:val="97"/>
              </w:rPr>
              <w:t>$ (51,402)</w:t>
            </w:r>
          </w:p>
        </w:tc>
        <w:tc>
          <w:tcPr>
            <w:tcW w:w="9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(38,522)</w:t>
            </w:r>
          </w:p>
        </w:tc>
      </w:tr>
      <w:tr>
        <w:trPr>
          <w:trHeight w:val="137"/>
        </w:trPr>
        <w:tc>
          <w:tcPr>
            <w:tcW w:w="2140" w:type="dxa"/>
            <w:vAlign w:val="bottom"/>
          </w:tcPr>
          <w:p>
            <w:pPr>
              <w:spacing w:after="0"/>
              <w:rPr>
                <w:sz w:val="11"/>
                <w:szCs w:val="11"/>
                <w:color w:val="auto"/>
              </w:rPr>
            </w:pP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Basic loss per ordinary</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share</w:t>
            </w:r>
          </w:p>
        </w:tc>
        <w:tc>
          <w:tcPr>
            <w:tcW w:w="6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(3.06)</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(2.13)</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(2.45)</w:t>
            </w:r>
          </w:p>
        </w:tc>
        <w:tc>
          <w:tcPr>
            <w:tcW w:w="140" w:type="dxa"/>
            <w:vAlign w:val="bottom"/>
          </w:tcPr>
          <w:p>
            <w:pPr>
              <w:jc w:val="right"/>
              <w:ind w:right="25"/>
              <w:spacing w:after="0"/>
              <w:rPr>
                <w:sz w:val="20"/>
                <w:szCs w:val="20"/>
                <w:color w:val="auto"/>
              </w:rPr>
            </w:pPr>
            <w:r>
              <w:rPr>
                <w:rFonts w:ascii="Courier New" w:cs="Courier New" w:eastAsia="Courier New" w:hAnsi="Courier New"/>
                <w:sz w:val="8"/>
                <w:szCs w:val="8"/>
                <w:color w:val="auto"/>
                <w:w w:val="82"/>
              </w:rPr>
              <w:t>$</w:t>
            </w: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(1.63)</w:t>
            </w:r>
          </w:p>
        </w:tc>
        <w:tc>
          <w:tcPr>
            <w:tcW w:w="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(1.92)</w:t>
            </w:r>
          </w:p>
        </w:tc>
      </w:tr>
      <w:tr>
        <w:trPr>
          <w:trHeight w:val="137"/>
        </w:trPr>
        <w:tc>
          <w:tcPr>
            <w:tcW w:w="2140" w:type="dxa"/>
            <w:vAlign w:val="bottom"/>
          </w:tcPr>
          <w:p>
            <w:pPr>
              <w:spacing w:after="0"/>
              <w:rPr>
                <w:sz w:val="11"/>
                <w:szCs w:val="11"/>
                <w:color w:val="auto"/>
              </w:rPr>
            </w:pP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w:t>
            </w: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OTHER FINANCIAL DATA:</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Depreciation and</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amortization</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$ 144,852</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$ 121,067</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54,611</w:t>
            </w:r>
          </w:p>
        </w:tc>
        <w:tc>
          <w:tcPr>
            <w:tcW w:w="140" w:type="dxa"/>
            <w:vAlign w:val="bottom"/>
          </w:tcPr>
          <w:p>
            <w:pPr>
              <w:jc w:val="right"/>
              <w:ind w:right="25"/>
              <w:spacing w:after="0"/>
              <w:rPr>
                <w:sz w:val="20"/>
                <w:szCs w:val="20"/>
                <w:color w:val="auto"/>
              </w:rPr>
            </w:pPr>
            <w:r>
              <w:rPr>
                <w:rFonts w:ascii="Courier New" w:cs="Courier New" w:eastAsia="Courier New" w:hAnsi="Courier New"/>
                <w:sz w:val="8"/>
                <w:szCs w:val="8"/>
                <w:color w:val="auto"/>
                <w:w w:val="82"/>
              </w:rPr>
              <w:t>$</w:t>
            </w: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18,821</w:t>
            </w:r>
          </w:p>
        </w:tc>
        <w:tc>
          <w:tcPr>
            <w:tcW w:w="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21,721</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Capital expenditures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excluding Investment</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Center grants</w:t>
            </w:r>
          </w:p>
        </w:tc>
        <w:tc>
          <w:tcPr>
            <w:tcW w:w="6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30,239</w:t>
            </w:r>
          </w:p>
        </w:tc>
        <w:tc>
          <w:tcPr>
            <w:tcW w:w="90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$ 172,617</w:t>
            </w:r>
          </w:p>
        </w:tc>
        <w:tc>
          <w:tcPr>
            <w:tcW w:w="10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$ 164,187</w:t>
            </w:r>
          </w:p>
        </w:tc>
        <w:tc>
          <w:tcPr>
            <w:tcW w:w="88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w w:val="95"/>
              </w:rPr>
              <w:t>$ 243,431</w:t>
            </w: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$ 364,347</w:t>
            </w:r>
          </w:p>
        </w:tc>
      </w:tr>
      <w:tr>
        <w:trPr>
          <w:trHeight w:val="549"/>
        </w:trPr>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05"/>
        </w:trPr>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4"/>
          </w:tcPr>
          <w:p>
            <w:pPr>
              <w:jc w:val="right"/>
              <w:ind w:right="541"/>
              <w:spacing w:after="0"/>
              <w:rPr>
                <w:sz w:val="20"/>
                <w:szCs w:val="20"/>
                <w:color w:val="auto"/>
              </w:rPr>
            </w:pPr>
            <w:r>
              <w:rPr>
                <w:rFonts w:ascii="Courier New" w:cs="Courier New" w:eastAsia="Courier New" w:hAnsi="Courier New"/>
                <w:sz w:val="12"/>
                <w:szCs w:val="12"/>
                <w:color w:val="auto"/>
                <w:w w:val="97"/>
              </w:rPr>
              <w:t>AS OF DECEMBER 31,</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7"/>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500" w:type="dxa"/>
            <w:vAlign w:val="bottom"/>
            <w:gridSpan w:val="10"/>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2005</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2004</w:t>
            </w:r>
          </w:p>
        </w:tc>
        <w:tc>
          <w:tcPr>
            <w:tcW w:w="140" w:type="dxa"/>
            <w:vAlign w:val="bottom"/>
          </w:tcPr>
          <w:p>
            <w:pPr>
              <w:spacing w:after="0"/>
              <w:rPr>
                <w:sz w:val="11"/>
                <w:szCs w:val="11"/>
                <w:color w:val="auto"/>
              </w:rPr>
            </w:pP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2003</w:t>
            </w:r>
          </w:p>
        </w:tc>
        <w:tc>
          <w:tcPr>
            <w:tcW w:w="140" w:type="dxa"/>
            <w:vAlign w:val="bottom"/>
          </w:tcPr>
          <w:p>
            <w:pPr>
              <w:spacing w:after="0"/>
              <w:rPr>
                <w:sz w:val="11"/>
                <w:szCs w:val="11"/>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2002</w:t>
            </w:r>
          </w:p>
        </w:tc>
        <w:tc>
          <w:tcPr>
            <w:tcW w:w="26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2001</w:t>
            </w:r>
          </w:p>
        </w:tc>
      </w:tr>
      <w:tr>
        <w:trPr>
          <w:trHeight w:val="137"/>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3"/>
          </w:tcPr>
          <w:p>
            <w:pPr>
              <w:jc w:val="right"/>
              <w:ind w:right="601"/>
              <w:spacing w:after="0"/>
              <w:rPr>
                <w:sz w:val="20"/>
                <w:szCs w:val="20"/>
                <w:color w:val="auto"/>
              </w:rPr>
            </w:pPr>
            <w:r>
              <w:rPr>
                <w:rFonts w:ascii="Courier New" w:cs="Courier New" w:eastAsia="Courier New" w:hAnsi="Courier New"/>
                <w:sz w:val="12"/>
                <w:szCs w:val="12"/>
                <w:color w:val="auto"/>
              </w:rPr>
              <w:t>(in thousands)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w w:val="98"/>
              </w:rPr>
              <w:t>SELECTED BALANCE SHEET DATA IN</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ACCORDANCE WITH ISRAELI</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GAAP:</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Cash and cash equivalents,</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including short-term</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20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98"/>
              </w:rPr>
              <w:t>deposits and designated cash</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38,998</w:t>
            </w:r>
          </w:p>
        </w:tc>
        <w:tc>
          <w:tcPr>
            <w:tcW w:w="4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81,457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  56,490</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  69,695</w:t>
            </w:r>
          </w:p>
        </w:tc>
        <w:tc>
          <w:tcPr>
            <w:tcW w:w="260" w:type="dxa"/>
            <w:vAlign w:val="bottom"/>
          </w:tcPr>
          <w:p>
            <w:pPr>
              <w:ind w:left="180"/>
              <w:spacing w:after="0"/>
              <w:rPr>
                <w:sz w:val="20"/>
                <w:szCs w:val="20"/>
                <w:color w:val="auto"/>
              </w:rPr>
            </w:pPr>
            <w:r>
              <w:rPr>
                <w:rFonts w:ascii="Courier New" w:cs="Courier New" w:eastAsia="Courier New" w:hAnsi="Courier New"/>
                <w:sz w:val="12"/>
                <w:szCs w:val="12"/>
                <w:color w:val="auto"/>
                <w:w w:val="82"/>
              </w:rPr>
              <w: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33,202</w:t>
            </w: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Working capital</w:t>
            </w:r>
          </w:p>
        </w:tc>
        <w:tc>
          <w:tcPr>
            <w:tcW w:w="60" w:type="dxa"/>
            <w:vAlign w:val="bottom"/>
          </w:tcPr>
          <w:p>
            <w:pPr>
              <w:spacing w:after="0"/>
              <w:rPr>
                <w:sz w:val="23"/>
                <w:szCs w:val="23"/>
                <w:color w:val="auto"/>
              </w:rPr>
            </w:pPr>
          </w:p>
        </w:tc>
        <w:tc>
          <w:tcPr>
            <w:tcW w:w="136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(6,028)</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63,591</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50,492</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21,927</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(16,335)</w:t>
            </w: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678,686</w:t>
            </w:r>
          </w:p>
        </w:tc>
        <w:tc>
          <w:tcPr>
            <w:tcW w:w="4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847,508</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788,335</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716,261</w:t>
            </w:r>
          </w:p>
        </w:tc>
        <w:tc>
          <w:tcPr>
            <w:tcW w:w="26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472,054</w:t>
            </w:r>
          </w:p>
        </w:tc>
      </w:tr>
      <w:tr>
        <w:trPr>
          <w:trHeight w:val="137"/>
        </w:trPr>
        <w:tc>
          <w:tcPr>
            <w:tcW w:w="2200" w:type="dxa"/>
            <w:vAlign w:val="bottom"/>
            <w:gridSpan w:val="2"/>
          </w:tcPr>
          <w:p>
            <w:pPr>
              <w:spacing w:after="0"/>
              <w:rPr>
                <w:sz w:val="20"/>
                <w:szCs w:val="20"/>
                <w:color w:val="auto"/>
              </w:rPr>
            </w:pPr>
            <w:r>
              <w:rPr>
                <w:rFonts w:ascii="Courier New" w:cs="Courier New" w:eastAsia="Courier New" w:hAnsi="Courier New"/>
                <w:sz w:val="12"/>
                <w:szCs w:val="12"/>
                <w:color w:val="auto"/>
                <w:w w:val="97"/>
              </w:rPr>
              <w:t>Current maturities of long-term</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debt and other short-term</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debt</w:t>
            </w:r>
          </w:p>
        </w:tc>
        <w:tc>
          <w:tcPr>
            <w:tcW w:w="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21,103</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4,000</w:t>
            </w:r>
          </w:p>
        </w:tc>
        <w:tc>
          <w:tcPr>
            <w:tcW w:w="2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14,000</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Current maturities of</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convertible debentures</w:t>
            </w:r>
          </w:p>
        </w:tc>
        <w:tc>
          <w:tcPr>
            <w:tcW w:w="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6,453</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Long-term debt from banks</w:t>
            </w:r>
          </w:p>
        </w:tc>
        <w:tc>
          <w:tcPr>
            <w:tcW w:w="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497,000</w:t>
            </w:r>
          </w:p>
        </w:tc>
        <w:tc>
          <w:tcPr>
            <w:tcW w:w="4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497,000</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431,000</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253,000</w:t>
            </w:r>
          </w:p>
        </w:tc>
        <w:tc>
          <w:tcPr>
            <w:tcW w:w="2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115,000</w:t>
            </w:r>
          </w:p>
        </w:tc>
      </w:tr>
      <w:tr>
        <w:trPr>
          <w:trHeight w:val="137"/>
        </w:trPr>
        <w:tc>
          <w:tcPr>
            <w:tcW w:w="2200" w:type="dxa"/>
            <w:vAlign w:val="bottom"/>
            <w:gridSpan w:val="2"/>
          </w:tcPr>
          <w:p>
            <w:pPr>
              <w:spacing w:after="0"/>
              <w:rPr>
                <w:sz w:val="20"/>
                <w:szCs w:val="20"/>
                <w:color w:val="auto"/>
              </w:rPr>
            </w:pPr>
            <w:r>
              <w:rPr>
                <w:rFonts w:ascii="Courier New" w:cs="Courier New" w:eastAsia="Courier New" w:hAnsi="Courier New"/>
                <w:sz w:val="12"/>
                <w:szCs w:val="12"/>
                <w:color w:val="auto"/>
                <w:w w:val="97"/>
              </w:rPr>
              <w:t>2002 convertible debentures and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w w:val="98"/>
              </w:rPr>
              <w:t>2005 convertible debentures</w:t>
            </w:r>
          </w:p>
        </w:tc>
        <w:tc>
          <w:tcPr>
            <w:tcW w:w="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44,851</w:t>
            </w:r>
          </w:p>
        </w:tc>
        <w:tc>
          <w:tcPr>
            <w:tcW w:w="4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26,651</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25,783</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24,121</w:t>
            </w:r>
          </w:p>
        </w:tc>
        <w:tc>
          <w:tcPr>
            <w:tcW w:w="2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Long-term liabilities in</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respect of customers'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advances</w:t>
            </w:r>
          </w:p>
        </w:tc>
        <w:tc>
          <w:tcPr>
            <w:tcW w:w="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59,621</w:t>
            </w:r>
          </w:p>
        </w:tc>
        <w:tc>
          <w:tcPr>
            <w:tcW w:w="4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64,428</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46,347</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47,246</w:t>
            </w:r>
          </w:p>
        </w:tc>
        <w:tc>
          <w:tcPr>
            <w:tcW w:w="2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17,910</w:t>
            </w: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w w:val="98"/>
              </w:rPr>
              <w:t>Shareholders' equity (deficit)</w:t>
            </w:r>
          </w:p>
        </w:tc>
        <w:tc>
          <w:tcPr>
            <w:tcW w:w="60" w:type="dxa"/>
            <w:vAlign w:val="bottom"/>
          </w:tcPr>
          <w:p>
            <w:pPr>
              <w:spacing w:after="0"/>
              <w:rPr>
                <w:sz w:val="23"/>
                <w:szCs w:val="23"/>
                <w:color w:val="auto"/>
              </w:rPr>
            </w:pPr>
          </w:p>
        </w:tc>
        <w:tc>
          <w:tcPr>
            <w:tcW w:w="136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(30,067)</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167,980</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229,457</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298,334</w:t>
            </w:r>
          </w:p>
        </w:tc>
        <w:tc>
          <w:tcPr>
            <w:tcW w:w="260" w:type="dxa"/>
            <w:vAlign w:val="bottom"/>
          </w:tcPr>
          <w:p>
            <w:pPr>
              <w:spacing w:after="0"/>
              <w:rPr>
                <w:sz w:val="23"/>
                <w:szCs w:val="23"/>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252,805</w:t>
            </w:r>
          </w:p>
        </w:tc>
      </w:tr>
      <w:tr>
        <w:trPr>
          <w:trHeight w:val="274"/>
        </w:trPr>
        <w:tc>
          <w:tcPr>
            <w:tcW w:w="2140" w:type="dxa"/>
            <w:vAlign w:val="bottom"/>
          </w:tcPr>
          <w:p>
            <w:pPr>
              <w:spacing w:after="0"/>
              <w:rPr>
                <w:sz w:val="20"/>
                <w:szCs w:val="20"/>
                <w:color w:val="auto"/>
              </w:rPr>
            </w:pPr>
            <w:r>
              <w:rPr>
                <w:rFonts w:ascii="Courier New" w:cs="Courier New" w:eastAsia="Courier New" w:hAnsi="Courier New"/>
                <w:sz w:val="12"/>
                <w:szCs w:val="12"/>
                <w:color w:val="auto"/>
              </w:rPr>
              <w:t>Weighted average number of</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w w:val="98"/>
              </w:rPr>
              <w:t>ordinary shares outstanding</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66,371</w:t>
            </w:r>
          </w:p>
        </w:tc>
        <w:tc>
          <w:tcPr>
            <w:tcW w:w="4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64,717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46,710</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31,523</w:t>
            </w:r>
          </w:p>
        </w:tc>
        <w:tc>
          <w:tcPr>
            <w:tcW w:w="2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20,020</w:t>
            </w:r>
          </w:p>
        </w:tc>
      </w:tr>
      <w:tr>
        <w:trPr>
          <w:trHeight w:val="137"/>
        </w:trPr>
        <w:tc>
          <w:tcPr>
            <w:tcW w:w="2140" w:type="dxa"/>
            <w:vAlign w:val="bottom"/>
          </w:tcPr>
          <w:p>
            <w:pPr>
              <w:spacing w:after="0"/>
              <w:rPr>
                <w:sz w:val="20"/>
                <w:szCs w:val="20"/>
                <w:color w:val="auto"/>
              </w:rPr>
            </w:pPr>
            <w:r>
              <w:rPr>
                <w:rFonts w:ascii="Courier New" w:cs="Courier New" w:eastAsia="Courier New" w:hAnsi="Courier New"/>
                <w:sz w:val="12"/>
                <w:szCs w:val="12"/>
                <w:color w:val="auto"/>
              </w:rPr>
              <w:t>Number of shares issued and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140" w:type="dxa"/>
            <w:vAlign w:val="bottom"/>
          </w:tcPr>
          <w:p>
            <w:pPr>
              <w:ind w:left="200"/>
              <w:spacing w:after="0"/>
              <w:rPr>
                <w:sz w:val="20"/>
                <w:szCs w:val="20"/>
                <w:color w:val="auto"/>
              </w:rPr>
            </w:pPr>
            <w:r>
              <w:rPr>
                <w:rFonts w:ascii="Courier New" w:cs="Courier New" w:eastAsia="Courier New" w:hAnsi="Courier New"/>
                <w:sz w:val="12"/>
                <w:szCs w:val="12"/>
                <w:color w:val="auto"/>
              </w:rPr>
              <w:t>outstanding (*)</w:t>
            </w:r>
          </w:p>
        </w:tc>
        <w:tc>
          <w:tcPr>
            <w:tcW w:w="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66,932</w:t>
            </w:r>
          </w:p>
        </w:tc>
        <w:tc>
          <w:tcPr>
            <w:tcW w:w="4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65,700</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51,696</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43,436</w:t>
            </w:r>
          </w:p>
        </w:tc>
        <w:tc>
          <w:tcPr>
            <w:tcW w:w="26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24,997</w:t>
            </w:r>
          </w:p>
        </w:tc>
      </w:tr>
    </w:tbl>
    <w:p>
      <w:pPr>
        <w:spacing w:after="0" w:line="279" w:lineRule="exact"/>
        <w:rPr>
          <w:sz w:val="20"/>
          <w:szCs w:val="20"/>
          <w:color w:val="auto"/>
        </w:rPr>
      </w:pPr>
    </w:p>
    <w:p>
      <w:pPr>
        <w:ind w:left="7" w:right="4819" w:hanging="7"/>
        <w:spacing w:after="0" w:line="238" w:lineRule="auto"/>
        <w:tabs>
          <w:tab w:leader="none" w:pos="292"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1,300,000 Ordinary Shares held by us through a trustee as of each date presented.</w:t>
      </w:r>
    </w:p>
    <w:p>
      <w:pPr>
        <w:spacing w:after="0" w:line="279" w:lineRule="exact"/>
        <w:rPr>
          <w:sz w:val="20"/>
          <w:szCs w:val="20"/>
          <w:color w:val="auto"/>
        </w:rPr>
      </w:pPr>
    </w:p>
    <w:tbl>
      <w:tblPr>
        <w:tblLayout w:type="fixed"/>
        <w:tblInd w:w="7" w:type="dxa"/>
        <w:tblCellMar>
          <w:top w:w="0" w:type="dxa"/>
          <w:left w:w="0" w:type="dxa"/>
          <w:bottom w:w="0" w:type="dxa"/>
          <w:right w:w="0" w:type="dxa"/>
        </w:tblCellMar>
      </w:tblPr>
      <w:tr>
        <w:trPr>
          <w:trHeight w:val="133"/>
        </w:trPr>
        <w:tc>
          <w:tcPr>
            <w:tcW w:w="1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jc w:val="right"/>
              <w:ind w:right="842"/>
              <w:spacing w:after="0"/>
              <w:rPr>
                <w:sz w:val="20"/>
                <w:szCs w:val="20"/>
                <w:color w:val="auto"/>
              </w:rPr>
            </w:pPr>
            <w:r>
              <w:rPr>
                <w:rFonts w:ascii="Courier New" w:cs="Courier New" w:eastAsia="Courier New" w:hAnsi="Courier New"/>
                <w:sz w:val="8"/>
                <w:szCs w:val="8"/>
                <w:color w:val="auto"/>
                <w:w w:val="82"/>
              </w:rPr>
              <w:t>3</w:t>
            </w: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668"/>
        </w:trPr>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gridSpan w:val="3"/>
          </w:tcPr>
          <w:p>
            <w:pPr>
              <w:jc w:val="center"/>
              <w:ind w:left="62"/>
              <w:spacing w:after="0"/>
              <w:rPr>
                <w:sz w:val="20"/>
                <w:szCs w:val="20"/>
                <w:color w:val="auto"/>
              </w:rPr>
            </w:pPr>
            <w:r>
              <w:rPr>
                <w:rFonts w:ascii="Courier New" w:cs="Courier New" w:eastAsia="Courier New" w:hAnsi="Courier New"/>
                <w:sz w:val="12"/>
                <w:szCs w:val="12"/>
                <w:color w:val="auto"/>
                <w:w w:val="98"/>
              </w:rPr>
              <w:t>AS OF DECEMBER 31,</w:t>
            </w:r>
          </w:p>
        </w:tc>
        <w:tc>
          <w:tcPr>
            <w:tcW w:w="820" w:type="dxa"/>
            <w:vAlign w:val="bottom"/>
          </w:tcPr>
          <w:p>
            <w:pPr>
              <w:spacing w:after="0"/>
              <w:rPr>
                <w:sz w:val="24"/>
                <w:szCs w:val="24"/>
                <w:color w:val="auto"/>
              </w:rPr>
            </w:pPr>
          </w:p>
        </w:tc>
      </w:tr>
      <w:tr>
        <w:trPr>
          <w:trHeight w:val="137"/>
        </w:trPr>
        <w:tc>
          <w:tcPr>
            <w:tcW w:w="196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42"/>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8"/>
              </w:rPr>
              <w:t>---------</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1960" w:type="dxa"/>
            <w:vAlign w:val="bottom"/>
          </w:tcPr>
          <w:p>
            <w:pPr>
              <w:spacing w:after="0"/>
              <w:rPr>
                <w:sz w:val="11"/>
                <w:szCs w:val="11"/>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2005</w:t>
            </w:r>
          </w:p>
        </w:tc>
        <w:tc>
          <w:tcPr>
            <w:tcW w:w="960" w:type="dxa"/>
            <w:vAlign w:val="bottom"/>
          </w:tcPr>
          <w:p>
            <w:pPr>
              <w:jc w:val="right"/>
              <w:ind w:right="202"/>
              <w:spacing w:after="0"/>
              <w:rPr>
                <w:sz w:val="20"/>
                <w:szCs w:val="20"/>
                <w:color w:val="auto"/>
              </w:rPr>
            </w:pPr>
            <w:r>
              <w:rPr>
                <w:rFonts w:ascii="Courier New" w:cs="Courier New" w:eastAsia="Courier New" w:hAnsi="Courier New"/>
                <w:sz w:val="12"/>
                <w:szCs w:val="12"/>
                <w:color w:val="auto"/>
              </w:rPr>
              <w:t>2004</w:t>
            </w:r>
          </w:p>
        </w:tc>
        <w:tc>
          <w:tcPr>
            <w:tcW w:w="1080" w:type="dxa"/>
            <w:vAlign w:val="bottom"/>
          </w:tcPr>
          <w:p>
            <w:pPr>
              <w:jc w:val="center"/>
              <w:spacing w:after="0"/>
              <w:rPr>
                <w:sz w:val="20"/>
                <w:szCs w:val="20"/>
                <w:color w:val="auto"/>
              </w:rPr>
            </w:pPr>
            <w:r>
              <w:rPr>
                <w:rFonts w:ascii="Courier New" w:cs="Courier New" w:eastAsia="Courier New" w:hAnsi="Courier New"/>
                <w:sz w:val="12"/>
                <w:szCs w:val="12"/>
                <w:color w:val="auto"/>
                <w:w w:val="97"/>
              </w:rPr>
              <w:t>2003</w:t>
            </w:r>
          </w:p>
        </w:tc>
        <w:tc>
          <w:tcPr>
            <w:tcW w:w="8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2002</w:t>
            </w:r>
          </w:p>
        </w:tc>
        <w:tc>
          <w:tcPr>
            <w:tcW w:w="8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2001</w:t>
            </w:r>
          </w:p>
        </w:tc>
      </w:tr>
      <w:tr>
        <w:trPr>
          <w:trHeight w:val="137"/>
        </w:trPr>
        <w:tc>
          <w:tcPr>
            <w:tcW w:w="196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42"/>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8"/>
              </w:rPr>
              <w:t>---------</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1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2"/>
                <w:szCs w:val="12"/>
                <w:color w:val="auto"/>
                <w:w w:val="99"/>
              </w:rPr>
              <w:t>(in thousands)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4"/>
        </w:trPr>
        <w:tc>
          <w:tcPr>
            <w:tcW w:w="1960" w:type="dxa"/>
            <w:vAlign w:val="bottom"/>
          </w:tcPr>
          <w:p>
            <w:pPr>
              <w:spacing w:after="0"/>
              <w:rPr>
                <w:sz w:val="20"/>
                <w:szCs w:val="20"/>
                <w:color w:val="auto"/>
              </w:rPr>
            </w:pPr>
            <w:r>
              <w:rPr>
                <w:rFonts w:ascii="Courier New" w:cs="Courier New" w:eastAsia="Courier New" w:hAnsi="Courier New"/>
                <w:sz w:val="12"/>
                <w:szCs w:val="12"/>
                <w:color w:val="auto"/>
              </w:rPr>
              <w:t>RECONCILIATION TO US GAAP:</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4"/>
        </w:trPr>
        <w:tc>
          <w:tcPr>
            <w:tcW w:w="196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7"/>
        </w:trPr>
        <w:tc>
          <w:tcPr>
            <w:tcW w:w="1960" w:type="dxa"/>
            <w:vAlign w:val="bottom"/>
          </w:tcPr>
          <w:p>
            <w:pPr>
              <w:spacing w:after="0"/>
              <w:rPr>
                <w:sz w:val="20"/>
                <w:szCs w:val="20"/>
                <w:color w:val="auto"/>
              </w:rPr>
            </w:pPr>
            <w:r>
              <w:rPr>
                <w:rFonts w:ascii="Courier New" w:cs="Courier New" w:eastAsia="Courier New" w:hAnsi="Courier New"/>
                <w:sz w:val="12"/>
                <w:szCs w:val="12"/>
                <w:color w:val="auto"/>
              </w:rPr>
              <w:t>According to Israel GAAP</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$ 678,686</w:t>
            </w:r>
          </w:p>
        </w:tc>
        <w:tc>
          <w:tcPr>
            <w:tcW w:w="960" w:type="dxa"/>
            <w:vAlign w:val="bottom"/>
          </w:tcPr>
          <w:p>
            <w:pPr>
              <w:jc w:val="right"/>
              <w:ind w:right="42"/>
              <w:spacing w:after="0"/>
              <w:rPr>
                <w:sz w:val="20"/>
                <w:szCs w:val="20"/>
                <w:color w:val="auto"/>
              </w:rPr>
            </w:pPr>
            <w:r>
              <w:rPr>
                <w:rFonts w:ascii="Courier New" w:cs="Courier New" w:eastAsia="Courier New" w:hAnsi="Courier New"/>
                <w:sz w:val="12"/>
                <w:szCs w:val="12"/>
                <w:color w:val="auto"/>
              </w:rPr>
              <w:t>$ 847,508</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$ 788,335</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8"/>
              </w:rPr>
              <w:t>$ 716,261</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$ 472,054</w:t>
            </w:r>
          </w:p>
        </w:tc>
      </w:tr>
      <w:tr>
        <w:trPr>
          <w:trHeight w:val="137"/>
        </w:trPr>
        <w:tc>
          <w:tcPr>
            <w:tcW w:w="1960" w:type="dxa"/>
            <w:vAlign w:val="bottom"/>
          </w:tcPr>
          <w:p>
            <w:pPr>
              <w:spacing w:after="0"/>
              <w:rPr>
                <w:sz w:val="20"/>
                <w:szCs w:val="20"/>
                <w:color w:val="auto"/>
              </w:rPr>
            </w:pPr>
            <w:r>
              <w:rPr>
                <w:rFonts w:ascii="Courier New" w:cs="Courier New" w:eastAsia="Courier New" w:hAnsi="Courier New"/>
                <w:sz w:val="12"/>
                <w:szCs w:val="12"/>
                <w:color w:val="auto"/>
              </w:rPr>
              <w:t>The effect of:</w:t>
            </w: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1960" w:type="dxa"/>
            <w:vAlign w:val="bottom"/>
          </w:tcPr>
          <w:p>
            <w:pPr>
              <w:spacing w:after="0"/>
              <w:rPr>
                <w:sz w:val="20"/>
                <w:szCs w:val="20"/>
                <w:color w:val="auto"/>
              </w:rPr>
            </w:pPr>
            <w:r>
              <w:rPr>
                <w:rFonts w:ascii="Courier New" w:cs="Courier New" w:eastAsia="Courier New" w:hAnsi="Courier New"/>
                <w:sz w:val="12"/>
                <w:szCs w:val="12"/>
                <w:color w:val="auto"/>
              </w:rPr>
              <w:t>Presentation of long-term</w:t>
            </w: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1960" w:type="dxa"/>
            <w:vAlign w:val="bottom"/>
          </w:tcPr>
          <w:p>
            <w:pPr>
              <w:ind w:left="200"/>
              <w:spacing w:after="0"/>
              <w:rPr>
                <w:sz w:val="20"/>
                <w:szCs w:val="20"/>
                <w:color w:val="auto"/>
              </w:rPr>
            </w:pPr>
            <w:r>
              <w:rPr>
                <w:rFonts w:ascii="Courier New" w:cs="Courier New" w:eastAsia="Courier New" w:hAnsi="Courier New"/>
                <w:sz w:val="12"/>
                <w:szCs w:val="12"/>
                <w:color w:val="auto"/>
              </w:rPr>
              <w:t>liabilities in respect</w:t>
            </w: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1960" w:type="dxa"/>
            <w:vAlign w:val="bottom"/>
          </w:tcPr>
          <w:p>
            <w:pPr>
              <w:ind w:left="200"/>
              <w:spacing w:after="0"/>
              <w:rPr>
                <w:sz w:val="20"/>
                <w:szCs w:val="20"/>
                <w:color w:val="auto"/>
              </w:rPr>
            </w:pPr>
            <w:r>
              <w:rPr>
                <w:rFonts w:ascii="Courier New" w:cs="Courier New" w:eastAsia="Courier New" w:hAnsi="Courier New"/>
                <w:sz w:val="12"/>
                <w:szCs w:val="12"/>
                <w:color w:val="auto"/>
              </w:rPr>
              <w:t>of employees</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13,658</w:t>
            </w:r>
          </w:p>
        </w:tc>
        <w:tc>
          <w:tcPr>
            <w:tcW w:w="960" w:type="dxa"/>
            <w:vAlign w:val="bottom"/>
          </w:tcPr>
          <w:p>
            <w:pPr>
              <w:jc w:val="right"/>
              <w:ind w:right="42"/>
              <w:spacing w:after="0"/>
              <w:rPr>
                <w:sz w:val="20"/>
                <w:szCs w:val="20"/>
                <w:color w:val="auto"/>
              </w:rPr>
            </w:pPr>
            <w:r>
              <w:rPr>
                <w:rFonts w:ascii="Courier New" w:cs="Courier New" w:eastAsia="Courier New" w:hAnsi="Courier New"/>
                <w:sz w:val="12"/>
                <w:szCs w:val="12"/>
                <w:color w:val="auto"/>
              </w:rPr>
              <w:t>16,350</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14,607</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12,368</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10,334</w:t>
            </w:r>
          </w:p>
        </w:tc>
      </w:tr>
      <w:tr>
        <w:trPr>
          <w:trHeight w:val="274"/>
        </w:trPr>
        <w:tc>
          <w:tcPr>
            <w:tcW w:w="1960" w:type="dxa"/>
            <w:vAlign w:val="bottom"/>
          </w:tcPr>
          <w:p>
            <w:pPr>
              <w:spacing w:after="0"/>
              <w:rPr>
                <w:sz w:val="20"/>
                <w:szCs w:val="20"/>
                <w:color w:val="auto"/>
              </w:rPr>
            </w:pPr>
            <w:r>
              <w:rPr>
                <w:rFonts w:ascii="Courier New" w:cs="Courier New" w:eastAsia="Courier New" w:hAnsi="Courier New"/>
                <w:sz w:val="12"/>
                <w:szCs w:val="12"/>
                <w:color w:val="auto"/>
              </w:rPr>
              <w:t>Hedging activities</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(1,524)</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(4,619)</w:t>
            </w:r>
          </w:p>
        </w:tc>
        <w:tc>
          <w:tcPr>
            <w:tcW w:w="10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(5,947)</w:t>
            </w:r>
          </w:p>
        </w:tc>
        <w:tc>
          <w:tcPr>
            <w:tcW w:w="8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(5,727)</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(4,564)</w:t>
            </w:r>
          </w:p>
        </w:tc>
      </w:tr>
      <w:tr>
        <w:trPr>
          <w:trHeight w:val="137"/>
        </w:trPr>
        <w:tc>
          <w:tcPr>
            <w:tcW w:w="1960" w:type="dxa"/>
            <w:vAlign w:val="bottom"/>
          </w:tcPr>
          <w:p>
            <w:pPr>
              <w:spacing w:after="0"/>
              <w:rPr>
                <w:sz w:val="20"/>
                <w:szCs w:val="20"/>
                <w:color w:val="auto"/>
              </w:rPr>
            </w:pPr>
            <w:r>
              <w:rPr>
                <w:rFonts w:ascii="Courier New" w:cs="Courier New" w:eastAsia="Courier New" w:hAnsi="Courier New"/>
                <w:sz w:val="12"/>
                <w:szCs w:val="12"/>
                <w:color w:val="auto"/>
              </w:rPr>
              <w:t>Sale of convertible</w:t>
            </w: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1960" w:type="dxa"/>
            <w:vAlign w:val="bottom"/>
          </w:tcPr>
          <w:p>
            <w:pPr>
              <w:ind w:left="200"/>
              <w:spacing w:after="0"/>
              <w:rPr>
                <w:sz w:val="20"/>
                <w:szCs w:val="20"/>
                <w:color w:val="auto"/>
              </w:rPr>
            </w:pPr>
            <w:r>
              <w:rPr>
                <w:rFonts w:ascii="Courier New" w:cs="Courier New" w:eastAsia="Courier New" w:hAnsi="Courier New"/>
                <w:sz w:val="12"/>
                <w:szCs w:val="12"/>
                <w:color w:val="auto"/>
              </w:rPr>
              <w:t>debentures</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(196)</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(196)</w:t>
            </w:r>
          </w:p>
        </w:tc>
        <w:tc>
          <w:tcPr>
            <w:tcW w:w="10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(196)</w:t>
            </w:r>
          </w:p>
        </w:tc>
        <w:tc>
          <w:tcPr>
            <w:tcW w:w="8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(196)</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196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42"/>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8"/>
              </w:rPr>
              <w:t>---------</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1960" w:type="dxa"/>
            <w:vAlign w:val="bottom"/>
          </w:tcPr>
          <w:p>
            <w:pPr>
              <w:spacing w:after="0"/>
              <w:rPr>
                <w:sz w:val="20"/>
                <w:szCs w:val="20"/>
                <w:color w:val="auto"/>
              </w:rPr>
            </w:pPr>
            <w:r>
              <w:rPr>
                <w:rFonts w:ascii="Courier New" w:cs="Courier New" w:eastAsia="Courier New" w:hAnsi="Courier New"/>
                <w:sz w:val="12"/>
                <w:szCs w:val="12"/>
                <w:color w:val="auto"/>
              </w:rPr>
              <w:t>According to US GAAP</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$ 690,624</w:t>
            </w:r>
          </w:p>
        </w:tc>
        <w:tc>
          <w:tcPr>
            <w:tcW w:w="960" w:type="dxa"/>
            <w:vAlign w:val="bottom"/>
          </w:tcPr>
          <w:p>
            <w:pPr>
              <w:jc w:val="right"/>
              <w:ind w:right="42"/>
              <w:spacing w:after="0"/>
              <w:rPr>
                <w:sz w:val="20"/>
                <w:szCs w:val="20"/>
                <w:color w:val="auto"/>
              </w:rPr>
            </w:pPr>
            <w:r>
              <w:rPr>
                <w:rFonts w:ascii="Courier New" w:cs="Courier New" w:eastAsia="Courier New" w:hAnsi="Courier New"/>
                <w:sz w:val="12"/>
                <w:szCs w:val="12"/>
                <w:color w:val="auto"/>
              </w:rPr>
              <w:t>$ 859,043</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$ 796,799</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8"/>
              </w:rPr>
              <w:t>$ 722,706</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$ 477,824</w:t>
            </w:r>
          </w:p>
        </w:tc>
      </w:tr>
      <w:tr>
        <w:trPr>
          <w:trHeight w:val="137"/>
        </w:trPr>
        <w:tc>
          <w:tcPr>
            <w:tcW w:w="1960" w:type="dxa"/>
            <w:vAlign w:val="bottom"/>
          </w:tcPr>
          <w:p>
            <w:pPr>
              <w:spacing w:after="0"/>
              <w:rPr>
                <w:sz w:val="11"/>
                <w:szCs w:val="11"/>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42"/>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8"/>
              </w:rPr>
              <w:t>=========</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SHAREHOLDERS' EQUITY</w:t>
      </w:r>
    </w:p>
    <w:p>
      <w:pPr>
        <w:sectPr>
          <w:pgSz w:w="11900" w:h="16906" w:orient="portrait"/>
          <w:cols w:equalWidth="0" w:num="1">
            <w:col w:w="10246"/>
          </w:cols>
          <w:pgMar w:left="213" w:top="550" w:right="1440" w:bottom="0" w:gutter="0" w:footer="0" w:header="0"/>
        </w:sectPr>
      </w:pPr>
    </w:p>
    <w:bookmarkStart w:id="3" w:name="page4"/>
    <w:bookmarkEnd w:id="3"/>
    <w:tbl>
      <w:tblPr>
        <w:tblLayout w:type="fixed"/>
        <w:tblInd w:w="7" w:type="dxa"/>
        <w:tblCellMar>
          <w:top w:w="0" w:type="dxa"/>
          <w:left w:w="0" w:type="dxa"/>
          <w:bottom w:w="0" w:type="dxa"/>
          <w:right w:w="0" w:type="dxa"/>
        </w:tblCellMar>
      </w:tblPr>
      <w:tr>
        <w:trPr>
          <w:trHeight w:val="136"/>
        </w:trPr>
        <w:tc>
          <w:tcPr>
            <w:tcW w:w="680" w:type="dxa"/>
            <w:vAlign w:val="bottom"/>
          </w:tcPr>
          <w:p>
            <w:pPr>
              <w:spacing w:after="0"/>
              <w:rPr>
                <w:sz w:val="20"/>
                <w:szCs w:val="20"/>
                <w:color w:val="auto"/>
              </w:rPr>
            </w:pPr>
            <w:r>
              <w:rPr>
                <w:rFonts w:ascii="Courier New" w:cs="Courier New" w:eastAsia="Courier New" w:hAnsi="Courier New"/>
                <w:sz w:val="12"/>
                <w:szCs w:val="12"/>
                <w:color w:val="auto"/>
              </w:rPr>
              <w:t>(DEFICIT)</w:t>
            </w: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680" w:type="dxa"/>
            <w:vAlign w:val="bottom"/>
          </w:tcPr>
          <w:p>
            <w:pPr>
              <w:spacing w:after="0"/>
              <w:rPr>
                <w:sz w:val="20"/>
                <w:szCs w:val="20"/>
                <w:color w:val="auto"/>
              </w:rPr>
            </w:pPr>
            <w:r>
              <w:rPr>
                <w:rFonts w:ascii="Courier New" w:cs="Courier New" w:eastAsia="Courier New" w:hAnsi="Courier New"/>
                <w:sz w:val="12"/>
                <w:szCs w:val="12"/>
                <w:color w:val="auto"/>
              </w:rPr>
              <w:t>According</w:t>
            </w:r>
          </w:p>
        </w:tc>
        <w:tc>
          <w:tcPr>
            <w:tcW w:w="1200" w:type="dxa"/>
            <w:vAlign w:val="bottom"/>
          </w:tcPr>
          <w:p>
            <w:pPr>
              <w:ind w:left="20"/>
              <w:spacing w:after="0"/>
              <w:rPr>
                <w:sz w:val="20"/>
                <w:szCs w:val="20"/>
                <w:color w:val="auto"/>
              </w:rPr>
            </w:pPr>
            <w:r>
              <w:rPr>
                <w:rFonts w:ascii="Courier New" w:cs="Courier New" w:eastAsia="Courier New" w:hAnsi="Courier New"/>
                <w:sz w:val="12"/>
                <w:szCs w:val="12"/>
                <w:color w:val="auto"/>
              </w:rPr>
              <w:t>to Israel GAAP</w:t>
            </w:r>
          </w:p>
        </w:tc>
        <w:tc>
          <w:tcPr>
            <w:tcW w:w="10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 (30,067)</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$ 167,980</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$ 229,457</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$ 298,334</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$ 252,805</w:t>
            </w:r>
          </w:p>
        </w:tc>
      </w:tr>
      <w:tr>
        <w:trPr>
          <w:trHeight w:val="137"/>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The effect of:</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18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Hedging activities</w:t>
            </w:r>
          </w:p>
        </w:tc>
        <w:tc>
          <w:tcPr>
            <w:tcW w:w="10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(1,524)</w:t>
            </w:r>
          </w:p>
        </w:tc>
        <w:tc>
          <w:tcPr>
            <w:tcW w:w="9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(7,025)</w:t>
            </w: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(15,867)</w:t>
            </w: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(17,807)</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(8,169)</w:t>
            </w:r>
          </w:p>
        </w:tc>
      </w:tr>
      <w:tr>
        <w:trPr>
          <w:trHeight w:val="137"/>
        </w:trPr>
        <w:tc>
          <w:tcPr>
            <w:tcW w:w="680" w:type="dxa"/>
            <w:vAlign w:val="bottom"/>
          </w:tcPr>
          <w:p>
            <w:pPr>
              <w:ind w:left="60"/>
              <w:spacing w:after="0"/>
              <w:rPr>
                <w:sz w:val="20"/>
                <w:szCs w:val="20"/>
                <w:color w:val="auto"/>
              </w:rPr>
            </w:pPr>
            <w:r>
              <w:rPr>
                <w:rFonts w:ascii="Courier New" w:cs="Courier New" w:eastAsia="Courier New" w:hAnsi="Courier New"/>
                <w:sz w:val="12"/>
                <w:szCs w:val="12"/>
                <w:color w:val="auto"/>
              </w:rPr>
              <w:t>Proceeds</w:t>
            </w:r>
          </w:p>
        </w:tc>
        <w:tc>
          <w:tcPr>
            <w:tcW w:w="1200" w:type="dxa"/>
            <w:vAlign w:val="bottom"/>
          </w:tcPr>
          <w:p>
            <w:pPr>
              <w:ind w:left="20"/>
              <w:spacing w:after="0"/>
              <w:rPr>
                <w:sz w:val="20"/>
                <w:szCs w:val="20"/>
                <w:color w:val="auto"/>
              </w:rPr>
            </w:pPr>
            <w:r>
              <w:rPr>
                <w:rFonts w:ascii="Courier New" w:cs="Courier New" w:eastAsia="Courier New" w:hAnsi="Courier New"/>
                <w:sz w:val="12"/>
                <w:szCs w:val="12"/>
                <w:color w:val="auto"/>
              </w:rPr>
              <w:t>on account of</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18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share capital</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(16,428)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18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Sale of convertible</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188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debentures(*)</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2,363</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2,363</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2,363</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2,363</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680" w:type="dxa"/>
            <w:vAlign w:val="bottom"/>
          </w:tcPr>
          <w:p>
            <w:pPr>
              <w:spacing w:after="0"/>
              <w:rPr>
                <w:sz w:val="20"/>
                <w:szCs w:val="20"/>
                <w:color w:val="auto"/>
              </w:rPr>
            </w:pPr>
            <w:r>
              <w:rPr>
                <w:rFonts w:ascii="Courier New" w:cs="Courier New" w:eastAsia="Courier New" w:hAnsi="Courier New"/>
                <w:sz w:val="12"/>
                <w:szCs w:val="12"/>
                <w:color w:val="auto"/>
              </w:rPr>
              <w:t>According</w:t>
            </w:r>
          </w:p>
        </w:tc>
        <w:tc>
          <w:tcPr>
            <w:tcW w:w="1200" w:type="dxa"/>
            <w:vAlign w:val="bottom"/>
          </w:tcPr>
          <w:p>
            <w:pPr>
              <w:ind w:left="20"/>
              <w:spacing w:after="0"/>
              <w:rPr>
                <w:sz w:val="20"/>
                <w:szCs w:val="20"/>
                <w:color w:val="auto"/>
              </w:rPr>
            </w:pPr>
            <w:r>
              <w:rPr>
                <w:rFonts w:ascii="Courier New" w:cs="Courier New" w:eastAsia="Courier New" w:hAnsi="Courier New"/>
                <w:sz w:val="12"/>
                <w:szCs w:val="12"/>
                <w:color w:val="auto"/>
              </w:rPr>
              <w:t>to US GAAP</w:t>
            </w:r>
          </w:p>
        </w:tc>
        <w:tc>
          <w:tcPr>
            <w:tcW w:w="10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 (29,228)</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$ 163,318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$ 199,525</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$ 282,890</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$ 244,636</w:t>
            </w:r>
          </w:p>
        </w:tc>
      </w:tr>
      <w:tr>
        <w:trPr>
          <w:trHeight w:val="137"/>
        </w:trPr>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279" w:lineRule="exact"/>
        <w:rPr>
          <w:sz w:val="20"/>
          <w:szCs w:val="20"/>
          <w:color w:val="auto"/>
        </w:rPr>
      </w:pPr>
    </w:p>
    <w:p>
      <w:pPr>
        <w:ind w:left="7" w:right="4599" w:hanging="7"/>
        <w:spacing w:after="0" w:line="238" w:lineRule="auto"/>
        <w:tabs>
          <w:tab w:leader="none" w:pos="29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Including mainly the allocation of a portion of the total proceeds from the sale of securities issued in January 2002.</w:t>
      </w:r>
    </w:p>
    <w:p>
      <w:pPr>
        <w:spacing w:after="0" w:line="276"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4</w:t>
      </w: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RISK FACTORS</w:t>
      </w:r>
    </w:p>
    <w:p>
      <w:pPr>
        <w:spacing w:after="0" w:line="141" w:lineRule="exact"/>
        <w:rPr>
          <w:sz w:val="20"/>
          <w:szCs w:val="20"/>
          <w:color w:val="auto"/>
        </w:rPr>
      </w:pPr>
    </w:p>
    <w:p>
      <w:pPr>
        <w:ind w:left="7" w:right="4759" w:firstLine="357"/>
        <w:spacing w:after="0" w:line="241" w:lineRule="auto"/>
        <w:rPr>
          <w:sz w:val="20"/>
          <w:szCs w:val="20"/>
          <w:color w:val="auto"/>
        </w:rPr>
      </w:pPr>
      <w:r>
        <w:rPr>
          <w:rFonts w:ascii="Courier New" w:cs="Courier New" w:eastAsia="Courier New" w:hAnsi="Courier New"/>
          <w:sz w:val="12"/>
          <w:szCs w:val="12"/>
          <w:color w:val="auto"/>
        </w:rPr>
        <w:t>This annual report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RISKS AFFECTING OUR BUSINESS</w:t>
      </w:r>
    </w:p>
    <w:p>
      <w:pPr>
        <w:spacing w:after="0" w:line="141" w:lineRule="exact"/>
        <w:rPr>
          <w:sz w:val="20"/>
          <w:szCs w:val="20"/>
          <w:color w:val="auto"/>
        </w:rPr>
      </w:pPr>
    </w:p>
    <w:p>
      <w:pPr>
        <w:ind w:left="7" w:right="4539"/>
        <w:spacing w:after="0"/>
        <w:rPr>
          <w:sz w:val="20"/>
          <w:szCs w:val="20"/>
          <w:color w:val="auto"/>
        </w:rPr>
      </w:pPr>
      <w:r>
        <w:rPr>
          <w:rFonts w:ascii="Courier New" w:cs="Courier New" w:eastAsia="Courier New" w:hAnsi="Courier New"/>
          <w:sz w:val="12"/>
          <w:szCs w:val="12"/>
          <w:color w:val="auto"/>
        </w:rPr>
        <w:t>IF WE DO NOT CLOSE THE $100 MILLION INVESTMENT OF ISRAEL CORP. AND A DEFINITIVE AMENDMENT TO OUR FACILITY AGREEMENT BASED ON THE TERMS OF THE MAY 2006 MOU WITH OUR BANKS, WE MAY HAVE TO SUSPEND OUR PLAN TO RAMP-UP FAB 2 PRODUCTION CAPACITY, WHICH WOULD MATERIALLY ADVERSELY AFFECT OUR COMPANY.</w:t>
      </w:r>
    </w:p>
    <w:p>
      <w:pPr>
        <w:spacing w:after="0" w:line="142" w:lineRule="exact"/>
        <w:rPr>
          <w:sz w:val="20"/>
          <w:szCs w:val="20"/>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We currently expect to have sufficient liquidity at least until the end of 2006 to meet our short-term activities and liabilities. However, if we fail to close in a timely manner the $100 million investment by Israel Corp. and a definitive amendment to our facility agreement with our banks based on the May 2006 MOU, we may be required to suspend the implementation of our current plan to ramp-up Fab 2 production capacity to approximately 24,000 wafers per month (See "Item 4 - Information on the Company - A. History and Development of the Company - Recent Developments"), which would materially adversely affect our company and may cause us to cease our operations.</w:t>
      </w:r>
    </w:p>
    <w:p>
      <w:pPr>
        <w:spacing w:after="0" w:line="144" w:lineRule="exact"/>
        <w:rPr>
          <w:sz w:val="20"/>
          <w:szCs w:val="20"/>
          <w:color w:val="auto"/>
        </w:rPr>
      </w:pPr>
    </w:p>
    <w:p>
      <w:pPr>
        <w:jc w:val="both"/>
        <w:ind w:left="7" w:right="5039"/>
        <w:spacing w:after="0" w:line="239" w:lineRule="auto"/>
        <w:rPr>
          <w:sz w:val="20"/>
          <w:szCs w:val="20"/>
          <w:color w:val="auto"/>
        </w:rPr>
      </w:pPr>
      <w:r>
        <w:rPr>
          <w:rFonts w:ascii="Courier New" w:cs="Courier New" w:eastAsia="Courier New" w:hAnsi="Courier New"/>
          <w:sz w:val="12"/>
          <w:szCs w:val="12"/>
          <w:color w:val="auto"/>
        </w:rPr>
        <w:t>IF WE DO NOT COMPLETE THE EQUIPMENT INSTALLATION, TECHNOLOGY TRANSFER AND RAMP-UP OF PRODUCTION IN FAB 2, OUR BUSINESS WILL BE MATERIALLY ADVERSELY AFFECTED.</w:t>
      </w:r>
    </w:p>
    <w:p>
      <w:pPr>
        <w:spacing w:after="0" w:line="143" w:lineRule="exact"/>
        <w:rPr>
          <w:sz w:val="20"/>
          <w:szCs w:val="20"/>
          <w:color w:val="auto"/>
        </w:rPr>
      </w:pPr>
    </w:p>
    <w:p>
      <w:pPr>
        <w:ind w:left="7" w:right="4539" w:firstLine="357"/>
        <w:spacing w:after="0" w:line="242" w:lineRule="auto"/>
        <w:rPr>
          <w:sz w:val="20"/>
          <w:szCs w:val="20"/>
          <w:color w:val="auto"/>
        </w:rPr>
      </w:pPr>
      <w:r>
        <w:rPr>
          <w:rFonts w:ascii="Courier New" w:cs="Courier New" w:eastAsia="Courier New" w:hAnsi="Courier New"/>
          <w:sz w:val="12"/>
          <w:szCs w:val="12"/>
          <w:color w:val="auto"/>
        </w:rPr>
        <w:t>Fab 2 production capacity as of May 31, 2006 was approximately 15,000 200-mm wafers per month. In March 2006, our board of directors approved a plan to ramp-up Fab 2 production capacity to a capacity of approximately 24,000 wafers per month. Depending on the process technology and product mix, when fully ramped-up, we estimate that Fab 2 will be able to achieve capacity levels of approximately 40,000 wafers per month. We have not completed the acquisition, installation, equipping and financing necessary in order for production at our Fab 2 facility to reach such levels. Our determination as to the timing of the implementation of the ramp-up plan recently approved by our board of directors and the increase in Fab 2's production levels is dependent on prevailing and forecasted market conditions and our ability to fund these increases. We need to continue to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275"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5</w:t>
      </w:r>
    </w:p>
    <w:p>
      <w:pPr>
        <w:spacing w:after="0" w:line="200" w:lineRule="exact"/>
        <w:rPr>
          <w:sz w:val="20"/>
          <w:szCs w:val="20"/>
          <w:color w:val="auto"/>
        </w:rPr>
      </w:pPr>
    </w:p>
    <w:p>
      <w:pPr>
        <w:spacing w:after="0" w:line="335" w:lineRule="exact"/>
        <w:rPr>
          <w:sz w:val="20"/>
          <w:szCs w:val="20"/>
          <w:color w:val="auto"/>
        </w:rPr>
      </w:pPr>
    </w:p>
    <w:p>
      <w:pPr>
        <w:ind w:left="7" w:right="4759"/>
        <w:spacing w:after="0" w:line="238" w:lineRule="auto"/>
        <w:rPr>
          <w:sz w:val="20"/>
          <w:szCs w:val="20"/>
          <w:color w:val="auto"/>
        </w:rPr>
      </w:pPr>
      <w:r>
        <w:rPr>
          <w:rFonts w:ascii="Courier New" w:cs="Courier New" w:eastAsia="Courier New" w:hAnsi="Courier New"/>
          <w:sz w:val="12"/>
          <w:szCs w:val="12"/>
          <w:color w:val="auto"/>
        </w:rPr>
        <w:t>IF WE DO NOT HAVE SUFFICIENT FUNDS TO FULLY EQUIP FAB 2, OUR BUSINESS WILL BE MATERIALLY ADVERSELY AFFECTED.</w:t>
      </w:r>
    </w:p>
    <w:p>
      <w:pPr>
        <w:spacing w:after="0" w:line="142" w:lineRule="exact"/>
        <w:rPr>
          <w:sz w:val="20"/>
          <w:szCs w:val="20"/>
          <w:color w:val="auto"/>
        </w:rPr>
      </w:pPr>
    </w:p>
    <w:p>
      <w:pPr>
        <w:ind w:left="7" w:right="4539" w:firstLine="357"/>
        <w:spacing w:after="0" w:line="266" w:lineRule="auto"/>
        <w:rPr>
          <w:sz w:val="20"/>
          <w:szCs w:val="20"/>
          <w:color w:val="auto"/>
        </w:rPr>
      </w:pPr>
      <w:r>
        <w:rPr>
          <w:rFonts w:ascii="Courier New" w:cs="Courier New" w:eastAsia="Courier New" w:hAnsi="Courier New"/>
          <w:sz w:val="11"/>
          <w:szCs w:val="11"/>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may be unable to meet our customers' production demands and as a result we may lose customers and may not attract new ones. In addition, we will be required to scale back our equipment purchases and capacity forecasts, and, as a result, we will not fully utilize the substantial investment made in constructing Fab 2, which will adversely affect our financial results.</w:t>
      </w:r>
    </w:p>
    <w:p>
      <w:pPr>
        <w:spacing w:after="0" w:line="128" w:lineRule="exact"/>
        <w:rPr>
          <w:sz w:val="20"/>
          <w:szCs w:val="20"/>
          <w:color w:val="auto"/>
        </w:rPr>
      </w:pPr>
    </w:p>
    <w:p>
      <w:pPr>
        <w:ind w:left="7" w:right="4539"/>
        <w:spacing w:after="0" w:line="267" w:lineRule="auto"/>
        <w:rPr>
          <w:sz w:val="20"/>
          <w:szCs w:val="20"/>
          <w:color w:val="auto"/>
        </w:rPr>
      </w:pPr>
      <w:r>
        <w:rPr>
          <w:rFonts w:ascii="Courier New" w:cs="Courier New" w:eastAsia="Courier New" w:hAnsi="Courier New"/>
          <w:sz w:val="11"/>
          <w:szCs w:val="1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CLOSE OUR OPERATIONS.</w:t>
      </w:r>
    </w:p>
    <w:p>
      <w:pPr>
        <w:spacing w:after="0" w:line="129" w:lineRule="exact"/>
        <w:rPr>
          <w:sz w:val="20"/>
          <w:szCs w:val="20"/>
          <w:color w:val="auto"/>
        </w:rPr>
      </w:pPr>
    </w:p>
    <w:p>
      <w:pPr>
        <w:ind w:left="7" w:right="4539" w:firstLine="357"/>
        <w:spacing w:after="0" w:line="265" w:lineRule="auto"/>
        <w:rPr>
          <w:sz w:val="20"/>
          <w:szCs w:val="20"/>
          <w:color w:val="auto"/>
        </w:rPr>
      </w:pPr>
      <w:r>
        <w:rPr>
          <w:rFonts w:ascii="Courier New" w:cs="Courier New" w:eastAsia="Courier New" w:hAnsi="Courier New"/>
          <w:sz w:val="11"/>
          <w:szCs w:val="11"/>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May 31, 2006, we received approximately $161 million in grants from the Investment Center. Our eligibility to receive grants is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w:t>
      </w:r>
    </w:p>
    <w:p>
      <w:pPr>
        <w:sectPr>
          <w:pgSz w:w="11900" w:h="16838" w:orient="portrait"/>
          <w:cols w:equalWidth="0" w:num="1">
            <w:col w:w="10246"/>
          </w:cols>
          <w:pgMar w:left="213" w:top="138" w:right="1440" w:bottom="0" w:gutter="0" w:footer="0" w:header="0"/>
        </w:sectPr>
      </w:pPr>
    </w:p>
    <w:bookmarkStart w:id="4" w:name="page5"/>
    <w:bookmarkEnd w:id="4"/>
    <w:p>
      <w:pPr>
        <w:ind w:right="4539"/>
        <w:spacing w:after="0" w:line="241" w:lineRule="auto"/>
        <w:rPr>
          <w:sz w:val="20"/>
          <w:szCs w:val="20"/>
          <w:color w:val="auto"/>
        </w:rPr>
      </w:pPr>
      <w:r>
        <w:rPr>
          <w:rFonts w:ascii="Courier New" w:cs="Courier New" w:eastAsia="Courier New" w:hAnsi="Courier New"/>
          <w:sz w:val="12"/>
          <w:szCs w:val="12"/>
          <w:color w:val="auto"/>
        </w:rPr>
        <w:t>as of January 1, 2006.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finance the ramp-up of Fab 2 and if we do not succeed in finding such alternative financing sources, we may have to close our operations.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close our operations.</w:t>
      </w:r>
    </w:p>
    <w:p>
      <w:pPr>
        <w:spacing w:after="0" w:line="284"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6</w:t>
      </w:r>
    </w:p>
    <w:p>
      <w:pPr>
        <w:spacing w:after="0" w:line="200" w:lineRule="exact"/>
        <w:rPr>
          <w:sz w:val="20"/>
          <w:szCs w:val="20"/>
          <w:color w:val="auto"/>
        </w:rPr>
      </w:pPr>
    </w:p>
    <w:p>
      <w:pPr>
        <w:spacing w:after="0" w:line="335" w:lineRule="exact"/>
        <w:rPr>
          <w:sz w:val="20"/>
          <w:szCs w:val="20"/>
          <w:color w:val="auto"/>
        </w:rPr>
      </w:pPr>
    </w:p>
    <w:p>
      <w:pPr>
        <w:ind w:right="4959"/>
        <w:spacing w:after="0" w:line="238" w:lineRule="auto"/>
        <w:rPr>
          <w:sz w:val="20"/>
          <w:szCs w:val="20"/>
          <w:color w:val="auto"/>
        </w:rPr>
      </w:pPr>
      <w:r>
        <w:rPr>
          <w:rFonts w:ascii="Courier New" w:cs="Courier New" w:eastAsia="Courier New" w:hAnsi="Courier New"/>
          <w:sz w:val="12"/>
          <w:szCs w:val="12"/>
          <w:color w:val="auto"/>
        </w:rPr>
        <w:t>IF OUR FUTURE OPERATIONS DO NOT INCREASE OR IF WE FAIL TO RAISE ADDITIONAL FUNDING, WE MAY BE UNABLE TO REPAY OUR DEBT ON A TIMELY BASIS.</w:t>
      </w:r>
    </w:p>
    <w:p>
      <w:pPr>
        <w:spacing w:after="0" w:line="142" w:lineRule="exact"/>
        <w:rPr>
          <w:sz w:val="20"/>
          <w:szCs w:val="20"/>
          <w:color w:val="auto"/>
        </w:rPr>
      </w:pPr>
    </w:p>
    <w:p>
      <w:pPr>
        <w:ind w:right="4539" w:firstLine="357"/>
        <w:spacing w:after="0" w:line="242" w:lineRule="auto"/>
        <w:rPr>
          <w:sz w:val="20"/>
          <w:szCs w:val="20"/>
          <w:color w:val="auto"/>
        </w:rPr>
      </w:pPr>
      <w:r>
        <w:rPr>
          <w:rFonts w:ascii="Courier New" w:cs="Courier New" w:eastAsia="Courier New" w:hAnsi="Courier New"/>
          <w:sz w:val="12"/>
          <w:szCs w:val="12"/>
          <w:color w:val="auto"/>
        </w:rPr>
        <w:t>There is no assurance that our future operations will increase or that we will succeed in raising the additional funding required for the completion of the ramp up of Fab 2 and the repayment of our short-term and long-term debt, which consists mainly of bank debt, trade accounts payable and convertible debentures and also includes moneys we may owe to Israel Corp. in connection with the agreement we signed with it according to which Israel Corp. will order up to approximately $100 million worth of equipment. As a result, our ramp-up of Fab 2 may be delayed and we may be unable to repay on time or repay at all our short-term and long-term debt, which may significantly harm our financial results or cause us to cease our operations. In accordance with our amended facility agreement with our banks, under which we have drawn down approximately $526.7 million as of June 30, 2006, we are required to repay principal in the amount of approximately $100 million in July 2007 and begin repaying the balance of the principal amount on a quarterly basis commencing September 2007. We anticipate that we will not be in compliance with the repayment schedule set forth in our amended facility agreement. In the event that (i) a definitive amendment to our facility agreement based on the May 2006 MOU with our banks will not be signed and closed, (ii) we are otherwise unsuccessful in negotiating a revised repayment schedule or (iii)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142" w:lineRule="exact"/>
        <w:rPr>
          <w:sz w:val="20"/>
          <w:szCs w:val="20"/>
          <w:color w:val="auto"/>
        </w:rPr>
      </w:pPr>
    </w:p>
    <w:p>
      <w:pPr>
        <w:jc w:val="both"/>
        <w:ind w:right="4759"/>
        <w:spacing w:after="0" w:line="272" w:lineRule="auto"/>
        <w:rPr>
          <w:sz w:val="20"/>
          <w:szCs w:val="20"/>
          <w:color w:val="auto"/>
        </w:rPr>
      </w:pPr>
      <w:r>
        <w:rPr>
          <w:rFonts w:ascii="Courier New" w:cs="Courier New" w:eastAsia="Courier New" w:hAnsi="Courier New"/>
          <w:sz w:val="11"/>
          <w:szCs w:val="1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25"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26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w:t>
      </w:r>
    </w:p>
    <w:p>
      <w:pPr>
        <w:spacing w:after="0" w:line="200" w:lineRule="exact"/>
        <w:rPr>
          <w:sz w:val="20"/>
          <w:szCs w:val="20"/>
          <w:color w:val="auto"/>
        </w:rPr>
      </w:pPr>
    </w:p>
    <w:p>
      <w:pPr>
        <w:spacing w:after="0" w:line="335" w:lineRule="exact"/>
        <w:rPr>
          <w:sz w:val="20"/>
          <w:szCs w:val="20"/>
          <w:color w:val="auto"/>
        </w:rPr>
      </w:pPr>
    </w:p>
    <w:p>
      <w:pPr>
        <w:ind w:right="4539"/>
        <w:spacing w:after="0" w:line="239" w:lineRule="auto"/>
        <w:rPr>
          <w:sz w:val="20"/>
          <w:szCs w:val="20"/>
          <w:color w:val="auto"/>
        </w:rPr>
      </w:pPr>
      <w:r>
        <w:rPr>
          <w:rFonts w:ascii="Courier New" w:cs="Courier New" w:eastAsia="Courier New" w:hAnsi="Courier New"/>
          <w:sz w:val="12"/>
          <w:szCs w:val="12"/>
          <w:color w:val="auto"/>
        </w:rPr>
        <w:t>WE HAVE A HISTORY OF OPERATING LOSSES AND EXPECT TO OPERATE AT A LOSS FOR THE FORESEEABLE FUTURE; OUR FACILITIES MUST OPERATE AT HIGH UTILIZATION RATES FOR US TO BE PROFITABLE.</w:t>
      </w:r>
    </w:p>
    <w:p>
      <w:pPr>
        <w:spacing w:after="0" w:line="143"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28" w:lineRule="exact"/>
        <w:rPr>
          <w:sz w:val="20"/>
          <w:szCs w:val="20"/>
          <w:color w:val="auto"/>
        </w:rPr>
      </w:pPr>
    </w:p>
    <w:p>
      <w:pPr>
        <w:ind w:right="4539"/>
        <w:spacing w:after="0" w:line="238" w:lineRule="auto"/>
        <w:rPr>
          <w:sz w:val="20"/>
          <w:szCs w:val="20"/>
          <w:color w:val="auto"/>
        </w:rPr>
      </w:pPr>
      <w:r>
        <w:rPr>
          <w:rFonts w:ascii="Courier New" w:cs="Courier New" w:eastAsia="Courier New" w:hAnsi="Courier New"/>
          <w:sz w:val="12"/>
          <w:szCs w:val="12"/>
          <w:color w:val="auto"/>
        </w:rPr>
        <w:t>OUR OPERATING RESULTS FLUCTUATE FROM QUARTER TO QUARTER WHICH MAKES IT DIFFICULT TO PREDICT OUR FUTURE PERFORMANCE.</w:t>
      </w:r>
    </w:p>
    <w:p>
      <w:pPr>
        <w:spacing w:after="0" w:line="142"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42" w:lineRule="exact"/>
        <w:rPr>
          <w:sz w:val="20"/>
          <w:szCs w:val="20"/>
          <w:color w:val="auto"/>
        </w:rPr>
      </w:pPr>
    </w:p>
    <w:p>
      <w:pPr>
        <w:ind w:left="700" w:right="4539" w:hanging="350"/>
        <w:spacing w:after="0" w:line="238"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cyclical nature of both the semiconductor industry and the markets served by our customers;</w:t>
      </w:r>
    </w:p>
    <w:p>
      <w:pPr>
        <w:spacing w:after="0" w:line="142" w:lineRule="exact"/>
        <w:rPr>
          <w:rFonts w:ascii="Courier New" w:cs="Courier New" w:eastAsia="Courier New" w:hAnsi="Courier New"/>
          <w:sz w:val="12"/>
          <w:szCs w:val="12"/>
          <w:color w:val="auto"/>
        </w:rPr>
      </w:pPr>
    </w:p>
    <w:p>
      <w:pPr>
        <w:ind w:left="700" w:right="4679" w:hanging="350"/>
        <w:spacing w:after="0" w:line="238"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the economic conditions of geographical regions where our customers and their markets are located;</w:t>
      </w:r>
    </w:p>
    <w:p>
      <w:pPr>
        <w:spacing w:after="0" w:line="142" w:lineRule="exact"/>
        <w:rPr>
          <w:rFonts w:ascii="Courier New" w:cs="Courier New" w:eastAsia="Courier New" w:hAnsi="Courier New"/>
          <w:sz w:val="12"/>
          <w:szCs w:val="12"/>
          <w:color w:val="auto"/>
        </w:rPr>
      </w:pPr>
    </w:p>
    <w:p>
      <w:pPr>
        <w:ind w:left="700" w:right="4539" w:hanging="350"/>
        <w:spacing w:after="0" w:line="238"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Shifts by integrated device manufacturers (IDMs) and customers between internal and outsourced production;</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Inventory and supply chain management of our customers;</w:t>
      </w:r>
    </w:p>
    <w:p>
      <w:pPr>
        <w:spacing w:after="0" w:line="141" w:lineRule="exact"/>
        <w:rPr>
          <w:rFonts w:ascii="Courier New" w:cs="Courier New" w:eastAsia="Courier New" w:hAnsi="Courier New"/>
          <w:sz w:val="12"/>
          <w:szCs w:val="12"/>
          <w:color w:val="auto"/>
        </w:rPr>
      </w:pPr>
    </w:p>
    <w:p>
      <w:pPr>
        <w:ind w:left="700" w:right="4679" w:hanging="350"/>
        <w:spacing w:after="0" w:line="239"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loss of a key customer, postponement of an order from a key customer, failure of a key customer to pay accounts receivables in a timely manner or the financial condition of our customers;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occurrence of accounts receivables write-offs;</w:t>
      </w:r>
    </w:p>
    <w:p>
      <w:pPr>
        <w:spacing w:after="0" w:line="141" w:lineRule="exact"/>
        <w:rPr>
          <w:rFonts w:ascii="Courier New" w:cs="Courier New" w:eastAsia="Courier New" w:hAnsi="Courier New"/>
          <w:sz w:val="12"/>
          <w:szCs w:val="12"/>
          <w:color w:val="auto"/>
        </w:rPr>
      </w:pPr>
    </w:p>
    <w:p>
      <w:pPr>
        <w:ind w:left="700" w:right="4759" w:hanging="350"/>
        <w:spacing w:after="0" w:line="238"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rescheduling or cancellation of large orders or planned capital expenditures;</w:t>
      </w:r>
    </w:p>
    <w:p>
      <w:pPr>
        <w:spacing w:after="0" w:line="142" w:lineRule="exact"/>
        <w:rPr>
          <w:rFonts w:ascii="Courier New" w:cs="Courier New" w:eastAsia="Courier New" w:hAnsi="Courier New"/>
          <w:sz w:val="12"/>
          <w:szCs w:val="12"/>
          <w:color w:val="auto"/>
        </w:rPr>
      </w:pPr>
    </w:p>
    <w:p>
      <w:pPr>
        <w:ind w:left="700" w:right="4759" w:hanging="350"/>
        <w:spacing w:after="0" w:line="238"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satisfy our customers' demand for quality and timely production;</w:t>
      </w:r>
    </w:p>
    <w:p>
      <w:pPr>
        <w:sectPr>
          <w:pgSz w:w="11900" w:h="16838" w:orient="portrait"/>
          <w:cols w:equalWidth="0" w:num="1">
            <w:col w:w="10239"/>
          </w:cols>
          <w:pgMar w:left="220" w:top="141" w:right="1440" w:bottom="0" w:gutter="0" w:footer="0" w:header="0"/>
        </w:sectPr>
      </w:pPr>
    </w:p>
    <w:bookmarkStart w:id="5" w:name="page6"/>
    <w:bookmarkEnd w:id="5"/>
    <w:p>
      <w:pPr>
        <w:spacing w:after="0" w:line="88" w:lineRule="exact"/>
        <w:rPr>
          <w:sz w:val="20"/>
          <w:szCs w:val="20"/>
          <w:color w:val="auto"/>
        </w:rPr>
      </w:pPr>
    </w:p>
    <w:p>
      <w:pPr>
        <w:ind w:left="700" w:right="4679" w:hanging="350"/>
        <w:spacing w:after="0" w:line="238"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timing and volume of orders relative to our available production capacity;</w:t>
      </w:r>
    </w:p>
    <w:p>
      <w:pPr>
        <w:spacing w:after="0" w:line="142" w:lineRule="exact"/>
        <w:rPr>
          <w:rFonts w:ascii="Courier New" w:cs="Courier New" w:eastAsia="Courier New" w:hAnsi="Courier New"/>
          <w:sz w:val="12"/>
          <w:szCs w:val="12"/>
          <w:color w:val="auto"/>
        </w:rPr>
      </w:pPr>
    </w:p>
    <w:p>
      <w:pPr>
        <w:ind w:left="700" w:right="4899" w:hanging="350"/>
        <w:spacing w:after="0" w:line="238"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obtain raw materials and equipment on a timely and cost-effective basis;</w:t>
      </w:r>
    </w:p>
    <w:p>
      <w:pPr>
        <w:spacing w:after="0" w:line="142" w:lineRule="exact"/>
        <w:rPr>
          <w:rFonts w:ascii="Courier New" w:cs="Courier New" w:eastAsia="Courier New" w:hAnsi="Courier New"/>
          <w:sz w:val="12"/>
          <w:szCs w:val="12"/>
          <w:color w:val="auto"/>
        </w:rPr>
      </w:pPr>
    </w:p>
    <w:p>
      <w:pPr>
        <w:ind w:left="700" w:right="5179" w:hanging="350"/>
        <w:spacing w:after="0" w:line="238"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events or industrial accidents such as fires or explosions;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susceptibility to intellectual property rights disputes;</w:t>
      </w:r>
    </w:p>
    <w:p>
      <w:pPr>
        <w:spacing w:after="0" w:line="141" w:lineRule="exact"/>
        <w:rPr>
          <w:rFonts w:ascii="Courier New" w:cs="Courier New" w:eastAsia="Courier New" w:hAnsi="Courier New"/>
          <w:sz w:val="12"/>
          <w:szCs w:val="12"/>
          <w:color w:val="auto"/>
        </w:rPr>
      </w:pPr>
    </w:p>
    <w:p>
      <w:pPr>
        <w:ind w:left="700" w:right="5259" w:hanging="350"/>
        <w:spacing w:after="0" w:line="239"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continue with existing and to enter into new partnerships and technology and supply alliances on mutually beneficial terms;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Actual capital expenditures exceeding planned capital expenditures;</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w:t>
      </w:r>
    </w:p>
    <w:p>
      <w:pPr>
        <w:spacing w:after="0" w:line="200" w:lineRule="exact"/>
        <w:rPr>
          <w:sz w:val="20"/>
          <w:szCs w:val="20"/>
          <w:color w:val="auto"/>
        </w:rPr>
      </w:pPr>
    </w:p>
    <w:p>
      <w:pPr>
        <w:spacing w:after="0" w:line="335" w:lineRule="exact"/>
        <w:rPr>
          <w:sz w:val="20"/>
          <w:szCs w:val="20"/>
          <w:color w:val="auto"/>
        </w:rPr>
      </w:pPr>
    </w:p>
    <w:p>
      <w:pPr>
        <w:ind w:left="700" w:right="4819" w:hanging="350"/>
        <w:spacing w:after="0" w:line="238"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and currency rate fluctuations that may not be adequately hedged;</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Technological changes and short product life cycles; and</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Timing for designing and the qualification of new products.</w:t>
      </w:r>
    </w:p>
    <w:p>
      <w:pPr>
        <w:spacing w:after="0" w:line="141"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42" w:lineRule="exact"/>
        <w:rPr>
          <w:sz w:val="20"/>
          <w:szCs w:val="20"/>
          <w:color w:val="auto"/>
        </w:rPr>
      </w:pPr>
    </w:p>
    <w:p>
      <w:pPr>
        <w:ind w:right="4959"/>
        <w:spacing w:after="0" w:line="239" w:lineRule="auto"/>
        <w:rPr>
          <w:sz w:val="20"/>
          <w:szCs w:val="20"/>
          <w:color w:val="auto"/>
        </w:rPr>
      </w:pPr>
      <w:r>
        <w:rPr>
          <w:rFonts w:ascii="Courier New" w:cs="Courier New" w:eastAsia="Courier New" w:hAnsi="Courier New"/>
          <w:sz w:val="12"/>
          <w:szCs w:val="12"/>
          <w:color w:val="auto"/>
        </w:rPr>
        <w:t>THE LACK OF A SIGNIFICANT BACKLOG RESULTING FROM OUR CUSTOMERS NOT PLACING PURCHASE ORDERS FAR IN ADVANCE MAKES IT DIFFICULT FOR US TO FORECAST OUR REVENUES IN FUTURE PERIODS.</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45" w:lineRule="exact"/>
        <w:rPr>
          <w:sz w:val="20"/>
          <w:szCs w:val="20"/>
          <w:color w:val="auto"/>
        </w:rPr>
      </w:pPr>
    </w:p>
    <w:p>
      <w:pPr>
        <w:ind w:right="4599"/>
        <w:spacing w:after="0" w:line="238" w:lineRule="auto"/>
        <w:rPr>
          <w:sz w:val="20"/>
          <w:szCs w:val="20"/>
          <w:color w:val="auto"/>
        </w:rPr>
      </w:pPr>
      <w:r>
        <w:rPr>
          <w:rFonts w:ascii="Courier New" w:cs="Courier New" w:eastAsia="Courier New" w:hAnsi="Courier New"/>
          <w:sz w:val="12"/>
          <w:szCs w:val="12"/>
          <w:color w:val="auto"/>
        </w:rPr>
        <w:t>OUR SALES CYCLES MAY BE LONG AND, AS A RESULT, ORDERS RECEIVED MAY NOT MEET OUR EXPECTATIONS WHICH MAY ADVERSELY AFFECT OUR OPERATING RESULTS.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45" w:lineRule="exact"/>
        <w:rPr>
          <w:sz w:val="20"/>
          <w:szCs w:val="20"/>
          <w:color w:val="auto"/>
        </w:rPr>
      </w:pPr>
    </w:p>
    <w:p>
      <w:pPr>
        <w:ind w:right="4539"/>
        <w:spacing w:after="0" w:line="238" w:lineRule="auto"/>
        <w:rPr>
          <w:sz w:val="20"/>
          <w:szCs w:val="20"/>
          <w:color w:val="auto"/>
        </w:rPr>
      </w:pPr>
      <w:r>
        <w:rPr>
          <w:rFonts w:ascii="Courier New" w:cs="Courier New" w:eastAsia="Courier New" w:hAnsi="Courier New"/>
          <w:sz w:val="12"/>
          <w:szCs w:val="12"/>
          <w:color w:val="auto"/>
        </w:rPr>
        <w:t>DEMAND FOR OUR FOUNDRY SERVICES IS DEPENDENT ON THE DEMAND IN OUR CUSTOMERS' END MARKETS.</w:t>
      </w:r>
    </w:p>
    <w:p>
      <w:pPr>
        <w:spacing w:after="0" w:line="142" w:lineRule="exact"/>
        <w:rPr>
          <w:sz w:val="20"/>
          <w:szCs w:val="20"/>
          <w:color w:val="auto"/>
        </w:rPr>
      </w:pPr>
    </w:p>
    <w:p>
      <w:pPr>
        <w:ind w:right="4599" w:firstLine="357"/>
        <w:spacing w:after="0" w:line="266" w:lineRule="auto"/>
        <w:rPr>
          <w:sz w:val="20"/>
          <w:szCs w:val="20"/>
          <w:color w:val="auto"/>
        </w:rPr>
      </w:pPr>
      <w:r>
        <w:rPr>
          <w:rFonts w:ascii="Courier New" w:cs="Courier New" w:eastAsia="Courier New" w:hAnsi="Courier New"/>
          <w:sz w:val="11"/>
          <w:szCs w:val="11"/>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263"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w:t>
      </w:r>
    </w:p>
    <w:p>
      <w:pPr>
        <w:spacing w:after="0" w:line="200" w:lineRule="exact"/>
        <w:rPr>
          <w:sz w:val="20"/>
          <w:szCs w:val="20"/>
          <w:color w:val="auto"/>
        </w:rPr>
      </w:pPr>
    </w:p>
    <w:p>
      <w:pPr>
        <w:spacing w:after="0" w:line="335" w:lineRule="exact"/>
        <w:rPr>
          <w:sz w:val="20"/>
          <w:szCs w:val="20"/>
          <w:color w:val="auto"/>
        </w:rPr>
      </w:pPr>
    </w:p>
    <w:p>
      <w:pPr>
        <w:ind w:right="5099"/>
        <w:spacing w:after="0" w:line="238" w:lineRule="auto"/>
        <w:rPr>
          <w:sz w:val="20"/>
          <w:szCs w:val="20"/>
          <w:color w:val="auto"/>
        </w:rPr>
      </w:pPr>
      <w:r>
        <w:rPr>
          <w:rFonts w:ascii="Courier New" w:cs="Courier New" w:eastAsia="Courier New" w:hAnsi="Courier New"/>
          <w:sz w:val="12"/>
          <w:szCs w:val="12"/>
          <w:color w:val="auto"/>
        </w:rPr>
        <w:t>IF WE DO NOT ATTRACT ADDITIONAL CUSTOMERS, OUR BUSINESS MAY BE ADVERSELY AFFECTED.</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During the three months ended March 31, 2006, approximately 55% of our business was generated by four significant customers that contributed 18%, 14%, 12%, and 11% of our revenues, respectively. We expect to continue to receive a significant portion of our revenue from a limited number of customers in 2006.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47" w:lineRule="exact"/>
        <w:rPr>
          <w:sz w:val="20"/>
          <w:szCs w:val="20"/>
          <w:color w:val="auto"/>
        </w:rPr>
      </w:pPr>
    </w:p>
    <w:p>
      <w:pPr>
        <w:ind w:right="4599"/>
        <w:spacing w:after="0" w:line="238" w:lineRule="auto"/>
        <w:rPr>
          <w:sz w:val="20"/>
          <w:szCs w:val="20"/>
          <w:color w:val="auto"/>
        </w:rPr>
      </w:pPr>
      <w:r>
        <w:rPr>
          <w:rFonts w:ascii="Courier New" w:cs="Courier New" w:eastAsia="Courier New" w:hAnsi="Courier New"/>
          <w:sz w:val="12"/>
          <w:szCs w:val="12"/>
          <w:color w:val="auto"/>
        </w:rPr>
        <w:t>WE DEPEND ON A RELATIVELY SMALL NUMBER OF PRODUCTS FOR A SIGNIFICANT PORTION OF OUR REVENUES.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IF WE DO NOT RECEIVE ORDERS FROM OUR WAFER PARTNERS WE MAY HAVE EXCESS CAPACITY.</w:t>
      </w:r>
    </w:p>
    <w:p>
      <w:pPr>
        <w:spacing w:after="0" w:line="150" w:lineRule="exact"/>
        <w:rPr>
          <w:sz w:val="20"/>
          <w:szCs w:val="20"/>
          <w:color w:val="auto"/>
        </w:rPr>
      </w:pPr>
    </w:p>
    <w:p>
      <w:pPr>
        <w:ind w:right="4539" w:firstLine="357"/>
        <w:spacing w:after="0" w:line="280" w:lineRule="auto"/>
        <w:rPr>
          <w:sz w:val="20"/>
          <w:szCs w:val="20"/>
          <w:color w:val="auto"/>
        </w:rPr>
      </w:pPr>
      <w:r>
        <w:rPr>
          <w:rFonts w:ascii="Courier New" w:cs="Courier New" w:eastAsia="Courier New" w:hAnsi="Courier New"/>
          <w:sz w:val="11"/>
          <w:szCs w:val="11"/>
          <w:color w:val="auto"/>
        </w:rPr>
        <w:t>We have committed a portion of our Fab 2 capacity for future orders. During the ramp-up of Fab 2, our capacity commitments to our wafer partners, which are</w:t>
      </w:r>
    </w:p>
    <w:p>
      <w:pPr>
        <w:sectPr>
          <w:pgSz w:w="11900" w:h="16926" w:orient="portrait"/>
          <w:cols w:equalWidth="0" w:num="1">
            <w:col w:w="10239"/>
          </w:cols>
          <w:pgMar w:left="220" w:top="141" w:right="1440" w:bottom="0" w:gutter="0" w:footer="0" w:header="0"/>
        </w:sectPr>
      </w:pPr>
    </w:p>
    <w:bookmarkStart w:id="6" w:name="page7"/>
    <w:bookmarkEnd w:id="6"/>
    <w:p>
      <w:pPr>
        <w:ind w:right="4539"/>
        <w:spacing w:after="0" w:line="241" w:lineRule="auto"/>
        <w:rPr>
          <w:sz w:val="20"/>
          <w:szCs w:val="20"/>
          <w:color w:val="auto"/>
        </w:rPr>
      </w:pPr>
      <w:r>
        <w:rPr>
          <w:rFonts w:ascii="Courier New" w:cs="Courier New" w:eastAsia="Courier New" w:hAnsi="Courier New"/>
          <w:sz w:val="12"/>
          <w:szCs w:val="12"/>
          <w:color w:val="auto"/>
        </w:rPr>
        <w:t>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43" w:lineRule="exact"/>
        <w:rPr>
          <w:sz w:val="20"/>
          <w:szCs w:val="20"/>
          <w:color w:val="auto"/>
        </w:rPr>
      </w:pPr>
    </w:p>
    <w:p>
      <w:pPr>
        <w:ind w:right="4539"/>
        <w:spacing w:after="0" w:line="238" w:lineRule="auto"/>
        <w:rPr>
          <w:sz w:val="20"/>
          <w:szCs w:val="20"/>
          <w:color w:val="auto"/>
        </w:rPr>
      </w:pPr>
      <w:r>
        <w:rPr>
          <w:rFonts w:ascii="Courier New" w:cs="Courier New" w:eastAsia="Courier New" w:hAnsi="Courier New"/>
          <w:sz w:val="12"/>
          <w:szCs w:val="12"/>
          <w:color w:val="auto"/>
        </w:rPr>
        <w:t>IF WE DO NOT MAINTAIN AND DEVELOP OUR TECHNOLOGY PROCESSES AND SERVICES, WE WILL LOSE CUSTOMERS AND MAY NOT BE ABLE TO ATTRACT NEW ONES.</w:t>
      </w:r>
    </w:p>
    <w:p>
      <w:pPr>
        <w:spacing w:after="0" w:line="142" w:lineRule="exact"/>
        <w:rPr>
          <w:sz w:val="20"/>
          <w:szCs w:val="20"/>
          <w:color w:val="auto"/>
        </w:rPr>
      </w:pPr>
    </w:p>
    <w:p>
      <w:pPr>
        <w:ind w:right="4759" w:firstLine="357"/>
        <w:spacing w:after="0" w:line="238" w:lineRule="auto"/>
        <w:rPr>
          <w:sz w:val="20"/>
          <w:szCs w:val="20"/>
          <w:color w:val="auto"/>
        </w:rPr>
      </w:pPr>
      <w:r>
        <w:rPr>
          <w:rFonts w:ascii="Courier New" w:cs="Courier New" w:eastAsia="Courier New" w:hAnsi="Courier New"/>
          <w:sz w:val="12"/>
          <w:szCs w:val="12"/>
          <w:color w:val="auto"/>
        </w:rPr>
        <w:t>The semiconductor market is characterized by rapid change, including the following:</w:t>
      </w:r>
    </w:p>
    <w:p>
      <w:pPr>
        <w:spacing w:after="0" w:line="139" w:lineRule="exact"/>
        <w:rPr>
          <w:sz w:val="20"/>
          <w:szCs w:val="20"/>
          <w:color w:val="auto"/>
        </w:rPr>
      </w:pPr>
    </w:p>
    <w:p>
      <w:pPr>
        <w:ind w:left="700" w:hanging="350"/>
        <w:spacing w:after="0"/>
        <w:tabs>
          <w:tab w:leader="none" w:pos="70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rapid technological developments;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evolving industry standards;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customer and product end user requirements;</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10</w:t>
      </w:r>
    </w:p>
    <w:p>
      <w:pPr>
        <w:spacing w:after="0" w:line="200" w:lineRule="exact"/>
        <w:rPr>
          <w:sz w:val="20"/>
          <w:szCs w:val="20"/>
          <w:color w:val="auto"/>
        </w:rPr>
      </w:pPr>
    </w:p>
    <w:p>
      <w:pPr>
        <w:spacing w:after="0" w:line="332" w:lineRule="exact"/>
        <w:rPr>
          <w:sz w:val="20"/>
          <w:szCs w:val="20"/>
          <w:color w:val="auto"/>
        </w:rPr>
      </w:pPr>
    </w:p>
    <w:p>
      <w:pPr>
        <w:ind w:left="700" w:hanging="350"/>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frequent new product introductions and enhancements; and</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short product life cycles with declining prices as products mature.</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IF WE DO NOT COMPETE EFFECTIVELY, WE WILL LOSE BUSINESS TO OUR COMPETITORS.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semiconductor foundry industry is highly competitive. We compete with more than ten independent dedicated foundries, the majority of which are located in Asia-Pacific, including new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42" w:lineRule="exact"/>
        <w:rPr>
          <w:sz w:val="20"/>
          <w:szCs w:val="20"/>
          <w:color w:val="auto"/>
        </w:rPr>
      </w:pPr>
    </w:p>
    <w:p>
      <w:pPr>
        <w:ind w:left="700" w:hanging="350"/>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greater manufacturing capacity;</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multiple and more advanced manufacturing facilities;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more advanced technological capabilities;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more diverse and established customer base;</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greater financial, marketing, distribution and other resources;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better cost structure; and/or</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better operational performance in cycle time and yields.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HAVE A LARGE AMOUNT OF DEBT WHICH COULD HAVE SIGNIFICANT NEGATIVE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CONSEQUENCES.</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We have a large amount of long-term debt, which could have significant negative consequences. As of June 30, 2006, we had approximately $526.7 million of bank debt and approximately $90 million of convertible debt (including approximately $37 million of convertible debt issued on June 29, 2006). Our current and future indebtedness could have significant negative consequences, including:</w:t>
      </w:r>
    </w:p>
    <w:p>
      <w:pPr>
        <w:spacing w:after="0" w:line="142" w:lineRule="exact"/>
        <w:rPr>
          <w:sz w:val="20"/>
          <w:szCs w:val="20"/>
          <w:color w:val="auto"/>
        </w:rPr>
      </w:pPr>
    </w:p>
    <w:p>
      <w:pPr>
        <w:ind w:left="700" w:right="4539" w:hanging="350"/>
        <w:spacing w:after="0" w:line="238" w:lineRule="auto"/>
        <w:tabs>
          <w:tab w:leader="none" w:pos="700"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requiring the dedication of a substantial portion of our expected cash flow from operations to service our indebtedness;</w:t>
      </w:r>
    </w:p>
    <w:p>
      <w:pPr>
        <w:spacing w:after="0" w:line="142" w:lineRule="exact"/>
        <w:rPr>
          <w:rFonts w:ascii="Courier New" w:cs="Courier New" w:eastAsia="Courier New" w:hAnsi="Courier New"/>
          <w:sz w:val="12"/>
          <w:szCs w:val="12"/>
          <w:color w:val="auto"/>
        </w:rPr>
      </w:pPr>
    </w:p>
    <w:p>
      <w:pPr>
        <w:ind w:left="700" w:right="4599" w:hanging="350"/>
        <w:spacing w:after="0" w:line="238" w:lineRule="auto"/>
        <w:tabs>
          <w:tab w:leader="none" w:pos="700"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increasing our vulnerability to general adverse economic and industry conditions;</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11</w:t>
      </w:r>
    </w:p>
    <w:p>
      <w:pPr>
        <w:spacing w:after="0" w:line="200" w:lineRule="exact"/>
        <w:rPr>
          <w:sz w:val="20"/>
          <w:szCs w:val="20"/>
          <w:color w:val="auto"/>
        </w:rPr>
      </w:pPr>
    </w:p>
    <w:p>
      <w:pPr>
        <w:spacing w:after="0" w:line="332" w:lineRule="exact"/>
        <w:rPr>
          <w:sz w:val="20"/>
          <w:szCs w:val="20"/>
          <w:color w:val="auto"/>
        </w:rPr>
      </w:pPr>
    </w:p>
    <w:p>
      <w:pPr>
        <w:ind w:left="700" w:hanging="350"/>
        <w:spacing w:after="0"/>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limiting our ability to obtain additional financing;</w:t>
      </w:r>
    </w:p>
    <w:p>
      <w:pPr>
        <w:spacing w:after="0" w:line="141" w:lineRule="exact"/>
        <w:rPr>
          <w:rFonts w:ascii="Courier New" w:cs="Courier New" w:eastAsia="Courier New" w:hAnsi="Courier New"/>
          <w:sz w:val="12"/>
          <w:szCs w:val="12"/>
          <w:color w:val="auto"/>
        </w:rPr>
      </w:pPr>
    </w:p>
    <w:p>
      <w:pPr>
        <w:ind w:left="700" w:right="4679" w:hanging="350"/>
        <w:spacing w:after="0" w:line="238" w:lineRule="auto"/>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limiting our flexibility in planning for, or reacting to, changes in our business and the industry in which we compete;</w:t>
      </w:r>
    </w:p>
    <w:p>
      <w:pPr>
        <w:spacing w:after="0" w:line="142" w:lineRule="exact"/>
        <w:rPr>
          <w:rFonts w:ascii="Courier New" w:cs="Courier New" w:eastAsia="Courier New" w:hAnsi="Courier New"/>
          <w:sz w:val="12"/>
          <w:szCs w:val="12"/>
          <w:color w:val="auto"/>
        </w:rPr>
      </w:pPr>
    </w:p>
    <w:p>
      <w:pPr>
        <w:ind w:left="700" w:right="4539" w:hanging="350"/>
        <w:spacing w:after="0" w:line="280" w:lineRule="auto"/>
        <w:tabs>
          <w:tab w:leader="none" w:pos="700"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placing us at a competitive disadvantage to less leveraged competitors and competitors that have better access to capital resources; and/or</w:t>
      </w:r>
    </w:p>
    <w:p>
      <w:pPr>
        <w:spacing w:after="0" w:line="120" w:lineRule="exact"/>
        <w:rPr>
          <w:rFonts w:ascii="Courier New" w:cs="Courier New" w:eastAsia="Courier New" w:hAnsi="Courier New"/>
          <w:sz w:val="11"/>
          <w:szCs w:val="11"/>
          <w:color w:val="auto"/>
        </w:rPr>
      </w:pPr>
    </w:p>
    <w:p>
      <w:pPr>
        <w:ind w:left="700" w:right="4819" w:hanging="350"/>
        <w:spacing w:after="0" w:line="238" w:lineRule="auto"/>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affecting our ability to make interest payments and other required debt service on our indebtedness.</w:t>
      </w:r>
    </w:p>
    <w:p>
      <w:pPr>
        <w:spacing w:after="0" w:line="142" w:lineRule="exact"/>
        <w:rPr>
          <w:sz w:val="20"/>
          <w:szCs w:val="20"/>
          <w:color w:val="auto"/>
        </w:rPr>
      </w:pPr>
    </w:p>
    <w:p>
      <w:pPr>
        <w:ind w:right="4759"/>
        <w:spacing w:after="0" w:line="238" w:lineRule="auto"/>
        <w:rPr>
          <w:sz w:val="20"/>
          <w:szCs w:val="20"/>
          <w:color w:val="auto"/>
        </w:rPr>
      </w:pPr>
      <w:r>
        <w:rPr>
          <w:rFonts w:ascii="Courier New" w:cs="Courier New" w:eastAsia="Courier New" w:hAnsi="Courier New"/>
          <w:sz w:val="12"/>
          <w:szCs w:val="12"/>
          <w:color w:val="auto"/>
        </w:rPr>
        <w:t>IF WE FAIL TO SATISFY THE COVENANTS SET FORTH IN OUR AMENDED CREDIT FACILITY, OUR BANKS WILL BE ABLE TO CALL OUR LOANS.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credit facility, under which we have drawn down approximately $526.7 million as of June 30, 2006, requires that we comply with certain financial, capital raising and production milestone covenants. In the July 2005 amendment to our credit facility agreement, our banks agreed to amend our financial ratios and covenants through the third quarter of 2006. We anticipate that we will not be in compliance with all of the financial ratios and covenants under the amended facility agreement commencing in the fourth quarter of 2006. In the event that (i) a definitive amendment to our facility agreement based on the May 2006 MOU with our banks will not be signed and closed, (ii) we are otherwise unsuccessful in negotiating revised financial, capital raising and production milestone covenants or (iii) our banks do not waive our non-compliance, pursuant to the terms of our amended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49" w:lineRule="exact"/>
        <w:rPr>
          <w:sz w:val="20"/>
          <w:szCs w:val="20"/>
          <w:color w:val="auto"/>
        </w:rPr>
      </w:pPr>
    </w:p>
    <w:p>
      <w:pPr>
        <w:ind w:right="4959"/>
        <w:spacing w:after="0" w:line="238" w:lineRule="auto"/>
        <w:rPr>
          <w:sz w:val="20"/>
          <w:szCs w:val="20"/>
          <w:color w:val="auto"/>
        </w:rPr>
      </w:pPr>
      <w:r>
        <w:rPr>
          <w:rFonts w:ascii="Courier New" w:cs="Courier New" w:eastAsia="Courier New" w:hAnsi="Courier New"/>
          <w:sz w:val="12"/>
          <w:szCs w:val="12"/>
          <w:color w:val="auto"/>
        </w:rPr>
        <w:t>ISRAELI BANKING LAWS MAY IMPOSE RESTRICTIONS ON THE TOTAL DEBT THAT WE MAY BORROW FROM OUR BANKS.</w:t>
      </w:r>
    </w:p>
    <w:p>
      <w:pPr>
        <w:sectPr>
          <w:pgSz w:w="11900" w:h="16838" w:orient="portrait"/>
          <w:cols w:equalWidth="0" w:num="1">
            <w:col w:w="10239"/>
          </w:cols>
          <w:pgMar w:left="220" w:top="141" w:right="1440" w:bottom="0" w:gutter="0" w:footer="0" w:header="0"/>
        </w:sectPr>
      </w:pPr>
    </w:p>
    <w:bookmarkStart w:id="7" w:name="page8"/>
    <w:bookmarkEnd w:id="7"/>
    <w:p>
      <w:pPr>
        <w:spacing w:after="0" w:line="6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$526.7 million as of June 30, 2006), which may have a material adverse effect on our business, financial condition and results of operations.</w:t>
      </w:r>
    </w:p>
    <w:p>
      <w:pPr>
        <w:spacing w:after="0" w:line="28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12</w:t>
      </w:r>
    </w:p>
    <w:p>
      <w:pPr>
        <w:spacing w:after="0" w:line="200" w:lineRule="exact"/>
        <w:rPr>
          <w:sz w:val="20"/>
          <w:szCs w:val="20"/>
          <w:color w:val="auto"/>
        </w:rPr>
      </w:pPr>
    </w:p>
    <w:p>
      <w:pPr>
        <w:spacing w:after="0" w:line="335" w:lineRule="exact"/>
        <w:rPr>
          <w:sz w:val="20"/>
          <w:szCs w:val="20"/>
          <w:color w:val="auto"/>
        </w:rPr>
      </w:pPr>
    </w:p>
    <w:p>
      <w:pPr>
        <w:ind w:right="4959"/>
        <w:spacing w:after="0" w:line="239" w:lineRule="auto"/>
        <w:rPr>
          <w:sz w:val="20"/>
          <w:szCs w:val="20"/>
          <w:color w:val="auto"/>
        </w:rPr>
      </w:pPr>
      <w:r>
        <w:rPr>
          <w:rFonts w:ascii="Courier New" w:cs="Courier New" w:eastAsia="Courier New" w:hAnsi="Courier New"/>
          <w:sz w:val="12"/>
          <w:szCs w:val="12"/>
          <w:color w:val="auto"/>
        </w:rPr>
        <w:t>IF WE EXPERIENCE DIFFICULTY IN ACHIEVING ACCEPTABLE DEVICE YIELDS, PRODUCT PERFORMANCE AND DELIVERY TIMES AS A RESULT OF MANUFACTURING PROBLEMS, OUR BUSINESS WILL BE ADVERSELY AFFECTED.</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46" w:lineRule="exact"/>
        <w:rPr>
          <w:sz w:val="20"/>
          <w:szCs w:val="20"/>
          <w:color w:val="auto"/>
        </w:rPr>
      </w:pPr>
    </w:p>
    <w:p>
      <w:pPr>
        <w:ind w:right="4599"/>
        <w:spacing w:after="0" w:line="239" w:lineRule="auto"/>
        <w:rPr>
          <w:sz w:val="20"/>
          <w:szCs w:val="20"/>
          <w:color w:val="auto"/>
        </w:rPr>
      </w:pPr>
      <w:r>
        <w:rPr>
          <w:rFonts w:ascii="Courier New" w:cs="Courier New" w:eastAsia="Courier New" w:hAnsi="Courier New"/>
          <w:sz w:val="12"/>
          <w:szCs w:val="12"/>
          <w:color w:val="auto"/>
        </w:rPr>
        <w:t>IF WE ARE UNABLE TO PURCHASE EQUIPMENT AND RAW MATERIALS, WE MAY NOT BE ABLE TO MANUFACTURE OUR PRODUCTS IN A TIMELY FASHION, WHICH MAY RESULT IN A LOSS OF EXISTING AND POTENTIAL NEW CUSTOMERS.</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46" w:lineRule="exact"/>
        <w:rPr>
          <w:sz w:val="20"/>
          <w:szCs w:val="20"/>
          <w:color w:val="auto"/>
        </w:rPr>
      </w:pPr>
    </w:p>
    <w:p>
      <w:pPr>
        <w:ind w:right="4759"/>
        <w:spacing w:after="0" w:line="238" w:lineRule="auto"/>
        <w:rPr>
          <w:sz w:val="20"/>
          <w:szCs w:val="20"/>
          <w:color w:val="auto"/>
        </w:rPr>
      </w:pPr>
      <w:r>
        <w:rPr>
          <w:rFonts w:ascii="Courier New" w:cs="Courier New" w:eastAsia="Courier New" w:hAnsi="Courier New"/>
          <w:sz w:val="12"/>
          <w:szCs w:val="12"/>
          <w:color w:val="auto"/>
        </w:rPr>
        <w:t>OUR EXPOSURE TO CURRENCY EXCHANGE AND INTEREST RATE FLUCTUATIONS MAY INCREASE OUR COST OF OPERATIONS.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27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13</w:t>
      </w:r>
    </w:p>
    <w:p>
      <w:pPr>
        <w:spacing w:after="0" w:line="200" w:lineRule="exact"/>
        <w:rPr>
          <w:sz w:val="20"/>
          <w:szCs w:val="20"/>
          <w:color w:val="auto"/>
        </w:rPr>
      </w:pPr>
    </w:p>
    <w:p>
      <w:pPr>
        <w:spacing w:after="0" w:line="335" w:lineRule="exact"/>
        <w:rPr>
          <w:sz w:val="20"/>
          <w:szCs w:val="20"/>
          <w:color w:val="auto"/>
        </w:rPr>
      </w:pPr>
    </w:p>
    <w:p>
      <w:pPr>
        <w:ind w:right="5039"/>
        <w:spacing w:after="0" w:line="238" w:lineRule="auto"/>
        <w:rPr>
          <w:sz w:val="20"/>
          <w:szCs w:val="20"/>
          <w:color w:val="auto"/>
        </w:rPr>
      </w:pPr>
      <w:r>
        <w:rPr>
          <w:rFonts w:ascii="Courier New" w:cs="Courier New" w:eastAsia="Courier New" w:hAnsi="Courier New"/>
          <w:sz w:val="12"/>
          <w:szCs w:val="12"/>
          <w:color w:val="auto"/>
        </w:rPr>
        <w:t>WE DEPEND ON INTELLECTUAL PROPERTY RIGHTS OF THIRD PARTIES AND FAILURE TO MAINTAIN OR ACQUIRE LICENSES COULD HARM OUR BUSINESS.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45" w:lineRule="exact"/>
        <w:rPr>
          <w:sz w:val="20"/>
          <w:szCs w:val="20"/>
          <w:color w:val="auto"/>
        </w:rPr>
      </w:pPr>
    </w:p>
    <w:p>
      <w:pPr>
        <w:ind w:right="4899"/>
        <w:spacing w:after="0" w:line="238" w:lineRule="auto"/>
        <w:rPr>
          <w:sz w:val="20"/>
          <w:szCs w:val="20"/>
          <w:color w:val="auto"/>
        </w:rPr>
      </w:pPr>
      <w:r>
        <w:rPr>
          <w:rFonts w:ascii="Courier New" w:cs="Courier New" w:eastAsia="Courier New" w:hAnsi="Courier New"/>
          <w:sz w:val="12"/>
          <w:szCs w:val="12"/>
          <w:color w:val="auto"/>
        </w:rPr>
        <w:t>FAILURE TO COMPLY WITH THE INTELLECTUAL PROPERTY RIGHTS OF THIRD PARTIES OR DEFEND OUR INTELLECTUAL PROPERTY RIGHTS COULD HARM OUR BUSINESS.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 One of these agreements expired at the end of 2005, and we are currently negotiating its renewal. If we are unable to renew it on similar terms, we may have to agree to less favorable terms or consider other alternatives, including designing around certain processes.</w:t>
      </w:r>
    </w:p>
    <w:p>
      <w:pPr>
        <w:spacing w:after="0" w:line="149"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40" w:lineRule="exact"/>
        <w:rPr>
          <w:sz w:val="20"/>
          <w:szCs w:val="20"/>
          <w:color w:val="auto"/>
        </w:rPr>
      </w:pPr>
    </w:p>
    <w:p>
      <w:pPr>
        <w:ind w:left="360"/>
        <w:spacing w:after="0"/>
        <w:tabs>
          <w:tab w:leader="none" w:pos="680" w:val="left"/>
        </w:tabs>
        <w:rPr>
          <w:sz w:val="20"/>
          <w:szCs w:val="20"/>
          <w:color w:val="auto"/>
        </w:rPr>
      </w:pPr>
      <w:r>
        <w:rPr>
          <w:rFonts w:ascii="Courier New" w:cs="Courier New" w:eastAsia="Courier New" w:hAnsi="Courier New"/>
          <w:sz w:val="12"/>
          <w:szCs w:val="12"/>
          <w:color w:val="auto"/>
        </w:rPr>
        <w:t>o</w:t>
      </w:r>
      <w:r>
        <w:rPr>
          <w:sz w:val="20"/>
          <w:szCs w:val="20"/>
          <w:color w:val="auto"/>
        </w:rPr>
        <w:tab/>
      </w:r>
      <w:r>
        <w:rPr>
          <w:rFonts w:ascii="Courier New" w:cs="Courier New" w:eastAsia="Courier New" w:hAnsi="Courier New"/>
          <w:sz w:val="12"/>
          <w:szCs w:val="12"/>
          <w:color w:val="auto"/>
        </w:rPr>
        <w:t>negotiating cross-license agreements;</w:t>
      </w:r>
    </w:p>
    <w:p>
      <w:pPr>
        <w:sectPr>
          <w:pgSz w:w="11900" w:h="16906" w:orient="portrait"/>
          <w:cols w:equalWidth="0" w:num="1">
            <w:col w:w="10239"/>
          </w:cols>
          <w:pgMar w:left="220" w:top="141" w:right="1440" w:bottom="0" w:gutter="0" w:footer="0" w:header="0"/>
        </w:sectPr>
      </w:pPr>
    </w:p>
    <w:bookmarkStart w:id="8" w:name="page9"/>
    <w:bookmarkEnd w:id="8"/>
    <w:p>
      <w:pPr>
        <w:ind w:left="700" w:right="4599" w:hanging="350"/>
        <w:spacing w:after="0" w:line="280" w:lineRule="auto"/>
        <w:tabs>
          <w:tab w:leader="none" w:pos="700"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seeking to acquire licenses to the allegedly infringed patents, which may not be available on commercially reasonable terms, if at all;</w:t>
      </w:r>
    </w:p>
    <w:p>
      <w:pPr>
        <w:spacing w:after="0" w:line="120" w:lineRule="exact"/>
        <w:rPr>
          <w:rFonts w:ascii="Courier New" w:cs="Courier New" w:eastAsia="Courier New" w:hAnsi="Courier New"/>
          <w:sz w:val="11"/>
          <w:szCs w:val="11"/>
          <w:color w:val="auto"/>
        </w:rPr>
      </w:pPr>
    </w:p>
    <w:p>
      <w:pPr>
        <w:ind w:left="700" w:right="4539" w:hanging="350"/>
        <w:spacing w:after="0"/>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discontinuing use of certain process technologies, architectures, or designs, which could cause us to stop manufacturing certain integrated circuits if we were unable to design around the allegedly infringed patents;</w:t>
      </w:r>
    </w:p>
    <w:p>
      <w:pPr>
        <w:spacing w:after="0" w:line="142" w:lineRule="exact"/>
        <w:rPr>
          <w:rFonts w:ascii="Courier New" w:cs="Courier New" w:eastAsia="Courier New" w:hAnsi="Courier New"/>
          <w:sz w:val="12"/>
          <w:szCs w:val="12"/>
          <w:color w:val="auto"/>
        </w:rPr>
      </w:pPr>
    </w:p>
    <w:p>
      <w:pPr>
        <w:ind w:left="700" w:right="4679" w:hanging="350"/>
        <w:spacing w:after="0" w:line="238" w:lineRule="auto"/>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fighting the matter in court and paying substantial monetary damages in the event we lose; or</w:t>
      </w:r>
    </w:p>
    <w:p>
      <w:pPr>
        <w:spacing w:after="0" w:line="142" w:lineRule="exact"/>
        <w:rPr>
          <w:rFonts w:ascii="Courier New" w:cs="Courier New" w:eastAsia="Courier New" w:hAnsi="Courier New"/>
          <w:sz w:val="12"/>
          <w:szCs w:val="12"/>
          <w:color w:val="auto"/>
        </w:rPr>
      </w:pPr>
    </w:p>
    <w:p>
      <w:pPr>
        <w:ind w:left="700" w:right="4959" w:hanging="350"/>
        <w:spacing w:after="0" w:line="238" w:lineRule="auto"/>
        <w:tabs>
          <w:tab w:leader="none" w:pos="700"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seeking to develop non-infringing technologies, which may not be feasible.</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278"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14</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As of March 31, 2006, we held 58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COULD BE SERIOUSLY HARMED BY FAILURE TO COMPLY WITH ENVIRONMENTAL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REGULATIONS.</w:t>
      </w:r>
    </w:p>
    <w:p>
      <w:pPr>
        <w:spacing w:after="0" w:line="141"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2" w:lineRule="exact"/>
        <w:rPr>
          <w:sz w:val="20"/>
          <w:szCs w:val="20"/>
          <w:color w:val="auto"/>
        </w:rPr>
      </w:pPr>
    </w:p>
    <w:p>
      <w:pPr>
        <w:ind w:right="4679"/>
        <w:spacing w:after="0" w:line="238" w:lineRule="auto"/>
        <w:rPr>
          <w:sz w:val="20"/>
          <w:szCs w:val="20"/>
          <w:color w:val="auto"/>
        </w:rPr>
      </w:pPr>
      <w:r>
        <w:rPr>
          <w:rFonts w:ascii="Courier New" w:cs="Courier New" w:eastAsia="Courier New" w:hAnsi="Courier New"/>
          <w:sz w:val="12"/>
          <w:szCs w:val="12"/>
          <w:color w:val="auto"/>
        </w:rPr>
        <w:t>WE ARE SUBJECT TO THE RISK OF LOSS DUE TO FIRE BECAUSE THE MATERIALS WE USE IN OUR MANUFACTURING PROCESSES ARE HIGHLY FLAMMABLE.</w:t>
      </w:r>
    </w:p>
    <w:p>
      <w:pPr>
        <w:spacing w:after="0" w:line="142"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POSSIBLE PRODUCT RETURNS COULD HARM OUR BUSINESS.</w:t>
      </w:r>
    </w:p>
    <w:p>
      <w:pPr>
        <w:spacing w:after="0" w:line="141"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42" w:lineRule="exact"/>
        <w:rPr>
          <w:sz w:val="20"/>
          <w:szCs w:val="20"/>
          <w:color w:val="auto"/>
        </w:rPr>
      </w:pPr>
    </w:p>
    <w:p>
      <w:pPr>
        <w:ind w:right="4599"/>
        <w:spacing w:after="0" w:line="238" w:lineRule="auto"/>
        <w:rPr>
          <w:sz w:val="20"/>
          <w:szCs w:val="20"/>
          <w:color w:val="auto"/>
        </w:rPr>
      </w:pPr>
      <w:r>
        <w:rPr>
          <w:rFonts w:ascii="Courier New" w:cs="Courier New" w:eastAsia="Courier New" w:hAnsi="Courier New"/>
          <w:sz w:val="12"/>
          <w:szCs w:val="12"/>
          <w:color w:val="auto"/>
        </w:rPr>
        <w:t>WE MAY BE REQUIRED TO REPAY GRANTS TO THE INVESTMENT CENTER THAT WE RECEIVED IN CONNECTION WITH FAB 1.</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28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15</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ARE SUBJECT TO RISKS RELATED TO OUR INTERNATIONAL OPERATIONS.</w:t>
      </w:r>
    </w:p>
    <w:p>
      <w:pPr>
        <w:spacing w:after="0" w:line="141" w:lineRule="exact"/>
        <w:rPr>
          <w:sz w:val="20"/>
          <w:szCs w:val="20"/>
          <w:color w:val="auto"/>
        </w:rPr>
      </w:pPr>
    </w:p>
    <w:p>
      <w:pPr>
        <w:ind w:right="4899" w:firstLine="357"/>
        <w:spacing w:after="0" w:line="239" w:lineRule="auto"/>
        <w:rPr>
          <w:sz w:val="20"/>
          <w:szCs w:val="20"/>
          <w:color w:val="auto"/>
        </w:rPr>
      </w:pPr>
      <w:r>
        <w:rPr>
          <w:rFonts w:ascii="Courier New" w:cs="Courier New" w:eastAsia="Courier New" w:hAnsi="Courier New"/>
          <w:sz w:val="12"/>
          <w:szCs w:val="12"/>
          <w:color w:val="auto"/>
        </w:rPr>
        <w:t>Since 2003, we have made substantial sales to customers located in Asia-Pacific and in Europe. Because of our international operations, we are vulnerable to the following risks:</w:t>
      </w:r>
    </w:p>
    <w:p>
      <w:pPr>
        <w:spacing w:after="0" w:line="143" w:lineRule="exact"/>
        <w:rPr>
          <w:sz w:val="20"/>
          <w:szCs w:val="20"/>
          <w:color w:val="auto"/>
        </w:rPr>
      </w:pPr>
    </w:p>
    <w:p>
      <w:pPr>
        <w:ind w:left="700" w:right="4539" w:hanging="350"/>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comply with foreign government regulation;</w:t>
      </w:r>
    </w:p>
    <w:p>
      <w:pPr>
        <w:spacing w:after="0" w:line="141" w:lineRule="exact"/>
        <w:rPr>
          <w:rFonts w:ascii="Courier New" w:cs="Courier New" w:eastAsia="Courier New" w:hAnsi="Courier New"/>
          <w:sz w:val="12"/>
          <w:szCs w:val="12"/>
          <w:color w:val="auto"/>
        </w:rPr>
      </w:pPr>
    </w:p>
    <w:p>
      <w:pPr>
        <w:ind w:left="700" w:right="4539" w:hanging="350"/>
        <w:spacing w:after="0" w:line="239" w:lineRule="auto"/>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geopolitical risks such as political and economic instability, potential hostilities and changes in diplomatic and trade relationships;</w:t>
      </w:r>
    </w:p>
    <w:p>
      <w:pPr>
        <w:spacing w:after="0" w:line="142" w:lineRule="exact"/>
        <w:rPr>
          <w:rFonts w:ascii="Courier New" w:cs="Courier New" w:eastAsia="Courier New" w:hAnsi="Courier New"/>
          <w:sz w:val="12"/>
          <w:szCs w:val="12"/>
          <w:color w:val="auto"/>
        </w:rPr>
      </w:pPr>
    </w:p>
    <w:p>
      <w:pPr>
        <w:jc w:val="both"/>
        <w:ind w:left="700" w:right="4899" w:hanging="350"/>
        <w:spacing w:after="0" w:line="239" w:lineRule="auto"/>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natural disasters affecting the countries in which we conduct our business, such as the earthquakes experienced in China, Japan and Taiwan;</w:t>
      </w:r>
    </w:p>
    <w:p>
      <w:pPr>
        <w:spacing w:after="0" w:line="142" w:lineRule="exact"/>
        <w:rPr>
          <w:rFonts w:ascii="Courier New" w:cs="Courier New" w:eastAsia="Courier New" w:hAnsi="Courier New"/>
          <w:sz w:val="12"/>
          <w:szCs w:val="12"/>
          <w:color w:val="auto"/>
        </w:rPr>
      </w:pPr>
    </w:p>
    <w:p>
      <w:pPr>
        <w:ind w:left="700" w:right="4539" w:hanging="350"/>
        <w:spacing w:after="0" w:line="280" w:lineRule="auto"/>
        <w:tabs>
          <w:tab w:leader="none" w:pos="700" w:val="left"/>
        </w:tabs>
        <w:numPr>
          <w:ilvl w:val="0"/>
          <w:numId w:val="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reduced sales to our customers or interruption in our manufacturing processes in Asia Pacific that may arise from regional issues in Asia;</w:t>
      </w:r>
    </w:p>
    <w:p>
      <w:pPr>
        <w:sectPr>
          <w:pgSz w:w="11900" w:h="16838" w:orient="portrait"/>
          <w:cols w:equalWidth="0" w:num="1">
            <w:col w:w="10239"/>
          </w:cols>
          <w:pgMar w:left="220" w:top="278" w:right="1440" w:bottom="0" w:gutter="0" w:footer="0" w:header="0"/>
        </w:sectPr>
      </w:pPr>
    </w:p>
    <w:bookmarkStart w:id="9" w:name="page10"/>
    <w:bookmarkEnd w:id="9"/>
    <w:p>
      <w:pPr>
        <w:spacing w:after="0" w:line="67" w:lineRule="exact"/>
        <w:rPr>
          <w:sz w:val="20"/>
          <w:szCs w:val="20"/>
          <w:color w:val="auto"/>
        </w:rPr>
      </w:pPr>
    </w:p>
    <w:p>
      <w:pPr>
        <w:ind w:left="700" w:right="4899" w:hanging="350"/>
        <w:spacing w:after="0" w:line="238" w:lineRule="auto"/>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imposition of regulatory requirements, tariffs, import and export restrictions and other barriers and restrictions;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adverse tax rules and regulations;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weak protection of our intellectual property rights; and</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delays in product shipments due to local customs restrictions.</w:t>
      </w:r>
    </w:p>
    <w:p>
      <w:pPr>
        <w:spacing w:after="0" w:line="141" w:lineRule="exact"/>
        <w:rPr>
          <w:sz w:val="20"/>
          <w:szCs w:val="20"/>
          <w:color w:val="auto"/>
        </w:rPr>
      </w:pPr>
    </w:p>
    <w:p>
      <w:pPr>
        <w:ind w:right="4959"/>
        <w:spacing w:after="0" w:line="238" w:lineRule="auto"/>
        <w:rPr>
          <w:sz w:val="20"/>
          <w:szCs w:val="20"/>
          <w:color w:val="auto"/>
        </w:rPr>
      </w:pPr>
      <w:r>
        <w:rPr>
          <w:rFonts w:ascii="Courier New" w:cs="Courier New" w:eastAsia="Courier New" w:hAnsi="Courier New"/>
          <w:sz w:val="12"/>
          <w:szCs w:val="12"/>
          <w:color w:val="auto"/>
        </w:rPr>
        <w:t>OUR BUSINESS COULD SUFFER IF WE ARE UNABLE TO RETAIN AND RECRUIT QUALIFIED PERSONNEL.</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28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16</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RISKS RELATED TO OUR SECURITIES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OUR STOCK PRICE MAY BE VOLATILE IN THE FUTURE.</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42" w:lineRule="exact"/>
        <w:rPr>
          <w:sz w:val="20"/>
          <w:szCs w:val="20"/>
          <w:color w:val="auto"/>
        </w:rPr>
      </w:pPr>
    </w:p>
    <w:p>
      <w:pPr>
        <w:ind w:right="4679" w:firstLine="357"/>
        <w:spacing w:after="0" w:line="272" w:lineRule="auto"/>
        <w:rPr>
          <w:sz w:val="20"/>
          <w:szCs w:val="20"/>
          <w:color w:val="auto"/>
        </w:rPr>
      </w:pPr>
      <w:r>
        <w:rPr>
          <w:rFonts w:ascii="Courier New" w:cs="Courier New" w:eastAsia="Courier New" w:hAnsi="Courier New"/>
          <w:sz w:val="11"/>
          <w:szCs w:val="11"/>
          <w:color w:val="auto"/>
        </w:rPr>
        <w:t>In addition, it is possible that in some future periods our operating results may be below the expectations of public market analysts and investors. In this event, the price of our securities may under perform or fall.</w:t>
      </w:r>
    </w:p>
    <w:p>
      <w:pPr>
        <w:spacing w:after="0" w:line="125" w:lineRule="exact"/>
        <w:rPr>
          <w:sz w:val="20"/>
          <w:szCs w:val="20"/>
          <w:color w:val="auto"/>
        </w:rPr>
      </w:pPr>
    </w:p>
    <w:p>
      <w:pPr>
        <w:ind w:right="4679"/>
        <w:spacing w:after="0" w:line="239" w:lineRule="auto"/>
        <w:rPr>
          <w:sz w:val="20"/>
          <w:szCs w:val="20"/>
          <w:color w:val="auto"/>
        </w:rPr>
      </w:pPr>
      <w:r>
        <w:rPr>
          <w:rFonts w:ascii="Courier New" w:cs="Courier New" w:eastAsia="Courier New" w:hAnsi="Courier New"/>
          <w:sz w:val="12"/>
          <w:szCs w:val="12"/>
          <w:color w:val="auto"/>
        </w:rPr>
        <w:t>ISSUANCE OF ADDITIONAL SHARES PURSUANT TO OUR FAB 2 FINANCING ARRANGEMENTS AND OPTIONS GRANTED TO OUR FAB 2 BUILDING CONTRACTOR, EMPLOYEES AND DIRECTORS MAY DILUTE THE INTEREST OF OUR SHAREHOLDERS.</w:t>
      </w:r>
    </w:p>
    <w:p>
      <w:pPr>
        <w:spacing w:after="0" w:line="143"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In connection with Fab 2, we have issued as of May 19, 2006, approximately 65.3 million ordinary shares to our wafer and equity partners and other shareholders.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an aggregate 8,264,464 ordinary shares with an exercise price of $1.21, one-half of which shall only be exercisable if our banks agree to reschedule the repayment dates of the loans made to us under the July 2005 amendment. As of May 19, 2006, up to approximately 51.4 million additional ordinary shares may be issued upon the conversion of our 2002 outstanding convertible debentures, 2005 outstanding convertible debentures and upon exercise of warrants held by some of our shareholders and others. With the completion of the TASE offering described below, securities convertible into and/or exercisable for the purchase of an additional approximately 41 million ordinary shares have also been issued.</w:t>
      </w:r>
    </w:p>
    <w:p>
      <w:pPr>
        <w:spacing w:after="0" w:line="149"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In addition, as of April 30, 2006, we had outstanding employee and directors options to purchase up to approximately 13 million shares at a weighted average exercise price of $4.15.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May 19, 2006, we had issued approximately 2.2 million of our ordinary shares to SanDisk Corporation and approximately 2.6 million ordinary shares to Alliance Semiconductor upon conversion of approximately $7.6 million of wafer credits. Following such conversions, an aggregate of approximately $30 million of credits issued to our three major wafer partners were outstanding as of May 19, 2006.</w:t>
      </w:r>
    </w:p>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17</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MOU we signed with our banks contemplates the issuance of 51,973,684 of our ordinary shares and, in connection thereto, Israel Corp. committed to our banks to invest $100 million in consideration for 65,789,474 of our ordinary shares. Our audit committee and board of directors approved, subject to shareholder approval, the grant of options to our CEO, in addition to the options granted to him in April 2005, such that the CEO will hold options to purchase shares that represent 4% of our shares on a fully diluted basis. Our board of directors further approved a plan to offer our current employees the opportunity to exchange their existing options to purchase our ordinary shares for new options and approved the allocation of additional options to be made to our employees if the total number of employee options, including the options to our CEO, during a 24 month period will represent less than 8% of the our shares on a fully diluted basis.</w:t>
      </w:r>
    </w:p>
    <w:p>
      <w:pPr>
        <w:spacing w:after="0" w:line="14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addition to the proceeds we may raise in the contemplated investment by Israel Corp., we will need to raise significant additional funds from other sources to finance (i) the ramp-up of Fab 2, which we currently estimate to be up to an additional approximately $150 million, and (ii) our payments on the long-term loans from our banks and other debt. We are engaged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45" w:lineRule="exact"/>
        <w:rPr>
          <w:sz w:val="20"/>
          <w:szCs w:val="20"/>
          <w:color w:val="auto"/>
        </w:rPr>
      </w:pPr>
    </w:p>
    <w:p>
      <w:pPr>
        <w:ind w:right="4679"/>
        <w:spacing w:after="0" w:line="238" w:lineRule="auto"/>
        <w:rPr>
          <w:sz w:val="20"/>
          <w:szCs w:val="20"/>
          <w:color w:val="auto"/>
        </w:rPr>
      </w:pPr>
      <w:r>
        <w:rPr>
          <w:rFonts w:ascii="Courier New" w:cs="Courier New" w:eastAsia="Courier New" w:hAnsi="Courier New"/>
          <w:sz w:val="12"/>
          <w:szCs w:val="12"/>
          <w:color w:val="auto"/>
        </w:rPr>
        <w:t>MARKET SALES OF LARGE AMOUNTS OF OUR SHARES ELIGIBLE FOR FUTURE SALE MAY LOWER THE PRICE OF OUR ORDINARY SHARES.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Of our 77,561,979 outstanding ordinary shares as of May 19, 2006,</w:t>
      </w:r>
    </w:p>
    <w:p>
      <w:pPr>
        <w:sectPr>
          <w:pgSz w:w="11900" w:h="16906" w:orient="portrait"/>
          <w:cols w:equalWidth="0" w:num="1">
            <w:col w:w="10239"/>
          </w:cols>
          <w:pgMar w:left="220" w:top="141" w:right="1440" w:bottom="0" w:gutter="0" w:footer="0" w:header="0"/>
        </w:sectPr>
      </w:pPr>
    </w:p>
    <w:bookmarkStart w:id="10" w:name="page11"/>
    <w:bookmarkEnd w:id="10"/>
    <w:p>
      <w:pPr>
        <w:spacing w:after="0" w:line="68" w:lineRule="exact"/>
        <w:rPr>
          <w:sz w:val="20"/>
          <w:szCs w:val="20"/>
          <w:color w:val="auto"/>
        </w:rPr>
      </w:pPr>
    </w:p>
    <w:p>
      <w:pPr>
        <w:ind w:right="4539"/>
        <w:spacing w:after="0" w:line="242" w:lineRule="auto"/>
        <w:rPr>
          <w:sz w:val="20"/>
          <w:szCs w:val="20"/>
          <w:color w:val="auto"/>
        </w:rPr>
      </w:pPr>
      <w:r>
        <w:rPr>
          <w:rFonts w:ascii="Courier New" w:cs="Courier New" w:eastAsia="Courier New" w:hAnsi="Courier New"/>
          <w:sz w:val="12"/>
          <w:szCs w:val="12"/>
          <w:color w:val="auto"/>
        </w:rPr>
        <w:t>approximately 33.3 million are freely tradable and held by non-affiliates under U.S. securities laws. In addition, certain of our affiliates (Israel Corp., SanDisk Corporation, Alliance Semiconductor, and Macronix International) hold approximately 44.3 million of our shares, of which approximately 4.1 million are registered for resale and are therefore freely tradable under U.S. securities laws and approximately 35.5 million are currently eligible for sale subject to the time, volume and manner of sale limitations of Rule 144 promulgated under the U.S. Securities Act of 1933, as amended. An additional approximately 2.6 million shares held by Alliance Semiconductor and 2 million shares held by SanDisk Corporation, will become eligible for sale subject to the time, volume and manner of sale limitations of Rule 144 through 2007. Shares held by these affiliates are subject to the share transfer restrictions set forth in the shareholders agreement to which they are a party and which remain in effect through January 2008. As of May 19, 2006, up to 36,598,425 additional shares issuable upon the conversion of our 2005 convertible debentures are held by non-affiliates or are registered for resale and are therefore freely tradable under U.S. securities laws. In addition, 9,161,060 shares issuable upon the exercise of warrants we granted to our banks are registered for resale and are therefore freely tradable under U.S. securities laws. The additional up to approximately 41 million shares issuable upon the conversion and/or exercise of the securities sold in our recently completed TASE offering, would be freely tradeable in normal trading transactions in the United States.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18</w:t>
      </w:r>
    </w:p>
    <w:p>
      <w:pPr>
        <w:spacing w:after="0" w:line="200" w:lineRule="exact"/>
        <w:rPr>
          <w:sz w:val="20"/>
          <w:szCs w:val="20"/>
          <w:color w:val="auto"/>
        </w:rPr>
      </w:pPr>
    </w:p>
    <w:p>
      <w:pPr>
        <w:spacing w:after="0" w:line="335" w:lineRule="exact"/>
        <w:rPr>
          <w:sz w:val="20"/>
          <w:szCs w:val="20"/>
          <w:color w:val="auto"/>
        </w:rPr>
      </w:pPr>
    </w:p>
    <w:p>
      <w:pPr>
        <w:ind w:right="4539"/>
        <w:spacing w:after="0" w:line="239" w:lineRule="auto"/>
        <w:rPr>
          <w:sz w:val="20"/>
          <w:szCs w:val="20"/>
          <w:color w:val="auto"/>
        </w:rPr>
      </w:pPr>
      <w:r>
        <w:rPr>
          <w:rFonts w:ascii="Courier New" w:cs="Courier New" w:eastAsia="Courier New" w:hAnsi="Courier New"/>
          <w:sz w:val="12"/>
          <w:szCs w:val="12"/>
          <w:color w:val="auto"/>
        </w:rPr>
        <w:t>OUR PRINCIPAL SHAREHOLDERS COLLECTIVELY OWN A CONTROLLING INTEREST IN US AND WILL BE ABLE TO EXERCISE THEIR VOTING RIGHTS IN WAYS WHICH MAY BE ADVERSE TO THE INTERESTS OF OUR SHAREHOLDERS.</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As of May 19, 2006, our wafer partners and Israel Corp. collectively owned approximately 57%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49" w:lineRule="exact"/>
        <w:rPr>
          <w:sz w:val="20"/>
          <w:szCs w:val="20"/>
          <w:color w:val="auto"/>
        </w:rPr>
      </w:pPr>
    </w:p>
    <w:p>
      <w:pPr>
        <w:ind w:right="4539"/>
        <w:spacing w:after="0" w:line="239" w:lineRule="auto"/>
        <w:rPr>
          <w:sz w:val="20"/>
          <w:szCs w:val="20"/>
          <w:color w:val="auto"/>
        </w:rPr>
      </w:pPr>
      <w:r>
        <w:rPr>
          <w:rFonts w:ascii="Courier New" w:cs="Courier New" w:eastAsia="Courier New" w:hAnsi="Courier New"/>
          <w:sz w:val="12"/>
          <w:szCs w:val="12"/>
          <w:color w:val="auto"/>
        </w:rPr>
        <w:t>THE PAYMENT OF THE REDEMPTION AMOUNT ON ACCOUNT OF OUR OUTSTANDING DEBENTURES IS SUBORDINATED TO OUR INDEBTEDNESS TO OUR BANKS AND OBLIGATIONS TO SECURED CREDITORS.</w:t>
      </w:r>
    </w:p>
    <w:p>
      <w:pPr>
        <w:spacing w:after="0" w:line="143"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The payment of the redemption amount on account of our outstanding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$161 million in grants received through May 31, 2006 under the Investment Center's "Approved Enterprise" program, and to a first ranking charge in favor of Siliconix Technology C.V., on approximately $20 million of equipment purchased in connection with the performance of our obligations under our agreement with Siliconix. As a result, upon any distribution to our creditors in liquidation or reorganization or similar proceedings, these secured creditors will be entitled to be paid in full before any payment may be made with respect to any of our outstanding debentures. In any of these circumstances, we may not have sufficient assets remaining to pay amounts due on any or all of the debentures then outstanding. In addition, we are not permitted under the terms of our facility agreement to make a payment on account of our outstanding debentures if on the date of such payment an "Event of Default" exists under our facility agreement.</w:t>
      </w:r>
    </w:p>
    <w:p>
      <w:pPr>
        <w:spacing w:after="0" w:line="269" w:lineRule="exact"/>
        <w:rPr>
          <w:sz w:val="20"/>
          <w:szCs w:val="20"/>
          <w:color w:val="auto"/>
        </w:rPr>
      </w:pPr>
    </w:p>
    <w:p>
      <w:pPr>
        <w:ind w:right="4959"/>
        <w:spacing w:after="0" w:line="238" w:lineRule="auto"/>
        <w:rPr>
          <w:sz w:val="20"/>
          <w:szCs w:val="20"/>
          <w:color w:val="auto"/>
        </w:rPr>
      </w:pPr>
      <w:r>
        <w:rPr>
          <w:rFonts w:ascii="Courier New" w:cs="Courier New" w:eastAsia="Courier New" w:hAnsi="Courier New"/>
          <w:sz w:val="12"/>
          <w:szCs w:val="12"/>
          <w:color w:val="auto"/>
        </w:rPr>
        <w:t>WE MAY INCUR ADDITIONAL INDEBTEDNESS, INCLUDING INDEBTEDNESS THAT WOULD BE SENIOR TO OUR OUTSTANDING DEBENTURES.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Although we are limited by the covenants in the facility agreement, we could enter into certain transactions that would increase the amount of our outstanding senior indebtedness. It is possible that all or part of these borrowings would be senior to our outstanding debentures. If new indebtedness is added to our current indebtedness levels, the related risks that we now face could intensify.</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19</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RISKS RELATED TO OUR OPERATIONS IN ISRAEL</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INSTABILITY IN ISRAEL MAY HARM OUR BUSINESS.</w:t>
      </w:r>
    </w:p>
    <w:p>
      <w:pPr>
        <w:spacing w:after="0" w:line="141" w:lineRule="exact"/>
        <w:rPr>
          <w:sz w:val="20"/>
          <w:szCs w:val="20"/>
          <w:color w:val="auto"/>
        </w:rPr>
      </w:pPr>
    </w:p>
    <w:p>
      <w:pPr>
        <w:ind w:right="4539" w:firstLine="357"/>
        <w:spacing w:after="0" w:line="239" w:lineRule="auto"/>
        <w:rPr>
          <w:sz w:val="20"/>
          <w:szCs w:val="20"/>
          <w:color w:val="auto"/>
        </w:rPr>
      </w:pPr>
      <w:r>
        <w:rPr>
          <w:rFonts w:ascii="Courier New" w:cs="Courier New" w:eastAsia="Courier New" w:hAnsi="Courier New"/>
          <w:sz w:val="12"/>
          <w:szCs w:val="12"/>
          <w:color w:val="auto"/>
        </w:rPr>
        <w:t>All of our manufacturing facilities and our corporate and some of our sales offices are located in Israel. Accordingly, political, economic and military conditions in Israel may directly affect our business.</w:t>
      </w:r>
    </w:p>
    <w:p>
      <w:pPr>
        <w:spacing w:after="0" w:line="143" w:lineRule="exact"/>
        <w:rPr>
          <w:sz w:val="20"/>
          <w:szCs w:val="20"/>
          <w:color w:val="auto"/>
        </w:rPr>
      </w:pPr>
    </w:p>
    <w:p>
      <w:pPr>
        <w:ind w:right="4539" w:firstLine="357"/>
        <w:spacing w:after="0" w:line="242" w:lineRule="auto"/>
        <w:rPr>
          <w:sz w:val="20"/>
          <w:szCs w:val="20"/>
          <w:color w:val="auto"/>
        </w:rPr>
      </w:pPr>
      <w:r>
        <w:rPr>
          <w:rFonts w:ascii="Courier New" w:cs="Courier New" w:eastAsia="Courier New" w:hAnsi="Courier New"/>
          <w:sz w:val="12"/>
          <w:szCs w:val="12"/>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w:t>
      </w:r>
    </w:p>
    <w:p>
      <w:pPr>
        <w:sectPr>
          <w:pgSz w:w="11900" w:h="16906" w:orient="portrait"/>
          <w:cols w:equalWidth="0" w:num="1">
            <w:col w:w="10239"/>
          </w:cols>
          <w:pgMar w:left="220" w:top="141" w:right="1440" w:bottom="0" w:gutter="0" w:footer="0" w:header="0"/>
        </w:sectPr>
      </w:pPr>
    </w:p>
    <w:bookmarkStart w:id="11" w:name="page12"/>
    <w:bookmarkEnd w:id="11"/>
    <w:p>
      <w:pPr>
        <w:spacing w:after="0" w:line="67" w:lineRule="exact"/>
        <w:rPr>
          <w:sz w:val="20"/>
          <w:szCs w:val="20"/>
          <w:color w:val="auto"/>
        </w:rPr>
      </w:pPr>
    </w:p>
    <w:p>
      <w:pPr>
        <w:ind w:right="4759"/>
        <w:spacing w:after="0" w:line="239" w:lineRule="auto"/>
        <w:rPr>
          <w:sz w:val="20"/>
          <w:szCs w:val="20"/>
          <w:color w:val="auto"/>
        </w:rPr>
      </w:pPr>
      <w:r>
        <w:rPr>
          <w:rFonts w:ascii="Courier New" w:cs="Courier New" w:eastAsia="Courier New" w:hAnsi="Courier New"/>
          <w:sz w:val="12"/>
          <w:szCs w:val="12"/>
          <w:color w:val="auto"/>
        </w:rPr>
        <w:t>interruption insurance may not adequately compensate us for losses that may occur, and any losses or damages incurred by us could have a material adverse effect on our business.</w:t>
      </w:r>
    </w:p>
    <w:p>
      <w:pPr>
        <w:spacing w:after="0" w:line="143" w:lineRule="exact"/>
        <w:rPr>
          <w:sz w:val="20"/>
          <w:szCs w:val="20"/>
          <w:color w:val="auto"/>
        </w:rPr>
      </w:pPr>
    </w:p>
    <w:p>
      <w:pPr>
        <w:ind w:right="4539"/>
        <w:spacing w:after="0" w:line="238" w:lineRule="auto"/>
        <w:rPr>
          <w:sz w:val="20"/>
          <w:szCs w:val="20"/>
          <w:color w:val="auto"/>
        </w:rPr>
      </w:pPr>
      <w:r>
        <w:rPr>
          <w:rFonts w:ascii="Courier New" w:cs="Courier New" w:eastAsia="Courier New" w:hAnsi="Courier New"/>
          <w:sz w:val="12"/>
          <w:szCs w:val="12"/>
          <w:color w:val="auto"/>
        </w:rPr>
        <w:t>OUR OPERATIONS MAY BE NEGATIVELY AFFECTED BY THE OBLIGATIONS OF OUR PERSONNEL TO PERFORM MILITARY SERVICE.</w:t>
      </w:r>
    </w:p>
    <w:p>
      <w:pPr>
        <w:spacing w:after="0" w:line="142"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OUR OPERATIONS MAY BE AFFECTED BY NEGATIVE ECONOMIC CONDITIONS IN ISRAEL.</w:t>
      </w:r>
    </w:p>
    <w:p>
      <w:pPr>
        <w:spacing w:after="0" w:line="141"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263"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20</w:t>
      </w:r>
    </w:p>
    <w:p>
      <w:pPr>
        <w:spacing w:after="0" w:line="200" w:lineRule="exact"/>
        <w:rPr>
          <w:sz w:val="20"/>
          <w:szCs w:val="20"/>
          <w:color w:val="auto"/>
        </w:rPr>
      </w:pPr>
    </w:p>
    <w:p>
      <w:pPr>
        <w:spacing w:after="0" w:line="335" w:lineRule="exact"/>
        <w:rPr>
          <w:sz w:val="20"/>
          <w:szCs w:val="20"/>
          <w:color w:val="auto"/>
        </w:rPr>
      </w:pPr>
    </w:p>
    <w:p>
      <w:pPr>
        <w:ind w:right="4599"/>
        <w:spacing w:after="0" w:line="238" w:lineRule="auto"/>
        <w:rPr>
          <w:sz w:val="20"/>
          <w:szCs w:val="20"/>
          <w:color w:val="auto"/>
        </w:rPr>
      </w:pPr>
      <w:r>
        <w:rPr>
          <w:rFonts w:ascii="Courier New" w:cs="Courier New" w:eastAsia="Courier New" w:hAnsi="Courier New"/>
          <w:sz w:val="12"/>
          <w:szCs w:val="12"/>
          <w:color w:val="auto"/>
        </w:rPr>
        <w:t>IF THE EXEMPTION ALLOWING US TO OPERATE OUR MANUFACTURING FACILITIES SEVEN DAYS A WEEK IS NOT RENEWED, OUR BUSINESS WILL BE ADVERSELY AFFECTED.</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operate our manufacturing facilities seven days a week pursuant to an exemption from the law that requires businesses in Israel to be closed from sundown on Friday through sundown on Saturday. This exemption expires by its terms on December 31, 2006.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4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4.</w:t>
      </w:r>
      <w:r>
        <w:rPr>
          <w:sz w:val="20"/>
          <w:szCs w:val="20"/>
          <w:color w:val="auto"/>
        </w:rPr>
        <w:tab/>
      </w:r>
      <w:r>
        <w:rPr>
          <w:rFonts w:ascii="Courier New" w:cs="Courier New" w:eastAsia="Courier New" w:hAnsi="Courier New"/>
          <w:sz w:val="11"/>
          <w:szCs w:val="11"/>
          <w:color w:val="auto"/>
        </w:rPr>
        <w:t>INFORMATION ON THE COMPANY</w:t>
      </w:r>
    </w:p>
    <w:p>
      <w:pPr>
        <w:spacing w:after="0" w:line="139" w:lineRule="exact"/>
        <w:rPr>
          <w:sz w:val="20"/>
          <w:szCs w:val="20"/>
          <w:color w:val="auto"/>
        </w:rPr>
      </w:pPr>
    </w:p>
    <w:p>
      <w:pPr>
        <w:ind w:left="700" w:hanging="350"/>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History and Development of the Company</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4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are focused on establishing leading market share in high-growth specialized markets by providing our customers with high-value wafer foundry services. Our historical focus has been standard digital complementary metal oxide semiconductor ("CMOS") process technology, which is the most widely used method of producing ICs. We currently are focused on the emerging opportunities surrounding CMOS image sensors, embedded flash, mixed-signal and radio frequency CMOS (RFCMOS) technologies. In addition, we have commenced development of a new technology that targets the radio frequency identification, or RFID, tags market. Through our expertise and experience gained over a decade of operations, we differentiate ourselves in these areas by creating a high level of value for our clients through innovative technological processes, design support and services, competitive manufacturing indices, such as cycle times and yields, and dedicated customer service.</w:t>
      </w:r>
    </w:p>
    <w:p>
      <w:pPr>
        <w:spacing w:after="0" w:line="14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Production capacity in Fab 1 as of June 30, 2006 was approximately 16,000 wafers per month, depending on process technology and product mix.</w:t>
      </w:r>
    </w:p>
    <w:p>
      <w:pPr>
        <w:spacing w:after="0" w:line="278"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21</w:t>
      </w:r>
    </w:p>
    <w:p>
      <w:pPr>
        <w:spacing w:after="0" w:line="200" w:lineRule="exact"/>
        <w:rPr>
          <w:sz w:val="20"/>
          <w:szCs w:val="20"/>
          <w:color w:val="auto"/>
        </w:rPr>
      </w:pPr>
    </w:p>
    <w:p>
      <w:pPr>
        <w:spacing w:after="0" w:line="335" w:lineRule="exact"/>
        <w:rPr>
          <w:sz w:val="20"/>
          <w:szCs w:val="20"/>
          <w:color w:val="auto"/>
        </w:rPr>
      </w:pPr>
    </w:p>
    <w:p>
      <w:pPr>
        <w:ind w:right="4599" w:firstLine="357"/>
        <w:spacing w:after="0" w:line="266" w:lineRule="auto"/>
        <w:rPr>
          <w:sz w:val="20"/>
          <w:szCs w:val="20"/>
          <w:color w:val="auto"/>
        </w:rPr>
      </w:pPr>
      <w:r>
        <w:rPr>
          <w:rFonts w:ascii="Courier New" w:cs="Courier New" w:eastAsia="Courier New" w:hAnsi="Courier New"/>
          <w:sz w:val="11"/>
          <w:szCs w:val="11"/>
          <w:color w:val="auto"/>
        </w:rPr>
        <w:t>We have completed the construction of the building and infrastructure and are in the course of ramping our second manufacturing facility, or Fab 2. Fab 2 is designed to operate in geometries of 0.18-micron and below, using advanced materials and advanced CMOS technology licensed from Freescale and Toshiba and other technologies that we might acquire or develop independently or with development partners. Production capacity as of June 30, 2006 was approximately 15,000 wafers per month. When fully ramped-up, we estimate that Fab 2 will be able to achieve capacity of approximately 40,000 wafers per month.</w:t>
      </w:r>
    </w:p>
    <w:p>
      <w:pPr>
        <w:spacing w:after="0" w:line="13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Our capital expenditures net of Investment Center grants for 2005, 2004 and</w:t>
      </w:r>
    </w:p>
    <w:p>
      <w:pPr>
        <w:spacing w:after="0" w:line="13" w:lineRule="exact"/>
        <w:rPr>
          <w:sz w:val="20"/>
          <w:szCs w:val="20"/>
          <w:color w:val="auto"/>
        </w:rPr>
      </w:pPr>
    </w:p>
    <w:p>
      <w:pPr>
        <w:ind w:right="4759"/>
        <w:spacing w:after="0" w:line="239" w:lineRule="auto"/>
        <w:rPr>
          <w:sz w:val="20"/>
          <w:szCs w:val="20"/>
          <w:color w:val="auto"/>
        </w:rPr>
      </w:pPr>
      <w:r>
        <w:rPr>
          <w:rFonts w:ascii="Courier New" w:cs="Courier New" w:eastAsia="Courier New" w:hAnsi="Courier New"/>
          <w:sz w:val="12"/>
          <w:szCs w:val="12"/>
          <w:color w:val="auto"/>
        </w:rPr>
        <w:t>2003 of $24 million, $142 million and $137 million, respectively, were made principally in connection with the construction of, and purchase of equipment and technology for, Fab 2.</w:t>
      </w:r>
    </w:p>
    <w:p>
      <w:pPr>
        <w:spacing w:after="0" w:line="143"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Our legal and commercial name is Tower Semiconductor Ltd. We were incorporated under the laws of Israel. Our manufacturing facilities and executive offices are located in the Ramat Gavriel Industrial Park, Post Office Box 619, Migdal Haemek, 23105 Israel, and our telephone number is</w:t>
      </w:r>
    </w:p>
    <w:p>
      <w:pPr>
        <w:spacing w:after="0" w:line="5" w:lineRule="exact"/>
        <w:rPr>
          <w:sz w:val="20"/>
          <w:szCs w:val="20"/>
          <w:color w:val="auto"/>
        </w:rPr>
      </w:pPr>
    </w:p>
    <w:p>
      <w:pPr>
        <w:ind w:right="4679"/>
        <w:spacing w:after="0" w:line="239" w:lineRule="auto"/>
        <w:rPr>
          <w:sz w:val="20"/>
          <w:szCs w:val="20"/>
          <w:color w:val="auto"/>
        </w:rPr>
      </w:pPr>
      <w:r>
        <w:rPr>
          <w:rFonts w:ascii="Courier New" w:cs="Courier New" w:eastAsia="Courier New" w:hAnsi="Courier New"/>
          <w:sz w:val="12"/>
          <w:szCs w:val="12"/>
          <w:color w:val="auto"/>
        </w:rPr>
        <w:t>972-4-650-6611. Our worldwide web site is located at http://www.towersemi.com. Information on our web site is not incorporated by reference in this annual report.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RECENT DEVELOPMENTS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COMPLETION OF $31 MILLION TASE OFFERING</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On June 29, 2006 we successfully completed an underwritten public offering</w:t>
      </w:r>
    </w:p>
    <w:p>
      <w:pPr>
        <w:sectPr>
          <w:pgSz w:w="11900" w:h="16906" w:orient="portrait"/>
          <w:cols w:equalWidth="0" w:num="1">
            <w:col w:w="10239"/>
          </w:cols>
          <w:pgMar w:left="220" w:top="141" w:right="1440" w:bottom="0" w:gutter="0" w:footer="0" w:header="0"/>
        </w:sectPr>
      </w:pPr>
    </w:p>
    <w:bookmarkStart w:id="12" w:name="page13"/>
    <w:bookmarkEnd w:id="12"/>
    <w:p>
      <w:pPr>
        <w:spacing w:after="0" w:line="67" w:lineRule="exact"/>
        <w:rPr>
          <w:sz w:val="20"/>
          <w:szCs w:val="20"/>
          <w:color w:val="auto"/>
        </w:rPr>
      </w:pPr>
    </w:p>
    <w:p>
      <w:pPr>
        <w:ind w:left="7" w:right="4539"/>
        <w:spacing w:after="0" w:line="241" w:lineRule="auto"/>
        <w:rPr>
          <w:sz w:val="20"/>
          <w:szCs w:val="20"/>
          <w:color w:val="auto"/>
        </w:rPr>
      </w:pPr>
      <w:r>
        <w:rPr>
          <w:rFonts w:ascii="Courier New" w:cs="Courier New" w:eastAsia="Courier New" w:hAnsi="Courier New"/>
          <w:sz w:val="12"/>
          <w:szCs w:val="12"/>
          <w:color w:val="auto"/>
        </w:rPr>
        <w:t>of our securities on the Tel-Aviv Stock Exchange (TASE) in Israel resulting in gross proceeds of approximately NIS 140 million (approximately $31 million). In the offering, 78,000 Units were sold at a price per Unit of NIS 1,785 (approximately $400). Each Unit consists of (i) convertible debentures in the face amount of NIS 2,100 (approximately $470), (ii) five options each exercisable for three months for NIS 100 principal amount of convertible debentures at an exercise price equal to 85% of their face amount, (iii) 140 warrants each exercisable for three months for one Tower ordinary share at a price of NIS 6.75 (approximately $1.51) and (iv) 70 warrants each exercisable for three years for one Tower ordinary share at a price of NIS 7.40 (approximately $1.66). The convertible debentures are convertible into Tower's ordinary shares at a conversion rate of one ordinary share per NIS 8.40 (approximately $1.89) principal amount of convertible debentures. The convertible debentures carry a zero coupon with principal payable at maturity in December 2011, at a premium of 37% over face value, linked to the Israeli Consumer Price Index (CPI). The conversion price is subject to reduction in certain limited circumstances.</w:t>
      </w:r>
    </w:p>
    <w:p>
      <w:pPr>
        <w:spacing w:after="0" w:line="150" w:lineRule="exact"/>
        <w:rPr>
          <w:sz w:val="20"/>
          <w:szCs w:val="20"/>
          <w:color w:val="auto"/>
        </w:rPr>
      </w:pPr>
    </w:p>
    <w:p>
      <w:pPr>
        <w:ind w:left="7" w:right="4599" w:firstLine="357"/>
        <w:spacing w:after="0" w:line="239" w:lineRule="auto"/>
        <w:rPr>
          <w:sz w:val="20"/>
          <w:szCs w:val="20"/>
          <w:color w:val="auto"/>
        </w:rPr>
      </w:pPr>
      <w:r>
        <w:rPr>
          <w:rFonts w:ascii="Courier New" w:cs="Courier New" w:eastAsia="Courier New" w:hAnsi="Courier New"/>
          <w:sz w:val="12"/>
          <w:szCs w:val="12"/>
          <w:color w:val="auto"/>
        </w:rPr>
        <w:t>The offering was made in Israel to Israeli residents only. The securities offered were not registered under the Securities Act and may not be sold in the U.S. or to U.S. persons absent registration or an applicable exemption.</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22</w:t>
      </w: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AMENDMENT TO OUR FACILITY AGREEMENT</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In May 2006, we signed amendments to the facility agreement with our banks, according to which: (i) repayments of long-term loans in the amount of approximately $100 million scheduled to be paid between October 2006 and June 2007, were deferred to July 2007; and (ii) the date on which we were required to raise approximately $8 million was deferred from June 30, 2006 to September 30, 2006, which amount was raised with the completion of the TASE offering described above.</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RAMP-UP OF FAB 2</w:t>
      </w:r>
    </w:p>
    <w:p>
      <w:pPr>
        <w:spacing w:after="0" w:line="141" w:lineRule="exact"/>
        <w:rPr>
          <w:sz w:val="20"/>
          <w:szCs w:val="20"/>
          <w:color w:val="auto"/>
        </w:rPr>
      </w:pPr>
    </w:p>
    <w:p>
      <w:pPr>
        <w:ind w:left="7" w:right="4599" w:firstLine="357"/>
        <w:spacing w:after="0" w:line="264" w:lineRule="auto"/>
        <w:rPr>
          <w:sz w:val="20"/>
          <w:szCs w:val="20"/>
          <w:color w:val="auto"/>
        </w:rPr>
      </w:pPr>
      <w:r>
        <w:rPr>
          <w:rFonts w:ascii="Courier New" w:cs="Courier New" w:eastAsia="Courier New" w:hAnsi="Courier New"/>
          <w:sz w:val="11"/>
          <w:szCs w:val="11"/>
          <w:color w:val="auto"/>
        </w:rPr>
        <w:t>In March 2006, our board of directors approved a plan to ramp up Fab 2 in order to meet our customer and product qualification needs, based on our customer pipeline and reinforced by forecasted market conditions. According to this plan, we will need to raise approximately $130 million during 2006, which will take the current Fab 2 capacity to approximately 24,000 wafers per month. We plan to raise this amount by way of (i) $30 million public offering (this amount was raised with the completion of the TASE offering described above) and</w:t>
      </w:r>
    </w:p>
    <w:p>
      <w:pPr>
        <w:spacing w:after="0" w:line="1" w:lineRule="exact"/>
        <w:rPr>
          <w:sz w:val="20"/>
          <w:szCs w:val="20"/>
          <w:color w:val="auto"/>
        </w:rPr>
      </w:pPr>
    </w:p>
    <w:p>
      <w:pPr>
        <w:ind w:left="7" w:right="4679" w:hanging="7"/>
        <w:spacing w:after="0"/>
        <w:tabs>
          <w:tab w:leader="none" w:pos="364"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$100 million investment by Israel Corp. (described below). In addition to the aforementioned amount, in order to fully ramp-up the capacity of Fab 2 to approximately 40,000 wafers per month, we currently estimate that we will require the raising of an additional up to approximately $150 million.</w:t>
      </w:r>
    </w:p>
    <w:p>
      <w:pPr>
        <w:spacing w:after="0" w:line="142" w:lineRule="exact"/>
        <w:rPr>
          <w:sz w:val="20"/>
          <w:szCs w:val="20"/>
          <w:color w:val="auto"/>
        </w:rPr>
      </w:pPr>
    </w:p>
    <w:p>
      <w:pPr>
        <w:ind w:left="7" w:right="4539" w:firstLine="357"/>
        <w:spacing w:after="0" w:line="264" w:lineRule="auto"/>
        <w:rPr>
          <w:sz w:val="20"/>
          <w:szCs w:val="20"/>
          <w:color w:val="auto"/>
        </w:rPr>
      </w:pPr>
      <w:r>
        <w:rPr>
          <w:rFonts w:ascii="Courier New" w:cs="Courier New" w:eastAsia="Courier New" w:hAnsi="Courier New"/>
          <w:sz w:val="11"/>
          <w:szCs w:val="11"/>
          <w:color w:val="auto"/>
        </w:rPr>
        <w:t>As part of the financing efforts for the ramp-up plan, in May 2006, we signed a Memorandum of Understanding (MOU) with our banks for the refinancing of the approximately $526.7 million of long-term debt under our facility agreement, according to which: (i) $158 million, representing 30% of such debt, will be converted to equity for 51,973,684 of our ordinary shares, at a price per share of $3.04, which is equal to twice the average closing price of our ordinary shares during the 10 consecutive trading days prior to signing the MOU; (ii) the interest rate of the long-term loans will be decreased from LIBOR plus 2.5% per annum to LIBOR plus 1.1% per annum; and (iii) the commencement date for the repayment of principal shall be postponed from July 2007 to no earlier than September 2009. The terms of the MOU are subject to a commitment of Israel Corporation Ltd. (Israel Corp.) to invest $100 million in our capacity expansion as described below. The MOU is further subject to our reaching a definitive amendment to the facility agreement based on the terms of the MOU which is expected to also include arrangements to compensate the banks, under certain conditions, for the reduction in the interest on the amount borrowed from the banks (such compensation may include the issuance of our securities and/or the extension of the exercise period of the banks' warrants), and revised financial ratios and covenants based on our updated working plan. In this regard, Israel Corp. has committed to invest $100 million in consideration for 65,789,474 of our ordinary shares, at a price per share of $1.52, which equals the average closing price during the 10 consecutive trading days prior to signing the MOU. Such amount may include amounts that may be payable by us to Israel Corp. in connection with the agreement for the ordering of equipment described below. Israel Corp.'s investment is subject to the signing of a definitive investment agreement, the approvals of our audit committee, board of directors and shareholders and the closing of a definitive amendment to the facility agreement with our banks based on the terms of the MOU.</w:t>
      </w:r>
    </w:p>
    <w:p>
      <w:pPr>
        <w:spacing w:after="0" w:line="200" w:lineRule="exact"/>
        <w:rPr>
          <w:sz w:val="20"/>
          <w:szCs w:val="20"/>
          <w:color w:val="auto"/>
        </w:rPr>
      </w:pPr>
    </w:p>
    <w:p>
      <w:pPr>
        <w:spacing w:after="0" w:line="350"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23</w:t>
      </w:r>
    </w:p>
    <w:p>
      <w:pPr>
        <w:spacing w:after="0" w:line="200" w:lineRule="exact"/>
        <w:rPr>
          <w:sz w:val="20"/>
          <w:szCs w:val="20"/>
          <w:color w:val="auto"/>
        </w:rPr>
      </w:pPr>
    </w:p>
    <w:p>
      <w:pPr>
        <w:spacing w:after="0" w:line="335" w:lineRule="exact"/>
        <w:rPr>
          <w:sz w:val="20"/>
          <w:szCs w:val="20"/>
          <w:color w:val="auto"/>
        </w:rPr>
      </w:pPr>
    </w:p>
    <w:p>
      <w:pPr>
        <w:ind w:left="7" w:right="4539" w:firstLine="357"/>
        <w:spacing w:after="0" w:line="264" w:lineRule="auto"/>
        <w:rPr>
          <w:sz w:val="20"/>
          <w:szCs w:val="20"/>
          <w:color w:val="auto"/>
        </w:rPr>
      </w:pPr>
      <w:r>
        <w:rPr>
          <w:rFonts w:ascii="Courier New" w:cs="Courier New" w:eastAsia="Courier New" w:hAnsi="Courier New"/>
          <w:sz w:val="11"/>
          <w:szCs w:val="11"/>
          <w:color w:val="auto"/>
        </w:rPr>
        <w:t>In order to implement the ramp-up plan in a timely manner, we entered into an agreement with Israel Corp. according to which Israel Corp. will order up to approximately $100 million worth of equipment for Fab 2. Under the terms of the agreement: (i) Israel Corp. has the right to sell us the equipment at cost, plus related expenses; (ii) we have the right to purchase the equipment from Israel Corp. at cost, plus related expenses, subject to us having raised $100 million;</w:t>
      </w:r>
    </w:p>
    <w:p>
      <w:pPr>
        <w:spacing w:after="0" w:line="1" w:lineRule="exact"/>
        <w:rPr>
          <w:sz w:val="20"/>
          <w:szCs w:val="20"/>
          <w:color w:val="auto"/>
        </w:rPr>
      </w:pPr>
    </w:p>
    <w:p>
      <w:pPr>
        <w:ind w:left="7" w:right="4539" w:hanging="7"/>
        <w:spacing w:after="0" w:line="241" w:lineRule="auto"/>
        <w:tabs>
          <w:tab w:leader="none" w:pos="435"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our purchase of the equipment from Israel Corp., we will assume Israel Corp.'s obligations to the equipment suppliers; and (iv) if after 5 months from the signing of the agreement, the equipment has not been sold to us by Israel Corp., Israel Corp. may sell the equipment to a third party and we will pay Israel Corp. the difference between the cost, plus related expenses, of the purchase of the equipment by Israel Corp. and the net sale price.</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OPTIONS GRANTED TO THE CHIEF EXECUTIVE OFFICER (CEO)</w:t>
      </w:r>
    </w:p>
    <w:p>
      <w:pPr>
        <w:spacing w:after="0" w:line="141" w:lineRule="exact"/>
        <w:rPr>
          <w:sz w:val="20"/>
          <w:szCs w:val="20"/>
          <w:color w:val="auto"/>
        </w:rPr>
      </w:pPr>
    </w:p>
    <w:p>
      <w:pPr>
        <w:ind w:left="7" w:right="4539" w:firstLine="357"/>
        <w:spacing w:after="0" w:line="265" w:lineRule="auto"/>
        <w:rPr>
          <w:sz w:val="20"/>
          <w:szCs w:val="20"/>
          <w:color w:val="auto"/>
        </w:rPr>
      </w:pPr>
      <w:r>
        <w:rPr>
          <w:rFonts w:ascii="Courier New" w:cs="Courier New" w:eastAsia="Courier New" w:hAnsi="Courier New"/>
          <w:sz w:val="11"/>
          <w:szCs w:val="11"/>
          <w:color w:val="auto"/>
        </w:rPr>
        <w:t>In May 2006, our audit committee and board of directors approved the grant of options to our CEO, who also serves as a director, in addition to the options granted to him in April 2005, such that in total, the CEO will hold options to purchase shares that represent 4% of our shares on a fully diluted basis during the two-year period from the approval of the audit committee. The exercise price of the initial grant of additional options will be $1.45, the average closing price of our shares on the Nasdaq during the 90 consecutive trading days prior to the board of directors' approval. In the event of a future equity financing, additional options will be granted to the CEO as described above with an exercise price equal to the price per share of such investment. The vesting period of the new options will be identical to the vesting period of the existing options. The new grant of options and its terms are subject to the approval of our shareholders. If the new grant of options is approved by our shareholders, no additional options will be granted under the CEO's current option agreement, which was approved by our shareholders in October 2005.</w:t>
      </w:r>
    </w:p>
    <w:p>
      <w:pPr>
        <w:spacing w:after="0" w:line="267"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RE-PRICING OF EMPLOYEE OPTIONS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Our board of directors approved a plan to offer each of our current</w:t>
      </w:r>
    </w:p>
    <w:p>
      <w:pPr>
        <w:sectPr>
          <w:pgSz w:w="11900" w:h="16906" w:orient="portrait"/>
          <w:cols w:equalWidth="0" w:num="1">
            <w:col w:w="10246"/>
          </w:cols>
          <w:pgMar w:left="213" w:top="141" w:right="1440" w:bottom="0" w:gutter="0" w:footer="0" w:header="0"/>
        </w:sectPr>
      </w:pPr>
    </w:p>
    <w:bookmarkStart w:id="13" w:name="page14"/>
    <w:bookmarkEnd w:id="13"/>
    <w:p>
      <w:pPr>
        <w:spacing w:after="0" w:line="66" w:lineRule="exact"/>
        <w:rPr>
          <w:sz w:val="20"/>
          <w:szCs w:val="20"/>
          <w:color w:val="auto"/>
        </w:rPr>
      </w:pPr>
    </w:p>
    <w:p>
      <w:pPr>
        <w:ind w:right="4539"/>
        <w:spacing w:after="0" w:line="266" w:lineRule="auto"/>
        <w:rPr>
          <w:sz w:val="20"/>
          <w:szCs w:val="20"/>
          <w:color w:val="auto"/>
        </w:rPr>
      </w:pPr>
      <w:r>
        <w:rPr>
          <w:rFonts w:ascii="Courier New" w:cs="Courier New" w:eastAsia="Courier New" w:hAnsi="Courier New"/>
          <w:sz w:val="11"/>
          <w:szCs w:val="11"/>
          <w:color w:val="auto"/>
        </w:rPr>
        <w:t>employees the opportunity to exchange their existing options to purchase our ordinary shares for new options with an exercise price of $1.45, which is the average closing price of our shares on the Nasdaq during the 90 consecutive trading days prior to the board of directors' approval. The new options will be granted based on terms similar to our existing employee option plan with new vesting periods. As of May 19, 2006, options to purchase approximately 9 million ordinary shares held by our current employees, with exercise prices ranging from $1.46 to $25, were outstanding. Our board of directors further approved that if the total number of employee options, including the options to our CEO, during the coming 24 months will represent less than 8% of the our shares on a fully diluted basis, additional options will be allocated for grants to be made to our employees. No options have been granted under such plan.</w:t>
      </w: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DISMISSAL OF CLASS ACTION</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June 2006, the United States Court of Appeals for the Second Circuit affirmed the August 2004 decision of the United States District Court for the Southern District of New York to dismiss the class action suit filed in July 2003 against us and certain of our directors and shareholders. The District Court accepted the motion to dismiss filed on behalf of the defendants and noted that our status as a foreign private issuer exempts us, our directors and controlling shareholders, from liability under the proxy rules of Section 14(a) of the Securities Exchange Act.</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24</w:t>
      </w:r>
    </w:p>
    <w:p>
      <w:pPr>
        <w:spacing w:after="0" w:line="200" w:lineRule="exact"/>
        <w:rPr>
          <w:sz w:val="20"/>
          <w:szCs w:val="20"/>
          <w:color w:val="auto"/>
        </w:rPr>
      </w:pPr>
    </w:p>
    <w:p>
      <w:pPr>
        <w:spacing w:after="0" w:line="332" w:lineRule="exact"/>
        <w:rPr>
          <w:sz w:val="20"/>
          <w:szCs w:val="20"/>
          <w:color w:val="auto"/>
        </w:rPr>
      </w:pPr>
    </w:p>
    <w:p>
      <w:pPr>
        <w:ind w:left="700" w:hanging="350"/>
        <w:spacing w:after="0"/>
        <w:tabs>
          <w:tab w:leader="none" w:pos="70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Business Overview</w:t>
      </w:r>
    </w:p>
    <w:p>
      <w:pPr>
        <w:spacing w:after="0" w:line="138"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INDUSTRY OVERVIEW</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The semiconductor industry is characterized by rapid changes in technology, frequently resulting in the obsolescence of recently introduced products. As performance has increased and size and cost have decreased, the use of semiconductors and the number of their applications have grown significantly.</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Historically, the semiconductor industry was composed primarily of companies that designed and manufactured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This need has been met by the development of independent companies, known as foundries, which focus primarily on providing IC manufacturing services to semiconductor suppliers. Foundry services are now used by nearly every major semiconductor company in the world, including IDMs as part of a dual-source, risk-diversification and cost effectiveness strategy.</w:t>
      </w:r>
    </w:p>
    <w:p>
      <w:pPr>
        <w:spacing w:after="0" w:line="147"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Semiconductor suppliers face increasing demands for new products that provide higher performance, greater functionality and smaller form factors at lower prices, which require increasingly complex ICs. In addition to the increased complexity of designs, there has also been a dramatic increase in the number of applications for semiconductors. To compete successfully, semiconductor suppliers must also minimize the time it takes to bring a product to market. As a result, fabless companies and IDMs are focusing more on their core competencies -- design and intellectual property -- and outsourcing manufacturing to foundries.</w:t>
      </w:r>
    </w:p>
    <w:p>
      <w:pPr>
        <w:spacing w:after="0" w:line="144" w:lineRule="exact"/>
        <w:rPr>
          <w:sz w:val="20"/>
          <w:szCs w:val="20"/>
          <w:color w:val="auto"/>
        </w:rPr>
      </w:pPr>
    </w:p>
    <w:p>
      <w:pPr>
        <w:ind w:right="4679" w:firstLine="357"/>
        <w:spacing w:after="0" w:line="268" w:lineRule="auto"/>
        <w:rPr>
          <w:sz w:val="20"/>
          <w:szCs w:val="20"/>
          <w:color w:val="auto"/>
        </w:rPr>
      </w:pPr>
      <w:r>
        <w:rPr>
          <w:rFonts w:ascii="Courier New" w:cs="Courier New" w:eastAsia="Courier New" w:hAnsi="Courier New"/>
          <w:sz w:val="11"/>
          <w:szCs w:val="11"/>
          <w:color w:val="auto"/>
        </w:rPr>
        <w:t>The consumer sector is expanding worldwide with new applications and multi-functional devices, including those that incorporate CMOS image sensors, embedded flash and mixed-signal ICs. Increasingly, emerging applications, such as camera-equipped cell phones, digital still cameras and flat panel displays, are enabled by ICs manufactured using advanced process technologies.</w:t>
      </w:r>
    </w:p>
    <w:p>
      <w:pPr>
        <w:spacing w:after="0" w:line="128"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The enormous costs associated with modern fabs, combined with the increasing demand for complex ICs, has created an expanding market for outsourced manufacturing offered by foundries. Foundries can cost-effectively supply the technologies involved in manufacturing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such as CMOS image sensors, embedded flash and mixed-signal technologies. Foundries also offer competitive customer service through design, testing, and information services, often at a level previously found only at an IDM's internal facilities.</w:t>
      </w:r>
    </w:p>
    <w:p>
      <w:pPr>
        <w:spacing w:after="0" w:line="28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25</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80" w:lineRule="auto"/>
        <w:rPr>
          <w:sz w:val="20"/>
          <w:szCs w:val="20"/>
          <w:color w:val="auto"/>
        </w:rPr>
      </w:pPr>
      <w:r>
        <w:rPr>
          <w:rFonts w:ascii="Courier New" w:cs="Courier New" w:eastAsia="Courier New" w:hAnsi="Courier New"/>
          <w:sz w:val="11"/>
          <w:szCs w:val="11"/>
          <w:color w:val="auto"/>
        </w:rPr>
        <w:t>These trends have led to the rapid growth in demand in recent years for advanced semiconductor manufacturing services provided by independent foundries.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SPECIALIZED TECHNOLOGIES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provide wafer fabrication services and technologies to fabless IC companies and IDMs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unique positions in large, high-growth specialized markets for CMOS image sensors, embedded flash memory, mixed signal and RF CMOS ICs. We serve as a sole source or alternative provider of foundry services.</w:t>
      </w:r>
    </w:p>
    <w:p>
      <w:pPr>
        <w:spacing w:after="0" w:line="143"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We believe that we are a trusted, customer-oriented service provider that has built a solid reputation in the foundry industry over the last thirteen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for both our Fab 1 and Fab 2 facilities who seek to work with a proven provider of foundry services. As a result, we have a high customer retention rate and an increase in new customers and new products for production.</w:t>
      </w:r>
    </w:p>
    <w:p>
      <w:pPr>
        <w:spacing w:after="0" w:line="129"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In August 2005, we implemented changes in our organizational structure focusing on establishing three product line units. The re-structuring reflects our emphasis on working closely with customers and accelerating the time-to-market of their next-generation products. The three distinct product</w:t>
      </w:r>
    </w:p>
    <w:p>
      <w:pPr>
        <w:sectPr>
          <w:pgSz w:w="11900" w:h="16905" w:orient="portrait"/>
          <w:cols w:equalWidth="0" w:num="1">
            <w:col w:w="10239"/>
          </w:cols>
          <w:pgMar w:left="220" w:top="141" w:right="1440" w:bottom="0" w:gutter="0" w:footer="0" w:header="0"/>
        </w:sectPr>
      </w:pPr>
    </w:p>
    <w:bookmarkStart w:id="14" w:name="page15"/>
    <w:bookmarkEnd w:id="14"/>
    <w:p>
      <w:pPr>
        <w:spacing w:after="0" w:line="67" w:lineRule="exact"/>
        <w:rPr>
          <w:sz w:val="20"/>
          <w:szCs w:val="20"/>
          <w:color w:val="auto"/>
        </w:rPr>
      </w:pPr>
    </w:p>
    <w:p>
      <w:pPr>
        <w:ind w:right="4819"/>
        <w:spacing w:after="0" w:line="238" w:lineRule="auto"/>
        <w:rPr>
          <w:sz w:val="20"/>
          <w:szCs w:val="20"/>
          <w:color w:val="auto"/>
        </w:rPr>
      </w:pPr>
      <w:r>
        <w:rPr>
          <w:rFonts w:ascii="Courier New" w:cs="Courier New" w:eastAsia="Courier New" w:hAnsi="Courier New"/>
          <w:sz w:val="12"/>
          <w:szCs w:val="12"/>
          <w:color w:val="auto"/>
        </w:rPr>
        <w:t>line units are: CMOS Image Sensors and embedded Non-Volatile Memory products (CIS/NVM), Radio Frequency (RF)/Mixed Signal, and CMOS.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derived approximately 45% of our revenues for the year ended December 31, 2005 from our target specialized markets: CMOS image sensors, embedded flash, mixed-signal, RF and power ICs. We are highly experienced in these markets, being an early entrant and having developed unique proprietary technologies, primarily through licensing and joint development efforts with our customers and other technology companies.</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26</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CMOS IMAGE SENSORS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We are currently actively involved in this mass market as well as the high-end sensor and applications specific markets, which include applications such as industrial machine vision, medical equipment and automotive sensors. While CMOS image sensors for advanced optical applications are an emerging technology, we believe that they are becoming the preferred technology to traditional charge coupled devices, or CCDs. CCDs have historically provided superior image quality; however, advances in semiconductor manufacturing processes and design techniques have led to significant improvements in CMOS image sensor performance and image quality. These advances have resulted in smaller size circuits and better current control, making it possible to design CMOS image sensors that provide high image quality at a significantly lower cost.</w:t>
      </w:r>
    </w:p>
    <w:p>
      <w:pPr>
        <w:spacing w:after="0" w:line="148"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As early as 1997, we recognized the market potential of using CMOS process technology for a digital camera-on-a-chip, which would integrate a CMOS image sensor, filters and digital circuitry. In entering the CMOS image sensor foundry business, we utilized research and development work that had been ongoing since 1993. Our services include a broad range of turnkey solutions and services, including sensor design services, optical characterization of a CMOS process, innovative stitching manufacturing technique and optical testing and packaging. CMOS image sensors manufactured by us deliver outstanding image quality for a broad spectrum of digital imaging applications. As the market for these products becomes more main stream, we expect that more competition will enter this high growth market and some of those products will become commodities.</w:t>
      </w:r>
    </w:p>
    <w:p>
      <w:pPr>
        <w:spacing w:after="0" w:line="133"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In the end of 2005, we began production of new products in Fab 2. For example, in November 2005, we began manufacturing 2.0 and 1.3-megapixel CMOS image sensors for Biomorphic Microsystems Corporation (Biomorphic) designed for cellular phone applications. These image sensors are produced in 0.18-micron process at Fab2, utilizing our pixel IP and our optically-optimized-multilayer metallization, which achieves dramatically better optical sensitivity by reducing stack height from silicon to micro-lens.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EMBEDDED FLASH</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Flash memory is a constantly powered nonvolatile memory that can be erased and reprogrammed in units of memory called blocks. The IC of flash memory is organized so that a section of memory cells may be erased in a single action, or "flash". Applications for flash memory products range from most types of portable electronic equipment devices to high volume mass storage of data. Flash is particularly suitable for applications such as handheld devices, combining the need for portability, high density, ruggedness and lower power requirements. Flash memory products are also well-suited for audio products such as digital answering machines and MP3 players, as well as other applications including networking devices, digital cameras, personal computer motherboards and portable memory devices.</w:t>
      </w:r>
    </w:p>
    <w:p>
      <w:pPr>
        <w:spacing w:after="0" w:line="145"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Embedded flash is the combination of flash memory with other components, such as other memory, logic and analog, on a single IC to provide speed, functionality and form factor advantages and reduce system cost. Embedded flash memory products are used in communications, consumer, industrial, military and automotive applications. End products include networks, base stations, servers, microcontrollers, toys, set-top boxes, DVD players, cell phones and smart cards.</w:t>
      </w:r>
    </w:p>
    <w:p>
      <w:pPr>
        <w:spacing w:after="0" w:line="263"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27</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In 1997, we entered into a strategic investment and technology agreement with Saifun Semiconductors Ltd., pursuant to which we obtained approximately a 10% equity stake in Saifun. Together we brought to market a new non-volatile memory technology based on 0.5-micron, microFlash(TM)/NROM(TM). NROM technology enables the implementation of ultra high-density flash arrays using CMOS processes, and is particularly suitable for embedding flash arrays with standard CMOS logic, as well as for commodity memories. Our microFLASH technology, based on Saifun's patented NROM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w:t>
      </w:r>
    </w:p>
    <w:p>
      <w:pPr>
        <w:spacing w:after="0" w:line="133" w:lineRule="exact"/>
        <w:rPr>
          <w:sz w:val="20"/>
          <w:szCs w:val="20"/>
          <w:color w:val="auto"/>
        </w:rPr>
      </w:pPr>
    </w:p>
    <w:p>
      <w:pPr>
        <w:ind w:right="4899" w:firstLine="357"/>
        <w:spacing w:after="0" w:line="239" w:lineRule="auto"/>
        <w:rPr>
          <w:sz w:val="20"/>
          <w:szCs w:val="20"/>
          <w:color w:val="auto"/>
        </w:rPr>
      </w:pPr>
      <w:r>
        <w:rPr>
          <w:rFonts w:ascii="Courier New" w:cs="Courier New" w:eastAsia="Courier New" w:hAnsi="Courier New"/>
          <w:sz w:val="12"/>
          <w:szCs w:val="12"/>
          <w:color w:val="auto"/>
        </w:rPr>
        <w:t>In December 2004, we sold our entire equity stake in Saifun for approximately $39 million. This sale had no effect on our technology rights under our agreement with Saifun.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MIXED SIGNAL AND RF CMOS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Mixed-signal ICs are an essential part of any electronic system that interacts with the real world. Analog ICs monitor and manipulate real world signals such as sound, light, pressure, motion, temperature and electrical current and are used in a wide variety of electronic products such as PCs, cell phones, DVD players, automotive electronics and medical imaging equipment. Digital ICs perform arithmetic functions on data represented by a series of ones and zeroes, provide critical processing power and have enabled many of the computing and communication advances of recent years. Mixed-signal ICs combine analog and digital semiconductor functionality on a single IC to enable digital systems to interface with the real world. As these digital systems proliferate, there is a growing need for analog functionality to enable them to interface with the real world.</w:t>
      </w:r>
    </w:p>
    <w:p>
      <w:pPr>
        <w:spacing w:after="0" w:line="146"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We focus on providing high-quality mixed-signal capabilities, as this technology is a cornerstone to both CMOS image sensor and embedded flash applications. For example, in May 2006, we began production of metro Wi-Fi baseband controller for Wavion Ltd. for the communications industry, utilizing our 0.18-micron mixed-signal technology. In addition, in June 2006, we began production of a notebook embedded controller developed by Winbond Israel using our 0.18-micron technology.</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In recent years, more and more designers opt to develop high frequency</w:t>
      </w:r>
    </w:p>
    <w:p>
      <w:pPr>
        <w:sectPr>
          <w:pgSz w:w="11900" w:h="16906" w:orient="portrait"/>
          <w:cols w:equalWidth="0" w:num="1">
            <w:col w:w="10239"/>
          </w:cols>
          <w:pgMar w:left="220" w:top="141" w:right="1440" w:bottom="0" w:gutter="0" w:footer="0" w:header="0"/>
        </w:sectPr>
      </w:pPr>
    </w:p>
    <w:bookmarkStart w:id="15" w:name="page16"/>
    <w:bookmarkEnd w:id="15"/>
    <w:p>
      <w:pPr>
        <w:ind w:right="4539"/>
        <w:spacing w:after="0" w:line="241" w:lineRule="auto"/>
        <w:rPr>
          <w:sz w:val="20"/>
          <w:szCs w:val="20"/>
          <w:color w:val="auto"/>
        </w:rPr>
      </w:pPr>
      <w:r>
        <w:rPr>
          <w:rFonts w:ascii="Courier New" w:cs="Courier New" w:eastAsia="Courier New" w:hAnsi="Courier New"/>
          <w:sz w:val="12"/>
          <w:szCs w:val="12"/>
          <w:color w:val="auto"/>
        </w:rPr>
        <w:t>products based on RF CMOS technologies as opposed to exotic process technologies, such as SiGe or GaAs. The superior cost structure of CMOS technologies enables high volume, low cost production of such high frequency products. We use our mixed signal expertise to leverage and develop processes and provide services for customers utilizing CMOS technologies. We further enhanced our mixed signal 0.18-micron platform technology offering by developing RF CMOS product design kits. This allowed us to increase our customer base and obtain new products for production as well as develop special capabilities with RFID applications. For example, in February 2006, we began producing wireless LAN products for Atheros Communications.</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CONVERGENCE OF TECHNOLOGIES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response to the growing demand for a single chip to offer a wide array of functions, we are leveraging a combination of some of the abovementioned technologies by developing a single chip with multiple functions. The successful development of this chip will allow us to provide additional value to our customers and obtain a unique market position by offering our customers a unique technology platform. We engage in projects merging CMOS, NVM and CIS for unique solutions to customers' needs, as well as in a project targeting RFID tags applications merging RF CMOS, mixed signal and NVM technologies onto a single chip.</w:t>
      </w:r>
    </w:p>
    <w:p>
      <w:pPr>
        <w:spacing w:after="0" w:line="278"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28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CUSTOMERS, MARKETING AND SALES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marketing and sales strategy seeks to aggressively expand our global customer base. To achieve this objective, we match our standard digital CMOS technology to the industry benchmark and differentiate ourselves based on customer service, design support and expertise in specialized technologies, such as CMOS image sensors, embedded flash and mixed signal. We have marketing, sales and engineering support personnel in the United States, Taiwan and Israel. Our marketing and sales staff is supported by independent sales representatives, located throughout the world, who have been selected based on their understanding of the semiconductor marketplace.</w:t>
      </w:r>
    </w:p>
    <w:p>
      <w:pPr>
        <w:spacing w:after="0" w:line="144" w:lineRule="exact"/>
        <w:rPr>
          <w:sz w:val="20"/>
          <w:szCs w:val="20"/>
          <w:color w:val="auto"/>
        </w:rPr>
      </w:pPr>
    </w:p>
    <w:p>
      <w:pPr>
        <w:ind w:right="4539" w:firstLine="357"/>
        <w:spacing w:after="0" w:line="239" w:lineRule="auto"/>
        <w:rPr>
          <w:sz w:val="20"/>
          <w:szCs w:val="20"/>
          <w:color w:val="auto"/>
        </w:rPr>
      </w:pPr>
      <w:r>
        <w:rPr>
          <w:rFonts w:ascii="Courier New" w:cs="Courier New" w:eastAsia="Courier New" w:hAnsi="Courier New"/>
          <w:sz w:val="12"/>
          <w:szCs w:val="12"/>
          <w:color w:val="auto"/>
        </w:rPr>
        <w:t>Our sales cycle is generally 12-24 months or longer for new customers and can be as short as 9-12 months for existing customers. The typical stages in the sales cycle process from initial contact until production are:</w:t>
      </w:r>
    </w:p>
    <w:p>
      <w:pPr>
        <w:spacing w:after="0" w:line="140" w:lineRule="exact"/>
        <w:rPr>
          <w:sz w:val="20"/>
          <w:szCs w:val="20"/>
          <w:color w:val="auto"/>
        </w:rPr>
      </w:pPr>
    </w:p>
    <w:p>
      <w:pPr>
        <w:ind w:left="700" w:hanging="350"/>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technical evaluation;</w:t>
      </w:r>
    </w:p>
    <w:p>
      <w:pPr>
        <w:spacing w:after="0" w:line="141" w:lineRule="exact"/>
        <w:rPr>
          <w:rFonts w:ascii="Courier New" w:cs="Courier New" w:eastAsia="Courier New" w:hAnsi="Courier New"/>
          <w:sz w:val="12"/>
          <w:szCs w:val="12"/>
          <w:color w:val="auto"/>
        </w:rPr>
      </w:pPr>
    </w:p>
    <w:p>
      <w:pPr>
        <w:ind w:left="700" w:right="4759" w:hanging="350"/>
        <w:spacing w:after="0" w:line="238" w:lineRule="auto"/>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 design to our specifications including integration of third party intellectual property;</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photomask design and third party manufacturing;</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silicon prototyping;</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assembly and test;</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validation and qualification; and</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production.</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primary customers of our foundry services are fabless semiconductor companies and IDMs. A substantial portion of our product sales are made pursuant to long-term contracts with our customers, under which we have agreed to reserve manufacturing capacity at our production facilities for such customers. Our customers include many industry leaders, some of our shareholders and a number of Taiwanese companies who preferred our solution to the solutions that were offered locally. During the year ended December 31, 2005, we had five significant customers who contributed 22%, 14%, 8%, 7% and 5% of our revenues, respectively. In 2004, we had five significant customers who contributed 24%, 17%, 8%, 8% and 6% of our revenues, respectively.</w:t>
      </w:r>
    </w:p>
    <w:p>
      <w:pPr>
        <w:spacing w:after="0" w:line="145"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In addition to further developing our customer base, we have also made a concentrated effort to expand the geographical diversity of our sales. The percentage of our sales from customers located outside the United States was 27%, 40% and 36% in the years ended December 31, 2003, 2004 and 2005, respectively. We believe that a substantial portion of our sales will continue to come from customers located outside the United States. The following table sets forth the geographical distribution, by percentage, of our net sales for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00" w:type="dxa"/>
            <w:vAlign w:val="bottom"/>
          </w:tcPr>
          <w:p>
            <w:pPr>
              <w:ind w:left="2780"/>
              <w:spacing w:after="0"/>
              <w:rPr>
                <w:sz w:val="20"/>
                <w:szCs w:val="20"/>
                <w:color w:val="auto"/>
              </w:rPr>
            </w:pPr>
            <w:r>
              <w:rPr>
                <w:rFonts w:ascii="Courier New" w:cs="Courier New" w:eastAsia="Courier New" w:hAnsi="Courier New"/>
                <w:sz w:val="12"/>
                <w:szCs w:val="12"/>
                <w:color w:val="auto"/>
              </w:rPr>
              <w:t>29</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668"/>
        </w:trPr>
        <w:tc>
          <w:tcPr>
            <w:tcW w:w="3200" w:type="dxa"/>
            <w:vAlign w:val="bottom"/>
          </w:tcPr>
          <w:p>
            <w:pPr>
              <w:spacing w:after="0"/>
              <w:rPr>
                <w:sz w:val="24"/>
                <w:szCs w:val="24"/>
                <w:color w:val="auto"/>
              </w:rPr>
            </w:pPr>
          </w:p>
        </w:tc>
        <w:tc>
          <w:tcPr>
            <w:tcW w:w="19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Year ended December 31,</w:t>
            </w:r>
          </w:p>
        </w:tc>
      </w:tr>
      <w:tr>
        <w:trPr>
          <w:trHeight w:val="137"/>
        </w:trPr>
        <w:tc>
          <w:tcPr>
            <w:tcW w:w="3200" w:type="dxa"/>
            <w:vAlign w:val="bottom"/>
          </w:tcPr>
          <w:p>
            <w:pPr>
              <w:spacing w:after="0"/>
              <w:rPr>
                <w:sz w:val="11"/>
                <w:szCs w:val="11"/>
                <w:color w:val="auto"/>
              </w:rPr>
            </w:pPr>
          </w:p>
        </w:tc>
        <w:tc>
          <w:tcPr>
            <w:tcW w:w="194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2005</w:t>
            </w:r>
          </w:p>
        </w:tc>
        <w:tc>
          <w:tcPr>
            <w:tcW w:w="3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2004</w:t>
            </w:r>
          </w:p>
        </w:tc>
        <w:tc>
          <w:tcPr>
            <w:tcW w:w="3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3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4"/>
        </w:trPr>
        <w:tc>
          <w:tcPr>
            <w:tcW w:w="3200" w:type="dxa"/>
            <w:vAlign w:val="bottom"/>
          </w:tcPr>
          <w:p>
            <w:pPr>
              <w:spacing w:after="0"/>
              <w:rPr>
                <w:sz w:val="20"/>
                <w:szCs w:val="20"/>
                <w:color w:val="auto"/>
              </w:rPr>
            </w:pPr>
            <w:r>
              <w:rPr>
                <w:rFonts w:ascii="Courier New" w:cs="Courier New" w:eastAsia="Courier New" w:hAnsi="Courier New"/>
                <w:sz w:val="12"/>
                <w:szCs w:val="12"/>
                <w:color w:val="auto"/>
              </w:rPr>
              <w:t>United States</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c>
          <w:tcPr>
            <w:tcW w:w="3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60%</w:t>
            </w:r>
          </w:p>
        </w:tc>
        <w:tc>
          <w:tcPr>
            <w:tcW w:w="3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137"/>
        </w:trPr>
        <w:tc>
          <w:tcPr>
            <w:tcW w:w="3200" w:type="dxa"/>
            <w:vAlign w:val="bottom"/>
          </w:tcPr>
          <w:p>
            <w:pPr>
              <w:spacing w:after="0"/>
              <w:rPr>
                <w:sz w:val="20"/>
                <w:szCs w:val="20"/>
                <w:color w:val="auto"/>
              </w:rPr>
            </w:pPr>
            <w:r>
              <w:rPr>
                <w:rFonts w:ascii="Courier New" w:cs="Courier New" w:eastAsia="Courier New" w:hAnsi="Courier New"/>
                <w:sz w:val="12"/>
                <w:szCs w:val="12"/>
                <w:color w:val="auto"/>
              </w:rPr>
              <w:t>Israel</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c>
          <w:tcPr>
            <w:tcW w:w="3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3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r>
      <w:tr>
        <w:trPr>
          <w:trHeight w:val="137"/>
        </w:trPr>
        <w:tc>
          <w:tcPr>
            <w:tcW w:w="3200" w:type="dxa"/>
            <w:vAlign w:val="bottom"/>
          </w:tcPr>
          <w:p>
            <w:pPr>
              <w:spacing w:after="0"/>
              <w:rPr>
                <w:sz w:val="20"/>
                <w:szCs w:val="20"/>
                <w:color w:val="auto"/>
              </w:rPr>
            </w:pPr>
            <w:r>
              <w:rPr>
                <w:rFonts w:ascii="Courier New" w:cs="Courier New" w:eastAsia="Courier New" w:hAnsi="Courier New"/>
                <w:sz w:val="12"/>
                <w:szCs w:val="12"/>
                <w:color w:val="auto"/>
              </w:rPr>
              <w:t>Asia-Pacific (in 2005 and 2004 - primarily</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7"/>
        </w:trPr>
        <w:tc>
          <w:tcPr>
            <w:tcW w:w="3200" w:type="dxa"/>
            <w:vAlign w:val="bottom"/>
          </w:tcPr>
          <w:p>
            <w:pPr>
              <w:spacing w:after="0"/>
              <w:rPr>
                <w:sz w:val="20"/>
                <w:szCs w:val="20"/>
                <w:color w:val="auto"/>
              </w:rPr>
            </w:pPr>
            <w:r>
              <w:rPr>
                <w:rFonts w:ascii="Courier New" w:cs="Courier New" w:eastAsia="Courier New" w:hAnsi="Courier New"/>
                <w:sz w:val="12"/>
                <w:szCs w:val="12"/>
                <w:color w:val="auto"/>
              </w:rPr>
              <w:t>Taiwan, in 2003 - only Taiwan)</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10%</w:t>
            </w:r>
          </w:p>
        </w:tc>
      </w:tr>
      <w:tr>
        <w:trPr>
          <w:trHeight w:val="137"/>
        </w:trPr>
        <w:tc>
          <w:tcPr>
            <w:tcW w:w="3200" w:type="dxa"/>
            <w:vAlign w:val="bottom"/>
          </w:tcPr>
          <w:p>
            <w:pPr>
              <w:spacing w:after="0"/>
              <w:rPr>
                <w:sz w:val="20"/>
                <w:szCs w:val="20"/>
                <w:color w:val="auto"/>
              </w:rPr>
            </w:pPr>
            <w:r>
              <w:rPr>
                <w:rFonts w:ascii="Courier New" w:cs="Courier New" w:eastAsia="Courier New" w:hAnsi="Courier New"/>
                <w:sz w:val="12"/>
                <w:szCs w:val="12"/>
                <w:color w:val="auto"/>
              </w:rPr>
              <w:t>Europe</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3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3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r>
      <w:tr>
        <w:trPr>
          <w:trHeight w:val="137"/>
        </w:trPr>
        <w:tc>
          <w:tcPr>
            <w:tcW w:w="3200" w:type="dxa"/>
            <w:vAlign w:val="bottom"/>
          </w:tcPr>
          <w:p>
            <w:pPr>
              <w:spacing w:after="0"/>
              <w:rPr>
                <w:sz w:val="11"/>
                <w:szCs w:val="11"/>
                <w:color w:val="auto"/>
              </w:rPr>
            </w:pP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4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200" w:type="dxa"/>
            <w:vAlign w:val="bottom"/>
          </w:tcPr>
          <w:p>
            <w:pPr>
              <w:ind w:left="1420"/>
              <w:spacing w:after="0"/>
              <w:rPr>
                <w:sz w:val="20"/>
                <w:szCs w:val="20"/>
                <w:color w:val="auto"/>
              </w:rPr>
            </w:pPr>
            <w:r>
              <w:rPr>
                <w:rFonts w:ascii="Courier New" w:cs="Courier New" w:eastAsia="Courier New" w:hAnsi="Courier New"/>
                <w:sz w:val="12"/>
                <w:szCs w:val="12"/>
                <w:color w:val="auto"/>
              </w:rPr>
              <w:t>Total</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c>
          <w:tcPr>
            <w:tcW w:w="3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c>
          <w:tcPr>
            <w:tcW w:w="3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37"/>
        </w:trPr>
        <w:tc>
          <w:tcPr>
            <w:tcW w:w="3200" w:type="dxa"/>
            <w:vAlign w:val="bottom"/>
          </w:tcPr>
          <w:p>
            <w:pPr>
              <w:spacing w:after="0"/>
              <w:rPr>
                <w:sz w:val="11"/>
                <w:szCs w:val="11"/>
                <w:color w:val="auto"/>
              </w:rPr>
            </w:pPr>
          </w:p>
        </w:tc>
        <w:tc>
          <w:tcPr>
            <w:tcW w:w="5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40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41" w:lineRule="exact"/>
        <w:rPr>
          <w:sz w:val="20"/>
          <w:szCs w:val="20"/>
          <w:color w:val="auto"/>
        </w:rPr>
      </w:pPr>
    </w:p>
    <w:p>
      <w:pPr>
        <w:ind w:right="4819" w:firstLine="350"/>
        <w:spacing w:after="0" w:line="238" w:lineRule="auto"/>
        <w:tabs>
          <w:tab w:leader="none" w:pos="642"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Including payments made to us in connection with our May 2002 joint development agreement for 0.18-micron embedded MICROFLASH technology.</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COMPETITION</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The global semiconductor foundry industry is highly competitive. The major independent dedicated foundries include Taiwan Semiconductor Manufacturing Corporation, United Microelectronics and Chartered Semiconductor Manufacturing; emerging and existing Chinese, Korean, Malaysian and Taiwanese foundries, including Semiconductor Manufacturing International Corp., DongBu, He Jien Technology, ASMC, MagnaChip, CSMC Grace, HHNEC, and Silterra; and other specialized foundries, such as AMI Semiconductor, Jazz Semiconductor and X-Fab. In addition, there are IDMs and end-product manufacturers that produce ICs for their own use and/or allocate a portion of their manufacturing capacity to foundry operations. Most of the foundries with which we compete are located in Asia-Pacific and benefit from their close proximity to other companies involved in the design and manufacture of ICs. We believe that the principal elements of competition in the wafer foundry market are:</w:t>
      </w:r>
    </w:p>
    <w:p>
      <w:pPr>
        <w:spacing w:after="0" w:line="144" w:lineRule="exact"/>
        <w:rPr>
          <w:sz w:val="20"/>
          <w:szCs w:val="20"/>
          <w:color w:val="auto"/>
        </w:rPr>
      </w:pPr>
    </w:p>
    <w:p>
      <w:pPr>
        <w:ind w:left="360"/>
        <w:spacing w:after="0"/>
        <w:tabs>
          <w:tab w:leader="none" w:pos="680" w:val="left"/>
        </w:tabs>
        <w:rPr>
          <w:sz w:val="20"/>
          <w:szCs w:val="20"/>
          <w:color w:val="auto"/>
        </w:rPr>
      </w:pPr>
      <w:r>
        <w:rPr>
          <w:rFonts w:ascii="Courier New" w:cs="Courier New" w:eastAsia="Courier New" w:hAnsi="Courier New"/>
          <w:sz w:val="12"/>
          <w:szCs w:val="12"/>
          <w:color w:val="auto"/>
        </w:rPr>
        <w:t>o</w:t>
      </w:r>
      <w:r>
        <w:rPr>
          <w:sz w:val="20"/>
          <w:szCs w:val="20"/>
          <w:color w:val="auto"/>
        </w:rPr>
        <w:tab/>
      </w:r>
      <w:r>
        <w:rPr>
          <w:rFonts w:ascii="Courier New" w:cs="Courier New" w:eastAsia="Courier New" w:hAnsi="Courier New"/>
          <w:sz w:val="12"/>
          <w:szCs w:val="12"/>
          <w:color w:val="auto"/>
        </w:rPr>
        <w:t>technical competence;</w:t>
      </w:r>
    </w:p>
    <w:p>
      <w:pPr>
        <w:sectPr>
          <w:pgSz w:w="11900" w:h="16838" w:orient="portrait"/>
          <w:cols w:equalWidth="0" w:num="1">
            <w:col w:w="10239"/>
          </w:cols>
          <w:pgMar w:left="220" w:top="141" w:right="1440" w:bottom="0" w:gutter="0" w:footer="0" w:header="0"/>
        </w:sectPr>
      </w:pPr>
    </w:p>
    <w:bookmarkStart w:id="16" w:name="page17"/>
    <w:bookmarkEnd w:id="16"/>
    <w:p>
      <w:pPr>
        <w:spacing w:after="0" w:line="66" w:lineRule="exact"/>
        <w:rPr>
          <w:sz w:val="20"/>
          <w:szCs w:val="20"/>
          <w:color w:val="auto"/>
        </w:rPr>
      </w:pPr>
    </w:p>
    <w:p>
      <w:pPr>
        <w:ind w:left="700" w:hanging="350"/>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production quality;</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time-to-market;</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device and end-product price;</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available capacity;</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device yields;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 and customer support services;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access to intellectual property; and</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 capabilities.</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30</w:t>
      </w:r>
    </w:p>
    <w:p>
      <w:pPr>
        <w:spacing w:after="0" w:line="200" w:lineRule="exact"/>
        <w:rPr>
          <w:sz w:val="20"/>
          <w:szCs w:val="20"/>
          <w:color w:val="auto"/>
        </w:rPr>
      </w:pPr>
    </w:p>
    <w:p>
      <w:pPr>
        <w:spacing w:after="0" w:line="335" w:lineRule="exact"/>
        <w:rPr>
          <w:sz w:val="20"/>
          <w:szCs w:val="20"/>
          <w:color w:val="auto"/>
        </w:rPr>
      </w:pPr>
    </w:p>
    <w:p>
      <w:pPr>
        <w:ind w:right="4959" w:firstLine="357"/>
        <w:spacing w:after="0" w:line="269" w:lineRule="auto"/>
        <w:rPr>
          <w:sz w:val="20"/>
          <w:szCs w:val="20"/>
          <w:color w:val="auto"/>
        </w:rPr>
      </w:pPr>
      <w:r>
        <w:rPr>
          <w:rFonts w:ascii="Courier New" w:cs="Courier New" w:eastAsia="Courier New" w:hAnsi="Courier New"/>
          <w:sz w:val="11"/>
          <w:szCs w:val="11"/>
          <w:color w:val="auto"/>
        </w:rPr>
        <w:t>Many of our competitors have greater manufacturing capacity, multiple manufacturing facilities, more advanced technological capabilities, a more diverse and established customer base, greater financial, marketing, distribution and other resources and a better cost structure than ours.</w:t>
      </w:r>
    </w:p>
    <w:p>
      <w:pPr>
        <w:spacing w:after="0" w:line="12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seek to compete primarily on the basis of technology, production quality, device yields and services involving design, support and manufacturing. We believe we have a differentiated service offering and track record in specialized markets, which enables us to effectively compete with larger IC manufacturers.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WAFER FABRICATION SERVICES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142" w:lineRule="exact"/>
        <w:rPr>
          <w:sz w:val="20"/>
          <w:szCs w:val="20"/>
          <w:color w:val="auto"/>
        </w:rPr>
      </w:pPr>
    </w:p>
    <w:p>
      <w:pPr>
        <w:ind w:right="4599" w:firstLine="357"/>
        <w:spacing w:after="0" w:line="267" w:lineRule="auto"/>
        <w:rPr>
          <w:sz w:val="20"/>
          <w:szCs w:val="20"/>
          <w:color w:val="auto"/>
        </w:rPr>
      </w:pPr>
      <w:r>
        <w:rPr>
          <w:rFonts w:ascii="Courier New" w:cs="Courier New" w:eastAsia="Courier New" w:hAnsi="Courier New"/>
          <w:sz w:val="11"/>
          <w:szCs w:val="11"/>
          <w:color w:val="auto"/>
        </w:rPr>
        <w:t>CIRCUIT DESIGN. IC production begins when a fabless IC company or IDM designs the layout of a device's components and designates the interconnections between each component. The result is a pattern of components and connections that defines the function of the IC. In highly complex circuits, there may be more than 35 layers of electronic patterns. After the IC design is complete, we provide these companies with IC manufacturing services.</w:t>
      </w:r>
    </w:p>
    <w:p>
      <w:pPr>
        <w:spacing w:after="0" w:line="129" w:lineRule="exact"/>
        <w:rPr>
          <w:sz w:val="20"/>
          <w:szCs w:val="20"/>
          <w:color w:val="auto"/>
        </w:rPr>
      </w:pPr>
    </w:p>
    <w:p>
      <w:pPr>
        <w:ind w:right="4599" w:firstLine="357"/>
        <w:spacing w:after="0" w:line="239" w:lineRule="auto"/>
        <w:rPr>
          <w:sz w:val="20"/>
          <w:szCs w:val="20"/>
          <w:color w:val="auto"/>
        </w:rPr>
      </w:pPr>
      <w:r>
        <w:rPr>
          <w:rFonts w:ascii="Courier New" w:cs="Courier New" w:eastAsia="Courier New" w:hAnsi="Courier New"/>
          <w:sz w:val="12"/>
          <w:szCs w:val="12"/>
          <w:color w:val="auto"/>
        </w:rPr>
        <w:t>MASK MAKING. The design for each layer of a semiconductor wafer is imprinted on a photographic negative, called a reticle or mask. The mask is the blueprint for each specific layer of the semiconductor wafer.</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IC MANUFACTURING. Transistors and other circuit elements comprising an IC are formed by repeating a series of processes in which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electronically inspecting each individual IC in order to identify those that are operable for assembly.</w:t>
      </w:r>
    </w:p>
    <w:p>
      <w:pPr>
        <w:spacing w:after="0" w:line="144"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ASSEMBLY AND TEST. After IC manufacture, the wafers are transferred to assembly and test facilities. In the assembly process, each wafer is cut into dies, or individual semiconductors, and tested. Defective dies are discarded, while good dies are packaged and assembled. Assembly protects the IC, facilitates its integration into electronic systems and enables the dissipation of heat or cold. Following assembly, the functionality, voltage, current and timing of each IC is tested. After testing, the completed IC is shipped to the IC supplier or directly to its final destination.</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MANUFACTURING PROCESSES</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We manufacture ICs on silicon wafers, generally using the customer's proprietary circuit designs. In some cases, we use third-party or our own proprietary design elements. The end product of our manufacturing process is a silicon wafer containing multiple identical ICs. In most cases, our customer assumes responsibility for dicing, assembly and testing. Although we are an independent foundry specializing in wafer fabrication, we offer our customers the option to purchase from us finished semiconductor products that have been assembled and tested. In these cases, we take responsibility for the production and delivery of finished IC products to our customer on a turnkey basis and subcontract some or all of the dicing, assembly and testing functions to third parties. We also maintain limited assembly capabilities for manufacturing prototype units to facilitate customer evaluation and thereby accelerate new product introduction.</w:t>
      </w:r>
    </w:p>
    <w:p>
      <w:pPr>
        <w:spacing w:after="0" w:line="147"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We manufacture ICs using CMOS process technology. CMOS is currently the dominant semiconductor manufacturing process because it requires lower power than other technologies and allows dense placement of components onto a single IC. The low power consumption and high-density characteristics of the CMOS process allow the continued development of high performance ICs that are smaller and faster. We believe that our specialized process technology distinguishes our IC manufacturing services and attracts industry-leading customers. The specific process technologies that we currently focus on include:</w:t>
      </w:r>
    </w:p>
    <w:p>
      <w:pPr>
        <w:spacing w:after="0" w:line="130"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CMOS IMAGE SENSORS. Our advanced CMOS image sensor process is intended to meet the established growing demand for optical sensors used in consumer, industrial, medical and automotive applications.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to our photodiode enable faithful color reproduction and acute detail definition.</w:t>
      </w:r>
    </w:p>
    <w:p>
      <w:pPr>
        <w:spacing w:after="0" w:line="144"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addition, our innovative "stitching" technology enables semiconductor exposure tools to manufacture single ultra high-resolution CMOS image sensors containing millions of pixels at sizes far larger than their existing field. Our 0.5, 0.35-micron and 0.18-micron CMOS image sensor processes are designed to permit the customer to create high-quality solutions and integrate a product's CMOS analog and logic circuitry together with the sensor pixel array all on one chip, thereby facilitating miniaturization, reducing power consumption and increasing performance.</w:t>
      </w:r>
    </w:p>
    <w:p>
      <w:pPr>
        <w:sectPr>
          <w:pgSz w:w="11900" w:h="16904" w:orient="portrait"/>
          <w:cols w:equalWidth="0" w:num="1">
            <w:col w:w="10239"/>
          </w:cols>
          <w:pgMar w:left="220" w:top="138" w:right="1440" w:bottom="0" w:gutter="0" w:footer="0" w:header="0"/>
        </w:sectPr>
      </w:pPr>
    </w:p>
    <w:bookmarkStart w:id="17" w:name="page18"/>
    <w:bookmarkEnd w:id="17"/>
    <w:p>
      <w:pPr>
        <w:spacing w:after="0" w:line="67"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We have commenced volume production of CMOS Image Sensors for the cellular phone camera market in its 0.18 micron process in the last quarter of 2005, using its own developed 3.6um pixel. During the past two years, we have developed an advanced pixel that allows very low temporal noise levels in a variety of pixel sizes, from 3.6um to 2.7um. These pixels shall be ready for production in the last quarter of 2006.</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32</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EMBEDDED FLASH. Our microFLASH technology, based on Saifun NROM patented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 The relative simplicity of our microFLASH manufacturing process offers cost advantages over competing flash technologies for high density memories. Using our 0.5-micron technology, we have introduced the first of our microFLASH processes into production with the manufacture of a 2 megabit stand-alone memory device and embedded multi-time programming modules, with a limited number of rewrite cycles. Our 0.18-micron embedded flash technology was mutually developed with a Japanese semiconductor manufacturer during 2004, with multiple Flash modules ranging in sizes from 0.5 megabit to 8 megabit, and is currently in production with a few customers.</w:t>
      </w:r>
    </w:p>
    <w:p>
      <w:pPr>
        <w:spacing w:after="0" w:line="13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MIXED SIGNAL. We have developed the Tower 0.18-micron Mixed-Signal Design and RFCMOS Kits, which contains a comprehensive characterization of a wide range of analog and RF devices, some of which are specifically developed to provide our customers with the ability to design mixed-signal and RF ICs for their specific needs.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RFID. In 2004, we started a joint development program with Alien Technology Corporation that targets the RFID tag market and utilizes a platform technology of mixed signal, RF and non volatile memory function. In June 2006, we announced that we are the manufacturing supplier for Alien Technology's internally-designed Gen 2 RFID ICs.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PROCUREMENT AND SOURCING</w:t>
      </w:r>
    </w:p>
    <w:p>
      <w:pPr>
        <w:spacing w:after="0" w:line="141"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Our manufacturing processes use many raw materials, including silicon wafers, chemicals, gases and various metals. These raw materials generally are available from several suppliers. In many instances, we purchase raw materials from a single source. In connection with our technology advancement plans, we expect to continue to make purchases of semiconductor manufacturing equipment, mainly for Fab 2.</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RESEARCH AND DEVELOPMENT</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Our future success depends, to a large degree, on our ability to continue to successfully develop and introduce to production advanced process technologies that meet our customers' needs. Our process development strategy relies on CMOS process technologies that we primarily license and transfer from third parties. We also develop these technologies on our own, at our own initiative, our customers' request or in cooperation with our customers.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From time to time, at a customer's request, we develop a specialty process module, which we use for such customer on an exclusive basis, and, if permitted under our agreements with our customers, we then add it to our process offering. Such developments are very common in all of our value added process technologies noted above. In 2004, in response to market demand, we introduced a 0.16-micron optical shrink solution which represents a 10% linear shrink from our existing 0.18-micron offering while utilizing virtually the same 0.18-micron libraries and IP. The shrink allows a 15 to 20 percent die size reduction and a potentially higher wafer ASP and lower die cost. Applications include industry standard CMOS logic and some mixed-signal technologies. This 0.16-micron technology is ready for production.</w:t>
      </w:r>
    </w:p>
    <w:p>
      <w:pPr>
        <w:spacing w:after="0" w:line="145"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Our research and development activities have related primarily to our process development efforts and have been sponsored and funded by us with some participation by the Israeli Office of the Chief Scientist, or OCS. Accordingly, we are subject to restrictions set forth in Israeli law which limit the ability of a company to manufacture products or to transfer technologies outside of Israel, if such products or technologies were developed with OCS funding. Research and development expenses for the years ended December 31, 2003, 2004 and 2005 were $20.7 million, $17.1 million and $16 million, net of government participation of $1.1 million, $1.5 million and $1 million, respectively.</w:t>
      </w:r>
    </w:p>
    <w:p>
      <w:pPr>
        <w:spacing w:after="0" w:line="264"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33</w:t>
      </w:r>
    </w:p>
    <w:p>
      <w:pPr>
        <w:spacing w:after="0" w:line="200" w:lineRule="exact"/>
        <w:rPr>
          <w:sz w:val="20"/>
          <w:szCs w:val="20"/>
          <w:color w:val="auto"/>
        </w:rPr>
      </w:pPr>
    </w:p>
    <w:p>
      <w:pPr>
        <w:spacing w:after="0" w:line="335"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As of June 30, 2006, we employed 164 professionals in our research and development department, 30 of whom have PhDs. In addition to our research and development department located at our facilities in Migdal Haemek, we maintain a design center in Netanya, Israel.</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PROPRIETARY RIGHTS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INTELLECTUAL PROPERTY AND LICENSING AGREEMENTS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success depends in part on our ability to obtain patents, licenses and other intellectual property rights covering our production processes. To that end, we have acquired certain patents and patent licenses and intend to continue to seek patents on our production processes. As of March 2006, we held 58 patents. We have entered into various patent licenses and cross-licenses with technology companies including Toshiba, Freescale, Synopsys, ARM, Chipidea Microelectronics, Virage Logic, and others. We may choose to renew our present licenses or obtain additional technology licenses in the future. There can be no assurance that any such licenses could be obtained on commercially reasonable terms. In addition, we cannot assure you that other countries in which we market our services will protect our intellectual property rights to the same extent as the United States or Israel.</w:t>
      </w:r>
    </w:p>
    <w:p>
      <w:pPr>
        <w:spacing w:after="0" w:line="146"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constantly seek to strengthen our technological expertise through relationships with technology companies and silicon suppliers. We seek to expand our core strengths in CMOS image sensors, embedded flash and mixed-signal technologies by combining our proprietary technology with those of other technology companies. A main component of our process development strategy is to acquire licenses to standard CMOS technologies and cell libraries from leading designers, such as Freescale and Toshiba, and further develop specialized processes through our internal design teams. The licensing of these technologies has enormously reduced our internal development costs.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CMOS PROCESS TECHNOLOGY PLATFORM</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have licensed an array of process technologies through the following</w:t>
      </w:r>
    </w:p>
    <w:p>
      <w:pPr>
        <w:sectPr>
          <w:pgSz w:w="11900" w:h="16906" w:orient="portrait"/>
          <w:cols w:equalWidth="0" w:num="1">
            <w:col w:w="10239"/>
          </w:cols>
          <w:pgMar w:left="220" w:top="278" w:right="1440" w:bottom="0" w:gutter="0" w:footer="0" w:header="0"/>
        </w:sectPr>
      </w:pPr>
    </w:p>
    <w:bookmarkStart w:id="18" w:name="page19"/>
    <w:bookmarkEnd w:id="18"/>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arrangements:</w:t>
      </w:r>
    </w:p>
    <w:p>
      <w:pPr>
        <w:spacing w:after="0" w:line="141" w:lineRule="exact"/>
        <w:rPr>
          <w:sz w:val="20"/>
          <w:szCs w:val="20"/>
          <w:color w:val="auto"/>
        </w:rPr>
      </w:pPr>
    </w:p>
    <w:p>
      <w:pPr>
        <w:ind w:left="360" w:right="4539"/>
        <w:spacing w:after="0" w:line="266" w:lineRule="auto"/>
        <w:rPr>
          <w:sz w:val="20"/>
          <w:szCs w:val="20"/>
          <w:color w:val="auto"/>
        </w:rPr>
      </w:pPr>
      <w:r>
        <w:rPr>
          <w:rFonts w:ascii="Courier New" w:cs="Courier New" w:eastAsia="Courier New" w:hAnsi="Courier New"/>
          <w:sz w:val="11"/>
          <w:szCs w:val="11"/>
          <w:color w:val="auto"/>
        </w:rPr>
        <w:t>o TOSHIBA. In April 2000, we entered into a technology transfer agreement with Toshiba, pursuant to which Toshiba has transferred to us certain advanced CMOS technologies for use in Fab 2. In exchange for certain license and technology transfer fees and royalties, Toshiba has provided us with recipes, know-how and patent licenses and has trained a group of our engineers and managers. Subject to prior termination for cause by Toshiba, our licenses under the agreement with Toshiba are perpetual. Based on Toshiba's 0.18-micron CMOS process technology, we have internally developed an enhanced industry compatible version of the process technology.</w:t>
      </w:r>
    </w:p>
    <w:p>
      <w:pPr>
        <w:spacing w:after="0" w:line="264"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34</w:t>
      </w:r>
    </w:p>
    <w:p>
      <w:pPr>
        <w:spacing w:after="0" w:line="200" w:lineRule="exact"/>
        <w:rPr>
          <w:sz w:val="20"/>
          <w:szCs w:val="20"/>
          <w:color w:val="auto"/>
        </w:rPr>
      </w:pPr>
    </w:p>
    <w:p>
      <w:pPr>
        <w:spacing w:after="0" w:line="335" w:lineRule="exact"/>
        <w:rPr>
          <w:sz w:val="20"/>
          <w:szCs w:val="20"/>
          <w:color w:val="auto"/>
        </w:rPr>
      </w:pPr>
    </w:p>
    <w:p>
      <w:pPr>
        <w:ind w:left="360" w:right="4539"/>
        <w:spacing w:after="0" w:line="266" w:lineRule="auto"/>
        <w:rPr>
          <w:sz w:val="20"/>
          <w:szCs w:val="20"/>
          <w:color w:val="auto"/>
        </w:rPr>
      </w:pPr>
      <w:r>
        <w:rPr>
          <w:rFonts w:ascii="Courier New" w:cs="Courier New" w:eastAsia="Courier New" w:hAnsi="Courier New"/>
          <w:sz w:val="11"/>
          <w:szCs w:val="11"/>
          <w:color w:val="auto"/>
        </w:rPr>
        <w:t>o MOTOROLA (NOW FREESCALE). In September 2002, we entered into a technology transfer and development agreement with Motorola, pursuant to which Motorola transferred to us its 0.13-micron HiPerMOS7 CMOS process technology for Fab 2 as well as co-developed with us an industry-standard compatible version of the process technology. Subject to prior termination for cause by Motorola, our licenses under the technology transfer agreement with Motorola are perpetual. In August 2004, Motorola assigned all of its rights and obligations under the aforementioned agreement to Freescale.</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FOUNDATION IP BLOCKS</w:t>
      </w:r>
    </w:p>
    <w:p>
      <w:pPr>
        <w:spacing w:after="0" w:line="141"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To better serve our customers design needs using advanced CMOS processes and mixed-signal, we have entered into a series of agreements with leading providers of physical design libraries, mixed-signal and non volatile memory design components. These components are basic design building blocks, such as standard cells, interface input-output (I/O) cells, software compilers for the generation of on-chip embedded memories arrays, mixed-signal and non-volatile memory design blocks. To achieve optimal performance, all of these components must be customized to work with our manufacturing process and are used in most of our customers' chip designs.</w:t>
      </w:r>
    </w:p>
    <w:p>
      <w:pPr>
        <w:spacing w:after="0" w:line="144" w:lineRule="exact"/>
        <w:rPr>
          <w:sz w:val="20"/>
          <w:szCs w:val="20"/>
          <w:color w:val="auto"/>
        </w:rPr>
      </w:pPr>
    </w:p>
    <w:p>
      <w:pPr>
        <w:ind w:left="360" w:right="4539"/>
        <w:spacing w:after="0" w:line="241" w:lineRule="auto"/>
        <w:rPr>
          <w:sz w:val="20"/>
          <w:szCs w:val="20"/>
          <w:color w:val="auto"/>
        </w:rPr>
      </w:pPr>
      <w:r>
        <w:rPr>
          <w:rFonts w:ascii="Courier New" w:cs="Courier New" w:eastAsia="Courier New" w:hAnsi="Courier New"/>
          <w:sz w:val="12"/>
          <w:szCs w:val="12"/>
          <w:color w:val="auto"/>
        </w:rPr>
        <w:t>o SYNOPSYS. In June 2001, we entered into an agreement with Synopsys (formerly, Avant!) under which Synopsys has developed libraries for our 0.18-micron process technology. Multiple customers use the Synopsys libraries in producing their ICs at our company. In 2004, we entered into a set of comprehensive technology transfer and license agreements with Synopsys that provide us with broad rights to use Synopsys' library technology in multiple process technology generations including 0.18 micron and 0.13 micron. Under these agreements, we were given the right to develop, customize, validate and characterize libraries, based on Synopsys' library technology and to distribute such libraries through and have them supported by Synopsys. These agreements place us in a superior position of having in-house capability to serve our customers' needs. Certain parts of the 2004 license agreements, relating to elements of distribution and support by Synopsys, expire in October 2006, and we may be unable to extend or renew them on similar terms.</w:t>
      </w:r>
    </w:p>
    <w:p>
      <w:pPr>
        <w:spacing w:after="0" w:line="148" w:lineRule="exact"/>
        <w:rPr>
          <w:sz w:val="20"/>
          <w:szCs w:val="20"/>
          <w:color w:val="auto"/>
        </w:rPr>
      </w:pPr>
    </w:p>
    <w:p>
      <w:pPr>
        <w:ind w:left="360" w:right="4539"/>
        <w:spacing w:after="0" w:line="241" w:lineRule="auto"/>
        <w:rPr>
          <w:sz w:val="20"/>
          <w:szCs w:val="20"/>
          <w:color w:val="auto"/>
        </w:rPr>
      </w:pPr>
      <w:r>
        <w:rPr>
          <w:rFonts w:ascii="Courier New" w:cs="Courier New" w:eastAsia="Courier New" w:hAnsi="Courier New"/>
          <w:sz w:val="12"/>
          <w:szCs w:val="12"/>
          <w:color w:val="auto"/>
        </w:rPr>
        <w:t>o ARM (INCLUDING ITS WHOLLY-OWNED SUBSIDIARY, ARM PHYSICAL IP). In 2002 and subsequently in 2004, we entered into license agreements with ARM (formerly, Artisan Components) under which we received a license to a suite of library products for our 0.18-micron and 0.13-micron process technologies, respectively. ARM is licensing its libraries to our customers free of charge. Multiple customers are using the ARM libraries in their chip design for manufacturing at our company. The ARM libraries include, among others, standard cells, general purpose and specialty input-output cells and memory generators.</w:t>
      </w:r>
    </w:p>
    <w:p>
      <w:pPr>
        <w:spacing w:after="0" w:line="144" w:lineRule="exact"/>
        <w:rPr>
          <w:sz w:val="20"/>
          <w:szCs w:val="20"/>
          <w:color w:val="auto"/>
        </w:rPr>
      </w:pPr>
    </w:p>
    <w:p>
      <w:pPr>
        <w:ind w:left="360" w:right="4539"/>
        <w:spacing w:after="0" w:line="242" w:lineRule="auto"/>
        <w:rPr>
          <w:sz w:val="20"/>
          <w:szCs w:val="20"/>
          <w:color w:val="auto"/>
        </w:rPr>
      </w:pPr>
      <w:r>
        <w:rPr>
          <w:rFonts w:ascii="Courier New" w:cs="Courier New" w:eastAsia="Courier New" w:hAnsi="Courier New"/>
          <w:sz w:val="12"/>
          <w:szCs w:val="12"/>
          <w:color w:val="auto"/>
        </w:rPr>
        <w:t>o VIRAGE LOGIC. In 2002 and subsequently in 2004, we entered into license agreements with Virage Logic under which we received a license to a suite of library products for our 0.18-micron and 0.13-micron process technologies, respectively. These library products are available for licensing by our customers, and with respect to most of the 0.13-micron library products, free of a license charge. Virage offers a variety of SRAM and ROM memory compilers on both process technologies, and also offers standard cells, general purpose and specialty input-output cells libraries in the 0.13-micron technology. Presently, multiple customers' products that use Virage Logic's memory products are in production at Fab 2. In addition, our license agreement with Virage Logic from 2002 has also introduced Virage Logic's patented Nonvolatile Electrically Alterable embedded memories for production on our 0.18-micron CMOS logic process. Currently customers' products that use Virage Logic's non-volatile memory products are in production at Fab 2. We have selected and qualified these memories for our process to help our customers meet their application requirements for cost-effective embedded non-volatile memory for security, encryption, unique device identification, analog trimming, silicon repair and flexible program store.</w:t>
      </w:r>
    </w:p>
    <w:p>
      <w:pPr>
        <w:spacing w:after="0" w:line="27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35</w:t>
      </w:r>
    </w:p>
    <w:p>
      <w:pPr>
        <w:spacing w:after="0" w:line="200" w:lineRule="exact"/>
        <w:rPr>
          <w:sz w:val="20"/>
          <w:szCs w:val="20"/>
          <w:color w:val="auto"/>
        </w:rPr>
      </w:pPr>
    </w:p>
    <w:p>
      <w:pPr>
        <w:spacing w:after="0" w:line="335" w:lineRule="exact"/>
        <w:rPr>
          <w:sz w:val="20"/>
          <w:szCs w:val="20"/>
          <w:color w:val="auto"/>
        </w:rPr>
      </w:pPr>
    </w:p>
    <w:p>
      <w:pPr>
        <w:ind w:left="360" w:right="4539"/>
        <w:spacing w:after="0" w:line="241" w:lineRule="auto"/>
        <w:rPr>
          <w:sz w:val="20"/>
          <w:szCs w:val="20"/>
          <w:color w:val="auto"/>
        </w:rPr>
      </w:pPr>
      <w:r>
        <w:rPr>
          <w:rFonts w:ascii="Courier New" w:cs="Courier New" w:eastAsia="Courier New" w:hAnsi="Courier New"/>
          <w:sz w:val="12"/>
          <w:szCs w:val="12"/>
          <w:color w:val="auto"/>
        </w:rPr>
        <w:t>o IMPINJ INC. In 2005, we entered into a development and license agreement with Impinj Inc. under which Impinj is developing its AEON(R) non-volatile memory (NVM), in parallel architecture, based on its patented Self-Adaptive Silicon(R) technology, for production on our 0.13-micron CMOS logic process. We chose Impinj's cost-effective NVM to help our customers' products meet their application requirements for embedded non-volatile memories. Primary applications for Impinj's AEON parallel architecture include analog trimming, digital rights management and wireless controllers.</w:t>
      </w:r>
    </w:p>
    <w:p>
      <w:pPr>
        <w:spacing w:after="0" w:line="144" w:lineRule="exact"/>
        <w:rPr>
          <w:sz w:val="20"/>
          <w:szCs w:val="20"/>
          <w:color w:val="auto"/>
        </w:rPr>
      </w:pPr>
    </w:p>
    <w:p>
      <w:pPr>
        <w:ind w:left="360" w:right="4599"/>
        <w:spacing w:after="0" w:line="241" w:lineRule="auto"/>
        <w:rPr>
          <w:sz w:val="20"/>
          <w:szCs w:val="20"/>
          <w:color w:val="auto"/>
        </w:rPr>
      </w:pPr>
      <w:r>
        <w:rPr>
          <w:rFonts w:ascii="Courier New" w:cs="Courier New" w:eastAsia="Courier New" w:hAnsi="Courier New"/>
          <w:sz w:val="12"/>
          <w:szCs w:val="12"/>
          <w:color w:val="auto"/>
        </w:rPr>
        <w:t>o CHIPIDEA MICROELECTRONICS. In 2003 and subsequently in 2005, we entered into a non-exclusive, perpetual, royalty-free license and design agreement with Chipidea Microelectronics. Further to this agreement, Chipidea has customized several of its mixed-signal design blocks for manufacturing on our 0.18-micron and 0.13-micron process technologies, such asUSB 2.0 (Universal Serial Bus 2.0) and USB2.0 OTG (On The Go), which are currently being utilized by several of our customers.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IMAGE SENSOR TECHNOLOGIES</w:t>
      </w:r>
    </w:p>
    <w:p>
      <w:pPr>
        <w:spacing w:after="0" w:line="141" w:lineRule="exact"/>
        <w:rPr>
          <w:sz w:val="20"/>
          <w:szCs w:val="20"/>
          <w:color w:val="auto"/>
        </w:rPr>
      </w:pPr>
    </w:p>
    <w:p>
      <w:pPr>
        <w:ind w:right="4679" w:firstLine="357"/>
        <w:spacing w:after="0" w:line="239" w:lineRule="auto"/>
        <w:rPr>
          <w:sz w:val="20"/>
          <w:szCs w:val="20"/>
          <w:color w:val="auto"/>
        </w:rPr>
      </w:pPr>
      <w:r>
        <w:rPr>
          <w:rFonts w:ascii="Courier New" w:cs="Courier New" w:eastAsia="Courier New" w:hAnsi="Courier New"/>
          <w:sz w:val="12"/>
          <w:szCs w:val="12"/>
          <w:color w:val="auto"/>
        </w:rPr>
        <w:t>We developed, both independently and together with our customers, basic pixel intellectual property to be used by those customers in the manufacturing of our CMOS image sensor products.</w:t>
      </w:r>
    </w:p>
    <w:p>
      <w:pPr>
        <w:spacing w:after="0" w:line="140" w:lineRule="exact"/>
        <w:rPr>
          <w:sz w:val="20"/>
          <w:szCs w:val="20"/>
          <w:color w:val="auto"/>
        </w:rPr>
      </w:pPr>
    </w:p>
    <w:p>
      <w:pPr>
        <w:ind w:left="700" w:hanging="350"/>
        <w:spacing w:after="0"/>
        <w:tabs>
          <w:tab w:leader="none" w:pos="700"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ORGANIZATIONAL STRUCTURE</w:t>
      </w:r>
    </w:p>
    <w:p>
      <w:pPr>
        <w:spacing w:after="0" w:line="141"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The legal and commercial name of our company is Tower Semiconductor Ltd. We were incorporated under the laws of the State of Israel in 1993. We have one subsidiary, incorporated in the United States under the name Tower Semiconductor USA, Inc. Our subsidiary is wholly-owned by us.</w:t>
      </w:r>
    </w:p>
    <w:p>
      <w:pPr>
        <w:sectPr>
          <w:pgSz w:w="11900" w:h="16905" w:orient="portrait"/>
          <w:cols w:equalWidth="0" w:num="1">
            <w:col w:w="10239"/>
          </w:cols>
          <w:pgMar w:left="220" w:top="138" w:right="1440" w:bottom="0" w:gutter="0" w:footer="0" w:header="0"/>
        </w:sectPr>
      </w:pPr>
    </w:p>
    <w:bookmarkStart w:id="19" w:name="page20"/>
    <w:bookmarkEnd w:id="19"/>
    <w:p>
      <w:pPr>
        <w:spacing w:after="0" w:line="81" w:lineRule="exact"/>
        <w:rPr>
          <w:sz w:val="20"/>
          <w:szCs w:val="20"/>
          <w:color w:val="auto"/>
        </w:rPr>
      </w:pPr>
    </w:p>
    <w:p>
      <w:pPr>
        <w:ind w:right="7399" w:firstLine="350"/>
        <w:spacing w:after="0" w:line="479" w:lineRule="auto"/>
        <w:tabs>
          <w:tab w:leader="none" w:pos="714"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PLANTS AND EQUIPMENT MANUFACTURING FACILITIES</w:t>
      </w:r>
    </w:p>
    <w:p>
      <w:pPr>
        <w:spacing w:after="0" w:line="3"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FAB 1</w:t>
      </w:r>
    </w:p>
    <w:p>
      <w:pPr>
        <w:spacing w:after="0" w:line="141" w:lineRule="exact"/>
        <w:rPr>
          <w:sz w:val="20"/>
          <w:szCs w:val="20"/>
          <w:color w:val="auto"/>
        </w:rPr>
      </w:pPr>
    </w:p>
    <w:p>
      <w:pPr>
        <w:ind w:right="4679" w:firstLine="357"/>
        <w:spacing w:after="0" w:line="239" w:lineRule="auto"/>
        <w:rPr>
          <w:sz w:val="20"/>
          <w:szCs w:val="20"/>
          <w:color w:val="auto"/>
        </w:rPr>
      </w:pPr>
      <w:r>
        <w:rPr>
          <w:rFonts w:ascii="Courier New" w:cs="Courier New" w:eastAsia="Courier New" w:hAnsi="Courier New"/>
          <w:sz w:val="12"/>
          <w:szCs w:val="12"/>
          <w:color w:val="auto"/>
        </w:rPr>
        <w:t>We acquired our Fab 1 facility from National Semiconductor in 1993, which had operated the facility since 1986. We occupy the facility pursuant to a long-term lease from the Israel Lands Authority that expires in 2032.</w:t>
      </w:r>
    </w:p>
    <w:p>
      <w:pPr>
        <w:spacing w:after="0" w:line="143"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36</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Since we commenced manufacturing at Fab 1, we increased its manufacturing capacity from 5,000 wafers per month, using 1.25-micron and 1.0-micron processes, to approximately 16,000 wafers per month as of May 31, 2006 depending on process technology and product mix, using our 1.0 micron to 0.35-micron processes, including specialized processes.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exact capacity is variable and depends on the combination of the processes being used and may be significantly lower at certain times as a result of certain of our combinations.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Fab 1.</w:t>
      </w:r>
    </w:p>
    <w:p>
      <w:pPr>
        <w:spacing w:after="0" w:line="142" w:lineRule="exact"/>
        <w:rPr>
          <w:sz w:val="20"/>
          <w:szCs w:val="20"/>
          <w:color w:val="auto"/>
        </w:rPr>
      </w:pPr>
    </w:p>
    <w:p>
      <w:pPr>
        <w:ind w:right="4539" w:firstLine="357"/>
        <w:spacing w:after="0" w:line="238" w:lineRule="auto"/>
        <w:rPr>
          <w:sz w:val="20"/>
          <w:szCs w:val="20"/>
          <w:color w:val="auto"/>
        </w:rPr>
      </w:pPr>
      <w:r>
        <w:rPr>
          <w:rFonts w:ascii="Courier New" w:cs="Courier New" w:eastAsia="Courier New" w:hAnsi="Courier New"/>
          <w:sz w:val="12"/>
          <w:szCs w:val="12"/>
          <w:color w:val="auto"/>
        </w:rPr>
        <w:t>We have completed the transfer of Siliconix technology to Fab 1 and started wafer production for Siliconix in the second quarter of 2005.</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FAB 2</w:t>
      </w:r>
    </w:p>
    <w:p>
      <w:pPr>
        <w:spacing w:after="0" w:line="141"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In January 2001, we commenced construction of Fab 2, our new advanced wafer fab adjacent to Fab 1 in Migdal Haemek. The land on which Fab 2 is located is subject to a long-term lease from the Israel Lands Authority that expires in 2049.</w:t>
      </w:r>
    </w:p>
    <w:p>
      <w:pPr>
        <w:spacing w:after="0" w:line="142" w:lineRule="exact"/>
        <w:rPr>
          <w:sz w:val="20"/>
          <w:szCs w:val="20"/>
          <w:color w:val="auto"/>
        </w:rPr>
      </w:pPr>
    </w:p>
    <w:p>
      <w:pPr>
        <w:ind w:right="4539" w:firstLine="357"/>
        <w:spacing w:after="0" w:line="239" w:lineRule="auto"/>
        <w:rPr>
          <w:sz w:val="20"/>
          <w:szCs w:val="20"/>
          <w:color w:val="auto"/>
        </w:rPr>
      </w:pPr>
      <w:r>
        <w:rPr>
          <w:rFonts w:ascii="Courier New" w:cs="Courier New" w:eastAsia="Courier New" w:hAnsi="Courier New"/>
          <w:sz w:val="12"/>
          <w:szCs w:val="12"/>
          <w:color w:val="auto"/>
        </w:rPr>
        <w:t>Fab 2 offers integrated circuits manufacturing services utilizing advanced materials and a 0.18-micron process technology we licensed from Toshiba, as well as 0.13-micron process technology we licensed from Freescale.</w:t>
      </w:r>
    </w:p>
    <w:p>
      <w:pPr>
        <w:spacing w:after="0" w:line="143"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The overall clean room area in Fab 2 is approximately 100,000 square feet. We began volume production at Fab 2 during the third quarter of 2003. . Production capacity as of May 31, 2006 was approximately 15,000 wafers per month. Depending on the process technology and product mix, when fully ramped-up, we estimate that Fab 2 will be able to achieve capacity levels of approximately 40,000 wafers per month.</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Since 2000, we have invested significantly in the purchase of fixed assets, primarily in connection with the construction of Fab 2, technology advancement and capacity expansion. Capital expenditures in 2005, 2004 and 2003 were approximately $30million, $172 million and $164 million, respectively, before related Investment Center grants of $6 million, $30 million and $27 million, respectively.</w:t>
      </w:r>
    </w:p>
    <w:p>
      <w:pPr>
        <w:spacing w:after="0" w:line="142"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We have registered liens in favor of the State of Israel and our banks on substantially all of our present and future assets, including Fab 1 and Fab 2 (see "Item 5 - Operating and Financial Review and Prospects - B. Liquidity and Capital Resources - Fab 2 Agreements - Credit Facility").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ENVIRONMENTAL MATTERS AND CERTIFICATIONS</w:t>
      </w:r>
    </w:p>
    <w:p>
      <w:pPr>
        <w:spacing w:after="0" w:line="141" w:lineRule="exact"/>
        <w:rPr>
          <w:sz w:val="20"/>
          <w:szCs w:val="20"/>
          <w:color w:val="auto"/>
        </w:rPr>
      </w:pPr>
    </w:p>
    <w:p>
      <w:pPr>
        <w:ind w:right="4679" w:firstLine="357"/>
        <w:spacing w:after="0" w:line="268" w:lineRule="auto"/>
        <w:rPr>
          <w:sz w:val="20"/>
          <w:szCs w:val="20"/>
          <w:color w:val="auto"/>
        </w:rPr>
      </w:pPr>
      <w:r>
        <w:rPr>
          <w:rFonts w:ascii="Courier New" w:cs="Courier New" w:eastAsia="Courier New" w:hAnsi="Courier New"/>
          <w:sz w:val="11"/>
          <w:szCs w:val="11"/>
          <w:color w:val="auto"/>
        </w:rPr>
        <w:t>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262"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37</w:t>
      </w:r>
    </w:p>
    <w:p>
      <w:pPr>
        <w:spacing w:after="0" w:line="200" w:lineRule="exact"/>
        <w:rPr>
          <w:sz w:val="20"/>
          <w:szCs w:val="20"/>
          <w:color w:val="auto"/>
        </w:rPr>
      </w:pPr>
    </w:p>
    <w:p>
      <w:pPr>
        <w:spacing w:after="0" w:line="335" w:lineRule="exact"/>
        <w:rPr>
          <w:sz w:val="20"/>
          <w:szCs w:val="20"/>
          <w:color w:val="auto"/>
        </w:rPr>
      </w:pPr>
    </w:p>
    <w:p>
      <w:pPr>
        <w:ind w:right="4819" w:firstLine="357"/>
        <w:spacing w:after="0" w:line="238" w:lineRule="auto"/>
        <w:rPr>
          <w:sz w:val="20"/>
          <w:szCs w:val="20"/>
          <w:color w:val="auto"/>
        </w:rPr>
      </w:pPr>
      <w:r>
        <w:rPr>
          <w:rFonts w:ascii="Courier New" w:cs="Courier New" w:eastAsia="Courier New" w:hAnsi="Courier New"/>
          <w:sz w:val="12"/>
          <w:szCs w:val="12"/>
          <w:color w:val="auto"/>
        </w:rPr>
        <w:t>We believe that we are currently in compliance in all material respects with applicable environmental laws and regulations.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November 2004, we received ISO 14001 certification from The Standards Institution of Israel. A series of international standards on environmental management, ISO 14000 provides a framework for the development of an environmental management system and the supporting audit program. ISO 14001 is the cornerstone standard of the ISO 14000 series. It specifies a framework of control for an environmental management system pursuant to which an organization can be certified by a third party. The ISO 14001 certification applies to all of our manufacturing facilities. Our authorized design center in Netanya, Israel also received certification.</w:t>
      </w:r>
    </w:p>
    <w:p>
      <w:pPr>
        <w:spacing w:after="0" w:line="144"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In November 2005, we achieved ISO/TS 16949 certification from the UK-based National Quality Association pertaining to the manufacturing processes, work procedures and product performance meeting the requirements of the automotive industry. This quality management system standard certification covers all our departments and activities.</w:t>
      </w:r>
    </w:p>
    <w:p>
      <w:pPr>
        <w:spacing w:after="0" w:line="141" w:lineRule="exact"/>
        <w:rPr>
          <w:sz w:val="20"/>
          <w:szCs w:val="20"/>
          <w:color w:val="auto"/>
        </w:rPr>
      </w:pPr>
    </w:p>
    <w:p>
      <w:pPr>
        <w:ind w:right="4959" w:firstLine="357"/>
        <w:spacing w:after="0" w:line="272" w:lineRule="auto"/>
        <w:rPr>
          <w:sz w:val="20"/>
          <w:szCs w:val="20"/>
          <w:color w:val="auto"/>
        </w:rPr>
      </w:pPr>
      <w:r>
        <w:rPr>
          <w:rFonts w:ascii="Courier New" w:cs="Courier New" w:eastAsia="Courier New" w:hAnsi="Courier New"/>
          <w:sz w:val="11"/>
          <w:szCs w:val="11"/>
          <w:color w:val="auto"/>
        </w:rPr>
        <w:t>In March 2006, we achieved ISO 17799 certification from The Standards Institution of Israel for the high quality of our security technology and implementations, covering all our departments and activities.</w:t>
      </w:r>
    </w:p>
    <w:p>
      <w:pPr>
        <w:spacing w:after="0" w:line="12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4A.</w:t>
      </w:r>
      <w:r>
        <w:rPr>
          <w:sz w:val="20"/>
          <w:szCs w:val="20"/>
          <w:color w:val="auto"/>
        </w:rPr>
        <w:tab/>
      </w:r>
      <w:r>
        <w:rPr>
          <w:rFonts w:ascii="Courier New" w:cs="Courier New" w:eastAsia="Courier New" w:hAnsi="Courier New"/>
          <w:sz w:val="11"/>
          <w:szCs w:val="11"/>
          <w:color w:val="auto"/>
        </w:rPr>
        <w:t>UNRESOLVED STAFF COMMENTS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Not Applicable.</w:t>
      </w:r>
    </w:p>
    <w:p>
      <w:pPr>
        <w:spacing w:after="0" w:line="13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5.</w:t>
      </w:r>
      <w:r>
        <w:rPr>
          <w:sz w:val="20"/>
          <w:szCs w:val="20"/>
          <w:color w:val="auto"/>
        </w:rPr>
        <w:tab/>
      </w:r>
      <w:r>
        <w:rPr>
          <w:rFonts w:ascii="Courier New" w:cs="Courier New" w:eastAsia="Courier New" w:hAnsi="Courier New"/>
          <w:sz w:val="11"/>
          <w:szCs w:val="11"/>
          <w:color w:val="auto"/>
        </w:rPr>
        <w:t>OPERATING AND FINANCIAL REVIEW AND PROSPECTS</w:t>
      </w:r>
    </w:p>
    <w:p>
      <w:pPr>
        <w:spacing w:after="0" w:line="139" w:lineRule="exact"/>
        <w:rPr>
          <w:sz w:val="20"/>
          <w:szCs w:val="20"/>
          <w:color w:val="auto"/>
        </w:rPr>
      </w:pPr>
    </w:p>
    <w:p>
      <w:pPr>
        <w:ind w:left="700" w:hanging="350"/>
        <w:spacing w:after="0"/>
        <w:tabs>
          <w:tab w:leader="none" w:pos="700"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OPERATING RESULTS</w:t>
      </w:r>
    </w:p>
    <w:p>
      <w:pPr>
        <w:spacing w:after="0" w:line="141" w:lineRule="exact"/>
        <w:rPr>
          <w:sz w:val="20"/>
          <w:szCs w:val="20"/>
          <w:color w:val="auto"/>
        </w:rPr>
      </w:pPr>
    </w:p>
    <w:p>
      <w:pPr>
        <w:ind w:right="4959"/>
        <w:spacing w:after="0" w:line="238" w:lineRule="auto"/>
        <w:rPr>
          <w:sz w:val="20"/>
          <w:szCs w:val="20"/>
          <w:color w:val="auto"/>
        </w:rPr>
      </w:pPr>
      <w:r>
        <w:rPr>
          <w:rFonts w:ascii="Courier New" w:cs="Courier New" w:eastAsia="Courier New" w:hAnsi="Courier New"/>
          <w:sz w:val="12"/>
          <w:szCs w:val="12"/>
          <w:color w:val="auto"/>
        </w:rPr>
        <w:t>MANAGEMENT'S DISCUSSION AND ANALYSIS OF FINANCIAL CONDITION AND RESULTS OF OPERATIONS</w:t>
      </w:r>
    </w:p>
    <w:p>
      <w:pPr>
        <w:spacing w:after="0" w:line="142" w:lineRule="exact"/>
        <w:rPr>
          <w:sz w:val="20"/>
          <w:szCs w:val="20"/>
          <w:color w:val="auto"/>
        </w:rPr>
      </w:pPr>
    </w:p>
    <w:p>
      <w:pPr>
        <w:ind w:right="4539"/>
        <w:spacing w:after="0" w:line="269" w:lineRule="auto"/>
        <w:rPr>
          <w:sz w:val="20"/>
          <w:szCs w:val="20"/>
          <w:color w:val="auto"/>
        </w:rPr>
      </w:pPr>
      <w:r>
        <w:rPr>
          <w:rFonts w:ascii="Courier New" w:cs="Courier New" w:eastAsia="Courier New" w:hAnsi="Courier New"/>
          <w:sz w:val="11"/>
          <w:szCs w:val="11"/>
          <w:color w:val="auto"/>
        </w:rPr>
        <w:t>THE INFORMATION CONTAINED IN THIS SECTION SHOULD BE READ IN CONJUNCTION WITH OUR CONSOLIDATED FINANCIAL STATEMENTS FOR THE YEAR ENDED DECEMBER 31, 2005 AND RELATED NOTES AND THE INFORMATION CONTAINED ELSEWHERE IN THIS ANNUAL REPORT. OUR FINANCIAL STATEMENTS HAVE BEEN PREPARED IN ACCORDANCE WITH GENERALLY ACCEPTED</w:t>
      </w:r>
    </w:p>
    <w:p>
      <w:pPr>
        <w:sectPr>
          <w:pgSz w:w="11900" w:h="16920" w:orient="portrait"/>
          <w:cols w:equalWidth="0" w:num="1">
            <w:col w:w="10239"/>
          </w:cols>
          <w:pgMar w:left="220" w:top="278" w:right="1440" w:bottom="0" w:gutter="0" w:footer="0" w:header="0"/>
        </w:sectPr>
      </w:pPr>
    </w:p>
    <w:bookmarkStart w:id="20" w:name="page21"/>
    <w:bookmarkEnd w:id="20"/>
    <w:p>
      <w:pPr>
        <w:ind w:right="4539"/>
        <w:spacing w:after="0"/>
        <w:rPr>
          <w:sz w:val="20"/>
          <w:szCs w:val="20"/>
          <w:color w:val="auto"/>
        </w:rPr>
      </w:pPr>
      <w:r>
        <w:rPr>
          <w:rFonts w:ascii="Courier New" w:cs="Courier New" w:eastAsia="Courier New" w:hAnsi="Courier New"/>
          <w:sz w:val="12"/>
          <w:szCs w:val="12"/>
          <w:color w:val="auto"/>
        </w:rPr>
        <w:t>ACCOUNTING PRINCIPLES ("GAAP") IN ISRAEL. DIFFERENCES BETWEEN ISRAELI GAAP AND US GAAP AS THEY RELATE TO OUR FINANCIAL STATEMENTS ARE DESCRIBED IN NOTE 20 TO OUR AUDITED ANNUAL CONSOLIDATED FINANCIAL STATEMENTS FOR THE YEAR ENDED DECEMBER 31, 2005.</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OVERVIEW</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We are a pure-play independent specialty foundry dedicated to the manufacture of semiconductors. Pure-play foundries do not offer any products of their own, but focus on producing integrated circuits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38</w:t>
      </w:r>
    </w:p>
    <w:p>
      <w:pPr>
        <w:spacing w:after="0" w:line="200" w:lineRule="exact"/>
        <w:rPr>
          <w:sz w:val="20"/>
          <w:szCs w:val="20"/>
          <w:color w:val="auto"/>
        </w:rPr>
      </w:pPr>
    </w:p>
    <w:p>
      <w:pPr>
        <w:spacing w:after="0" w:line="335"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Our primary source of revenue is from the fabrication of ICs using CMOS process technology. We are currently focused on the emerging opportunities involving CMOS image sensors, embedded flash, mixed-signal and RFID technologies. ICs manufactured by us are incorporated into a wide range of products in diverse markets, including consumer electronics, personal computer and office equipment, communications, automotive, professional photography and medical device products.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primary customers for our products are fabless IC companies and IDMs. A substantial portion of our product sales are made pursuant to long-term contracts with our customers, under which we have agreed to reserve manufacturing capacity at our production facilities. Our sales cycle is generally 12-24 months for new customers and can be as short as 9-12 months for existing customers. The typical stages in the sales process, from initial contact until production are: technical evaluation; photomask design specification; silicon prototyping; assembly and testing; validation and qualification; and production.</w:t>
      </w:r>
    </w:p>
    <w:p>
      <w:pPr>
        <w:spacing w:after="0" w:line="144"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During the year ended December 31, 2005, we had five significant customers who contributed between 5% to 22% of our revenues. In 2004, we had five significant customers who contributed between 6% to 24% of our revenues. In 2003, we had five significant customers who contributed between 6% and 24% of our revenues. In 2004 and 2005, SanDisk was instrumental in ramping up our business. While we currently expect that SanDisk will continue to be a significant customer of Fab 2, additional customers are expected to commence or increase their purchase orders following the qualification of their products in Fab 2 during 2006.</w:t>
      </w:r>
    </w:p>
    <w:p>
      <w:pPr>
        <w:spacing w:after="0" w:line="144"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In addition to further developing our customer base, we have also made a concentrated effort to expand the geographical diversity of our sales. The percentage of our sales from customers located outside the United States was 36%, 40% and 27% in the years ended December 31, 2005, 2004 and 2003, respectively. We believe that a substantial portion of our sales will continue to come from customers located outside the United States.</w:t>
      </w:r>
    </w:p>
    <w:p>
      <w:pPr>
        <w:spacing w:after="0" w:line="142" w:lineRule="exact"/>
        <w:rPr>
          <w:sz w:val="20"/>
          <w:szCs w:val="20"/>
          <w:color w:val="auto"/>
        </w:rPr>
      </w:pPr>
    </w:p>
    <w:p>
      <w:pPr>
        <w:ind w:right="4599" w:firstLine="357"/>
        <w:spacing w:after="0" w:line="264" w:lineRule="auto"/>
        <w:rPr>
          <w:sz w:val="20"/>
          <w:szCs w:val="20"/>
          <w:color w:val="auto"/>
        </w:rPr>
      </w:pPr>
      <w:r>
        <w:rPr>
          <w:rFonts w:ascii="Courier New" w:cs="Courier New" w:eastAsia="Courier New" w:hAnsi="Courier New"/>
          <w:sz w:val="11"/>
          <w:szCs w:val="11"/>
          <w:color w:val="auto"/>
        </w:rPr>
        <w:t>Our company was founded in 1993, when we acquired National Semiconductor's 150-mm wafer fabrication facility, or Fab 1, and commenced operations as an independent foundry. Since then, we have significantly modernized our Fab 1 facility, which has improved its process geometries from 1.0-micron to</w:t>
      </w:r>
    </w:p>
    <w:p>
      <w:pPr>
        <w:spacing w:after="0" w:line="1" w:lineRule="exact"/>
        <w:rPr>
          <w:sz w:val="20"/>
          <w:szCs w:val="20"/>
          <w:color w:val="auto"/>
        </w:rPr>
      </w:pPr>
    </w:p>
    <w:p>
      <w:pPr>
        <w:ind w:right="4539"/>
        <w:spacing w:after="0" w:line="267" w:lineRule="auto"/>
        <w:rPr>
          <w:sz w:val="20"/>
          <w:szCs w:val="20"/>
          <w:color w:val="auto"/>
        </w:rPr>
      </w:pPr>
      <w:r>
        <w:rPr>
          <w:rFonts w:ascii="Courier New" w:cs="Courier New" w:eastAsia="Courier New" w:hAnsi="Courier New"/>
          <w:sz w:val="11"/>
          <w:szCs w:val="11"/>
          <w:color w:val="auto"/>
        </w:rPr>
        <w:t>0.35-micron and enhanced its process technologies to include CMOS image sensors, embedded flash and mixed-signal technologies. We have also expanded our production capacity in Fab 1 to approximately 16,000 wafers per month as of June 30, 2006, depending on process technology and product mix, to meet additional customer demand. Fab 1 has been cash flow positive from operations since the second quarter of 2002. We completed the transfer of Siliconix technology to Fab 1 and started wafer production for Siliconix in the second quarter of 2005.</w:t>
      </w:r>
    </w:p>
    <w:p>
      <w:pPr>
        <w:spacing w:after="0" w:line="127"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During the third quarter of 2003, we completed the construction of the building and infrastructure of our second manufacturing facility, or Fab 2. Fab 2 is designed to operate in geometries of 0.18-micron and below, using advanced materials and advanced CMOS technology licensed from Freescale and Toshiba, as well as other technologies that we might acquire or develop independently. We began volume production at Fab 2 during the third quarter of 2003. Production capacity of Fab 2 as of June 30, 2006 was approximately 15,000 wafers per month.</w:t>
      </w:r>
    </w:p>
    <w:p>
      <w:pPr>
        <w:spacing w:after="0" w:line="262"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39</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CRITICAL ACCOUNTING POLICIES</w:t>
      </w:r>
    </w:p>
    <w:p>
      <w:pPr>
        <w:spacing w:after="0" w:line="141" w:lineRule="exact"/>
        <w:rPr>
          <w:sz w:val="20"/>
          <w:szCs w:val="20"/>
          <w:color w:val="auto"/>
        </w:rPr>
      </w:pPr>
    </w:p>
    <w:p>
      <w:pPr>
        <w:ind w:right="4539" w:firstLine="357"/>
        <w:spacing w:after="0" w:line="242" w:lineRule="auto"/>
        <w:rPr>
          <w:sz w:val="20"/>
          <w:szCs w:val="20"/>
          <w:color w:val="auto"/>
        </w:rPr>
      </w:pPr>
      <w:r>
        <w:rPr>
          <w:rFonts w:ascii="Courier New" w:cs="Courier New" w:eastAsia="Courier New" w:hAnsi="Courier New"/>
          <w:sz w:val="12"/>
          <w:szCs w:val="12"/>
          <w:color w:val="auto"/>
        </w:rPr>
        <w:t>REVENUE RECOGNITION. In accordance with generally accepted accounting principles, our revenues are recognized upon shipment or as services are rendered when title has been transferred, collectibility is reasonably assured and acceptance criteria are satisfied, based on tests performed prior to customer on-site testing. Prior to commencement of our production, both our customers and our personnel test and pre-approve the prototype, on the basis of which specifications and features the ordered products will be produced. Electronic, functional and quality tests are performed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Our revenue recognition policy is significant because our revenues are a key component of our results of operations. We follow very specific and detailed guidelines in measuring revenue; however an accrual for estimated returns, which is computed primarily on the basis of historical experience, is recorded. Any changes in assumptions for determining the accrual for returns may affect mainly the timing of our revenue recognition and cause our operating results to vary from quarter to quarter.</w:t>
      </w:r>
    </w:p>
    <w:p>
      <w:pPr>
        <w:spacing w:after="0" w:line="137"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2"/>
          <w:szCs w:val="12"/>
          <w:color w:val="auto"/>
        </w:rPr>
        <w:t>Accordingly, our financial position and results of operations may be</w:t>
      </w:r>
    </w:p>
    <w:p>
      <w:pPr>
        <w:spacing w:after="0" w:line="4"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1"/>
          <w:szCs w:val="11"/>
          <w:color w:val="auto"/>
        </w:rPr>
        <w:t>affected. That effect, if any, under Israel GAAP and US GAAP would be similar.</w:t>
      </w:r>
    </w:p>
    <w:p>
      <w:pPr>
        <w:spacing w:after="0" w:line="150"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DEPRECIATION AND AMORTIZATION OF FAB 2 ASSETS. Depreciation and amortization expense in 2005 amounted to $144.9 million. During the third quarter of 2003, we commenced depreciating the Fab 2 property and equipment and amortizing the 0.18-micron technology, based on the straight-line method. Currently, we estimate that the expected economic life of the Fab 2 assets will be as follows: (i) prepaid perpetual land lease and buildings (including facility infrastructure) - 14 to 25 years; (ii) machinery and equipment - 5 years; and (iii) the 0.18-micron and 0.13 micron technology - 4 years, while amortization phases in commencing on the dates on which each of the Fab 2 manufacturing lines is ready for its intended use. We expect that the depreciation and amortization expenses relating to Fab 2 facilities will be approximately $138 million in 2006. Changes in our estimates regarding the expected economic life of Fab 2 assets, or a change in the dates on which each of the Fab 2 manufacturing lines is ready for its intended use, might affect our</w:t>
      </w:r>
    </w:p>
    <w:p>
      <w:pPr>
        <w:sectPr>
          <w:pgSz w:w="11900" w:h="16838" w:orient="portrait"/>
          <w:cols w:equalWidth="0" w:num="1">
            <w:col w:w="10239"/>
          </w:cols>
          <w:pgMar w:left="220" w:top="141" w:right="1440" w:bottom="0" w:gutter="0" w:footer="0" w:header="0"/>
        </w:sectPr>
      </w:pPr>
    </w:p>
    <w:bookmarkStart w:id="21" w:name="page22"/>
    <w:bookmarkEnd w:id="21"/>
    <w:p>
      <w:pPr>
        <w:ind w:right="4679"/>
        <w:spacing w:after="0" w:line="238" w:lineRule="auto"/>
        <w:rPr>
          <w:sz w:val="20"/>
          <w:szCs w:val="20"/>
          <w:color w:val="auto"/>
        </w:rPr>
      </w:pPr>
      <w:r>
        <w:rPr>
          <w:rFonts w:ascii="Courier New" w:cs="Courier New" w:eastAsia="Courier New" w:hAnsi="Courier New"/>
          <w:sz w:val="12"/>
          <w:szCs w:val="12"/>
          <w:color w:val="auto"/>
        </w:rPr>
        <w:t>depreciation and amortization expenses. That effect, if any, under Israel GAAP and US GAAP would be similar.</w:t>
      </w:r>
    </w:p>
    <w:p>
      <w:pPr>
        <w:spacing w:after="0" w:line="142"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IMPAIRMENT OF ASSETS. Standard No. 15, "Impairment of Assets," of the Israeli Accounting Standards Board addresses the accounting treatment and presentation of impairment of assets, and establishes procedures to be implemented in order to ensure that assets are not presented in amounts exceeding their recoverable value. The review of possible impairment charges was performed based on our business plan, as was approved by our board of directors. The business plan is based, among other things, on the future completion of the construction and equipping of Fab 2 to reach full capacity. Application of Standard 15 resulted in no impairment charges. According to US GAAP, e.g. FASB 144 and FASB 142, recoverability tests are performed based on undiscounted expected cash flows, Standard No. 15 indicates that an asset's recoverable value is the higher of the asset's net selling price and the asset's value in use, the latter being equal to the asset's discounted expected cash flows. While applying the provisions of Standard No. 15 had no effect on our financial position and results of operations, the use of different assumptions with respect to the expected cash flows from our assets and with respect to other economic variables, primarily the discount rate, may lead to different conclusions regarding the recoverability of our assets' carrying values and to the potential need to record an impairment loss for our long-lived assets.</w:t>
      </w:r>
    </w:p>
    <w:p>
      <w:pPr>
        <w:spacing w:after="0" w:line="200" w:lineRule="exact"/>
        <w:rPr>
          <w:sz w:val="20"/>
          <w:szCs w:val="20"/>
          <w:color w:val="auto"/>
        </w:rPr>
      </w:pPr>
    </w:p>
    <w:p>
      <w:pPr>
        <w:spacing w:after="0" w:line="202"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40</w:t>
      </w: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CONVERTIBLE DEBENTURES</w:t>
      </w:r>
    </w:p>
    <w:p>
      <w:pPr>
        <w:spacing w:after="0" w:line="141" w:lineRule="exact"/>
        <w:rPr>
          <w:sz w:val="20"/>
          <w:szCs w:val="20"/>
          <w:color w:val="auto"/>
        </w:rPr>
      </w:pPr>
    </w:p>
    <w:p>
      <w:pPr>
        <w:jc w:val="both"/>
        <w:ind w:right="4759" w:firstLine="357"/>
        <w:spacing w:after="0"/>
        <w:rPr>
          <w:sz w:val="20"/>
          <w:szCs w:val="20"/>
          <w:color w:val="auto"/>
        </w:rPr>
      </w:pPr>
      <w:r>
        <w:rPr>
          <w:rFonts w:ascii="Courier New" w:cs="Courier New" w:eastAsia="Courier New" w:hAnsi="Courier New"/>
          <w:sz w:val="12"/>
          <w:szCs w:val="12"/>
          <w:color w:val="auto"/>
        </w:rPr>
        <w:t>As of December 31, 2005, convertible debentures the future conversion of which is not probable as of the balance-sheet date are presented as long-term liabilities and current liabilities (with respect to the current maturities) based on their terms as of such date, net of discount.</w:t>
      </w:r>
    </w:p>
    <w:p>
      <w:pPr>
        <w:spacing w:after="0" w:line="142" w:lineRule="exact"/>
        <w:rPr>
          <w:sz w:val="20"/>
          <w:szCs w:val="20"/>
          <w:color w:val="auto"/>
        </w:rPr>
      </w:pPr>
    </w:p>
    <w:p>
      <w:pPr>
        <w:ind w:right="4959" w:firstLine="357"/>
        <w:spacing w:after="0"/>
        <w:rPr>
          <w:sz w:val="20"/>
          <w:szCs w:val="20"/>
          <w:color w:val="auto"/>
        </w:rPr>
      </w:pPr>
      <w:r>
        <w:rPr>
          <w:rFonts w:ascii="Courier New" w:cs="Courier New" w:eastAsia="Courier New" w:hAnsi="Courier New"/>
          <w:sz w:val="12"/>
          <w:szCs w:val="12"/>
          <w:color w:val="auto"/>
        </w:rPr>
        <w:t>As of December 31, 2005, under Israeli GAAP, convertible debentures denominated in dollar the future conversion of which is probable as of the balance-sheet date, are presented as a separate line-item between total liabilities and shareholders equity.</w:t>
      </w:r>
    </w:p>
    <w:p>
      <w:pPr>
        <w:spacing w:after="0" w:line="142"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Commencing January 1, 2006, we adopted Standard No. 22 of the Israeli Accounting Standard Board "Financial Instruments: Disclosure and Presentation". Under Standard No. 22, the three series of our convertible debentures are considered compound instruments, therefore, are to be separated to its components, the equity component and the liability component. The amount attributed to the equity component is calculated as the excess in value of (i) the carrying amount net of issuance costs and (ii) discounting the same cash flows using the rate commensurate for non-convertible debt. The equity component as calculated above is classified in equity. In applying the provisions of Standard No. 22, the use of different assumptions with respect to the discount rate may lead to different amounts allocated to the equity component.</w:t>
      </w:r>
    </w:p>
    <w:p>
      <w:pPr>
        <w:spacing w:after="0" w:line="266"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Under US GAAP the Company is required to determine the conversion option embedded in the convertible debt should be bifurcated and accounted for separately. Such determination is based on the determination whether on a stand alone such conversion option would be classified in equity. If the option can be classified as equity no bifurcation is required.</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NON-CAPITALIZABLE COSTS. In accordance with generally accepted accounting principles, we capitalized through the third quarter of 2003 most of our costs relating to the establishment of Fab 2, primarily for property and equipment and other assets. Capitalizable Fab 2 costs were only incremental direct costs that related to the establishment and equipping of Fab 2 and to the integration and transfer of technology to be implemented in Fab 2. Following initial commencement of operations of Fab 2 in the third quarter of 2003(equipping of Fab 2 towards full capacity is still to be completed, most of the direct costs related to the construction and equipping of Fab 2 and to the transfer of the Fab 2 technologies that were capitalizable until Fab 2 came into production, are no longer capitalizable.</w:t>
      </w:r>
    </w:p>
    <w:p>
      <w:pPr>
        <w:spacing w:after="0" w:line="145" w:lineRule="exact"/>
        <w:rPr>
          <w:sz w:val="20"/>
          <w:szCs w:val="20"/>
          <w:color w:val="auto"/>
        </w:rPr>
      </w:pPr>
    </w:p>
    <w:p>
      <w:pPr>
        <w:ind w:right="4679" w:firstLine="357"/>
        <w:spacing w:after="0" w:line="265" w:lineRule="auto"/>
        <w:rPr>
          <w:sz w:val="20"/>
          <w:szCs w:val="20"/>
          <w:color w:val="auto"/>
        </w:rPr>
      </w:pPr>
      <w:r>
        <w:rPr>
          <w:rFonts w:ascii="Courier New" w:cs="Courier New" w:eastAsia="Courier New" w:hAnsi="Courier New"/>
          <w:sz w:val="11"/>
          <w:szCs w:val="11"/>
          <w:color w:val="auto"/>
        </w:rPr>
        <w:t>Direct internal costs which were capitalized to Fab 2 consisted primarily of payroll-related costs, and allocated payroll costs, on the basis of management's estimates and assumptions and methodologies, including timesheet inputs. Most of the capitalized payroll-related costs consisted of wages to employees dedicated solely to the establishment of Fab 2. In addition, other direct related expenses such as import costs, transportation, installation and consulting fees were also capitalized. Under different assumptions relating to these costs and their being attributable to Fab 2, the classification and accounting recognition of these costs may have been different, which may significantly affect our financial position and results of operations. The effect, if any, under Israel GAAP and US GAAP would be similar.</w:t>
      </w:r>
    </w:p>
    <w:p>
      <w:pPr>
        <w:spacing w:after="0" w:line="268"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RECENT ACCOUNTING PRONOUNCEMENTS UNDER US GAAP AS THEY APPLY TO US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SFAS No. 151 - Inventory Costs, an Amendment of ARB No. 43, Chapter 4 - In November 2004, the FASB issued SFAS No. 151, "Inventory Costs, an Amendment of ARB No. 43, Chapter 4". SFAS No. 151 amends the guidance in ARB 43, Chapter 4, "Inventory Pricing", which provides guidance on the allocation of certain costs to inventory. SFAS 151 clarifies that abnormal amounts of idle facility expense, freight, handling costs, and wasted material (spoilage) should be recognized as current-period charges. In addition, SFAS 151 requires that allocation of fixed production overheads to the costs of conversion be based on the normal capacity of the production facilities. The provisions of this statement are effective for inventory costs incurred during fiscal years beginning after June 2005. The provisions of this statement shall be applied prospectively. This Standard is not expected to have a material effect on our financial position or results of operations.</w:t>
      </w:r>
    </w:p>
    <w:p>
      <w:pPr>
        <w:spacing w:after="0" w:line="147" w:lineRule="exact"/>
        <w:rPr>
          <w:sz w:val="20"/>
          <w:szCs w:val="20"/>
          <w:color w:val="auto"/>
        </w:rPr>
      </w:pPr>
    </w:p>
    <w:p>
      <w:pPr>
        <w:ind w:right="4599" w:firstLine="357"/>
        <w:spacing w:after="0" w:line="268" w:lineRule="auto"/>
        <w:rPr>
          <w:sz w:val="20"/>
          <w:szCs w:val="20"/>
          <w:color w:val="auto"/>
        </w:rPr>
      </w:pPr>
      <w:r>
        <w:rPr>
          <w:rFonts w:ascii="Courier New" w:cs="Courier New" w:eastAsia="Courier New" w:hAnsi="Courier New"/>
          <w:sz w:val="11"/>
          <w:szCs w:val="11"/>
          <w:color w:val="auto"/>
        </w:rPr>
        <w:t>SFAS No. 123 (revised 2004) "Share Based Payments". In December 2004, the FASB issued SFAS No. 123 (revised 2004) "Share Based Payments" ("SFAS 123(R)"). This Statement is a revision of FASB Statement No. 123, "Accounting for Stock-Based Compensation", which supersedes APB Opinion No. 25, "Accounting for Stock Issued to Employees" and its authoritative interpretations.</w:t>
      </w:r>
    </w:p>
    <w:p>
      <w:pPr>
        <w:spacing w:after="0" w:line="128"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SFAS 123(R) eliminates the alternative to use APB 25's intrinsic value method of accounting that was allowed in SFAS 123 as originally issued and requires to measure the cost of employee services received in exchange for an award of equity instruments based on the grant-date fair value of the award. The fair-value-based method in this Statement is similar to the fair-value-based method in SFAS 123 in most respects. The costs associated with the awards will be recognized over the period during which an employee is required to provide service in exchange for the award - the requisite service period (usually the vesting period).</w:t>
      </w:r>
    </w:p>
    <w:p>
      <w:pPr>
        <w:sectPr>
          <w:pgSz w:w="11900" w:h="16838" w:orient="portrait"/>
          <w:cols w:equalWidth="0" w:num="1">
            <w:col w:w="10239"/>
          </w:cols>
          <w:pgMar w:left="220" w:top="141" w:right="1440" w:bottom="0" w:gutter="0" w:footer="0" w:header="0"/>
        </w:sectPr>
      </w:pPr>
    </w:p>
    <w:bookmarkStart w:id="22" w:name="page23"/>
    <w:bookmarkEnd w:id="22"/>
    <w:p>
      <w:pPr>
        <w:ind w:right="4539" w:firstLine="357"/>
        <w:spacing w:after="0" w:line="241" w:lineRule="auto"/>
        <w:rPr>
          <w:sz w:val="20"/>
          <w:szCs w:val="20"/>
          <w:color w:val="auto"/>
        </w:rPr>
      </w:pPr>
      <w:r>
        <w:rPr>
          <w:rFonts w:ascii="Courier New" w:cs="Courier New" w:eastAsia="Courier New" w:hAnsi="Courier New"/>
          <w:sz w:val="12"/>
          <w:szCs w:val="12"/>
          <w:color w:val="auto"/>
        </w:rPr>
        <w:t>The provisions of SFAS 123(R) apply to all awards granted by us on or after January 1, 2006 and to awards modified, repurchased, or cancelled after that date. When initially applied the provisions of SFAS 123(R), in the first quarter of 2006, we were required to elect between using either the "modified prospective method" or the "modified retrospective method". Under the modified prospective method, we were required to recognize compensation cost for all awards granted after the adoption of SFAS 123(R) and for the unvested portion of previously granted awards that are outstanding on that date. Under the modified retrospective method, we were required to restate its previously issued financial statements to recognize the amounts previously calculated and reported on a pro forma basis, as if the original provisions of SFAS 123(R) had been adopted. Under both methods, it is permitted to use either a straight line or an accelerated method to amortize the cost as an expense for awards with graded vesting.</w:t>
      </w:r>
    </w:p>
    <w:p>
      <w:pPr>
        <w:spacing w:after="0" w:line="147"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Management has commenced identifying the potential future impact of applying the provisions of SFAS 123(R), including each of its proposed transition methods. Based on the outstanding options as of December 31, 2005, the total compensation to be amortized in the years 2006-2009 is expected to be approximately $4.2 million.</w:t>
      </w:r>
    </w:p>
    <w:p>
      <w:pPr>
        <w:spacing w:after="0" w:line="141" w:lineRule="exact"/>
        <w:rPr>
          <w:sz w:val="20"/>
          <w:szCs w:val="20"/>
          <w:color w:val="auto"/>
        </w:rPr>
      </w:pPr>
    </w:p>
    <w:p>
      <w:pPr>
        <w:ind w:right="4679" w:firstLine="357"/>
        <w:spacing w:after="0" w:line="268" w:lineRule="auto"/>
        <w:rPr>
          <w:sz w:val="20"/>
          <w:szCs w:val="20"/>
          <w:color w:val="auto"/>
        </w:rPr>
      </w:pPr>
      <w:r>
        <w:rPr>
          <w:rFonts w:ascii="Courier New" w:cs="Courier New" w:eastAsia="Courier New" w:hAnsi="Courier New"/>
          <w:sz w:val="11"/>
          <w:szCs w:val="11"/>
          <w:color w:val="auto"/>
        </w:rPr>
        <w:t>On March 29, 2005, the Securities and Exchange Commission issued Staff Accounting Bulletin No. 107 ("SAB 107"). This Staff Accounting Bulletin expresses views of the staff regarding the interaction between SFAS 123(R) and certain SEC rules and regulations and provides the SEC staff's views regarding the valuation of share-based payment arrangements for public companies.</w:t>
      </w:r>
    </w:p>
    <w:p>
      <w:pPr>
        <w:spacing w:after="0" w:line="262"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42</w:t>
      </w:r>
    </w:p>
    <w:p>
      <w:pPr>
        <w:spacing w:after="0" w:line="200" w:lineRule="exact"/>
        <w:rPr>
          <w:sz w:val="20"/>
          <w:szCs w:val="20"/>
          <w:color w:val="auto"/>
        </w:rPr>
      </w:pPr>
    </w:p>
    <w:p>
      <w:pPr>
        <w:spacing w:after="0" w:line="335"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On April 14, 2005, the SEC adopted a new rule amending the compliance dates for SFAS 123(R). Under the SEC rule, the provisions of SFAS 123(R) apply to all awards to be granted after January 1, 2006 and to awards modified, repurchased, or cancelled after that date.</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Retroactive application is not permitted. The adoption of this Standard does not affect our financial position or results of operations.</w:t>
      </w:r>
    </w:p>
    <w:p>
      <w:pPr>
        <w:spacing w:after="0" w:line="14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SFAS No. 154, Accounting Changes and Error Corrections - This Statement, published in May 2005, replaces APB Opinion No. 20, Accounting Changes, and FASB Statement No. 3, Reporting Accounting Changes in Interim Financial Statements, and changes the requirements for the accounting for and reporting of a change in accounting principles. This Statement applies to all voluntary changes in accounting principles, and to changes required by an accounting pronouncement in the unusual instance that the pronouncement does not include specific transition provisions.</w:t>
      </w:r>
    </w:p>
    <w:p>
      <w:pPr>
        <w:spacing w:after="0" w:line="143"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Opinion 20 previously required that most voluntary changes in accounting principles be recognized by including the cumulative effect of changing to the new accounting principles in the net income of the period of the change. This Statement requires retrospective application to prior periods' financial statements of changes in accounting principles, unless it is impracticable to determine the specific effects or the cumulative effect of the change. The Statement also provides guidance for cases in which it is impracticable to determine the period-specific effects of an accounting change on one or more individual prior periods presented, and/or for cases in which it is impracticable to determine the cumulative effect of applying a change in accounting principles to all prior periods.</w:t>
      </w:r>
    </w:p>
    <w:p>
      <w:pPr>
        <w:spacing w:after="0" w:line="14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This Statement defines retrospective application as (i) the application of a different accounting principle to prior accounting periods as if that principle had always been used, or (ii) as the adjustment of previously issued financial statements to reflect a change in the reporting entity. This Statement also redefines restatement as the revisiting of previously issued financial statements to reflect the correction of an error.</w:t>
      </w:r>
    </w:p>
    <w:p>
      <w:pPr>
        <w:spacing w:after="0" w:line="142"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This Statement also requires that a change in depreciation, amortization, or depletion method for long-lived, non-financial assets, be accounted for as a change in accounting estimate effected by a change in accounting principles. This Statement carries forward without change the guidance in Opinion 20 for reporting the correction of an error in previously issued financial statements and a change in accounting estimate. This Statement also carries forward the guidance in Opinion 20 requiring justification of a change in accounting principles on the basis of preferability.</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43</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The provisions of this Statement are effective for accounting changes and corrections of errors made during fiscal years beginning after December 15, 2005. The adoption of this Standard is not expected to have a material effect on our financial position or results of operations. SFAS No. 155. Accounting for Certain Hybrid Financial Instruments -In February 2006, the FASB issued SFAS 155, "Accounting for Certain HybridFinancial Instruments". Key provisions of SFAS 155 include: (1) a broad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and principal-only strips from derivative accounting under paragraph 14 of FAS 133 (thereby narrowing such exception); (3) a requirement that beneficial interests in securitized financial assets be analyzed to determine whether they are freestanding derivatives or whether they are hybrid instruments that contain embedded derivatives requiring bifurcation; (4) clarification that concentrations of credit risk in the form of subordination are not embedded derivatives; and (5) elimination of the prohibition on a QSPE holding passive derivative financial instruments that pertain to beneficial interests that are or contain a derivative financial instrument. In general, these changes will reduce the operational complexity associated with bifurcating embedded derivatives, and increase the number of beneficial interests in securitization transactions, including interest-only strips and principal-only strips, required to be accounted for in accordance with FAS 133. Management does not believe that SFAS 155 will have a material effect on our financial condition, results of operations, or liquidity.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RECENT ACCOUNTING PRONOUNCEMENTS UNDER ISRAELI GAAP AS THEY APPLY TO US</w:t>
      </w:r>
    </w:p>
    <w:p>
      <w:pPr>
        <w:sectPr>
          <w:pgSz w:w="11900" w:h="16838" w:orient="portrait"/>
          <w:cols w:equalWidth="0" w:num="1">
            <w:col w:w="10239"/>
          </w:cols>
          <w:pgMar w:left="220" w:top="141" w:right="1440" w:bottom="0" w:gutter="0" w:footer="0" w:header="0"/>
        </w:sectPr>
      </w:pPr>
    </w:p>
    <w:bookmarkStart w:id="23" w:name="page24"/>
    <w:bookmarkEnd w:id="23"/>
    <w:p>
      <w:pPr>
        <w:ind w:right="4539" w:firstLine="357"/>
        <w:spacing w:after="0" w:line="241" w:lineRule="auto"/>
        <w:rPr>
          <w:sz w:val="20"/>
          <w:szCs w:val="20"/>
          <w:color w:val="auto"/>
        </w:rPr>
      </w:pPr>
      <w:r>
        <w:rPr>
          <w:rFonts w:ascii="Courier New" w:cs="Courier New" w:eastAsia="Courier New" w:hAnsi="Courier New"/>
          <w:sz w:val="12"/>
          <w:szCs w:val="12"/>
          <w:color w:val="auto"/>
        </w:rPr>
        <w:t>Accounting Standard No. 24 "Share-Based Payments" - In September 2005, the Israeli Accounting Standards Board published Accounting Standard No. 24 "Share-Based Compensation" (the "Standard"), which calls for the recognition in the financial statements of share-based payments, including transactions with employees, which are to be settled by the payment of cash, by other assets, or by equity instruments. Under Standard No. 24, amongst other matters, costs associated with grants of shares and options to employees will be expensed over the vesting period of each grant. Said costs will be determined based on the fair value of the grants at each grant date. The Standard establishes guidelines for measuring the fair value of each grant based on the settlement terms (either by cash or equity instrument), and disclosure provisions.</w:t>
      </w:r>
    </w:p>
    <w:p>
      <w:pPr>
        <w:spacing w:after="0" w:line="145"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The Standard is effective for financial statements for periods commencing January 1, 2006 or thereafter. The Standard provides that with respect to Share-based payments to be settled by equity instruments, its provisions should be applied to all grants made after March 15, 2005, that are unvested as of December 31, 2005. The Standard further provides that its provisions should be applied to modifications that were made after March 15, 2005, even if the underlying grants are not in the scope of the Standard.</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44</w:t>
      </w:r>
    </w:p>
    <w:p>
      <w:pPr>
        <w:spacing w:after="0" w:line="200" w:lineRule="exact"/>
        <w:rPr>
          <w:sz w:val="20"/>
          <w:szCs w:val="20"/>
          <w:color w:val="auto"/>
        </w:rPr>
      </w:pPr>
    </w:p>
    <w:p>
      <w:pPr>
        <w:spacing w:after="0" w:line="335" w:lineRule="exact"/>
        <w:rPr>
          <w:sz w:val="20"/>
          <w:szCs w:val="20"/>
          <w:color w:val="auto"/>
        </w:rPr>
      </w:pPr>
    </w:p>
    <w:p>
      <w:pPr>
        <w:ind w:right="4679" w:firstLine="357"/>
        <w:spacing w:after="0" w:line="239" w:lineRule="auto"/>
        <w:rPr>
          <w:sz w:val="20"/>
          <w:szCs w:val="20"/>
          <w:color w:val="auto"/>
        </w:rPr>
      </w:pPr>
      <w:r>
        <w:rPr>
          <w:rFonts w:ascii="Courier New" w:cs="Courier New" w:eastAsia="Courier New" w:hAnsi="Courier New"/>
          <w:sz w:val="12"/>
          <w:szCs w:val="12"/>
          <w:color w:val="auto"/>
        </w:rPr>
        <w:t>As of December 31, 2005, the award cost with respect to outstanding employee and director options on which the Standard will be applied amounts to approximately $2.0 million, to be amortized over 2006-2009.</w:t>
      </w:r>
    </w:p>
    <w:p>
      <w:pPr>
        <w:spacing w:after="0" w:line="143" w:lineRule="exact"/>
        <w:rPr>
          <w:sz w:val="20"/>
          <w:szCs w:val="20"/>
          <w:color w:val="auto"/>
        </w:rPr>
      </w:pPr>
    </w:p>
    <w:p>
      <w:pPr>
        <w:ind w:right="4539" w:firstLine="357"/>
        <w:spacing w:after="0" w:line="242" w:lineRule="auto"/>
        <w:rPr>
          <w:sz w:val="20"/>
          <w:szCs w:val="20"/>
          <w:color w:val="auto"/>
        </w:rPr>
      </w:pPr>
      <w:r>
        <w:rPr>
          <w:rFonts w:ascii="Courier New" w:cs="Courier New" w:eastAsia="Courier New" w:hAnsi="Courier New"/>
          <w:sz w:val="12"/>
          <w:szCs w:val="12"/>
          <w:color w:val="auto"/>
        </w:rPr>
        <w:t>Accounting Standard No. 22 "Financial Instruments: Disclosure and Presentation" - In July 2005, the Israeli Accounting Standards Board approved for publication Accounting Standard No. 22 "Financial Instruments: Disclosure and Presentation" ("Standard No. 22"). A financial instrument under Standard No. 22 is defined, in general, as any contract that establishes a financial asset of an entity, or a financial liability or equity instrument of another entity. Standard No. 22 establishes the requirements for presentation of financial instruments in the financial statements and indicates the information that should be disclosed in relation thereto, and, in certain cases, the method to measure their impact on the entity's financial statements. The presentation requirements relate to the classification of financial instruments as financial assets, financial liabilities or equity instruments. It also deals with the classification of related interest, dividends, losses and gains and to the circumstances under which financial assets and financial liabilities are to be offset. Standard No. 22 establishes requirements for disclosure of information relating to factors affecting the amount, timing and certainty of the entity's future cash flows relating to financial instruments and accounting policy implemented in respect of these instruments. Standard No. 22 also establishes requirements for disclosure of information about the nature and the extent of an entity's use of financial instruments, the business purposes they serve, the risks associated with them and management's policies for the oversight of those risks.</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Standard No. 22 is effective for financial statements for periods commencing January 1, 2006 or thereafter. Financial instruments issued before the effective date of Standard No. 22 will be classified and presented in accordance with its provisions commencing from the effective date. Comparative financial statements for prior periods are not to be adjusted. We issued three series of convertible debentures that are considered compound instruments under Standard No. 22. A compound instrument has to be separated to its components, the equity component and the liability component. The equity component is classified as shareholders' equity and is determined as the excess of the total value over the fair value of the liability component.</w:t>
      </w:r>
    </w:p>
    <w:p>
      <w:pPr>
        <w:spacing w:after="0" w:line="145"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The initial adoption of the Standard commencing 2006, affected primarily the presentation of our convertible debentures (the bifurcation of the convertible debentures into debt component and equity component, as these terms are defined by the Standard). Consequently, on January 1, 2006, our shareholders equity was recorded with a one-time increase of approximately $22.0 million, while its total convertible debentures decreased by same amount. Commencing from that date, said amount will be amortized as financing expenses through 2011.</w:t>
      </w:r>
    </w:p>
    <w:p>
      <w:pPr>
        <w:spacing w:after="0" w:line="127" w:lineRule="exact"/>
        <w:rPr>
          <w:sz w:val="20"/>
          <w:szCs w:val="20"/>
          <w:color w:val="auto"/>
        </w:rPr>
      </w:pPr>
    </w:p>
    <w:p>
      <w:pPr>
        <w:ind w:right="4599" w:firstLine="357"/>
        <w:spacing w:after="0" w:line="239" w:lineRule="auto"/>
        <w:rPr>
          <w:sz w:val="20"/>
          <w:szCs w:val="20"/>
          <w:color w:val="auto"/>
        </w:rPr>
      </w:pPr>
      <w:r>
        <w:rPr>
          <w:rFonts w:ascii="Courier New" w:cs="Courier New" w:eastAsia="Courier New" w:hAnsi="Courier New"/>
          <w:sz w:val="12"/>
          <w:szCs w:val="12"/>
          <w:color w:val="auto"/>
        </w:rPr>
        <w:t>Accounting Standard No. 21 "Earnings Per Share" - In February 2006, the Israeli Accounting Standards Board approved for publication Accounting Standard No. 21, "Earnings Per Share" ("Standard No. 21").</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45</w:t>
      </w:r>
    </w:p>
    <w:p>
      <w:pPr>
        <w:spacing w:after="0" w:line="200" w:lineRule="exact"/>
        <w:rPr>
          <w:sz w:val="20"/>
          <w:szCs w:val="20"/>
          <w:color w:val="auto"/>
        </w:rPr>
      </w:pPr>
    </w:p>
    <w:p>
      <w:pPr>
        <w:spacing w:after="0" w:line="335" w:lineRule="exact"/>
        <w:rPr>
          <w:sz w:val="20"/>
          <w:szCs w:val="20"/>
          <w:color w:val="auto"/>
        </w:rPr>
      </w:pPr>
    </w:p>
    <w:p>
      <w:pPr>
        <w:ind w:right="4899" w:firstLine="357"/>
        <w:spacing w:after="0" w:line="239" w:lineRule="auto"/>
        <w:rPr>
          <w:sz w:val="20"/>
          <w:szCs w:val="20"/>
          <w:color w:val="auto"/>
        </w:rPr>
      </w:pPr>
      <w:r>
        <w:rPr>
          <w:rFonts w:ascii="Courier New" w:cs="Courier New" w:eastAsia="Courier New" w:hAnsi="Courier New"/>
          <w:sz w:val="12"/>
          <w:szCs w:val="12"/>
          <w:color w:val="auto"/>
        </w:rPr>
        <w:t>With the initial adoption of Standard No. 21, Opinion No. 55 of the Institute of Certified Public Accountants in Israel - Earnings per share is cancelled.</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Standard No. 21 prescribes that an entity shall calculate basic earnings per share amounts for profit or loss attributable to ordinary equity holders of the entity. The basic earnings per share shall be calculated by dividing profit or loss attributable to ordinary equity holders of the entity (the numerator) by the weighted average number of ordinary shares outstanding (the denominator) during the reported period. For the purpose of calculating diluted earnings per share, an entity shall adjust profit or loss attributable to ordinary equity holders of the entity, and the weighted average number of shares outstanding, for the effects of all dilutive potential ordinary shares.</w:t>
      </w:r>
    </w:p>
    <w:p>
      <w:pPr>
        <w:spacing w:after="0" w:line="144"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Standard No. 21 is effective for financial statements for periods commencing January 1, 2006 or thereafter. The adoption of Standard No. 21 is accounted for retrospectively and a comparative earnings per share data for prior periods is adjusted. Accordingly, in the unaudited condensed interim consolidated financial statements for the three months ended March 31, 2006, the loss per share presented for the 12 months ended December 31, 2005 was adjusted from $2.55 to $3.06.</w:t>
      </w:r>
    </w:p>
    <w:p>
      <w:pPr>
        <w:spacing w:after="0" w:line="142" w:lineRule="exact"/>
        <w:rPr>
          <w:sz w:val="20"/>
          <w:szCs w:val="20"/>
          <w:color w:val="auto"/>
        </w:rPr>
      </w:pPr>
    </w:p>
    <w:p>
      <w:pPr>
        <w:ind w:right="4599" w:firstLine="357"/>
        <w:spacing w:after="0" w:line="239" w:lineRule="auto"/>
        <w:rPr>
          <w:sz w:val="20"/>
          <w:szCs w:val="20"/>
          <w:color w:val="auto"/>
        </w:rPr>
      </w:pPr>
      <w:r>
        <w:rPr>
          <w:rFonts w:ascii="Courier New" w:cs="Courier New" w:eastAsia="Courier New" w:hAnsi="Courier New"/>
          <w:sz w:val="12"/>
          <w:szCs w:val="12"/>
          <w:color w:val="auto"/>
        </w:rPr>
        <w:t>Accounting Standard No. 25 "Revenues" - In February 2006, the Israeli Accounting Standards Board approved for publication Accounting Standard No. 25, "Revenues" ("Standard No. 25").</w:t>
      </w:r>
    </w:p>
    <w:p>
      <w:pPr>
        <w:spacing w:after="0" w:line="143" w:lineRule="exact"/>
        <w:rPr>
          <w:sz w:val="20"/>
          <w:szCs w:val="20"/>
          <w:color w:val="auto"/>
        </w:rPr>
      </w:pPr>
    </w:p>
    <w:p>
      <w:pPr>
        <w:ind w:right="4539" w:firstLine="357"/>
        <w:spacing w:after="0" w:line="268" w:lineRule="auto"/>
        <w:rPr>
          <w:sz w:val="20"/>
          <w:szCs w:val="20"/>
          <w:color w:val="auto"/>
        </w:rPr>
      </w:pPr>
      <w:r>
        <w:rPr>
          <w:rFonts w:ascii="Courier New" w:cs="Courier New" w:eastAsia="Courier New" w:hAnsi="Courier New"/>
          <w:sz w:val="11"/>
          <w:szCs w:val="11"/>
          <w:color w:val="auto"/>
        </w:rPr>
        <w:t>Standard No. 25 establishes the requirements for recognition criteria, measurement, disclosure and presentation of revenues arising from sale of goods, rendering of services and from the use by others of entity assets yielding interest, royalties and dividends. Standard No. 25 prescribes that revenue shall be measured at the fair value of the consideration received or receivable.</w:t>
      </w:r>
    </w:p>
    <w:p>
      <w:pPr>
        <w:spacing w:after="0" w:line="128" w:lineRule="exact"/>
        <w:rPr>
          <w:sz w:val="20"/>
          <w:szCs w:val="20"/>
          <w:color w:val="auto"/>
        </w:rPr>
      </w:pPr>
    </w:p>
    <w:p>
      <w:pPr>
        <w:ind w:right="4759" w:firstLine="357"/>
        <w:spacing w:after="0"/>
        <w:rPr>
          <w:sz w:val="20"/>
          <w:szCs w:val="20"/>
          <w:color w:val="auto"/>
        </w:rPr>
      </w:pPr>
      <w:r>
        <w:rPr>
          <w:rFonts w:ascii="Courier New" w:cs="Courier New" w:eastAsia="Courier New" w:hAnsi="Courier New"/>
          <w:sz w:val="12"/>
          <w:szCs w:val="12"/>
          <w:color w:val="auto"/>
        </w:rPr>
        <w:t>Standard No. 25 is effective for financial statements for periods commencing January 1, 2006 or thereafter. The adoption of the standard had no material effect on the unaudited condensed interim consolidated financial statements for the three months ended March 31, 2006.</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ectPr>
          <w:pgSz w:w="11900" w:h="16838" w:orient="portrait"/>
          <w:cols w:equalWidth="0" w:num="1">
            <w:col w:w="10239"/>
          </w:cols>
          <w:pgMar w:left="220" w:top="141" w:right="1440" w:bottom="0" w:gutter="0" w:footer="0" w:header="0"/>
        </w:sectPr>
      </w:pPr>
    </w:p>
    <w:bookmarkStart w:id="24" w:name="page25"/>
    <w:bookmarkEnd w:id="24"/>
    <w:p>
      <w:pPr>
        <w:spacing w:after="0" w:line="6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00" w:type="dxa"/>
            <w:vAlign w:val="bottom"/>
          </w:tcPr>
          <w:p>
            <w:pPr>
              <w:spacing w:after="0"/>
              <w:rPr>
                <w:sz w:val="11"/>
                <w:szCs w:val="11"/>
                <w:color w:val="auto"/>
              </w:rPr>
            </w:pPr>
          </w:p>
        </w:tc>
        <w:tc>
          <w:tcPr>
            <w:tcW w:w="1120" w:type="dxa"/>
            <w:vAlign w:val="bottom"/>
          </w:tcPr>
          <w:p>
            <w:pPr>
              <w:jc w:val="right"/>
              <w:ind w:right="841"/>
              <w:spacing w:after="0"/>
              <w:rPr>
                <w:sz w:val="20"/>
                <w:szCs w:val="20"/>
                <w:color w:val="auto"/>
              </w:rPr>
            </w:pPr>
            <w:r>
              <w:rPr>
                <w:rFonts w:ascii="Courier New" w:cs="Courier New" w:eastAsia="Courier New" w:hAnsi="Courier New"/>
                <w:sz w:val="12"/>
                <w:szCs w:val="12"/>
                <w:color w:val="auto"/>
              </w:rPr>
              <w:t>46</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668"/>
        </w:trPr>
        <w:tc>
          <w:tcPr>
            <w:tcW w:w="2700" w:type="dxa"/>
            <w:vAlign w:val="bottom"/>
          </w:tcPr>
          <w:p>
            <w:pPr>
              <w:spacing w:after="0"/>
              <w:rPr>
                <w:sz w:val="24"/>
                <w:szCs w:val="24"/>
                <w:color w:val="auto"/>
              </w:rPr>
            </w:pPr>
          </w:p>
        </w:tc>
        <w:tc>
          <w:tcPr>
            <w:tcW w:w="286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Year Ended December (31,)</w:t>
            </w:r>
          </w:p>
        </w:tc>
      </w:tr>
      <w:tr>
        <w:trPr>
          <w:trHeight w:val="137"/>
        </w:trPr>
        <w:tc>
          <w:tcPr>
            <w:tcW w:w="2700" w:type="dxa"/>
            <w:vAlign w:val="bottom"/>
          </w:tcPr>
          <w:p>
            <w:pPr>
              <w:spacing w:after="0"/>
              <w:rPr>
                <w:sz w:val="11"/>
                <w:szCs w:val="11"/>
                <w:color w:val="auto"/>
              </w:rPr>
            </w:pPr>
          </w:p>
        </w:tc>
        <w:tc>
          <w:tcPr>
            <w:tcW w:w="286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2700" w:type="dxa"/>
            <w:vAlign w:val="bottom"/>
          </w:tcPr>
          <w:p>
            <w:pPr>
              <w:spacing w:after="0"/>
              <w:rPr>
                <w:sz w:val="11"/>
                <w:szCs w:val="11"/>
                <w:color w:val="auto"/>
              </w:rPr>
            </w:pPr>
          </w:p>
        </w:tc>
        <w:tc>
          <w:tcPr>
            <w:tcW w:w="11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2005</w:t>
            </w:r>
          </w:p>
        </w:tc>
        <w:tc>
          <w:tcPr>
            <w:tcW w:w="9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2004</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270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11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100.0%</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100.0%</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100.0%</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233.7</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181.2</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199.4</w:t>
            </w:r>
          </w:p>
        </w:tc>
      </w:tr>
      <w:tr>
        <w:trPr>
          <w:trHeight w:val="137"/>
        </w:trPr>
        <w:tc>
          <w:tcPr>
            <w:tcW w:w="270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11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(133.7)</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(81.2)</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(99.4)</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Research and development</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15.7</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13.5</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33.7</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17.1</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16.9</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36.9</w:t>
            </w:r>
          </w:p>
        </w:tc>
      </w:tr>
      <w:tr>
        <w:trPr>
          <w:trHeight w:val="137"/>
        </w:trPr>
        <w:tc>
          <w:tcPr>
            <w:tcW w:w="270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11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(166.5)</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(111.6)</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(170.0)</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1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(35.0)</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(23.6)</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(16.1)</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Other income (expense), net</w:t>
            </w: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2.34</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25.9</w:t>
            </w:r>
          </w:p>
        </w:tc>
        <w:tc>
          <w:tcPr>
            <w:tcW w:w="7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(0.1)</w:t>
            </w:r>
          </w:p>
        </w:tc>
      </w:tr>
      <w:tr>
        <w:trPr>
          <w:trHeight w:val="137"/>
        </w:trPr>
        <w:tc>
          <w:tcPr>
            <w:tcW w:w="270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270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11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(199.1)%</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(109.3)%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(186.2)%</w:t>
            </w:r>
          </w:p>
        </w:tc>
      </w:tr>
      <w:tr>
        <w:trPr>
          <w:trHeight w:val="137"/>
        </w:trPr>
        <w:tc>
          <w:tcPr>
            <w:tcW w:w="2700" w:type="dxa"/>
            <w:vAlign w:val="bottom"/>
          </w:tcPr>
          <w:p>
            <w:pPr>
              <w:spacing w:after="0"/>
              <w:rPr>
                <w:sz w:val="11"/>
                <w:szCs w:val="11"/>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 ENDED DECEMBER 31, 2005 COMPARED TO YEAR ENDED DECEMBER 31, 2004</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TOTAL REVENUES. Total revenues for the year ended December 31, 2005 decreased by 19.1% to $102.0 million from $126.1 million for the year ended December 31, 2004. This $24.1 million decrease was mainly attributable to lower volume of wafer shipments, which was partly offset by increased revenues from a joint development agreement for certain technology with a Japanese semiconductor manufacturer.</w:t>
      </w:r>
    </w:p>
    <w:p>
      <w:pPr>
        <w:spacing w:after="0" w:line="142" w:lineRule="exact"/>
        <w:rPr>
          <w:sz w:val="20"/>
          <w:szCs w:val="20"/>
          <w:color w:val="auto"/>
        </w:rPr>
      </w:pPr>
    </w:p>
    <w:p>
      <w:pPr>
        <w:ind w:right="4599" w:firstLine="357"/>
        <w:spacing w:after="0" w:line="238" w:lineRule="auto"/>
        <w:rPr>
          <w:sz w:val="20"/>
          <w:szCs w:val="20"/>
          <w:color w:val="auto"/>
        </w:rPr>
      </w:pPr>
      <w:r>
        <w:rPr>
          <w:rFonts w:ascii="Courier New" w:cs="Courier New" w:eastAsia="Courier New" w:hAnsi="Courier New"/>
          <w:sz w:val="12"/>
          <w:szCs w:val="12"/>
          <w:color w:val="auto"/>
        </w:rPr>
        <w:t>During the year ended December 31, 2005, we had five significant customers who contributed between 5% and 22% of our revenues.</w:t>
      </w:r>
    </w:p>
    <w:p>
      <w:pPr>
        <w:spacing w:after="0" w:line="142"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COST OF TOTAL REVENUES. Cost of total revenues in the year ended December 31, 2005 amounted to $238.4 million, compared with $228.4 million for the year ended December 31, 2004. This increase was mainly due to an increase in depreciation and amortization expenses which was partly offset by cost reductions and efficiency measures taken by us.</w:t>
      </w:r>
    </w:p>
    <w:p>
      <w:pPr>
        <w:spacing w:after="0" w:line="141"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GROSS LOSS. Gross loss in the year ended December 31, 2005 was $136.4 million compared to a gross loss of $102.4 million for the year ended December 31, 2004. The increase in gross loss was mainly attributable to the decrease in total revenues and to the increased cost of total revenues.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RESEARCH AND DEVELOPMENT. Research and development expenses for the year ended December 31, 2005 decreased to $16.0 million from $17.1 million for the year ended December 31, 2004. The decrease was mainly attributable to cost reductions and efficiency measures taken by us. Research and development expenses are reflected net of participation grants received from the Israeli government ($1.0 million and $1.5 million, for the years ended December 31, 2005 and 2004, respectively).</w:t>
      </w:r>
    </w:p>
    <w:p>
      <w:pPr>
        <w:spacing w:after="0" w:line="142"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MARKETING, GENERAL AND ADMINISTRATION. Marketing, general and administrative expenses in the year ended December 31, 2005 decreased to $17.4 million from $21.3 million for the year ended December 31, 2004, primarily due to cost reductions and efficiency measures taken by us.</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47</w:t>
      </w:r>
    </w:p>
    <w:p>
      <w:pPr>
        <w:spacing w:after="0" w:line="200" w:lineRule="exact"/>
        <w:rPr>
          <w:sz w:val="20"/>
          <w:szCs w:val="20"/>
          <w:color w:val="auto"/>
        </w:rPr>
      </w:pPr>
    </w:p>
    <w:p>
      <w:pPr>
        <w:spacing w:after="0" w:line="332"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2"/>
          <w:szCs w:val="12"/>
          <w:color w:val="auto"/>
        </w:rPr>
        <w:t>OPERATING LOSS. Operating loss in the year ended December 31, 2005 was</w:t>
      </w:r>
    </w:p>
    <w:p>
      <w:pPr>
        <w:spacing w:after="0" w:line="4" w:lineRule="exact"/>
        <w:rPr>
          <w:sz w:val="20"/>
          <w:szCs w:val="20"/>
          <w:color w:val="auto"/>
        </w:rPr>
      </w:pPr>
    </w:p>
    <w:p>
      <w:pPr>
        <w:jc w:val="both"/>
        <w:ind w:right="4539"/>
        <w:spacing w:after="0" w:line="239" w:lineRule="auto"/>
        <w:rPr>
          <w:sz w:val="20"/>
          <w:szCs w:val="20"/>
          <w:color w:val="auto"/>
        </w:rPr>
      </w:pPr>
      <w:r>
        <w:rPr>
          <w:rFonts w:ascii="Courier New" w:cs="Courier New" w:eastAsia="Courier New" w:hAnsi="Courier New"/>
          <w:sz w:val="12"/>
          <w:szCs w:val="12"/>
          <w:color w:val="auto"/>
        </w:rPr>
        <w:t>$169.8 million, compared to $140.7 million for the year ended December 31, 2004. The increase in the operating loss is attributable mainly to the increase in the gross loss.</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FINANCING EXPENSES, NET. Financing expenses, net in the year ended December 31, 2005 were $35.7 million compared to financing expenses, net of $29.8 million for the year ended December 31, 2004. This increase is mainly due to an increase of $7.6 million in connection with our Fab 2 credit facility agreement attributable to (i) a higher amount of long-term loans which financed the construction and equipping of Fab 2 during the year ended December 31, 2005 as compared to the amount of such long-term loans during the year ended December 31, 2004, and (ii) an increase in the LIBOR rate from an average of approximately 1.5% per annum for the year ended December 31, 2004 to an average of approximately 3.3% per annum for the year ended December 31, 2005 (our long-term loans bear interest at a rate of LIBOR + 2.5% per annum).</w:t>
      </w:r>
    </w:p>
    <w:p>
      <w:pPr>
        <w:spacing w:after="0" w:line="145"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OTHER INCOME (EXPENSE), NET. Other income, net for the year ended December 31, 2005 was $2.4 million compared to $32.7 million for the year ended December 31, 2004. This decrease was mainly attributable to the $32.4 million gain from the sale of the Saifun Semiconductor shares in 2004.</w:t>
      </w:r>
    </w:p>
    <w:p>
      <w:pPr>
        <w:spacing w:after="0" w:line="142"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LOSS. Our loss in the year ended December 31, 2005 was $203.1 million, compared to $137.8 million for the year ended December 31, 2004. This increase is primarily attributable to the increase in the operating loss of $29.1 million, the increase in financing expenses, net of $5.9 million, and the decrease in other income, net of $30.3 million.</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 ENDED DECEMBER 31, 2004 COMPARED TO YEAR ENDED DECEMBER 31, 2003</w:t>
      </w:r>
    </w:p>
    <w:p>
      <w:pPr>
        <w:spacing w:after="0" w:line="141"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TOTAL REVENUES. Total revenues in the year ended December 31, 2004 increased by 105.4% to $126.1 million from $61.4 million in 2003. This $64.7 million increase was attributable to the ramp up of capacity of our Fab 2 wafer fabrication and the increase in production levels.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COST OF TOTAL REVENUES. Cost of total revenues in the year ended December 31, 2004 totaled $228.4 million, compared with $122.4 million in 2003. This increase was due mainly to Fab 2 operations, which in 2003 operated only for half a year while in 2004 operated for a full year, resulting in an increase of $61.6 million in depreciation and amortization expenses and an increase of $23.9 million in materials usage mainly related to Fab 2.</w:t>
      </w:r>
    </w:p>
    <w:p>
      <w:pPr>
        <w:spacing w:after="0" w:line="142"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GROSS LOSS. Gross loss in the year ended December 31, 2004 was $102.4 million compared to a gross loss of $61.0 million in 2003. The increase in gross loss was primarily attributable to the increased cost of total sales, which was partially offset by the increase in revenues.</w:t>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RESEARCH AND DEVELOPMENT. Research and development expenses in the year</w:t>
      </w:r>
    </w:p>
    <w:p>
      <w:pPr>
        <w:sectPr>
          <w:pgSz w:w="11900" w:h="16906" w:orient="portrait"/>
          <w:cols w:equalWidth="0" w:num="1">
            <w:col w:w="10239"/>
          </w:cols>
          <w:pgMar w:left="220" w:top="141" w:right="1440" w:bottom="0" w:gutter="0" w:footer="0" w:header="0"/>
        </w:sectPr>
      </w:pPr>
    </w:p>
    <w:bookmarkStart w:id="25" w:name="page26"/>
    <w:bookmarkEnd w:id="25"/>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ended December 31, 2004 decreased to $17.1 million from $20.7 million in 2003.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decrease was primarily due to decreased expenses related to the Fab 2</w:t>
      </w:r>
    </w:p>
    <w:p>
      <w:pPr>
        <w:spacing w:after="0" w:line="4" w:lineRule="exact"/>
        <w:rPr>
          <w:sz w:val="20"/>
          <w:szCs w:val="20"/>
          <w:color w:val="auto"/>
        </w:rPr>
      </w:pPr>
    </w:p>
    <w:p>
      <w:pPr>
        <w:ind w:right="4539"/>
        <w:spacing w:after="0"/>
        <w:rPr>
          <w:sz w:val="20"/>
          <w:szCs w:val="20"/>
          <w:color w:val="auto"/>
        </w:rPr>
      </w:pPr>
      <w:r>
        <w:rPr>
          <w:rFonts w:ascii="Courier New" w:cs="Courier New" w:eastAsia="Courier New" w:hAnsi="Courier New"/>
          <w:sz w:val="12"/>
          <w:szCs w:val="12"/>
          <w:color w:val="auto"/>
        </w:rPr>
        <w:t>0.13-micron technology agreement signed with Freescale in 2002. Research and development expenses are reflected net of participation grants received from the Israeli government ($1.5 million and $1.1 million, in 2004 and 2003, respectively).</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48</w:t>
      </w:r>
    </w:p>
    <w:p>
      <w:pPr>
        <w:spacing w:after="0" w:line="200" w:lineRule="exact"/>
        <w:rPr>
          <w:sz w:val="20"/>
          <w:szCs w:val="20"/>
          <w:color w:val="auto"/>
        </w:rPr>
      </w:pPr>
    </w:p>
    <w:p>
      <w:pPr>
        <w:spacing w:after="0" w:line="335"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MARKETING, GENERAL AND ADMINISTRATION. Marketing, general and administrative expenses in the year ended December 31, 2004 decreased to $21.3 million from $22.6 million in 2003, primarily due to decreased use of outsourcing services.</w:t>
      </w:r>
    </w:p>
    <w:p>
      <w:pPr>
        <w:spacing w:after="0" w:line="142"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OPERATING LOSS. Operating loss in the year ended December 31, 2004 was $140.7 million, compared to $104.4 million in 2003, attributable primarily to the ramp-up of Fab 2. This increase in the operating loss reflects an increase in gross loss of $41.4 million, a decrease in research and development expenses of $3.6 million and a decrease in marketing and sales, general and administrative expenses of $1.3 million.</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FINANCING EXPENSES, NET. Financing expenses, net in the year ended December 31, 2004 were $29.7 million compared to financing expenses, net of $9.8 million in 2003. This increase is mainly due to an increase of $19.5 million in connection with our Fab 2 facility agreement attributable to (i) an increase during 2004 in the total amount of long-term loans which financed the construction and equipping of Fab 2, (ii) the discontinuation of capitalization of financing costs that had been capitalized prior to the commencement of operations of Fab 2 in the third quarter of 2003 and (iii) the increase in the interest rate from LIBOR plus 1.5% in 2003 to LIBOR plus 2.5% commencing from January 2004 pursuant to the November 2003 amendment to our credit facility agreement with our banks.</w:t>
      </w:r>
    </w:p>
    <w:p>
      <w:pPr>
        <w:spacing w:after="0" w:line="145"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OTHER INCOME (EXPENSE), NET. Other income, net in 2004 was $32.7 million compared to other expense, net of $0.1 million in 2003 due to the sale in 2004 of our shareholdings in Saifun Semiconductors Ltd. for a net capital gain of $32.4 million.</w:t>
      </w:r>
    </w:p>
    <w:p>
      <w:pPr>
        <w:spacing w:after="0" w:line="142" w:lineRule="exact"/>
        <w:rPr>
          <w:sz w:val="20"/>
          <w:szCs w:val="20"/>
          <w:color w:val="auto"/>
        </w:rPr>
      </w:pPr>
    </w:p>
    <w:p>
      <w:pPr>
        <w:ind w:right="4599" w:firstLine="357"/>
        <w:spacing w:after="0" w:line="269" w:lineRule="auto"/>
        <w:rPr>
          <w:sz w:val="20"/>
          <w:szCs w:val="20"/>
          <w:color w:val="auto"/>
        </w:rPr>
      </w:pPr>
      <w:r>
        <w:rPr>
          <w:rFonts w:ascii="Courier New" w:cs="Courier New" w:eastAsia="Courier New" w:hAnsi="Courier New"/>
          <w:sz w:val="11"/>
          <w:szCs w:val="11"/>
          <w:color w:val="auto"/>
        </w:rPr>
        <w:t>LOSS. Our loss in the year ended December 31, 2004 was $137.8 million, compared to $114.3 million in 2003. This increase is primarily attributable to the increased operating loss of $36.3 million and the increase in financing expenses, net, of $19.9 million offset by increased other income, net of $32.8.</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dollar cost of our operations in Israel is influenced by the timing of any change in the rate of inflation in Israel and the extent to which such change is not offset by the change in valuation of the NIS in relation to the dollar. During 2005, the dollar strengthened against the NIS by 6.8% and the Israeli Consumer Price Index, or CPI increased by 2.4%. During 2004, the dollar was devalued against the NIS by 1.6%, and the CPI increased by 1.2%. We believe that the rate of inflation in Israel has had a non-material effect on our business to date. However, our dollar costs will increase if inflation in Israel exceeds the devaluation of the NIS against the dollar, or if the timing of such devaluation lags behind inflation in Israel.</w:t>
      </w:r>
    </w:p>
    <w:p>
      <w:pPr>
        <w:spacing w:after="0" w:line="145"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Almost all of our cash generated from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49</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Our borrowings under our Fab 2 credit facility, which comprise the majority of our long-term liabilities, provide for interest based on a floating Libor rate, and we are therefore exposed to interest rate fluctuations. From time to time, we engage in various hedging strategies to reduce our exposure to some, but not all, of these risks and intend to continue to do so in the future. However, despite any such hedging activity, we are likely to remain exposed to interest rate and currency exchange rate fluctuations, which may increase the cost of our business activities, particularly our financing expenses.</w:t>
      </w:r>
    </w:p>
    <w:p>
      <w:pPr>
        <w:spacing w:after="0" w:line="130"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2002 and 2006 convertible debentures are denominated in NIS linked to the Israeli CPI and therefore we are exposed to fluctuation in the NIS/dollar exchange rate. The dollar amount of our financing costs (interest and currency adjustments) related to the 2002 and 2006 convertible debentures will increase if the rate of inflation in Israel is not offset (or is offset on a lagging basis) by the devaluation of the NIS in relation to the dollar. In addition, the dollar amount of any repayment on account of the principal of the 2002 and 2006 convertible debentures will increase as well.</w:t>
      </w:r>
    </w:p>
    <w:p>
      <w:pPr>
        <w:spacing w:after="0" w:line="143" w:lineRule="exact"/>
        <w:rPr>
          <w:sz w:val="20"/>
          <w:szCs w:val="20"/>
          <w:color w:val="auto"/>
        </w:rPr>
      </w:pPr>
    </w:p>
    <w:p>
      <w:pPr>
        <w:ind w:right="4599" w:firstLine="357"/>
        <w:spacing w:after="0" w:line="238" w:lineRule="auto"/>
        <w:rPr>
          <w:sz w:val="20"/>
          <w:szCs w:val="20"/>
          <w:color w:val="auto"/>
        </w:rPr>
      </w:pPr>
      <w:r>
        <w:rPr>
          <w:rFonts w:ascii="Courier New" w:cs="Courier New" w:eastAsia="Courier New" w:hAnsi="Courier New"/>
          <w:sz w:val="12"/>
          <w:szCs w:val="12"/>
          <w:color w:val="auto"/>
        </w:rPr>
        <w:t>The quantitative and qualitative disclosures about market risk are in Item 11 of this annual report.</w:t>
      </w:r>
    </w:p>
    <w:p>
      <w:pPr>
        <w:spacing w:after="0" w:line="139" w:lineRule="exact"/>
        <w:rPr>
          <w:sz w:val="20"/>
          <w:szCs w:val="20"/>
          <w:color w:val="auto"/>
        </w:rPr>
      </w:pPr>
    </w:p>
    <w:p>
      <w:pPr>
        <w:ind w:left="700" w:hanging="350"/>
        <w:spacing w:after="0"/>
        <w:tabs>
          <w:tab w:leader="none" w:pos="7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LIQUIDITY AND CAPITAL RESOURCES</w:t>
      </w:r>
    </w:p>
    <w:p>
      <w:pPr>
        <w:spacing w:after="0" w:line="141"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As of December 31, 2005, we had an aggregate of $39.0 million in cash, cash equivalents, and short-term interest-bearing deposits, of which $22.0 million was contractually restricted for Fab 2 use only and $9.6 million was contractually restricted for use in the Siliconix project only. This compares to $81.5 million in cash, cash equivalents, and short-term interest-bearing deposits, of which $39.7 million was contractually restricted for Fab 2 use only and $14.1 million was contractually restricted for use in the Siliconix project only, as of December 31, 2004. In addition, as of December 31, 2004, we had $5.1 million (none as of December 31, 2005) in long-term interest-bearing deposits, which were contractually serving as a security for our convertible debentures.</w:t>
      </w:r>
    </w:p>
    <w:p>
      <w:pPr>
        <w:spacing w:after="0" w:line="128"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During the year ended December 31, 2005, we generated cash from the following sources: $22.1 million from bank loans; $25.1 million in proceeds from the issuance of convertible debentures, net; $7.5 million from Investment Center grants and $2.2 million in proceeds from disposal of property. These liquidity resources partially financed our operating activities (net amount of $60.7 million) and our investments made during the year ended December 31, 2005, which aggregated $42.7 million mainly in connection with the construction, and purchase and installation of equipment and other assets, for Fab 2.</w:t>
      </w:r>
    </w:p>
    <w:p>
      <w:pPr>
        <w:spacing w:after="0" w:line="130"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As of December 31, 2005, we had loans in the amount of $518.1 million in connection with the establishment of Fab 2. Of that amount, $21.1 million are presented as current maturities as of December 31, 2005 in the financial statements included in this annual report. In addition, as of such date, we had convertible debentures in the aggregate of $51.3 million, of which $6.5 million are presented as current maturities in the financial statements included in this annual report.</w:t>
      </w:r>
    </w:p>
    <w:p>
      <w:pPr>
        <w:sectPr>
          <w:pgSz w:w="11900" w:h="16905" w:orient="portrait"/>
          <w:cols w:equalWidth="0" w:num="1">
            <w:col w:w="10239"/>
          </w:cols>
          <w:pgMar w:left="220" w:top="138" w:right="1440" w:bottom="0" w:gutter="0" w:footer="0" w:header="0"/>
        </w:sectPr>
      </w:pPr>
    </w:p>
    <w:bookmarkStart w:id="26" w:name="page27"/>
    <w:bookmarkEnd w:id="26"/>
    <w:p>
      <w:pPr>
        <w:spacing w:after="0" w:line="61"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50</w:t>
      </w:r>
    </w:p>
    <w:p>
      <w:pPr>
        <w:spacing w:after="0" w:line="200" w:lineRule="exact"/>
        <w:rPr>
          <w:sz w:val="20"/>
          <w:szCs w:val="20"/>
          <w:color w:val="auto"/>
        </w:rPr>
      </w:pPr>
    </w:p>
    <w:p>
      <w:pPr>
        <w:spacing w:after="0" w:line="335"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During the third quarter of 2003, Fab 2, our new advanced wafer facility adjacent to Fab 1 in Migdal Haemek, Israel had initially commenced operations. Production capacity of Fab 2 as of May 31, 2006 was approximately 15,000 wafers per month. The Fab 2 ramp up financing may be funded by additional grants from the Investment Center, sales of our securities, wafer prepayments from our customers and cash flow from operations or from other sources.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recent years, we have experienced significant recurring losses from operations and recurring negative cash flows from operating activities and an increasing accumulated deficit and a deficit in shareholders equity. In order to have adequate liquidity for our activities in 2005 and thereafter, we have taken measures to reduce our short-term liabilities. We have implemented cost reduction measures, including measures to reduce expenses, cost structure and cash burn, and in March 2005, we completed a workforce cutback, as part of an across-the-board savings plan focused on operational efficiencies. In addition, in July 2005 we entered into a definitive amendment to our facility agreement with our banks. The amendment provided, among other things, for our banks to provide additional financing of up to approximately $30 million, subject to us raising through the issuance of shares or convertible debentures $23.5 million by October 31, 2005 (which was subsequently extended to December 31, 2005) and an additional $6.5 million by March 31, 2006. In January 2006 we completed a rights offering of convertible debentures in which we raised approximately $48.2 million, thereby satisfying the abovementioned obligation to raise additional funds. For a description of the July 2005 amendment and the rights offering of convertible debentures see "Fab 2 Agreements" below.</w:t>
      </w:r>
    </w:p>
    <w:p>
      <w:pPr>
        <w:spacing w:after="0" w:line="150"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In May 2006 we signed an amendment to the Facility Agreement with its Banks, according to which repayments of long-terms loans in the amount of approximately $100 million, formerly scheduled to be paid between October 2006 and June 2007, were deferred to July 2007.</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March 2006, our Board of Directors approved the plan to ramp up Fab 2 in order to meet our customer and product qualification needs, based on its customer pipeline, reinforced by forecasted market conditions. According to this plan, we will need to raise approximately $130 million during 2006 (of which approximately $31 million was raised with the completion of the TASE offering in June 2006 and additional $100 million is expected to be raised from Israel Corp as described under "Item 4 - Information on the Company - A. History and Development of the Company - Recent Developments), which will increase the current Fab 2 capacity to approximately 24,000 wafers per month.</w:t>
      </w:r>
    </w:p>
    <w:p>
      <w:pPr>
        <w:spacing w:after="0" w:line="144"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As part of the financing efforts for that expansion plan, in May 2006, we signed a Memorandum of Understanding (MOU) with our banks for the refinancing of the $526.7 million in long term debt, which is described above under "Item 4 - Information on the Company - A. History and Development of the Company - Recent Developments.</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In June 2006 we successfully completed an underwritten public offering of our securities on the TASE in Israel resulting in gross proceeds of approximately NIS 140 million (approximately $31 million). See "Item 4 - Information on the Company - A. History and Development of the Company - Recent Developments".</w:t>
      </w:r>
    </w:p>
    <w:p>
      <w:pPr>
        <w:spacing w:after="0" w:line="27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51</w:t>
      </w:r>
    </w:p>
    <w:p>
      <w:pPr>
        <w:spacing w:after="0" w:line="200" w:lineRule="exact"/>
        <w:rPr>
          <w:sz w:val="20"/>
          <w:szCs w:val="20"/>
          <w:color w:val="auto"/>
        </w:rPr>
      </w:pPr>
    </w:p>
    <w:p>
      <w:pPr>
        <w:spacing w:after="0" w:line="335"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We currently expect to have sufficient liquidity at least until the end of 2006 to meet our short-term activities and liabilities. However, if we fail to close in a timely manner the $100 million investment by Israel Corp. and a definitive amendment to our facility agreement with our banks based on the May 2006 MOU, we may be required to suspend the implementation of our current plan to ramp-up Fab 2 production capacity to approximately 24,000 wafers per month (See "Item 4 - Information on the Company - A. History and Development of the Company - Recent Developments"), which would materially adversely affect our company and may cause us to cease our operations.</w:t>
      </w:r>
    </w:p>
    <w:p>
      <w:pPr>
        <w:spacing w:after="0" w:line="144"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In order to fully ramp-up the capacity of Fab 2 to approximately 40,000 wafers per month, we currently estimate that we will require the raising of up to an approximately $150 million, in addition to funds already raised and the $100 million committed by Israel Corp.</w:t>
      </w:r>
    </w:p>
    <w:p>
      <w:pPr>
        <w:spacing w:after="0" w:line="142"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The following chart illustrates the various financial sources available to us to fund the construction and ramp-up of Fab 2, the amounts received as of March 31, 2006 and the amounts expected or required to be received from various sources as of March 31, 2006. We cannot assure you that we will be able to obtain funds from these sources as expected due to poor conditions in capital markets, poor conditions in the semiconductor market, failure to benefit from upswings in the semiconductor market or other factors, any or all of which may affect our ability to raise funds. If we do not satisfy our need for funds for Fab 2 or if the timing of the receipt of financing lags behind the timing of expenses, we may from time to time experience lack of liquidity for our activities.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rPr>
              <w:t>AMOUNTS EXPECTED</w:t>
            </w:r>
          </w:p>
        </w:tc>
        <w:tc>
          <w:tcPr>
            <w:tcW w:w="740" w:type="dxa"/>
            <w:vAlign w:val="bottom"/>
          </w:tcPr>
          <w:p>
            <w:pPr>
              <w:spacing w:after="0"/>
              <w:rPr>
                <w:sz w:val="11"/>
                <w:szCs w:val="11"/>
                <w:color w:val="auto"/>
              </w:rPr>
            </w:pPr>
          </w:p>
        </w:tc>
      </w:tr>
      <w:tr>
        <w:trPr>
          <w:trHeight w:val="137"/>
        </w:trPr>
        <w:tc>
          <w:tcPr>
            <w:tcW w:w="3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0" w:type="dxa"/>
            <w:vAlign w:val="bottom"/>
            <w:gridSpan w:val="3"/>
          </w:tcPr>
          <w:p>
            <w:pPr>
              <w:jc w:val="right"/>
              <w:ind w:right="201"/>
              <w:spacing w:after="0"/>
              <w:rPr>
                <w:sz w:val="20"/>
                <w:szCs w:val="20"/>
                <w:color w:val="auto"/>
              </w:rPr>
            </w:pPr>
            <w:r>
              <w:rPr>
                <w:rFonts w:ascii="Courier New" w:cs="Courier New" w:eastAsia="Courier New" w:hAnsi="Courier New"/>
                <w:sz w:val="12"/>
                <w:szCs w:val="12"/>
                <w:color w:val="auto"/>
              </w:rPr>
              <w:t>OR REQUIRED TO</w:t>
            </w:r>
          </w:p>
        </w:tc>
        <w:tc>
          <w:tcPr>
            <w:tcW w:w="740" w:type="dxa"/>
            <w:vAlign w:val="bottom"/>
          </w:tcPr>
          <w:p>
            <w:pPr>
              <w:spacing w:after="0"/>
              <w:rPr>
                <w:sz w:val="11"/>
                <w:szCs w:val="11"/>
                <w:color w:val="auto"/>
              </w:rPr>
            </w:pPr>
          </w:p>
        </w:tc>
      </w:tr>
      <w:tr>
        <w:trPr>
          <w:trHeight w:val="137"/>
        </w:trPr>
        <w:tc>
          <w:tcPr>
            <w:tcW w:w="3480" w:type="dxa"/>
            <w:vAlign w:val="bottom"/>
          </w:tcPr>
          <w:p>
            <w:pPr>
              <w:spacing w:after="0"/>
              <w:rPr>
                <w:sz w:val="20"/>
                <w:szCs w:val="20"/>
                <w:color w:val="auto"/>
              </w:rPr>
            </w:pPr>
            <w:r>
              <w:rPr>
                <w:rFonts w:ascii="Courier New" w:cs="Courier New" w:eastAsia="Courier New" w:hAnsi="Courier New"/>
                <w:sz w:val="12"/>
                <w:szCs w:val="12"/>
                <w:color w:val="auto"/>
              </w:rPr>
              <w:t>Financial Sources based on agreements and</w:t>
            </w:r>
          </w:p>
        </w:tc>
        <w:tc>
          <w:tcPr>
            <w:tcW w:w="1360" w:type="dxa"/>
            <w:vAlign w:val="bottom"/>
          </w:tcPr>
          <w:p>
            <w:pPr>
              <w:ind w:left="300"/>
              <w:spacing w:after="0"/>
              <w:rPr>
                <w:sz w:val="20"/>
                <w:szCs w:val="20"/>
                <w:color w:val="auto"/>
              </w:rPr>
            </w:pPr>
            <w:r>
              <w:rPr>
                <w:rFonts w:ascii="Courier New" w:cs="Courier New" w:eastAsia="Courier New" w:hAnsi="Courier New"/>
                <w:sz w:val="12"/>
                <w:szCs w:val="12"/>
                <w:color w:val="auto"/>
              </w:rPr>
              <w:t>RECEIVED AS OF</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BE RECEIVED</w:t>
            </w:r>
          </w:p>
        </w:tc>
        <w:tc>
          <w:tcPr>
            <w:tcW w:w="5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AFTER</w:t>
            </w:r>
          </w:p>
        </w:tc>
        <w:tc>
          <w:tcPr>
            <w:tcW w:w="740" w:type="dxa"/>
            <w:vAlign w:val="bottom"/>
          </w:tcPr>
          <w:p>
            <w:pPr>
              <w:spacing w:after="0"/>
              <w:rPr>
                <w:sz w:val="11"/>
                <w:szCs w:val="11"/>
                <w:color w:val="auto"/>
              </w:rPr>
            </w:pPr>
          </w:p>
        </w:tc>
      </w:tr>
      <w:tr>
        <w:trPr>
          <w:trHeight w:val="137"/>
        </w:trPr>
        <w:tc>
          <w:tcPr>
            <w:tcW w:w="3480" w:type="dxa"/>
            <w:vAlign w:val="bottom"/>
          </w:tcPr>
          <w:p>
            <w:pPr>
              <w:spacing w:after="0"/>
              <w:rPr>
                <w:sz w:val="20"/>
                <w:szCs w:val="20"/>
                <w:color w:val="auto"/>
              </w:rPr>
            </w:pPr>
            <w:r>
              <w:rPr>
                <w:rFonts w:ascii="Courier New" w:cs="Courier New" w:eastAsia="Courier New" w:hAnsi="Courier New"/>
                <w:sz w:val="12"/>
                <w:szCs w:val="12"/>
                <w:color w:val="auto"/>
              </w:rPr>
              <w:t>arrangements completed through March 31, 2006</w:t>
            </w:r>
          </w:p>
        </w:tc>
        <w:tc>
          <w:tcPr>
            <w:tcW w:w="1360" w:type="dxa"/>
            <w:vAlign w:val="bottom"/>
          </w:tcPr>
          <w:p>
            <w:pPr>
              <w:ind w:left="300"/>
              <w:spacing w:after="0"/>
              <w:rPr>
                <w:sz w:val="20"/>
                <w:szCs w:val="20"/>
                <w:color w:val="auto"/>
              </w:rPr>
            </w:pPr>
            <w:r>
              <w:rPr>
                <w:rFonts w:ascii="Courier New" w:cs="Courier New" w:eastAsia="Courier New" w:hAnsi="Courier New"/>
                <w:sz w:val="12"/>
                <w:szCs w:val="12"/>
                <w:color w:val="auto"/>
              </w:rPr>
              <w:t>MARCH 31, 2006</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MARCH 31,</w:t>
            </w:r>
          </w:p>
        </w:tc>
        <w:tc>
          <w:tcPr>
            <w:tcW w:w="5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2006</w:t>
            </w:r>
          </w:p>
        </w:tc>
        <w:tc>
          <w:tcPr>
            <w:tcW w:w="740" w:type="dxa"/>
            <w:vAlign w:val="bottom"/>
          </w:tcPr>
          <w:p>
            <w:pPr>
              <w:ind w:left="100"/>
              <w:spacing w:after="0"/>
              <w:rPr>
                <w:sz w:val="20"/>
                <w:szCs w:val="20"/>
                <w:color w:val="auto"/>
              </w:rPr>
            </w:pPr>
            <w:r>
              <w:rPr>
                <w:rFonts w:ascii="Courier New" w:cs="Courier New" w:eastAsia="Courier New" w:hAnsi="Courier New"/>
                <w:sz w:val="12"/>
                <w:szCs w:val="12"/>
                <w:color w:val="auto"/>
                <w:w w:val="95"/>
              </w:rPr>
              <w:t>TOTAL (3)</w:t>
            </w:r>
          </w:p>
        </w:tc>
      </w:tr>
      <w:tr>
        <w:trPr>
          <w:trHeight w:val="137"/>
        </w:trPr>
        <w:tc>
          <w:tcPr>
            <w:tcW w:w="3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0" w:type="dxa"/>
            <w:vAlign w:val="bottom"/>
            <w:gridSpan w:val="3"/>
          </w:tcPr>
          <w:p>
            <w:pPr>
              <w:jc w:val="center"/>
              <w:ind w:right="121"/>
              <w:spacing w:after="0"/>
              <w:rPr>
                <w:sz w:val="20"/>
                <w:szCs w:val="20"/>
                <w:color w:val="auto"/>
              </w:rPr>
            </w:pPr>
            <w:r>
              <w:rPr>
                <w:rFonts w:ascii="Courier New" w:cs="Courier New" w:eastAsia="Courier New" w:hAnsi="Courier New"/>
                <w:sz w:val="12"/>
                <w:szCs w:val="12"/>
                <w:color w:val="auto"/>
              </w:rPr>
              <w:t>(IN MILLIONS)</w:t>
            </w:r>
          </w:p>
        </w:tc>
        <w:tc>
          <w:tcPr>
            <w:tcW w:w="740" w:type="dxa"/>
            <w:vAlign w:val="bottom"/>
          </w:tcPr>
          <w:p>
            <w:pPr>
              <w:spacing w:after="0"/>
              <w:rPr>
                <w:sz w:val="11"/>
                <w:szCs w:val="11"/>
                <w:color w:val="auto"/>
              </w:rPr>
            </w:pPr>
          </w:p>
        </w:tc>
      </w:tr>
      <w:tr>
        <w:trPr>
          <w:trHeight w:val="137"/>
        </w:trPr>
        <w:tc>
          <w:tcPr>
            <w:tcW w:w="3480" w:type="dxa"/>
            <w:vAlign w:val="bottom"/>
          </w:tcPr>
          <w:p>
            <w:pPr>
              <w:spacing w:after="0"/>
              <w:rPr>
                <w:sz w:val="11"/>
                <w:szCs w:val="11"/>
                <w:color w:val="auto"/>
              </w:rPr>
            </w:pPr>
          </w:p>
        </w:tc>
        <w:tc>
          <w:tcPr>
            <w:tcW w:w="3500" w:type="dxa"/>
            <w:vAlign w:val="bottom"/>
            <w:gridSpan w:val="5"/>
          </w:tcPr>
          <w:p>
            <w:pPr>
              <w:ind w:left="500"/>
              <w:spacing w:after="0"/>
              <w:rPr>
                <w:sz w:val="20"/>
                <w:szCs w:val="20"/>
                <w:color w:val="auto"/>
              </w:rPr>
            </w:pPr>
            <w:r>
              <w:rPr>
                <w:rFonts w:ascii="Courier New" w:cs="Courier New" w:eastAsia="Courier New" w:hAnsi="Courier New"/>
                <w:sz w:val="12"/>
                <w:szCs w:val="12"/>
                <w:color w:val="auto"/>
              </w:rPr>
              <w:t>----------------------------------------</w:t>
            </w:r>
          </w:p>
        </w:tc>
      </w:tr>
      <w:tr>
        <w:trPr>
          <w:trHeight w:val="274"/>
        </w:trPr>
        <w:tc>
          <w:tcPr>
            <w:tcW w:w="3480" w:type="dxa"/>
            <w:vAlign w:val="bottom"/>
          </w:tcPr>
          <w:p>
            <w:pPr>
              <w:spacing w:after="0"/>
              <w:rPr>
                <w:sz w:val="20"/>
                <w:szCs w:val="20"/>
                <w:color w:val="auto"/>
              </w:rPr>
            </w:pPr>
            <w:r>
              <w:rPr>
                <w:rFonts w:ascii="Courier New" w:cs="Courier New" w:eastAsia="Courier New" w:hAnsi="Courier New"/>
                <w:sz w:val="12"/>
                <w:szCs w:val="12"/>
                <w:color w:val="auto"/>
              </w:rPr>
              <w:t>Major shareholders</w:t>
            </w:r>
          </w:p>
        </w:tc>
        <w:tc>
          <w:tcPr>
            <w:tcW w:w="1360" w:type="dxa"/>
            <w:vAlign w:val="bottom"/>
          </w:tcPr>
          <w:p>
            <w:pPr>
              <w:ind w:left="500"/>
              <w:spacing w:after="0"/>
              <w:rPr>
                <w:sz w:val="20"/>
                <w:szCs w:val="20"/>
                <w:color w:val="auto"/>
              </w:rPr>
            </w:pPr>
            <w:r>
              <w:rPr>
                <w:rFonts w:ascii="Courier New" w:cs="Courier New" w:eastAsia="Courier New" w:hAnsi="Courier New"/>
                <w:sz w:val="12"/>
                <w:szCs w:val="12"/>
                <w:color w:val="auto"/>
              </w:rPr>
              <w:t>$323.7</w:t>
            </w:r>
          </w:p>
        </w:tc>
        <w:tc>
          <w:tcPr>
            <w:tcW w:w="640" w:type="dxa"/>
            <w:vAlign w:val="bottom"/>
          </w:tcPr>
          <w:p>
            <w:pPr>
              <w:jc w:val="center"/>
              <w:ind w:left="521"/>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100</w:t>
            </w:r>
          </w:p>
        </w:tc>
        <w:tc>
          <w:tcPr>
            <w:tcW w:w="50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Courier New" w:cs="Courier New" w:eastAsia="Courier New" w:hAnsi="Courier New"/>
                <w:sz w:val="12"/>
                <w:szCs w:val="12"/>
                <w:color w:val="auto"/>
              </w:rPr>
              <w:t>$423.7</w:t>
            </w:r>
          </w:p>
        </w:tc>
      </w:tr>
      <w:tr>
        <w:trPr>
          <w:trHeight w:val="137"/>
        </w:trPr>
        <w:tc>
          <w:tcPr>
            <w:tcW w:w="3480" w:type="dxa"/>
            <w:vAlign w:val="bottom"/>
          </w:tcPr>
          <w:p>
            <w:pPr>
              <w:spacing w:after="0"/>
              <w:rPr>
                <w:sz w:val="20"/>
                <w:szCs w:val="20"/>
                <w:color w:val="auto"/>
              </w:rPr>
            </w:pPr>
            <w:r>
              <w:rPr>
                <w:rFonts w:ascii="Courier New" w:cs="Courier New" w:eastAsia="Courier New" w:hAnsi="Courier New"/>
                <w:sz w:val="12"/>
                <w:szCs w:val="12"/>
                <w:color w:val="auto"/>
              </w:rPr>
              <w:t>Investment Center</w:t>
            </w:r>
          </w:p>
        </w:tc>
        <w:tc>
          <w:tcPr>
            <w:tcW w:w="1360" w:type="dxa"/>
            <w:vAlign w:val="bottom"/>
          </w:tcPr>
          <w:p>
            <w:pPr>
              <w:ind w:left="500"/>
              <w:spacing w:after="0"/>
              <w:rPr>
                <w:sz w:val="20"/>
                <w:szCs w:val="20"/>
                <w:color w:val="auto"/>
              </w:rPr>
            </w:pPr>
            <w:r>
              <w:rPr>
                <w:rFonts w:ascii="Courier New" w:cs="Courier New" w:eastAsia="Courier New" w:hAnsi="Courier New"/>
                <w:sz w:val="12"/>
                <w:szCs w:val="12"/>
                <w:color w:val="auto"/>
              </w:rPr>
              <w:t>$159  (1)</w:t>
            </w:r>
          </w:p>
        </w:tc>
        <w:tc>
          <w:tcPr>
            <w:tcW w:w="640" w:type="dxa"/>
            <w:vAlign w:val="bottom"/>
          </w:tcPr>
          <w:p>
            <w:pPr>
              <w:jc w:val="center"/>
              <w:ind w:left="521"/>
              <w:spacing w:after="0"/>
              <w:rPr>
                <w:sz w:val="20"/>
                <w:szCs w:val="20"/>
                <w:color w:val="auto"/>
              </w:rPr>
            </w:pPr>
            <w:r>
              <w:rPr>
                <w:rFonts w:ascii="Courier New" w:cs="Courier New" w:eastAsia="Courier New" w:hAnsi="Courier New"/>
                <w:sz w:val="12"/>
                <w:szCs w:val="12"/>
                <w:color w:val="auto"/>
                <w:w w:val="82"/>
              </w:rPr>
              <w:t>$</w:t>
            </w:r>
          </w:p>
        </w:tc>
        <w:tc>
          <w:tcPr>
            <w:tcW w:w="260" w:type="dxa"/>
            <w:vAlign w:val="bottom"/>
          </w:tcPr>
          <w:p>
            <w:pPr>
              <w:ind w:left="80"/>
              <w:spacing w:after="0"/>
              <w:rPr>
                <w:sz w:val="20"/>
                <w:szCs w:val="20"/>
                <w:color w:val="auto"/>
              </w:rPr>
            </w:pPr>
            <w:r>
              <w:rPr>
                <w:rFonts w:ascii="Courier New" w:cs="Courier New" w:eastAsia="Courier New" w:hAnsi="Courier New"/>
                <w:sz w:val="12"/>
                <w:szCs w:val="12"/>
                <w:color w:val="auto"/>
              </w:rPr>
              <w:t>91</w:t>
            </w:r>
          </w:p>
        </w:tc>
        <w:tc>
          <w:tcPr>
            <w:tcW w:w="500" w:type="dxa"/>
            <w:vAlign w:val="bottom"/>
          </w:tcPr>
          <w:p>
            <w:pPr>
              <w:spacing w:after="0"/>
              <w:rPr>
                <w:sz w:val="11"/>
                <w:szCs w:val="11"/>
                <w:color w:val="auto"/>
              </w:rPr>
            </w:pPr>
          </w:p>
        </w:tc>
        <w:tc>
          <w:tcPr>
            <w:tcW w:w="740" w:type="dxa"/>
            <w:vAlign w:val="bottom"/>
          </w:tcPr>
          <w:p>
            <w:pPr>
              <w:ind w:left="240"/>
              <w:spacing w:after="0"/>
              <w:rPr>
                <w:sz w:val="20"/>
                <w:szCs w:val="20"/>
                <w:color w:val="auto"/>
              </w:rPr>
            </w:pPr>
            <w:r>
              <w:rPr>
                <w:rFonts w:ascii="Courier New" w:cs="Courier New" w:eastAsia="Courier New" w:hAnsi="Courier New"/>
                <w:sz w:val="12"/>
                <w:szCs w:val="12"/>
                <w:color w:val="auto"/>
              </w:rPr>
              <w:t>$250</w:t>
            </w:r>
          </w:p>
        </w:tc>
      </w:tr>
      <w:tr>
        <w:trPr>
          <w:trHeight w:val="137"/>
        </w:trPr>
        <w:tc>
          <w:tcPr>
            <w:tcW w:w="3480" w:type="dxa"/>
            <w:vAlign w:val="bottom"/>
          </w:tcPr>
          <w:p>
            <w:pPr>
              <w:spacing w:after="0"/>
              <w:rPr>
                <w:sz w:val="20"/>
                <w:szCs w:val="20"/>
                <w:color w:val="auto"/>
              </w:rPr>
            </w:pPr>
            <w:r>
              <w:rPr>
                <w:rFonts w:ascii="Courier New" w:cs="Courier New" w:eastAsia="Courier New" w:hAnsi="Courier New"/>
                <w:sz w:val="12"/>
                <w:szCs w:val="12"/>
                <w:color w:val="auto"/>
              </w:rPr>
              <w:t>Credit facility</w:t>
            </w:r>
          </w:p>
        </w:tc>
        <w:tc>
          <w:tcPr>
            <w:tcW w:w="1360" w:type="dxa"/>
            <w:vAlign w:val="bottom"/>
          </w:tcPr>
          <w:p>
            <w:pPr>
              <w:ind w:left="500"/>
              <w:spacing w:after="0"/>
              <w:rPr>
                <w:sz w:val="20"/>
                <w:szCs w:val="20"/>
                <w:color w:val="auto"/>
              </w:rPr>
            </w:pPr>
            <w:r>
              <w:rPr>
                <w:rFonts w:ascii="Courier New" w:cs="Courier New" w:eastAsia="Courier New" w:hAnsi="Courier New"/>
                <w:sz w:val="12"/>
                <w:szCs w:val="12"/>
                <w:color w:val="auto"/>
              </w:rPr>
              <w:t>$526.7(2)</w:t>
            </w:r>
          </w:p>
        </w:tc>
        <w:tc>
          <w:tcPr>
            <w:tcW w:w="640" w:type="dxa"/>
            <w:vAlign w:val="bottom"/>
          </w:tcPr>
          <w:p>
            <w:pPr>
              <w:spacing w:after="0"/>
              <w:rPr>
                <w:sz w:val="11"/>
                <w:szCs w:val="11"/>
                <w:color w:val="auto"/>
              </w:rPr>
            </w:pPr>
          </w:p>
        </w:tc>
        <w:tc>
          <w:tcPr>
            <w:tcW w:w="2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740" w:type="dxa"/>
            <w:vAlign w:val="bottom"/>
          </w:tcPr>
          <w:p>
            <w:pPr>
              <w:ind w:left="240"/>
              <w:spacing w:after="0"/>
              <w:rPr>
                <w:sz w:val="20"/>
                <w:szCs w:val="20"/>
                <w:color w:val="auto"/>
              </w:rPr>
            </w:pPr>
            <w:r>
              <w:rPr>
                <w:rFonts w:ascii="Courier New" w:cs="Courier New" w:eastAsia="Courier New" w:hAnsi="Courier New"/>
                <w:sz w:val="12"/>
                <w:szCs w:val="12"/>
                <w:color w:val="auto"/>
              </w:rPr>
              <w:t>$526.7</w:t>
            </w:r>
          </w:p>
        </w:tc>
      </w:tr>
      <w:tr>
        <w:trPr>
          <w:trHeight w:val="137"/>
        </w:trPr>
        <w:tc>
          <w:tcPr>
            <w:tcW w:w="3480" w:type="dxa"/>
            <w:vAlign w:val="bottom"/>
          </w:tcPr>
          <w:p>
            <w:pPr>
              <w:spacing w:after="0"/>
              <w:rPr>
                <w:sz w:val="20"/>
                <w:szCs w:val="20"/>
                <w:color w:val="auto"/>
              </w:rPr>
            </w:pPr>
            <w:r>
              <w:rPr>
                <w:rFonts w:ascii="Courier New" w:cs="Courier New" w:eastAsia="Courier New" w:hAnsi="Courier New"/>
                <w:sz w:val="12"/>
                <w:szCs w:val="12"/>
                <w:color w:val="auto"/>
              </w:rPr>
              <w:t>Other financing sources</w:t>
            </w:r>
          </w:p>
        </w:tc>
        <w:tc>
          <w:tcPr>
            <w:tcW w:w="1360" w:type="dxa"/>
            <w:vAlign w:val="bottom"/>
          </w:tcPr>
          <w:p>
            <w:pPr>
              <w:ind w:left="500"/>
              <w:spacing w:after="0"/>
              <w:rPr>
                <w:sz w:val="20"/>
                <w:szCs w:val="20"/>
                <w:color w:val="auto"/>
              </w:rPr>
            </w:pPr>
            <w:r>
              <w:rPr>
                <w:rFonts w:ascii="Courier New" w:cs="Courier New" w:eastAsia="Courier New" w:hAnsi="Courier New"/>
                <w:sz w:val="12"/>
                <w:szCs w:val="12"/>
                <w:color w:val="auto"/>
              </w:rPr>
              <w:t>$243.4</w:t>
            </w:r>
          </w:p>
        </w:tc>
        <w:tc>
          <w:tcPr>
            <w:tcW w:w="640" w:type="dxa"/>
            <w:vAlign w:val="bottom"/>
          </w:tcPr>
          <w:p>
            <w:pPr>
              <w:spacing w:after="0"/>
              <w:rPr>
                <w:sz w:val="11"/>
                <w:szCs w:val="11"/>
                <w:color w:val="auto"/>
              </w:rPr>
            </w:pPr>
          </w:p>
        </w:tc>
        <w:tc>
          <w:tcPr>
            <w:tcW w:w="2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740" w:type="dxa"/>
            <w:vAlign w:val="bottom"/>
          </w:tcPr>
          <w:p>
            <w:pPr>
              <w:ind w:left="240"/>
              <w:spacing w:after="0"/>
              <w:rPr>
                <w:sz w:val="20"/>
                <w:szCs w:val="20"/>
                <w:color w:val="auto"/>
              </w:rPr>
            </w:pPr>
            <w:r>
              <w:rPr>
                <w:rFonts w:ascii="Courier New" w:cs="Courier New" w:eastAsia="Courier New" w:hAnsi="Courier New"/>
                <w:sz w:val="12"/>
                <w:szCs w:val="12"/>
                <w:color w:val="auto"/>
              </w:rPr>
              <w:t>$243.4</w:t>
            </w:r>
          </w:p>
        </w:tc>
      </w:tr>
      <w:tr>
        <w:trPr>
          <w:trHeight w:val="549"/>
        </w:trPr>
        <w:tc>
          <w:tcPr>
            <w:tcW w:w="3480" w:type="dxa"/>
            <w:vAlign w:val="bottom"/>
          </w:tcPr>
          <w:p>
            <w:pPr>
              <w:ind w:left="2780"/>
              <w:spacing w:after="0"/>
              <w:rPr>
                <w:sz w:val="20"/>
                <w:szCs w:val="20"/>
                <w:color w:val="auto"/>
              </w:rPr>
            </w:pPr>
            <w:r>
              <w:rPr>
                <w:rFonts w:ascii="Courier New" w:cs="Courier New" w:eastAsia="Courier New" w:hAnsi="Courier New"/>
                <w:sz w:val="12"/>
                <w:szCs w:val="12"/>
                <w:color w:val="auto"/>
              </w:rPr>
              <w:t>52</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335" w:lineRule="exact"/>
        <w:rPr>
          <w:sz w:val="20"/>
          <w:szCs w:val="20"/>
          <w:color w:val="auto"/>
        </w:rPr>
      </w:pPr>
    </w:p>
    <w:p>
      <w:pPr>
        <w:ind w:right="4539" w:firstLine="350"/>
        <w:spacing w:after="0" w:line="266" w:lineRule="auto"/>
        <w:tabs>
          <w:tab w:leader="none" w:pos="642"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Under the requirements of Israeli Law, we were required to complete our approved investment program for Fab 2 by the end of 2005 (see "-- Investment Center Grants" below). Our not completing such investment program by the end of 2005 may result in the Investment Center requiring us to repay all or a portion of the grants already received. See "Risk Factors -- If the Investment Center of the Israeli Ministry of Industry, Trade and Labor, or Investment Center, will not approve our request for a new expansion program, we would be required to seek alternative financing sources to complete the ramp-up of Fab 2, which may not be available. Our not completing investments in the amount of $1.25 billion</w:t>
      </w:r>
    </w:p>
    <w:p>
      <w:pPr>
        <w:sectPr>
          <w:pgSz w:w="11900" w:h="16899" w:orient="portrait"/>
          <w:cols w:equalWidth="0" w:num="1">
            <w:col w:w="10239"/>
          </w:cols>
          <w:pgMar w:left="220" w:top="413" w:right="1440" w:bottom="0" w:gutter="0" w:footer="0" w:header="0"/>
        </w:sectPr>
      </w:pPr>
    </w:p>
    <w:bookmarkStart w:id="27" w:name="page28"/>
    <w:bookmarkEnd w:id="27"/>
    <w:p>
      <w:pPr>
        <w:spacing w:after="0" w:line="80" w:lineRule="exact"/>
        <w:rPr>
          <w:sz w:val="20"/>
          <w:szCs w:val="20"/>
          <w:color w:val="auto"/>
        </w:rPr>
      </w:pPr>
    </w:p>
    <w:p>
      <w:pPr>
        <w:jc w:val="both"/>
        <w:ind w:right="4539"/>
        <w:spacing w:after="0" w:line="239" w:lineRule="auto"/>
        <w:rPr>
          <w:sz w:val="20"/>
          <w:szCs w:val="20"/>
          <w:color w:val="auto"/>
        </w:rPr>
      </w:pPr>
      <w:r>
        <w:rPr>
          <w:rFonts w:ascii="Courier New" w:cs="Courier New" w:eastAsia="Courier New" w:hAnsi="Courier New"/>
          <w:sz w:val="12"/>
          <w:szCs w:val="12"/>
          <w:color w:val="auto"/>
        </w:rPr>
        <w:t>by the end of 2005 may result in the Investment Center requiring us to repay all or a portion of the grants already received, and if we are unable to refund such grants, we may have to close our operations".</w:t>
      </w:r>
    </w:p>
    <w:p>
      <w:pPr>
        <w:spacing w:after="0" w:line="143" w:lineRule="exact"/>
        <w:rPr>
          <w:sz w:val="20"/>
          <w:szCs w:val="20"/>
          <w:color w:val="auto"/>
        </w:rPr>
      </w:pPr>
    </w:p>
    <w:p>
      <w:pPr>
        <w:ind w:right="4599" w:firstLine="350"/>
        <w:spacing w:after="0"/>
        <w:tabs>
          <w:tab w:leader="none" w:pos="642"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Under the amended credit facility agreement, we are required to comply with minimum production capacity milestones and maintain certain financial ratios and additional conditions and covenants. For a description of these ratios and covenants, see below "Fab 2 Agreements-Credit Facility".</w:t>
      </w:r>
    </w:p>
    <w:p>
      <w:pPr>
        <w:spacing w:after="0" w:line="142" w:lineRule="exact"/>
        <w:rPr>
          <w:rFonts w:ascii="Courier New" w:cs="Courier New" w:eastAsia="Courier New" w:hAnsi="Courier New"/>
          <w:sz w:val="12"/>
          <w:szCs w:val="12"/>
          <w:color w:val="auto"/>
        </w:rPr>
      </w:pPr>
    </w:p>
    <w:p>
      <w:pPr>
        <w:ind w:right="4599" w:firstLine="350"/>
        <w:spacing w:after="0" w:line="239" w:lineRule="auto"/>
        <w:tabs>
          <w:tab w:leader="none" w:pos="642"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will be required to make capital investments and acquire and implement advanced technologies in order to complete the ramp-up Fab 2. We will also require additional cash to complete the full ramp-up of Fab 2.</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FAB 2 AGREEMENTS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WAFER PARTNER AGREEMENTS. During 2000, we entered into a series of agreements with four wafer partners: SanDisk Corporation, Alliance Semiconductor, Macronix International and QuickLogic Corporation. The wafer partners agreed to invest $250 million in us; SanDisk, Alliance and Macronix each committed to invest $75 million, and QuickLogic committed to invest $25 million in exchange for our ordinary shares and credits towards the purchase of wafers from Fab 2 under the terms set forth in the agreements. We also agreed to reserve approximately 50% of Fab 2's capacity for our wafer partners for a</w:t>
      </w:r>
    </w:p>
    <w:p>
      <w:pPr>
        <w:spacing w:after="0" w:line="6" w:lineRule="exact"/>
        <w:rPr>
          <w:sz w:val="20"/>
          <w:szCs w:val="20"/>
          <w:color w:val="auto"/>
        </w:rPr>
      </w:pPr>
    </w:p>
    <w:p>
      <w:pPr>
        <w:ind w:right="4539"/>
        <w:spacing w:after="0" w:line="241" w:lineRule="auto"/>
        <w:rPr>
          <w:sz w:val="20"/>
          <w:szCs w:val="20"/>
          <w:color w:val="auto"/>
        </w:rPr>
      </w:pPr>
      <w:r>
        <w:rPr>
          <w:rFonts w:ascii="Courier New" w:cs="Courier New" w:eastAsia="Courier New" w:hAnsi="Courier New"/>
          <w:sz w:val="12"/>
          <w:szCs w:val="12"/>
          <w:color w:val="auto"/>
        </w:rPr>
        <w:t>10-year period ending in January 2011, including during the ramp-up of Fab 2. In addition, these agreements generally provide for a five percent discount on wafer purchases made by the wafer partners of up to 80% of the maximum Fab 2 wafer fabrication capacity committed to the wafer partners, subject to minimum holdings of our ordinary shares. These agreements (and the agreements with our financial investors) were amended in April 2002, May 2003, and November 2003.</w:t>
      </w:r>
    </w:p>
    <w:p>
      <w:pPr>
        <w:spacing w:after="0" w:line="142"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As of June 30, 2006, we have received an aggregate of approximately $245 million from our wafer partners, of which approximately $202 million was invested in consideration for approximately 31.4 million of our ordinary shares, approximately $8 million was invested in our 2005 rights offering (described below), and the remaining approximately $35 million was established as wafer credits.. Our wafer partners are not obligated to invest any more money in us. See Note 11A(3) to our audited annual consolidated financial statements.</w:t>
      </w:r>
    </w:p>
    <w:p>
      <w:pPr>
        <w:spacing w:after="0" w:line="12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INVESTMENT BY ISRAEL CORPORATION AND OTHER FINANCIAL INVESTORS. In December 2000, Israel Corp., our current principal shareholder and one of Israel's major holding companies, agreed to invest $50 million contemporaneous with the investments by the wafer partners. In consideration of Israel Corp.'s investment, we issued its wholly-owned subsidiary, Israel Corporation Technologies (ICTech) Ltd., or ICTech, a total of 6,749,669 of our ordinary shares through January 2004. In 2005, ICTech transferred these shares to Israel Corp. TIC invested, in the aggregate, an additional approximately $29million in connection with our 2002 and 2005 rights offerings (described below).</w:t>
      </w:r>
    </w:p>
    <w:p>
      <w:pPr>
        <w:spacing w:after="0" w:line="278"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53</w:t>
      </w:r>
    </w:p>
    <w:p>
      <w:pPr>
        <w:spacing w:after="0" w:line="200" w:lineRule="exact"/>
        <w:rPr>
          <w:sz w:val="20"/>
          <w:szCs w:val="20"/>
          <w:color w:val="auto"/>
        </w:rPr>
      </w:pPr>
    </w:p>
    <w:p>
      <w:pPr>
        <w:spacing w:after="0" w:line="335"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In February 2001, the Challenge Fund-Etgar II agreed to invest $5 million in our company on substantially the same terms as Israel Corp. In consideration of Challenge's investment, we issued Challenge a total of 670,166 of our ordinary shares through January 2004.</w:t>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See Note 11A(4) to our audited annual consolidated financial statements.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WAFER CREDITS. In connection with their investments in Fab 2, we issued to our wafer partners non-transferable credits that may be used to reduce the cash amounts to be paid by them when paying for wafers manufactured in Fab 2. These credits could generally be used at a rate of 7.5% for purchases made through June 2005 and 15% for purchases made thereafter. Our major wafer partners, SanDisk, Alliance and Macronix, have agreed that they will not utilize any of their credits, which amounted to approximately $36 million as of December 31, 2005, for purchase orders of our wafer products until December 31, 2006. From January 1, 2004 to December 31, 2006, each major wafer partner is entitled, every quarter, to convert into our ordinary shares its wafer credits that could have been utilized by such wafer partner against the actual payment of wafers manufactured at Fab 2 during such quarter; otherwise, these credits will bear interest payable every quarter at three-month LIBOR plus 2.5% through December 31, 2007. On December 31, 2007, the remaining wafer credits that could have been utilized during this period that have not been converted into shares will be repaid to all our major wafer partners. Should the wafer partners elect to convert their wafer credits into our ordinary shares, they will be issued ordinary shares at the average trading price of our ordinary shares during the</w:t>
      </w:r>
    </w:p>
    <w:p>
      <w:pPr>
        <w:spacing w:after="0" w:line="13" w:lineRule="exact"/>
        <w:rPr>
          <w:sz w:val="20"/>
          <w:szCs w:val="20"/>
          <w:color w:val="auto"/>
        </w:rPr>
      </w:pPr>
    </w:p>
    <w:p>
      <w:pPr>
        <w:ind w:right="4599"/>
        <w:spacing w:after="0" w:line="241" w:lineRule="auto"/>
        <w:rPr>
          <w:sz w:val="20"/>
          <w:szCs w:val="20"/>
          <w:color w:val="auto"/>
        </w:rPr>
      </w:pPr>
      <w:r>
        <w:rPr>
          <w:rFonts w:ascii="Courier New" w:cs="Courier New" w:eastAsia="Courier New" w:hAnsi="Courier New"/>
          <w:sz w:val="12"/>
          <w:szCs w:val="12"/>
          <w:color w:val="auto"/>
        </w:rPr>
        <w:t>15 consecutive trading days preceding the last day of the relevant quarter. For example, if our major wafer partners purchase an amount of wafers which would otherwise result in their using the full amount of credits available to them as of March 31, 2006, and they elect to convert all of these credits into ordinary shares, we will issue them an aggregate of 22.4 million shares, assuming the average trading price of our ordinary shares during the 15 consecutive trading days preceding the last relevant quarter is $1.38.</w:t>
      </w:r>
    </w:p>
    <w:p>
      <w:pPr>
        <w:spacing w:after="0" w:line="142"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In February 2006, one of our wafer partners converted approximately $3.9 million of its advances into paid-in equity entitling it for 2,455,905 of our ordinary shares. The number of shares was determined based on $1.58 per share, which was the average closing sale price of our ordinary shares for the 15 trading days prior to December 31, 2005.</w:t>
      </w:r>
    </w:p>
    <w:p>
      <w:pPr>
        <w:spacing w:after="0" w:line="141" w:lineRule="exact"/>
        <w:rPr>
          <w:sz w:val="20"/>
          <w:szCs w:val="20"/>
          <w:color w:val="auto"/>
        </w:rPr>
      </w:pPr>
    </w:p>
    <w:p>
      <w:pPr>
        <w:ind w:right="4679" w:firstLine="357"/>
        <w:spacing w:after="0" w:line="239" w:lineRule="auto"/>
        <w:rPr>
          <w:sz w:val="20"/>
          <w:szCs w:val="20"/>
          <w:color w:val="auto"/>
        </w:rPr>
      </w:pPr>
      <w:r>
        <w:rPr>
          <w:rFonts w:ascii="Courier New" w:cs="Courier New" w:eastAsia="Courier New" w:hAnsi="Courier New"/>
          <w:sz w:val="12"/>
          <w:szCs w:val="12"/>
          <w:color w:val="auto"/>
        </w:rPr>
        <w:t>All the ordinary shares issued to our wafer partners and Israel Corp. in connection with their committed investments are subject to (i) restrictions on transfer and (ii) registration rights.</w:t>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See Note 11A(5) to our audited annual consolidated financial statements.</w:t>
      </w:r>
    </w:p>
    <w:p>
      <w:pPr>
        <w:spacing w:after="0" w:line="141"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JOINT DEVELOPMENT AGREEMENT. In May 2002, we entered into an agreement for the joint development of 0.18-micron embedded microFLASH technology with a Japanese manufacturer. The Japanese manufacturer granted to us the non-exclusive right to utilize, on a royalty-free basis, our jointly developed technology, which is based on its 0.18-micron process technology, for foundry services and for the manufacture and sale of our own proprietary products. We granted the Japanese manufacturer a royalty-free, non-exclusive license with respect to our microFLASH technology for manufacturing semiconductor devices that utilize our jointly developed technology for its own semiconductor business.</w:t>
      </w:r>
    </w:p>
    <w:p>
      <w:pPr>
        <w:spacing w:after="0" w:line="264"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54</w:t>
      </w:r>
    </w:p>
    <w:p>
      <w:pPr>
        <w:spacing w:after="0" w:line="200" w:lineRule="exact"/>
        <w:rPr>
          <w:sz w:val="20"/>
          <w:szCs w:val="20"/>
          <w:color w:val="auto"/>
        </w:rPr>
      </w:pPr>
    </w:p>
    <w:p>
      <w:pPr>
        <w:spacing w:after="0" w:line="335" w:lineRule="exact"/>
        <w:rPr>
          <w:sz w:val="20"/>
          <w:szCs w:val="20"/>
          <w:color w:val="auto"/>
        </w:rPr>
      </w:pPr>
    </w:p>
    <w:p>
      <w:pPr>
        <w:ind w:right="4679" w:firstLine="357"/>
        <w:spacing w:after="0" w:line="267" w:lineRule="auto"/>
        <w:rPr>
          <w:sz w:val="20"/>
          <w:szCs w:val="20"/>
          <w:color w:val="auto"/>
        </w:rPr>
      </w:pPr>
      <w:r>
        <w:rPr>
          <w:rFonts w:ascii="Courier New" w:cs="Courier New" w:eastAsia="Courier New" w:hAnsi="Courier New"/>
          <w:sz w:val="11"/>
          <w:szCs w:val="11"/>
          <w:color w:val="auto"/>
        </w:rPr>
        <w:t>In April 2005, the Japanese manufacturer elected, and we agreed, to cease the joint development of certain technology and to terminate the agreement. According to the terms of the termination agreement, the Japanese manufacturer paid us, net of deducted tax, $2.25 million. Revenues for 2005 include $8 million generated by the termination of the agreement. In addition, each party expressly released the other party from any obligations or liabilities of any</w:t>
      </w:r>
    </w:p>
    <w:p>
      <w:pPr>
        <w:sectPr>
          <w:pgSz w:w="11900" w:h="16918" w:orient="portrait"/>
          <w:cols w:equalWidth="0" w:num="1">
            <w:col w:w="10239"/>
          </w:cols>
          <w:pgMar w:left="220" w:top="141" w:right="1440" w:bottom="0" w:gutter="0" w:footer="0" w:header="0"/>
        </w:sectPr>
      </w:pPr>
    </w:p>
    <w:bookmarkStart w:id="28" w:name="page29"/>
    <w:bookmarkEnd w:id="28"/>
    <w:p>
      <w:pPr>
        <w:spacing w:after="0" w:line="80" w:lineRule="exact"/>
        <w:rPr>
          <w:sz w:val="20"/>
          <w:szCs w:val="20"/>
          <w:color w:val="auto"/>
        </w:rPr>
      </w:pPr>
    </w:p>
    <w:p>
      <w:pPr>
        <w:ind w:left="7" w:right="4539"/>
        <w:spacing w:after="0" w:line="280" w:lineRule="auto"/>
        <w:rPr>
          <w:sz w:val="20"/>
          <w:szCs w:val="20"/>
          <w:color w:val="auto"/>
        </w:rPr>
      </w:pPr>
      <w:r>
        <w:rPr>
          <w:rFonts w:ascii="Courier New" w:cs="Courier New" w:eastAsia="Courier New" w:hAnsi="Courier New"/>
          <w:sz w:val="11"/>
          <w:szCs w:val="11"/>
          <w:color w:val="auto"/>
        </w:rPr>
        <w:t>nature in connection with the joint development agreement. The license rights granted to the parties continue pursuant to the terms of the original agreement.</w:t>
      </w:r>
    </w:p>
    <w:p>
      <w:pPr>
        <w:spacing w:after="0" w:line="12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CREDIT FACILITY. In January 2001, we entered into a credit facility with two leading Israeli banks, Bank Hapoalim and Bank Leumi, pursuant to which the banks committed to make available to us up to $550 million in loans for Fab 2. As a result of our reduction of the total project cost of Fab 2 through the renegotiation of equipment prices and a change of equipment suppliers, in January 2002, we and our banks agreed to amend the credit facility such that the total amount of loans committed by the banks was reduced to $500 million. In July 2005, we entered into a definitive amendment to our facility agreement with our banks. The amendment provided, among other things, for our banks to provide additional financing of up to approximately $30 million, subject to us raising through the issuance of shares or convertible debentures $23.5 million by October 31, 2005 (which was subsequently extended to December 31, 2005) and an additional $6.5 million by March 31, 2006. The banks provided us with the entire amount we were entitled to borrow under the amendment following the consummation of the rights offering in January 2006 in which we raised approximately $48.2 million (described below).</w:t>
      </w:r>
    </w:p>
    <w:p>
      <w:pPr>
        <w:spacing w:after="0" w:line="149" w:lineRule="exact"/>
        <w:rPr>
          <w:sz w:val="20"/>
          <w:szCs w:val="20"/>
          <w:color w:val="auto"/>
        </w:rPr>
      </w:pPr>
    </w:p>
    <w:p>
      <w:pPr>
        <w:ind w:left="7" w:right="4599" w:firstLine="357"/>
        <w:spacing w:after="0" w:line="265" w:lineRule="auto"/>
        <w:rPr>
          <w:sz w:val="20"/>
          <w:szCs w:val="20"/>
          <w:color w:val="auto"/>
        </w:rPr>
      </w:pPr>
      <w:r>
        <w:rPr>
          <w:rFonts w:ascii="Courier New" w:cs="Courier New" w:eastAsia="Courier New" w:hAnsi="Courier New"/>
          <w:sz w:val="11"/>
          <w:szCs w:val="11"/>
          <w:color w:val="auto"/>
        </w:rPr>
        <w:t>Loans drawn down through December 2004 were repayable as of December 31, 2005, prior to the May 2006 amendment to the facility agreement (described below), as follows: (i) with respect to loans received by us through December 31, 2003, we repaid our banks on December 31, 2003 all payments due by such date, amounting to $431 million and, concurrently, drew down an equivalent amount from our banks on such date to be repaid in 12 quarterly installments commencing on March 31, 2007 and bearing interest, payable quarterly, at LIBOR plus 2.5%, and (ii) with respect to loans received in 2004 (amounting to $66.0 million), we will repay our banks, in 12 quarterly installments, or before the maturity date of the facility, commencing three years from the drawdown date of each loan and bearing interest, payable quarterly, at LIBOR plus 2.5%. Loans drawn down under the July 2005 amendment (amounting to $29.7 million as of January 31, 2006) were repayable as of December 31, 2005, prior to the May 2006 amendment to the facility agreement, twelve to fifteen months from the drawdown date of each loan and bear interest, payable quarterly, at LIBOR plus 2.5%.</w:t>
      </w:r>
    </w:p>
    <w:p>
      <w:pPr>
        <w:spacing w:after="0" w:line="269"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In May 2006, we signed amendments to the facility agreement with our banks, according to which: (i) repayments of long-terms loans in the amount of approximately $100 million scheduled to be paid between October 2006 and June 2007, were deferred to July 2007; and (ii) the date on which we were required to raise approximately $8 million was deferred from June 30, 2006 to September 30, 2006, which amount was raised with the completion of the recent TASE offering described below.</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55</w:t>
      </w:r>
    </w:p>
    <w:p>
      <w:pPr>
        <w:spacing w:after="0" w:line="200" w:lineRule="exact"/>
        <w:rPr>
          <w:sz w:val="20"/>
          <w:szCs w:val="20"/>
          <w:color w:val="auto"/>
        </w:rPr>
      </w:pPr>
    </w:p>
    <w:p>
      <w:pPr>
        <w:spacing w:after="0" w:line="335" w:lineRule="exact"/>
        <w:rPr>
          <w:sz w:val="20"/>
          <w:szCs w:val="20"/>
          <w:color w:val="auto"/>
        </w:rPr>
      </w:pPr>
    </w:p>
    <w:p>
      <w:pPr>
        <w:ind w:left="7" w:right="4539" w:firstLine="357"/>
        <w:spacing w:after="0" w:line="239" w:lineRule="auto"/>
        <w:rPr>
          <w:sz w:val="20"/>
          <w:szCs w:val="20"/>
          <w:color w:val="auto"/>
        </w:rPr>
      </w:pPr>
      <w:r>
        <w:rPr>
          <w:rFonts w:ascii="Courier New" w:cs="Courier New" w:eastAsia="Courier New" w:hAnsi="Courier New"/>
          <w:sz w:val="12"/>
          <w:szCs w:val="12"/>
          <w:color w:val="auto"/>
        </w:rPr>
        <w:t>As of June 30, 2006, we have drawn, in the aggregate, $526.7 million in loans. We paid the banks an annual commitment fee of 0.25% on any unused portion of the facility.</w:t>
      </w:r>
    </w:p>
    <w:p>
      <w:pPr>
        <w:spacing w:after="0" w:line="143" w:lineRule="exact"/>
        <w:rPr>
          <w:sz w:val="20"/>
          <w:szCs w:val="20"/>
          <w:color w:val="auto"/>
        </w:rPr>
      </w:pPr>
    </w:p>
    <w:p>
      <w:pPr>
        <w:ind w:left="7" w:right="4539" w:firstLine="357"/>
        <w:spacing w:after="0" w:line="264" w:lineRule="auto"/>
        <w:rPr>
          <w:sz w:val="20"/>
          <w:szCs w:val="20"/>
          <w:color w:val="auto"/>
        </w:rPr>
      </w:pPr>
      <w:r>
        <w:rPr>
          <w:rFonts w:ascii="Courier New" w:cs="Courier New" w:eastAsia="Courier New" w:hAnsi="Courier New"/>
          <w:sz w:val="11"/>
          <w:szCs w:val="11"/>
          <w:color w:val="auto"/>
        </w:rPr>
        <w:t>Under the terms of the amended facility agreement, (i) Fab 2 must have full manufacturing capacity of 33,000 wafer starts per month by December 31, 2007;</w:t>
      </w:r>
    </w:p>
    <w:p>
      <w:pPr>
        <w:ind w:left="7" w:right="4599" w:hanging="7"/>
        <w:spacing w:after="0" w:line="264" w:lineRule="auto"/>
        <w:tabs>
          <w:tab w:leader="none" w:pos="364" w:val="left"/>
        </w:tabs>
        <w:numPr>
          <w:ilvl w:val="0"/>
          <w:numId w:val="3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there are limitations on changes of ownership which generally required that, through January 2006, (a) our three largest wafer partners not sell the shares they purchased in connection with each of their $75 million investments in our shares other than a portion of their holdings which may be sold prior to this date and (b) Israel Corp. hold during this period at least the higher of</w:t>
      </w:r>
    </w:p>
    <w:p>
      <w:pPr>
        <w:ind w:left="7" w:right="4679" w:hanging="7"/>
        <w:spacing w:after="0" w:line="241" w:lineRule="auto"/>
        <w:tabs>
          <w:tab w:leader="none" w:pos="292"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eight million of our ordinary shares or (ii) 16.5% of our issued share capital less two million ordinary shares, with portions of the shares held by our wafer partners being released from these restrictions through January 2008 and January 2009 with respect to Israel Corp.; and (iii) additional conditions and covenants, including restrictions on debt and a prohibition on the distribution of dividends prior to 2008.</w:t>
      </w:r>
    </w:p>
    <w:p>
      <w:pPr>
        <w:spacing w:after="0" w:line="142" w:lineRule="exact"/>
        <w:rPr>
          <w:sz w:val="20"/>
          <w:szCs w:val="20"/>
          <w:color w:val="auto"/>
        </w:rPr>
      </w:pPr>
    </w:p>
    <w:p>
      <w:pPr>
        <w:ind w:left="7" w:right="4599" w:firstLine="357"/>
        <w:spacing w:after="0" w:line="264" w:lineRule="auto"/>
        <w:rPr>
          <w:sz w:val="20"/>
          <w:szCs w:val="20"/>
          <w:color w:val="auto"/>
        </w:rPr>
      </w:pPr>
      <w:r>
        <w:rPr>
          <w:rFonts w:ascii="Courier New" w:cs="Courier New" w:eastAsia="Courier New" w:hAnsi="Courier New"/>
          <w:sz w:val="11"/>
          <w:szCs w:val="11"/>
          <w:color w:val="auto"/>
        </w:rPr>
        <w:t>Under the terms of the amended facility agreement, we must also meet certain financial ratios. For any quarter, the "life of loan coverage ratio" (which is the ratio of our Fab 2 net cash flow to our total debt related to Fab</w:t>
      </w:r>
    </w:p>
    <w:p>
      <w:pPr>
        <w:ind w:left="7" w:right="4539"/>
        <w:spacing w:after="0" w:line="266" w:lineRule="auto"/>
        <w:rPr>
          <w:sz w:val="20"/>
          <w:szCs w:val="20"/>
          <w:color w:val="auto"/>
        </w:rPr>
      </w:pPr>
      <w:r>
        <w:rPr>
          <w:rFonts w:ascii="Courier New" w:cs="Courier New" w:eastAsia="Courier New" w:hAnsi="Courier New"/>
          <w:sz w:val="11"/>
          <w:szCs w:val="11"/>
          <w:color w:val="auto"/>
        </w:rPr>
        <w:t>2 in any quarter) is not permitted to be less than 1.3 at any time. In addition, our ratio of equity to assets is not permitted to be less than 0% until the end of 2006, 20% during 2007 and 30% thereafter, until the termination of the facility agreement. The facility agreement also provides that we must comply with additional financial covenants relating to quarterly sales and quarterly earnings before interest, taxes, depreciation and amortization (quarterly EBITDA). We anticipate that we will not be in compliance with all of the financial ratios and covenants under the facility agreement commencing in the fourth quarter of 2006. Under the terms of the amended facility agreement, satisfying these financial ratios and covenants is a material provision.</w:t>
      </w:r>
    </w:p>
    <w:p>
      <w:pPr>
        <w:spacing w:after="0" w:line="267" w:lineRule="exact"/>
        <w:rPr>
          <w:sz w:val="20"/>
          <w:szCs w:val="20"/>
          <w:color w:val="auto"/>
        </w:rPr>
      </w:pPr>
    </w:p>
    <w:p>
      <w:pPr>
        <w:ind w:left="7" w:right="4539" w:firstLine="357"/>
        <w:spacing w:after="0" w:line="265" w:lineRule="auto"/>
        <w:rPr>
          <w:sz w:val="20"/>
          <w:szCs w:val="20"/>
          <w:color w:val="auto"/>
        </w:rPr>
      </w:pPr>
      <w:r>
        <w:rPr>
          <w:rFonts w:ascii="Courier New" w:cs="Courier New" w:eastAsia="Courier New" w:hAnsi="Courier New"/>
          <w:sz w:val="11"/>
          <w:szCs w:val="11"/>
          <w:color w:val="auto"/>
        </w:rPr>
        <w:t>Our amended credit facility further provides that upon certain triggering events (such as the commencement of bankruptcy or receivership, proceedings against us ordered by a court of competent jurisdiction or the prior determination of an arbitrator that bankruptcy or receivership proceedings would be issued by a court against us were a petition to be filed with a court seeking reorganization or arrangement under applicable bankruptcy law or our requesting creditor protection), our banks will be able to bring a firm offer made by a potential investor to purchase our shares at the price provided in the offer. In such case, we shall be required thereafter to procure a rights offering to invest up to 60% of the amount of this offer on the same terms. If the offeror intends to purchase a majority of our outstanding share capital, the rights offering will be limited to allow for this, unless Israel Corp. and the wafer partners (excluding QuickLogic) agree to exercise in a rights offering rights applicable to their shareholdings and agree to purchase in a private placement enough shares to ensure that the full amount of the offer is invested.</w:t>
      </w:r>
    </w:p>
    <w:p>
      <w:pPr>
        <w:spacing w:after="0" w:line="132"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If, as a result of any default, our banks were to accelerate our obligations, we would be obligated to immediately repay all loans made by the banks, plus penalties, and the banks would be entitled to exercise the remedies available to them under the credit facility, including enforcement of their lien against all our assets. An event of default under the credit facility and the subsequent enforcement by the banks of their remedies under the credit facility may result in the cancellation of all or a portion of our Fab 2 Investment Center grants and tax benefits and in the Investment Center requiring us to repay all or a portion of grants already received (approximately $161 million as of May 31, 2006).</w:t>
      </w:r>
    </w:p>
    <w:p>
      <w:pPr>
        <w:spacing w:after="0" w:line="279"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56</w:t>
      </w:r>
    </w:p>
    <w:p>
      <w:pPr>
        <w:spacing w:after="0" w:line="200" w:lineRule="exact"/>
        <w:rPr>
          <w:sz w:val="20"/>
          <w:szCs w:val="20"/>
          <w:color w:val="auto"/>
        </w:rPr>
      </w:pPr>
    </w:p>
    <w:p>
      <w:pPr>
        <w:spacing w:after="0" w:line="335" w:lineRule="exact"/>
        <w:rPr>
          <w:sz w:val="20"/>
          <w:szCs w:val="20"/>
          <w:color w:val="auto"/>
        </w:rPr>
      </w:pPr>
    </w:p>
    <w:p>
      <w:pPr>
        <w:ind w:left="7" w:right="4539" w:firstLine="357"/>
        <w:spacing w:after="0" w:line="267" w:lineRule="auto"/>
        <w:rPr>
          <w:sz w:val="20"/>
          <w:szCs w:val="20"/>
          <w:color w:val="auto"/>
        </w:rPr>
      </w:pPr>
      <w:r>
        <w:rPr>
          <w:rFonts w:ascii="Courier New" w:cs="Courier New" w:eastAsia="Courier New" w:hAnsi="Courier New"/>
          <w:sz w:val="11"/>
          <w:szCs w:val="11"/>
          <w:color w:val="auto"/>
        </w:rPr>
        <w:t>In January 2001, we also issued the banks warrants to purchase an aggregate of 400,000 ordinary shares at a purchase price of $6.20 per share, which expired in January 2006. In December 2003, pursuant to the November 11, 2003 amendment to the credit facility, we issued our banks additional five year warrants to purchase an aggregate of 896,596 ordinary shares at a purchase price of $6.17 per share, exercisable until December 2008. Moreover, in connection with the</w:t>
      </w:r>
    </w:p>
    <w:p>
      <w:pPr>
        <w:sectPr>
          <w:pgSz w:w="11900" w:h="16918" w:orient="portrait"/>
          <w:cols w:equalWidth="0" w:num="1">
            <w:col w:w="10246"/>
          </w:cols>
          <w:pgMar w:left="213" w:top="141" w:right="1440" w:bottom="0" w:gutter="0" w:footer="0" w:header="0"/>
        </w:sectPr>
      </w:pPr>
    </w:p>
    <w:bookmarkStart w:id="29" w:name="page30"/>
    <w:bookmarkEnd w:id="29"/>
    <w:p>
      <w:pPr>
        <w:ind w:right="4679"/>
        <w:spacing w:after="0" w:line="268" w:lineRule="auto"/>
        <w:rPr>
          <w:sz w:val="20"/>
          <w:szCs w:val="20"/>
          <w:color w:val="auto"/>
        </w:rPr>
      </w:pPr>
      <w:r>
        <w:rPr>
          <w:rFonts w:ascii="Courier New" w:cs="Courier New" w:eastAsia="Courier New" w:hAnsi="Courier New"/>
          <w:sz w:val="11"/>
          <w:szCs w:val="11"/>
          <w:color w:val="auto"/>
        </w:rPr>
        <w:t>July 2005 amendment to the credit facility, we issued our banks five year warrants to purchase an aggregate of 8,264,464 ordinary shares at a purchase price of $1.21 per share, one-half of which or 4,132,232 are exercisable until August 2010 and one half shall only be exercisable when a definitive amendment to our facility agreement based on the May 2006 MOU with our banks closes.</w:t>
      </w:r>
    </w:p>
    <w:p>
      <w:pPr>
        <w:spacing w:after="0" w:line="128"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have registered liens in favor of our banks on substantially all of our present and future assets. The agreements with our banks restrict our ability to place liens on our assets (other than to the State of Israel in respect of investment grants and to Siliconix in respect of assets purchased under our agreement with it) without the prior consent of the banks.</w:t>
      </w:r>
    </w:p>
    <w:p>
      <w:pPr>
        <w:spacing w:after="0" w:line="141"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In May 2006, we signed an MOU with our banks for the refinancing of the $526.7 million in long term debt, which is described above under "Item 4 - Information on the Company - A. History and Development of the Company - Recent Developments.</w:t>
      </w:r>
    </w:p>
    <w:p>
      <w:pPr>
        <w:spacing w:after="0" w:line="142" w:lineRule="exact"/>
        <w:rPr>
          <w:sz w:val="20"/>
          <w:szCs w:val="20"/>
          <w:color w:val="auto"/>
        </w:rPr>
      </w:pPr>
    </w:p>
    <w:p>
      <w:pPr>
        <w:ind w:right="4539" w:firstLine="357"/>
        <w:spacing w:after="0" w:line="238" w:lineRule="auto"/>
        <w:rPr>
          <w:sz w:val="20"/>
          <w:szCs w:val="20"/>
          <w:color w:val="auto"/>
        </w:rPr>
      </w:pPr>
      <w:r>
        <w:rPr>
          <w:rFonts w:ascii="Courier New" w:cs="Courier New" w:eastAsia="Courier New" w:hAnsi="Courier New"/>
          <w:sz w:val="12"/>
          <w:szCs w:val="12"/>
          <w:color w:val="auto"/>
        </w:rPr>
        <w:t>For more information on our credit facility, see Note 11A(6) to our audited annual consolidated financial statements.</w:t>
      </w:r>
    </w:p>
    <w:p>
      <w:pPr>
        <w:spacing w:after="0" w:line="142"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INVESTMENT CENTER GRANTS. In December 2000, the Israeli government's Investment Center approved an investment program in connection with Fab 2. The approval certificate provides for government grants equal to 20% of qualified investments up to $1.25 billion (i.e., up to $250 million), subject to customary conditions and other conditions, including a requirement that approximately 30% of our Fab 2 funding consist of paid-in-capital and that $550 million of our Fab 2 funding be obtained by way of a credit facility from commercial banks (which amount was subsequently reduced to $500 million with the consent of the Investment Center). We have registered a lien on our assets for the benefit of the Investment Center which ranks subordinate to that of our banks. The approval certificate also provides for a tax holiday on all taxable income related to Fab 2 for the first two years of undistributed profitable operations. As of May 31, 2006, we had received $161 million in grants from the Investment Center, and satisfied in full the 30% requirement described above. As long as we comply with the terms of our approval certificate, we are not required to make royalty payments or any other payments under the terms of our Investment Center grants.</w:t>
      </w:r>
    </w:p>
    <w:p>
      <w:pPr>
        <w:spacing w:after="0" w:line="132" w:lineRule="exact"/>
        <w:rPr>
          <w:sz w:val="20"/>
          <w:szCs w:val="20"/>
          <w:color w:val="auto"/>
        </w:rPr>
      </w:pPr>
    </w:p>
    <w:p>
      <w:pPr>
        <w:ind w:right="4539" w:firstLine="357"/>
        <w:spacing w:after="0" w:line="242" w:lineRule="auto"/>
        <w:rPr>
          <w:sz w:val="20"/>
          <w:szCs w:val="20"/>
          <w:color w:val="auto"/>
        </w:rPr>
      </w:pPr>
      <w:r>
        <w:rPr>
          <w:rFonts w:ascii="Courier New" w:cs="Courier New" w:eastAsia="Courier New" w:hAnsi="Courier New"/>
          <w:sz w:val="12"/>
          <w:szCs w:val="12"/>
          <w:color w:val="auto"/>
        </w:rPr>
        <w:t>To be eligible to receive grants, we are required to invest minimum amounts on an annual basis. We notified the Investment Center of our reduced rate of annual investments and in July 2004, we received approval of our revised investment schedule from the Investment Center. In addition, we were required, but were unable to complete our Fab 2 investments by the end of 2005. Israeli law limits the ability of the Investment Center to extend this time limitation, unless approved through an expansion plan. We have been holding discussions with the Investment Center to achieve satisfactory arrangements to approve our request for a new expansion program to commence as of January 1, 2006. In 2005, at the Investment Center's request, we submitted a revised business plan to the Investment Center for the period commencing on January 1, 2006. There can be no assurance that we will obtain the Investment Center's approval for the new expansion program and we cannot estimate the outcome of our efforts to obtain such approval. See "Risk Factors -- If the Investment Center of the Israeli Ministry of Industry, Trade and Labor, or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close our operations".</w:t>
      </w:r>
    </w:p>
    <w:p>
      <w:pPr>
        <w:spacing w:after="0" w:line="27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57</w:t>
      </w:r>
    </w:p>
    <w:p>
      <w:pPr>
        <w:spacing w:after="0" w:line="200" w:lineRule="exact"/>
        <w:rPr>
          <w:sz w:val="20"/>
          <w:szCs w:val="20"/>
          <w:color w:val="auto"/>
        </w:rPr>
      </w:pPr>
    </w:p>
    <w:p>
      <w:pPr>
        <w:spacing w:after="0" w:line="335" w:lineRule="exact"/>
        <w:rPr>
          <w:sz w:val="20"/>
          <w:szCs w:val="20"/>
          <w:color w:val="auto"/>
        </w:rPr>
      </w:pPr>
    </w:p>
    <w:p>
      <w:pPr>
        <w:ind w:right="4599" w:firstLine="357"/>
        <w:spacing w:after="0" w:line="238" w:lineRule="auto"/>
        <w:rPr>
          <w:sz w:val="20"/>
          <w:szCs w:val="20"/>
          <w:color w:val="auto"/>
        </w:rPr>
      </w:pPr>
      <w:r>
        <w:rPr>
          <w:rFonts w:ascii="Courier New" w:cs="Courier New" w:eastAsia="Courier New" w:hAnsi="Courier New"/>
          <w:sz w:val="12"/>
          <w:szCs w:val="12"/>
          <w:color w:val="auto"/>
        </w:rPr>
        <w:t>Since the inception of our financing activity for Fab 2, we have completed the following public offerings: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SALE OF UNITS 2002. In January 2002, we completed a sale of units in Israel, composed of NIS 110,579,800 principal amount of convertible unsecured subordinated debentures and 2,211,596 options, resulting in net proceeds of approximately $21.5 million. Each debenture is NIS 1 in principal amount, and is adjusted to reflect increases in the Israeli Consumer Price Index and bears interest at a rate of 4.7% per annum, payable yearly commencing January 20, 2003. Principal is payable in four installments beginning in January of 2006 through 2009. Prior to December 31, 2008, the debentures are convertible into ordinary shares at a conversion rate of one ordinary share per NIS 41 principal amount of debentures linked to the Israel Consumer Price Index. Each option was exercisable into one ordinary share until January 20, 2006 at an exercise price of NIS 39, linked to the Israel Consumer Price Index. To date, all options expired and none were exercised.</w:t>
      </w:r>
    </w:p>
    <w:p>
      <w:pPr>
        <w:spacing w:after="0" w:line="14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RIGHTS OFFERING 2002. In September 2002, we distributed to our shareholders and certain of our employees in Israel and the United States rights to purchase ordinary shares and warrants to purchase our ordinary shares. Substantially all of the rights exercised in connection with the rights offering were exercised by Israel Corp. and our major wafer partners. The rights offering resulted in net proceeds of approximately $19.7 million.</w:t>
      </w:r>
    </w:p>
    <w:p>
      <w:pPr>
        <w:spacing w:after="0" w:line="142"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UNDERWRITTEN PUBLIC OFFERING. In January 2004, we completed an underwritten public offering in the United States of 11.44 million of our ordinary shares at a price to the public of $7.00 per share. The underwritten public offering resulted in net proceeds of approximately $75.1 million.</w:t>
      </w:r>
    </w:p>
    <w:p>
      <w:pPr>
        <w:spacing w:after="0" w:line="142" w:lineRule="exact"/>
        <w:rPr>
          <w:sz w:val="20"/>
          <w:szCs w:val="20"/>
          <w:color w:val="auto"/>
        </w:rPr>
      </w:pPr>
    </w:p>
    <w:p>
      <w:pPr>
        <w:ind w:right="4599" w:firstLine="357"/>
        <w:spacing w:after="0" w:line="242" w:lineRule="auto"/>
        <w:rPr>
          <w:sz w:val="20"/>
          <w:szCs w:val="20"/>
          <w:color w:val="auto"/>
        </w:rPr>
      </w:pPr>
      <w:r>
        <w:rPr>
          <w:rFonts w:ascii="Courier New" w:cs="Courier New" w:eastAsia="Courier New" w:hAnsi="Courier New"/>
          <w:sz w:val="12"/>
          <w:szCs w:val="12"/>
          <w:color w:val="auto"/>
        </w:rPr>
        <w:t>RIGHTS OFFERING 2005. In December 2005, we filed in Israel and the United States a prospectus for the distribution of transferable rights to purchase up to $50 million U.S. dollar denominated debentures that are convertible into up to approximately 45.5 million of our ordinary shares. In connection with the exercise of these rights, through January 2006, we issued, in the aggregate, 48.2 million convertible debentures, with each debenture of $1.00 in principal amount, or a total of $48.2 million principal amount of debentures, which bear annual interest at the rate of 5%. The principal of the debentures, together with accrued interest, is payable in one installment on January 12, 2012. The debentures are convertible into our ordinary shares at a rate of one ordinary share per $1.10 aggregate principal amount of debentures. The conversion price is subject to downward adjustment under certain circumstances in which we sell securities in future financings at a price per share which is lower than the conversion price, provided that such financings close through December 2006 (or under certain conditions, through June 2007). Subject to the terms of our facility agreement, we may at our option announce the early redemption of the debentures, provided that the outstanding aggregate balance of principal on account of the debentures is equal to or less than $500,000. The debentures and interest thereon are unsecured and rank behind our existing and future secured indebtedness, including indebtedness to our banks, as well as to the government of Israel in connection with grants we received under its approved enterprise programs and to Siliconix. For more information, see Note 13H to our audited annual consolidated financial statements.</w:t>
      </w:r>
    </w:p>
    <w:p>
      <w:pPr>
        <w:sectPr>
          <w:pgSz w:w="11900" w:h="16838" w:orient="portrait"/>
          <w:cols w:equalWidth="0" w:num="1">
            <w:col w:w="10239"/>
          </w:cols>
          <w:pgMar w:left="220" w:top="141" w:right="1440" w:bottom="0" w:gutter="0" w:footer="0" w:header="0"/>
        </w:sectPr>
      </w:pPr>
    </w:p>
    <w:p>
      <w:pPr>
        <w:spacing w:after="0" w:line="278" w:lineRule="exact"/>
        <w:rPr>
          <w:sz w:val="20"/>
          <w:szCs w:val="20"/>
          <w:color w:val="auto"/>
        </w:rPr>
      </w:pPr>
    </w:p>
    <w:p>
      <w:pPr>
        <w:ind w:left="2780"/>
        <w:spacing w:after="0"/>
        <w:rPr>
          <w:sz w:val="20"/>
          <w:szCs w:val="20"/>
          <w:color w:val="auto"/>
        </w:rPr>
      </w:pPr>
      <w:r>
        <w:rPr>
          <w:rFonts w:ascii="Courier New" w:cs="Courier New" w:eastAsia="Courier New" w:hAnsi="Courier New"/>
          <w:sz w:val="11"/>
          <w:szCs w:val="11"/>
          <w:color w:val="auto"/>
        </w:rPr>
        <w:t>58</w:t>
      </w:r>
    </w:p>
    <w:p>
      <w:pPr>
        <w:sectPr>
          <w:pgSz w:w="11900" w:h="16838" w:orient="portrait"/>
          <w:cols w:equalWidth="0" w:num="1">
            <w:col w:w="10239"/>
          </w:cols>
          <w:pgMar w:left="220" w:top="141" w:right="1440" w:bottom="0" w:gutter="0" w:footer="0" w:header="0"/>
          <w:type w:val="continuous"/>
        </w:sectPr>
      </w:pPr>
    </w:p>
    <w:bookmarkStart w:id="30" w:name="page31"/>
    <w:bookmarkEnd w:id="30"/>
    <w:p>
      <w:pPr>
        <w:ind w:left="7" w:right="4539" w:firstLine="357"/>
        <w:spacing w:after="0" w:line="264" w:lineRule="auto"/>
        <w:rPr>
          <w:sz w:val="20"/>
          <w:szCs w:val="20"/>
          <w:color w:val="auto"/>
        </w:rPr>
      </w:pPr>
      <w:r>
        <w:rPr>
          <w:rFonts w:ascii="Courier New" w:cs="Courier New" w:eastAsia="Courier New" w:hAnsi="Courier New"/>
          <w:sz w:val="11"/>
          <w:szCs w:val="11"/>
          <w:color w:val="auto"/>
        </w:rPr>
        <w:t>SALE OF UNITS 2006. In June 2006, we completed an underwritten public offering of our securities on the TASE in Israel resulting in gross proceeds of approximately NIS 140 million (approximately $31 million). In the offering, 78,000 Units were sold at a price per Unit of NIS 1,785 (approximately $400). Each Unit consists of (i) convertible debentures in the face amount of NIS 2,100 (approximately $470), (ii) five options each exercisable for three months for NIS 100 principal amount of convertible debentures at an exercise price equal to 85% of their face amount, (iii) 140 warrants each exercisable for three months for one Tower ordinary share at a price of NIS 6.75 (approximately $1.51) and</w:t>
      </w:r>
    </w:p>
    <w:p>
      <w:pPr>
        <w:spacing w:after="0" w:line="1" w:lineRule="exact"/>
        <w:rPr>
          <w:sz w:val="20"/>
          <w:szCs w:val="20"/>
          <w:color w:val="auto"/>
        </w:rPr>
      </w:pPr>
    </w:p>
    <w:p>
      <w:pPr>
        <w:ind w:left="7" w:right="4599" w:hanging="7"/>
        <w:spacing w:after="0" w:line="241" w:lineRule="auto"/>
        <w:tabs>
          <w:tab w:leader="none" w:pos="364"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70 warrants each exercisable for three years for one Tower ordinary share at a price of NIS 7.40 (approximately $1.66). The convertible debentures are convertible into Tower's ordinary shares at a conversion rate of one ordinary share per NIS 8.40 (approximately $1.89) principal amount of convertible debentures. The convertible debentures carry a zero coupon with principal payable at maturity in December 2011, at a premium of 37% over face value, linked to the Israeli Consumer Price Index (CPI). The conversion price is subject to reduction in certain limited circumstances. The offering was made in Israel to Israeli residents only. The securities offered were not registered under the Securities Act and may not be sold in the U.S. or to U.S. persons absent registration or an applicable exemption.</w:t>
      </w:r>
    </w:p>
    <w:p>
      <w:pPr>
        <w:spacing w:after="0" w:line="142" w:lineRule="exact"/>
        <w:rPr>
          <w:sz w:val="20"/>
          <w:szCs w:val="20"/>
          <w:color w:val="auto"/>
        </w:rPr>
      </w:pPr>
    </w:p>
    <w:p>
      <w:pPr>
        <w:ind w:left="707" w:hanging="350"/>
        <w:spacing w:after="0"/>
        <w:tabs>
          <w:tab w:leader="none" w:pos="707"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 PATENTS AND LICENSES</w:t>
      </w:r>
    </w:p>
    <w:p>
      <w:pPr>
        <w:spacing w:after="0" w:line="141" w:lineRule="exact"/>
        <w:rPr>
          <w:sz w:val="20"/>
          <w:szCs w:val="20"/>
          <w:color w:val="auto"/>
        </w:rPr>
      </w:pPr>
    </w:p>
    <w:p>
      <w:pPr>
        <w:ind w:left="7" w:right="4539" w:firstLine="357"/>
        <w:spacing w:after="0" w:line="265" w:lineRule="auto"/>
        <w:rPr>
          <w:sz w:val="20"/>
          <w:szCs w:val="20"/>
          <w:color w:val="auto"/>
        </w:rPr>
      </w:pPr>
      <w:r>
        <w:rPr>
          <w:rFonts w:ascii="Courier New" w:cs="Courier New" w:eastAsia="Courier New" w:hAnsi="Courier New"/>
          <w:sz w:val="11"/>
          <w:szCs w:val="11"/>
          <w:color w:val="auto"/>
        </w:rPr>
        <w:t>Our research and development activities have related primarily to our process development and microFLASH module design efforts, and have been sponsored and funded by us with some participation by the Israeli government. Research and development expenses for the years ended December 31, 2005, 2004 and 2003 were $16.0 million, $17.1 million and $20.7 million net of government participation of $1.0 million, $1.5 million and $1.1 million, respectively. We have also incurred costs in connection with the transfer of Toshiba and Freescale technology for use in Fab 2, some of which have been amortized over the estimated economic life of the technology following the commencement of production in Fab 2 during the third quarter of 2003 (see also in this Item "Critical Accounting Policies - Depreciation and Amortization of Fab 2 Assets"). For a description of our research &amp; development policies and our patents and licenses, see "Item 4. Information on the Company--4.B. Business Overview".</w:t>
      </w:r>
    </w:p>
    <w:p>
      <w:pPr>
        <w:spacing w:after="0" w:line="267" w:lineRule="exact"/>
        <w:rPr>
          <w:sz w:val="20"/>
          <w:szCs w:val="20"/>
          <w:color w:val="auto"/>
        </w:rPr>
      </w:pPr>
    </w:p>
    <w:p>
      <w:pPr>
        <w:ind w:left="707" w:hanging="350"/>
        <w:spacing w:after="0"/>
        <w:tabs>
          <w:tab w:leader="none" w:pos="707"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TREND INFORMATION</w:t>
      </w:r>
    </w:p>
    <w:p>
      <w:pPr>
        <w:spacing w:after="0" w:line="141" w:lineRule="exact"/>
        <w:rPr>
          <w:sz w:val="20"/>
          <w:szCs w:val="20"/>
          <w:color w:val="auto"/>
        </w:rPr>
      </w:pPr>
    </w:p>
    <w:p>
      <w:pPr>
        <w:ind w:left="7" w:right="4679" w:firstLine="357"/>
        <w:spacing w:after="0" w:line="241" w:lineRule="auto"/>
        <w:rPr>
          <w:sz w:val="20"/>
          <w:szCs w:val="20"/>
          <w:color w:val="auto"/>
        </w:rPr>
      </w:pPr>
      <w:r>
        <w:rPr>
          <w:rFonts w:ascii="Courier New" w:cs="Courier New" w:eastAsia="Courier New" w:hAnsi="Courier New"/>
          <w:sz w:val="12"/>
          <w:szCs w:val="12"/>
          <w:color w:val="auto"/>
        </w:rPr>
        <w:t>The semiconductor industry has historically been highly cyclical on a seasonal and long-term basis. On a long-term basis, the market has fluctuated, cycling through periods of weak demand, production overcapacity, excess inventory and lower sales prices and periods of strong demand, full capacity utilization, product shortages and higher sales prices.</w:t>
      </w:r>
    </w:p>
    <w:p>
      <w:pPr>
        <w:spacing w:after="0" w:line="275"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59</w:t>
      </w:r>
    </w:p>
    <w:p>
      <w:pPr>
        <w:spacing w:after="0" w:line="200" w:lineRule="exact"/>
        <w:rPr>
          <w:sz w:val="20"/>
          <w:szCs w:val="20"/>
          <w:color w:val="auto"/>
        </w:rPr>
      </w:pPr>
    </w:p>
    <w:p>
      <w:pPr>
        <w:spacing w:after="0" w:line="335" w:lineRule="exact"/>
        <w:rPr>
          <w:sz w:val="20"/>
          <w:szCs w:val="20"/>
          <w:color w:val="auto"/>
        </w:rPr>
      </w:pPr>
    </w:p>
    <w:p>
      <w:pPr>
        <w:ind w:left="7" w:right="4539" w:firstLine="357"/>
        <w:spacing w:after="0" w:line="266" w:lineRule="auto"/>
        <w:rPr>
          <w:sz w:val="20"/>
          <w:szCs w:val="20"/>
          <w:color w:val="auto"/>
        </w:rPr>
      </w:pPr>
      <w:r>
        <w:rPr>
          <w:rFonts w:ascii="Courier New" w:cs="Courier New" w:eastAsia="Courier New" w:hAnsi="Courier New"/>
          <w:sz w:val="11"/>
          <w:szCs w:val="11"/>
          <w:color w:val="auto"/>
        </w:rPr>
        <w:t>There is a trend within the semiconductor industry toward ever-smaller features and ever-growing wafer sizes. State-of-the-art fabs are currently using process geometries of 90-nanometer and below and wafer sizes of 300-mm. As demand for smaller geometries increases, there is downward pressure on the pricing of larger geometry products and increasing underutilization of fabs that are limited to manufacturing larger geometry products, which results in less profitability for manufacturers of larger geometry products. Fab 1 is limited to geometries of 0.35-micron and above on 150-mm wafers and Fab 2 currently offers process geometries of 0.18 and 0.13-micron and produces 200-mm wafers.</w:t>
      </w:r>
    </w:p>
    <w:p>
      <w:pPr>
        <w:spacing w:after="0" w:line="126" w:lineRule="exact"/>
        <w:rPr>
          <w:sz w:val="20"/>
          <w:szCs w:val="20"/>
          <w:color w:val="auto"/>
        </w:rPr>
      </w:pPr>
    </w:p>
    <w:p>
      <w:pPr>
        <w:ind w:left="707" w:hanging="350"/>
        <w:spacing w:after="0"/>
        <w:tabs>
          <w:tab w:leader="none" w:pos="707"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OFF-BALANCE SHEET ARRANGEMENTS</w:t>
      </w:r>
    </w:p>
    <w:p>
      <w:pPr>
        <w:spacing w:after="0" w:line="141" w:lineRule="exact"/>
        <w:rPr>
          <w:sz w:val="20"/>
          <w:szCs w:val="20"/>
          <w:color w:val="auto"/>
        </w:rPr>
      </w:pPr>
    </w:p>
    <w:p>
      <w:pPr>
        <w:ind w:left="7" w:right="4819" w:firstLine="357"/>
        <w:spacing w:after="0" w:line="272" w:lineRule="auto"/>
        <w:rPr>
          <w:sz w:val="20"/>
          <w:szCs w:val="20"/>
          <w:color w:val="auto"/>
        </w:rPr>
      </w:pPr>
      <w:r>
        <w:rPr>
          <w:rFonts w:ascii="Courier New" w:cs="Courier New" w:eastAsia="Courier New" w:hAnsi="Courier New"/>
          <w:sz w:val="11"/>
          <w:szCs w:val="11"/>
          <w:color w:val="auto"/>
        </w:rPr>
        <w:t>We are not a party to any material off-balance sheet arrangements. In addition, we have no unconsolidated special purpose financing or partnership entities that are likely to create material contingent obligations.</w:t>
      </w:r>
    </w:p>
    <w:p>
      <w:pPr>
        <w:spacing w:after="0" w:line="122" w:lineRule="exact"/>
        <w:rPr>
          <w:sz w:val="20"/>
          <w:szCs w:val="20"/>
          <w:color w:val="auto"/>
        </w:rPr>
      </w:pPr>
    </w:p>
    <w:p>
      <w:pPr>
        <w:ind w:left="707" w:hanging="350"/>
        <w:spacing w:after="0"/>
        <w:tabs>
          <w:tab w:leader="none" w:pos="707"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TABULAR DISCLOSURE OF CONTRACTUAL OBLIGATIONS</w:t>
      </w:r>
    </w:p>
    <w:p>
      <w:pPr>
        <w:spacing w:after="0" w:line="141" w:lineRule="exact"/>
        <w:rPr>
          <w:sz w:val="20"/>
          <w:szCs w:val="20"/>
          <w:color w:val="auto"/>
        </w:rPr>
      </w:pPr>
    </w:p>
    <w:p>
      <w:pPr>
        <w:ind w:left="7" w:right="4679" w:firstLine="357"/>
        <w:spacing w:after="0" w:line="238" w:lineRule="auto"/>
        <w:rPr>
          <w:sz w:val="20"/>
          <w:szCs w:val="20"/>
          <w:color w:val="auto"/>
        </w:rPr>
      </w:pPr>
      <w:r>
        <w:rPr>
          <w:rFonts w:ascii="Courier New" w:cs="Courier New" w:eastAsia="Courier New" w:hAnsi="Courier New"/>
          <w:sz w:val="12"/>
          <w:szCs w:val="12"/>
          <w:color w:val="auto"/>
        </w:rPr>
        <w:t>The following table summarizes our contractual obligations and commercial commitments as of December 31, 2005:</w:t>
      </w:r>
    </w:p>
    <w:p>
      <w:pPr>
        <w:spacing w:after="0" w:line="139"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PAYMENT DUE</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60" w:type="dxa"/>
            <w:vAlign w:val="bottom"/>
            <w:gridSpan w:val="7"/>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7"/>
        </w:trPr>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2"/>
                <w:szCs w:val="12"/>
                <w:color w:val="auto"/>
              </w:rPr>
              <w:t>LESS</w:t>
            </w: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THAN 1</w:t>
            </w: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AFTER 5</w:t>
            </w:r>
          </w:p>
        </w:tc>
      </w:tr>
      <w:tr>
        <w:trPr>
          <w:trHeight w:val="137"/>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CONTRACTUAL OBLIGATIONS</w:t>
            </w:r>
          </w:p>
        </w:tc>
        <w:tc>
          <w:tcPr>
            <w:tcW w:w="1000" w:type="dxa"/>
            <w:vAlign w:val="bottom"/>
          </w:tcPr>
          <w:p>
            <w:pPr>
              <w:ind w:left="320"/>
              <w:spacing w:after="0"/>
              <w:rPr>
                <w:sz w:val="20"/>
                <w:szCs w:val="20"/>
                <w:color w:val="auto"/>
              </w:rPr>
            </w:pPr>
            <w:r>
              <w:rPr>
                <w:rFonts w:ascii="Courier New" w:cs="Courier New" w:eastAsia="Courier New" w:hAnsi="Courier New"/>
                <w:sz w:val="12"/>
                <w:szCs w:val="12"/>
                <w:color w:val="auto"/>
              </w:rPr>
              <w:t>TOTAL</w:t>
            </w:r>
          </w:p>
        </w:tc>
        <w:tc>
          <w:tcPr>
            <w:tcW w:w="940" w:type="dxa"/>
            <w:vAlign w:val="bottom"/>
          </w:tcPr>
          <w:p>
            <w:pPr>
              <w:ind w:left="260"/>
              <w:spacing w:after="0"/>
              <w:rPr>
                <w:sz w:val="20"/>
                <w:szCs w:val="20"/>
                <w:color w:val="auto"/>
              </w:rPr>
            </w:pPr>
            <w:r>
              <w:rPr>
                <w:rFonts w:ascii="Courier New" w:cs="Courier New" w:eastAsia="Courier New" w:hAnsi="Courier New"/>
                <w:sz w:val="12"/>
                <w:szCs w:val="12"/>
                <w:color w:val="auto"/>
              </w:rPr>
              <w:t>YEAR</w:t>
            </w: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 YEARS</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 YEARS</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 YEARS</w:t>
            </w:r>
          </w:p>
        </w:tc>
        <w:tc>
          <w:tcPr>
            <w:tcW w:w="9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 YEARS</w:t>
            </w:r>
          </w:p>
        </w:tc>
        <w:tc>
          <w:tcPr>
            <w:tcW w:w="8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YEARS</w:t>
            </w:r>
          </w:p>
        </w:tc>
      </w:tr>
      <w:tr>
        <w:trPr>
          <w:trHeight w:val="137"/>
        </w:trPr>
        <w:tc>
          <w:tcPr>
            <w:tcW w:w="18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7"/>
              </w:rPr>
              <w:t>- -----------------------</w:t>
            </w:r>
          </w:p>
        </w:tc>
        <w:tc>
          <w:tcPr>
            <w:tcW w:w="100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ind w:left="260"/>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4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(IN THOUSANDS)</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4"/>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Short-term debt and</w:t>
            </w: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7"/>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other current</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liabilities (1)</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$ 65,533</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$ 65,533</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Long-term debt (2)</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615,307</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57,711</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183,272</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185,744</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174,115</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14,465</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0</w:t>
            </w:r>
          </w:p>
        </w:tc>
      </w:tr>
      <w:tr>
        <w:trPr>
          <w:trHeight w:val="274"/>
        </w:trPr>
        <w:tc>
          <w:tcPr>
            <w:tcW w:w="780" w:type="dxa"/>
            <w:vAlign w:val="bottom"/>
          </w:tcPr>
          <w:p>
            <w:pPr>
              <w:spacing w:after="0"/>
              <w:rPr>
                <w:sz w:val="20"/>
                <w:szCs w:val="20"/>
                <w:color w:val="auto"/>
              </w:rPr>
            </w:pPr>
            <w:r>
              <w:rPr>
                <w:rFonts w:ascii="Courier New" w:cs="Courier New" w:eastAsia="Courier New" w:hAnsi="Courier New"/>
                <w:sz w:val="12"/>
                <w:szCs w:val="12"/>
                <w:color w:val="auto"/>
                <w:w w:val="95"/>
              </w:rPr>
              <w:t>Convertible</w:t>
            </w: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7"/>
        </w:trPr>
        <w:tc>
          <w:tcPr>
            <w:tcW w:w="780" w:type="dxa"/>
            <w:vAlign w:val="bottom"/>
          </w:tcPr>
          <w:p>
            <w:pPr>
              <w:spacing w:after="0"/>
              <w:rPr>
                <w:sz w:val="20"/>
                <w:szCs w:val="20"/>
                <w:color w:val="auto"/>
              </w:rPr>
            </w:pPr>
            <w:r>
              <w:rPr>
                <w:rFonts w:ascii="Courier New" w:cs="Courier New" w:eastAsia="Courier New" w:hAnsi="Courier New"/>
                <w:sz w:val="12"/>
                <w:szCs w:val="12"/>
                <w:color w:val="auto"/>
              </w:rPr>
              <w:t>Debentures</w:t>
            </w:r>
          </w:p>
        </w:tc>
        <w:tc>
          <w:tcPr>
            <w:tcW w:w="1100" w:type="dxa"/>
            <w:vAlign w:val="bottom"/>
          </w:tcPr>
          <w:p>
            <w:pPr>
              <w:jc w:val="right"/>
              <w:ind w:right="821"/>
              <w:spacing w:after="0"/>
              <w:rPr>
                <w:sz w:val="20"/>
                <w:szCs w:val="20"/>
                <w:color w:val="auto"/>
              </w:rPr>
            </w:pPr>
            <w:r>
              <w:rPr>
                <w:rFonts w:ascii="Courier New" w:cs="Courier New" w:eastAsia="Courier New" w:hAnsi="Courier New"/>
                <w:sz w:val="12"/>
                <w:szCs w:val="12"/>
                <w:color w:val="auto"/>
                <w:w w:val="92"/>
              </w:rPr>
              <w:t>(3)</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63,287</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7,740</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7,434</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7,128</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6,822</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0</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34,163</w:t>
            </w:r>
          </w:p>
        </w:tc>
      </w:tr>
      <w:tr>
        <w:trPr>
          <w:trHeight w:val="274"/>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Operating leases (4)</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4,822</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2,293</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1,817</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712</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0</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0</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0</w:t>
            </w:r>
          </w:p>
        </w:tc>
      </w:tr>
      <w:tr>
        <w:trPr>
          <w:trHeight w:val="274"/>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Construction and</w:t>
            </w: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7"/>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equipment purchase</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780" w:type="dxa"/>
            <w:vAlign w:val="bottom"/>
          </w:tcPr>
          <w:p>
            <w:pPr>
              <w:spacing w:after="0"/>
              <w:rPr>
                <w:sz w:val="20"/>
                <w:szCs w:val="20"/>
                <w:color w:val="auto"/>
              </w:rPr>
            </w:pPr>
            <w:r>
              <w:rPr>
                <w:rFonts w:ascii="Courier New" w:cs="Courier New" w:eastAsia="Courier New" w:hAnsi="Courier New"/>
                <w:sz w:val="12"/>
                <w:szCs w:val="12"/>
                <w:color w:val="auto"/>
              </w:rPr>
              <w:t>agreements</w:t>
            </w:r>
          </w:p>
        </w:tc>
        <w:tc>
          <w:tcPr>
            <w:tcW w:w="1100" w:type="dxa"/>
            <w:vAlign w:val="bottom"/>
          </w:tcPr>
          <w:p>
            <w:pPr>
              <w:spacing w:after="0"/>
              <w:rPr>
                <w:sz w:val="11"/>
                <w:szCs w:val="11"/>
                <w:color w:val="auto"/>
              </w:rPr>
            </w:pP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15,018</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10,218</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4,800</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0</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0</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0</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0</w:t>
            </w:r>
          </w:p>
        </w:tc>
      </w:tr>
      <w:tr>
        <w:trPr>
          <w:trHeight w:val="274"/>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Siliconix advance</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19,615</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1,593</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2,585</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2,168</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2,123</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2,123</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9,023</w:t>
            </w:r>
          </w:p>
        </w:tc>
      </w:tr>
      <w:tr>
        <w:trPr>
          <w:trHeight w:val="274"/>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Other long-term</w:t>
            </w: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7"/>
        </w:trPr>
        <w:tc>
          <w:tcPr>
            <w:tcW w:w="780" w:type="dxa"/>
            <w:vAlign w:val="bottom"/>
          </w:tcPr>
          <w:p>
            <w:pPr>
              <w:spacing w:after="0"/>
              <w:rPr>
                <w:sz w:val="20"/>
                <w:szCs w:val="20"/>
                <w:color w:val="auto"/>
              </w:rPr>
            </w:pPr>
            <w:r>
              <w:rPr>
                <w:rFonts w:ascii="Courier New" w:cs="Courier New" w:eastAsia="Courier New" w:hAnsi="Courier New"/>
                <w:sz w:val="12"/>
                <w:szCs w:val="12"/>
                <w:color w:val="auto"/>
                <w:w w:val="95"/>
              </w:rPr>
              <w:t>liabilities</w:t>
            </w:r>
          </w:p>
        </w:tc>
        <w:tc>
          <w:tcPr>
            <w:tcW w:w="1100" w:type="dxa"/>
            <w:vAlign w:val="bottom"/>
          </w:tcPr>
          <w:p>
            <w:pPr>
              <w:spacing w:after="0"/>
              <w:rPr>
                <w:sz w:val="11"/>
                <w:szCs w:val="11"/>
                <w:color w:val="auto"/>
              </w:rPr>
            </w:pP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14,418</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1,414</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7,516</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561</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140</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0</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4,787</w:t>
            </w:r>
          </w:p>
        </w:tc>
      </w:tr>
      <w:tr>
        <w:trPr>
          <w:trHeight w:val="274"/>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purchase obligations (5)</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31,695</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3,239</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2,688</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2,688</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2,688</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2,688</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17,704</w:t>
            </w:r>
          </w:p>
        </w:tc>
      </w:tr>
      <w:tr>
        <w:trPr>
          <w:trHeight w:val="137"/>
        </w:trPr>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4"/>
        </w:trPr>
        <w:tc>
          <w:tcPr>
            <w:tcW w:w="1880" w:type="dxa"/>
            <w:vAlign w:val="bottom"/>
            <w:gridSpan w:val="2"/>
          </w:tcPr>
          <w:p>
            <w:pPr>
              <w:spacing w:after="0"/>
              <w:rPr>
                <w:sz w:val="20"/>
                <w:szCs w:val="20"/>
                <w:color w:val="auto"/>
              </w:rPr>
            </w:pPr>
            <w:r>
              <w:rPr>
                <w:rFonts w:ascii="Courier New" w:cs="Courier New" w:eastAsia="Courier New" w:hAnsi="Courier New"/>
                <w:sz w:val="12"/>
                <w:szCs w:val="12"/>
                <w:color w:val="auto"/>
              </w:rPr>
              <w:t>TOTAL CONTRACTUAL</w:t>
            </w: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37"/>
        </w:trPr>
        <w:tc>
          <w:tcPr>
            <w:tcW w:w="780" w:type="dxa"/>
            <w:vAlign w:val="bottom"/>
          </w:tcPr>
          <w:p>
            <w:pPr>
              <w:spacing w:after="0"/>
              <w:rPr>
                <w:sz w:val="20"/>
                <w:szCs w:val="20"/>
                <w:color w:val="auto"/>
              </w:rPr>
            </w:pPr>
            <w:r>
              <w:rPr>
                <w:rFonts w:ascii="Courier New" w:cs="Courier New" w:eastAsia="Courier New" w:hAnsi="Courier New"/>
                <w:sz w:val="12"/>
                <w:szCs w:val="12"/>
                <w:color w:val="auto"/>
                <w:w w:val="95"/>
              </w:rPr>
              <w:t>OBLIGATIONS</w:t>
            </w:r>
          </w:p>
        </w:tc>
        <w:tc>
          <w:tcPr>
            <w:tcW w:w="1100" w:type="dxa"/>
            <w:vAlign w:val="bottom"/>
          </w:tcPr>
          <w:p>
            <w:pPr>
              <w:spacing w:after="0"/>
              <w:rPr>
                <w:sz w:val="11"/>
                <w:szCs w:val="11"/>
                <w:color w:val="auto"/>
              </w:rPr>
            </w:pP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829,695</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149,741</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210,112</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199,001</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185,888</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19,276</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65,677</w:t>
            </w:r>
          </w:p>
        </w:tc>
      </w:tr>
      <w:tr>
        <w:trPr>
          <w:trHeight w:val="137"/>
        </w:trPr>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279" w:lineRule="exact"/>
        <w:rPr>
          <w:sz w:val="20"/>
          <w:szCs w:val="20"/>
          <w:color w:val="auto"/>
        </w:rPr>
      </w:pPr>
    </w:p>
    <w:p>
      <w:pPr>
        <w:ind w:left="367" w:right="4759" w:hanging="367"/>
        <w:spacing w:after="0" w:line="280" w:lineRule="auto"/>
        <w:tabs>
          <w:tab w:leader="none" w:pos="367"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Short-term debt and other current liabilities include our trade accounts payable for equipment and services that have already been supplied.</w:t>
      </w:r>
    </w:p>
    <w:p>
      <w:pPr>
        <w:spacing w:after="0" w:line="120" w:lineRule="exact"/>
        <w:rPr>
          <w:rFonts w:ascii="Courier New" w:cs="Courier New" w:eastAsia="Courier New" w:hAnsi="Courier New"/>
          <w:sz w:val="11"/>
          <w:szCs w:val="11"/>
          <w:color w:val="auto"/>
        </w:rPr>
      </w:pPr>
    </w:p>
    <w:p>
      <w:pPr>
        <w:jc w:val="both"/>
        <w:ind w:left="367" w:right="4599" w:hanging="367"/>
        <w:spacing w:after="0" w:line="239" w:lineRule="auto"/>
        <w:tabs>
          <w:tab w:leader="none" w:pos="367"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Long-term debt includes principal and interest payments in accordance with the terms of the credit facility, amended in November 2003, as well as the impact of our hedging transactions.</w:t>
      </w:r>
    </w:p>
    <w:p>
      <w:pPr>
        <w:spacing w:after="0" w:line="142" w:lineRule="exact"/>
        <w:rPr>
          <w:rFonts w:ascii="Courier New" w:cs="Courier New" w:eastAsia="Courier New" w:hAnsi="Courier New"/>
          <w:sz w:val="12"/>
          <w:szCs w:val="12"/>
          <w:color w:val="auto"/>
        </w:rPr>
      </w:pPr>
    </w:p>
    <w:p>
      <w:pPr>
        <w:ind w:left="367" w:right="4899" w:hanging="367"/>
        <w:spacing w:after="0" w:line="238" w:lineRule="auto"/>
        <w:tabs>
          <w:tab w:leader="none" w:pos="367"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amounts include expected principal and interest payments for the presented periods.</w:t>
      </w:r>
    </w:p>
    <w:p>
      <w:pPr>
        <w:sectPr>
          <w:pgSz w:w="11900" w:h="16838" w:orient="portrait"/>
          <w:cols w:equalWidth="0" w:num="1">
            <w:col w:w="10246"/>
          </w:cols>
          <w:pgMar w:left="213" w:top="553" w:right="1440" w:bottom="0" w:gutter="0" w:footer="0" w:header="0"/>
        </w:sectPr>
      </w:pPr>
    </w:p>
    <w:bookmarkStart w:id="31" w:name="page32"/>
    <w:bookmarkEnd w:id="31"/>
    <w:p>
      <w:pPr>
        <w:spacing w:after="0" w:line="63" w:lineRule="exact"/>
        <w:rPr>
          <w:sz w:val="20"/>
          <w:szCs w:val="20"/>
          <w:color w:val="auto"/>
        </w:rPr>
      </w:pPr>
    </w:p>
    <w:p>
      <w:pPr>
        <w:ind w:left="367" w:right="4599" w:hanging="367"/>
        <w:spacing w:after="0"/>
        <w:tabs>
          <w:tab w:leader="none" w:pos="367"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These amounts primarily consist of ordered equipment that has not yet been received. In addition to these contractual obligations, we have committed approximately $1.1 million in standby letters of credit and guarantees to secure our Fab 2 construction and equipment obligations.</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60</w:t>
      </w:r>
    </w:p>
    <w:p>
      <w:pPr>
        <w:spacing w:after="0" w:line="200" w:lineRule="exact"/>
        <w:rPr>
          <w:sz w:val="20"/>
          <w:szCs w:val="20"/>
          <w:color w:val="auto"/>
        </w:rPr>
      </w:pPr>
    </w:p>
    <w:p>
      <w:pPr>
        <w:spacing w:after="0" w:line="335"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sales revenues, the volume of business and hourly-based fees. In addition, the above table does not include our long-term liability with respect to our wafer partner advances, which as of December 31, 2005, amounted to approximately 41.0 million that may be utilized by them against future purchases of Fab 2 products. We are unable to reasonably estimate the total amounts that may be utilized by our wafer partners since we can not reasonably estimate their future orders in the periods set forth in the above chart; and even if we could reasonably estimate our wafer partners' future orders, we are unable to determine which portion of the advances they are entitled to utilize against purchases will be chosen by them to be converted into our fully paid ordinary shares, as provided under the amendments to our agreements with our wafer partners (see "Fab 2 Agreements").</w:t>
      </w:r>
    </w:p>
    <w:p>
      <w:pPr>
        <w:spacing w:after="0" w:line="147" w:lineRule="exact"/>
        <w:rPr>
          <w:sz w:val="20"/>
          <w:szCs w:val="20"/>
          <w:color w:val="auto"/>
        </w:rPr>
      </w:pPr>
    </w:p>
    <w:p>
      <w:pPr>
        <w:ind w:left="7"/>
        <w:spacing w:after="0"/>
        <w:tabs>
          <w:tab w:leader="none" w:pos="686" w:val="left"/>
        </w:tabs>
        <w:rPr>
          <w:sz w:val="20"/>
          <w:szCs w:val="20"/>
          <w:color w:val="auto"/>
        </w:rPr>
      </w:pPr>
      <w:r>
        <w:rPr>
          <w:rFonts w:ascii="Courier New" w:cs="Courier New" w:eastAsia="Courier New" w:hAnsi="Courier New"/>
          <w:sz w:val="12"/>
          <w:szCs w:val="12"/>
          <w:color w:val="auto"/>
        </w:rPr>
        <w:t>ITEM 6.</w:t>
      </w:r>
      <w:r>
        <w:rPr>
          <w:sz w:val="20"/>
          <w:szCs w:val="20"/>
          <w:color w:val="auto"/>
        </w:rPr>
        <w:tab/>
      </w:r>
      <w:r>
        <w:rPr>
          <w:rFonts w:ascii="Courier New" w:cs="Courier New" w:eastAsia="Courier New" w:hAnsi="Courier New"/>
          <w:sz w:val="11"/>
          <w:szCs w:val="11"/>
          <w:color w:val="auto"/>
        </w:rPr>
        <w:t>DIRECTORS, SENIOR MANAGEMENT AND EMPLOYEES</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 DIRECTORS AND SENIOR MANAGEMENT</w:t>
      </w:r>
    </w:p>
    <w:p>
      <w:pPr>
        <w:spacing w:after="0" w:line="141" w:lineRule="exact"/>
        <w:rPr>
          <w:sz w:val="20"/>
          <w:szCs w:val="20"/>
          <w:color w:val="auto"/>
        </w:rPr>
      </w:pPr>
    </w:p>
    <w:p>
      <w:pPr>
        <w:ind w:left="7" w:right="4539" w:firstLine="357"/>
        <w:spacing w:after="0" w:line="238" w:lineRule="auto"/>
        <w:rPr>
          <w:sz w:val="20"/>
          <w:szCs w:val="20"/>
          <w:color w:val="auto"/>
        </w:rPr>
      </w:pPr>
      <w:r>
        <w:rPr>
          <w:rFonts w:ascii="Courier New" w:cs="Courier New" w:eastAsia="Courier New" w:hAnsi="Courier New"/>
          <w:sz w:val="12"/>
          <w:szCs w:val="12"/>
          <w:color w:val="auto"/>
        </w:rPr>
        <w:t>Set forth below is information regarding the members of our administrative, supervisory or management bodies and our directors.</w:t>
      </w:r>
    </w:p>
    <w:p>
      <w:pPr>
        <w:spacing w:after="0" w:line="276"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61</w:t>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1787"/>
        <w:spacing w:after="0"/>
        <w:tabs>
          <w:tab w:leader="none" w:pos="2266" w:val="left"/>
        </w:tabs>
        <w:rPr>
          <w:sz w:val="20"/>
          <w:szCs w:val="20"/>
          <w:color w:val="auto"/>
        </w:rPr>
      </w:pPr>
      <w:r>
        <w:rPr>
          <w:rFonts w:ascii="Courier New" w:cs="Courier New" w:eastAsia="Courier New" w:hAnsi="Courier New"/>
          <w:sz w:val="12"/>
          <w:szCs w:val="12"/>
          <w:color w:val="auto"/>
        </w:rPr>
        <w:t>AGE</w:t>
      </w:r>
      <w:r>
        <w:rPr>
          <w:sz w:val="20"/>
          <w:szCs w:val="20"/>
          <w:color w:val="auto"/>
        </w:rPr>
        <w:tab/>
      </w:r>
      <w:r>
        <w:rPr>
          <w:rFonts w:ascii="Courier New" w:cs="Courier New" w:eastAsia="Courier New" w:hAnsi="Courier New"/>
          <w:sz w:val="12"/>
          <w:szCs w:val="12"/>
          <w:color w:val="auto"/>
        </w:rPr>
        <w:t>TITLE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Russell C. Ellwanger</w:t>
      </w:r>
      <w:r>
        <w:rPr>
          <w:sz w:val="20"/>
          <w:szCs w:val="20"/>
          <w:color w:val="auto"/>
        </w:rPr>
        <w:tab/>
      </w:r>
      <w:r>
        <w:rPr>
          <w:rFonts w:ascii="Courier New" w:cs="Courier New" w:eastAsia="Courier New" w:hAnsi="Courier New"/>
          <w:sz w:val="12"/>
          <w:szCs w:val="12"/>
          <w:color w:val="auto"/>
        </w:rPr>
        <w:t>51</w:t>
      </w:r>
      <w:r>
        <w:rPr>
          <w:sz w:val="20"/>
          <w:szCs w:val="20"/>
          <w:color w:val="auto"/>
        </w:rPr>
        <w:tab/>
      </w:r>
      <w:r>
        <w:rPr>
          <w:rFonts w:ascii="Courier New" w:cs="Courier New" w:eastAsia="Courier New" w:hAnsi="Courier New"/>
          <w:sz w:val="11"/>
          <w:szCs w:val="11"/>
          <w:color w:val="auto"/>
        </w:rPr>
        <w:t>Chief Executive Officer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Oren Shirazi</w:t>
      </w:r>
      <w:r>
        <w:rPr>
          <w:sz w:val="20"/>
          <w:szCs w:val="20"/>
          <w:color w:val="auto"/>
        </w:rPr>
        <w:tab/>
      </w:r>
      <w:r>
        <w:rPr>
          <w:rFonts w:ascii="Courier New" w:cs="Courier New" w:eastAsia="Courier New" w:hAnsi="Courier New"/>
          <w:sz w:val="12"/>
          <w:szCs w:val="12"/>
          <w:color w:val="auto"/>
        </w:rPr>
        <w:t>36</w:t>
      </w:r>
      <w:r>
        <w:rPr>
          <w:sz w:val="20"/>
          <w:szCs w:val="20"/>
          <w:color w:val="auto"/>
        </w:rPr>
        <w:tab/>
      </w:r>
      <w:r>
        <w:rPr>
          <w:rFonts w:ascii="Courier New" w:cs="Courier New" w:eastAsia="Courier New" w:hAnsi="Courier New"/>
          <w:sz w:val="11"/>
          <w:szCs w:val="11"/>
          <w:color w:val="auto"/>
        </w:rPr>
        <w:t>Acting Chief Financial Officer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Dudu Vidan</w:t>
      </w:r>
      <w:r>
        <w:rPr>
          <w:sz w:val="20"/>
          <w:szCs w:val="20"/>
          <w:color w:val="auto"/>
        </w:rPr>
        <w:tab/>
      </w:r>
      <w:r>
        <w:rPr>
          <w:rFonts w:ascii="Courier New" w:cs="Courier New" w:eastAsia="Courier New" w:hAnsi="Courier New"/>
          <w:sz w:val="12"/>
          <w:szCs w:val="12"/>
          <w:color w:val="auto"/>
        </w:rPr>
        <w:t>45</w:t>
      </w:r>
      <w:r>
        <w:rPr>
          <w:sz w:val="20"/>
          <w:szCs w:val="20"/>
          <w:color w:val="auto"/>
        </w:rPr>
        <w:tab/>
      </w:r>
      <w:r>
        <w:rPr>
          <w:rFonts w:ascii="Courier New" w:cs="Courier New" w:eastAsia="Courier New" w:hAnsi="Courier New"/>
          <w:sz w:val="11"/>
          <w:szCs w:val="11"/>
          <w:color w:val="auto"/>
        </w:rPr>
        <w:t>Vice President and Fab 1 Manager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Dr. Itzhak Edrei</w:t>
      </w:r>
      <w:r>
        <w:rPr>
          <w:sz w:val="20"/>
          <w:szCs w:val="20"/>
          <w:color w:val="auto"/>
        </w:rPr>
        <w:tab/>
      </w:r>
      <w:r>
        <w:rPr>
          <w:rFonts w:ascii="Courier New" w:cs="Courier New" w:eastAsia="Courier New" w:hAnsi="Courier New"/>
          <w:sz w:val="12"/>
          <w:szCs w:val="12"/>
          <w:color w:val="auto"/>
        </w:rPr>
        <w:t>46</w:t>
      </w:r>
      <w:r>
        <w:rPr>
          <w:sz w:val="20"/>
          <w:szCs w:val="20"/>
          <w:color w:val="auto"/>
        </w:rPr>
        <w:tab/>
      </w:r>
      <w:r>
        <w:rPr>
          <w:rFonts w:ascii="Courier New" w:cs="Courier New" w:eastAsia="Courier New" w:hAnsi="Courier New"/>
          <w:sz w:val="11"/>
          <w:szCs w:val="11"/>
          <w:color w:val="auto"/>
        </w:rPr>
        <w:t>Senior Vice President of Product Lines and Sales</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Rafi Nave</w:t>
      </w:r>
      <w:r>
        <w:rPr>
          <w:sz w:val="20"/>
          <w:szCs w:val="20"/>
          <w:color w:val="auto"/>
        </w:rPr>
        <w:tab/>
      </w:r>
      <w:r>
        <w:rPr>
          <w:rFonts w:ascii="Courier New" w:cs="Courier New" w:eastAsia="Courier New" w:hAnsi="Courier New"/>
          <w:sz w:val="12"/>
          <w:szCs w:val="12"/>
          <w:color w:val="auto"/>
        </w:rPr>
        <w:t>56</w:t>
      </w:r>
      <w:r>
        <w:rPr>
          <w:sz w:val="20"/>
          <w:szCs w:val="20"/>
          <w:color w:val="auto"/>
        </w:rPr>
        <w:tab/>
      </w:r>
      <w:r>
        <w:rPr>
          <w:rFonts w:ascii="Courier New" w:cs="Courier New" w:eastAsia="Courier New" w:hAnsi="Courier New"/>
          <w:sz w:val="11"/>
          <w:szCs w:val="11"/>
          <w:color w:val="auto"/>
        </w:rPr>
        <w:t>Chief Technology Officer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Ephie Koltin</w:t>
      </w:r>
      <w:r>
        <w:rPr>
          <w:sz w:val="20"/>
          <w:szCs w:val="20"/>
          <w:color w:val="auto"/>
        </w:rPr>
        <w:tab/>
      </w:r>
      <w:r>
        <w:rPr>
          <w:rFonts w:ascii="Courier New" w:cs="Courier New" w:eastAsia="Courier New" w:hAnsi="Courier New"/>
          <w:sz w:val="12"/>
          <w:szCs w:val="12"/>
          <w:color w:val="auto"/>
        </w:rPr>
        <w:t>44</w:t>
      </w:r>
      <w:r>
        <w:rPr>
          <w:sz w:val="20"/>
          <w:szCs w:val="20"/>
          <w:color w:val="auto"/>
        </w:rPr>
        <w:tab/>
      </w:r>
      <w:r>
        <w:rPr>
          <w:rFonts w:ascii="Courier New" w:cs="Courier New" w:eastAsia="Courier New" w:hAnsi="Courier New"/>
          <w:sz w:val="11"/>
          <w:szCs w:val="11"/>
          <w:color w:val="auto"/>
        </w:rPr>
        <w:t>Vice President of Business Development</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Dalit Dahan</w:t>
      </w:r>
      <w:r>
        <w:rPr>
          <w:sz w:val="20"/>
          <w:szCs w:val="20"/>
          <w:color w:val="auto"/>
        </w:rPr>
        <w:tab/>
      </w:r>
      <w:r>
        <w:rPr>
          <w:rFonts w:ascii="Courier New" w:cs="Courier New" w:eastAsia="Courier New" w:hAnsi="Courier New"/>
          <w:sz w:val="12"/>
          <w:szCs w:val="12"/>
          <w:color w:val="auto"/>
        </w:rPr>
        <w:t>38</w:t>
      </w:r>
      <w:r>
        <w:rPr>
          <w:sz w:val="20"/>
          <w:szCs w:val="20"/>
          <w:color w:val="auto"/>
        </w:rPr>
        <w:tab/>
      </w:r>
      <w:r>
        <w:rPr>
          <w:rFonts w:ascii="Courier New" w:cs="Courier New" w:eastAsia="Courier New" w:hAnsi="Courier New"/>
          <w:sz w:val="11"/>
          <w:szCs w:val="11"/>
          <w:color w:val="auto"/>
        </w:rPr>
        <w:t>Vice President of Human Resources</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1520" w:type="dxa"/>
            <w:vAlign w:val="bottom"/>
            <w:gridSpan w:val="3"/>
          </w:tcPr>
          <w:p>
            <w:pPr>
              <w:spacing w:after="0"/>
              <w:rPr>
                <w:sz w:val="20"/>
                <w:szCs w:val="20"/>
                <w:color w:val="auto"/>
              </w:rPr>
            </w:pPr>
            <w:r>
              <w:rPr>
                <w:rFonts w:ascii="Courier New" w:cs="Courier New" w:eastAsia="Courier New" w:hAnsi="Courier New"/>
                <w:sz w:val="12"/>
                <w:szCs w:val="12"/>
                <w:color w:val="auto"/>
              </w:rPr>
              <w:t>Shimon Dahan</w:t>
            </w:r>
          </w:p>
        </w:tc>
        <w:tc>
          <w:tcPr>
            <w:tcW w:w="5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43</w:t>
            </w:r>
          </w:p>
        </w:tc>
        <w:tc>
          <w:tcPr>
            <w:tcW w:w="5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Vice</w:t>
            </w:r>
          </w:p>
        </w:tc>
        <w:tc>
          <w:tcPr>
            <w:tcW w:w="720" w:type="dxa"/>
            <w:vAlign w:val="bottom"/>
          </w:tcPr>
          <w:p>
            <w:pPr>
              <w:ind w:left="40"/>
              <w:spacing w:after="0"/>
              <w:rPr>
                <w:sz w:val="20"/>
                <w:szCs w:val="20"/>
                <w:color w:val="auto"/>
              </w:rPr>
            </w:pPr>
            <w:r>
              <w:rPr>
                <w:rFonts w:ascii="Courier New" w:cs="Courier New" w:eastAsia="Courier New" w:hAnsi="Courier New"/>
                <w:sz w:val="12"/>
                <w:szCs w:val="12"/>
                <w:color w:val="auto"/>
              </w:rPr>
              <w:t>President</w:t>
            </w:r>
          </w:p>
        </w:tc>
        <w:tc>
          <w:tcPr>
            <w:tcW w:w="1240" w:type="dxa"/>
            <w:vAlign w:val="bottom"/>
          </w:tcPr>
          <w:p>
            <w:pPr>
              <w:ind w:left="20"/>
              <w:spacing w:after="0"/>
              <w:rPr>
                <w:sz w:val="20"/>
                <w:szCs w:val="20"/>
                <w:color w:val="auto"/>
              </w:rPr>
            </w:pPr>
            <w:r>
              <w:rPr>
                <w:rFonts w:ascii="Courier New" w:cs="Courier New" w:eastAsia="Courier New" w:hAnsi="Courier New"/>
                <w:sz w:val="12"/>
                <w:szCs w:val="12"/>
                <w:color w:val="auto"/>
              </w:rPr>
              <w:t>of Manufacturing</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Services</w:t>
            </w:r>
          </w:p>
        </w:tc>
      </w:tr>
      <w:tr>
        <w:trPr>
          <w:trHeight w:val="137"/>
        </w:trPr>
        <w:tc>
          <w:tcPr>
            <w:tcW w:w="1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7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6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320" w:type="dxa"/>
            <w:vAlign w:val="bottom"/>
            <w:gridSpan w:val="2"/>
          </w:tcPr>
          <w:p>
            <w:pPr>
              <w:spacing w:after="0"/>
              <w:rPr>
                <w:sz w:val="20"/>
                <w:szCs w:val="20"/>
                <w:color w:val="auto"/>
              </w:rPr>
            </w:pPr>
            <w:r>
              <w:rPr>
                <w:rFonts w:ascii="Courier New" w:cs="Courier New" w:eastAsia="Courier New" w:hAnsi="Courier New"/>
                <w:sz w:val="12"/>
                <w:szCs w:val="12"/>
                <w:color w:val="auto"/>
              </w:rPr>
              <w:t>Nati</w:t>
            </w:r>
          </w:p>
        </w:tc>
        <w:tc>
          <w:tcPr>
            <w:tcW w:w="1200" w:type="dxa"/>
            <w:vAlign w:val="bottom"/>
          </w:tcPr>
          <w:p>
            <w:pPr>
              <w:ind w:left="40"/>
              <w:spacing w:after="0"/>
              <w:rPr>
                <w:sz w:val="20"/>
                <w:szCs w:val="20"/>
                <w:color w:val="auto"/>
              </w:rPr>
            </w:pPr>
            <w:r>
              <w:rPr>
                <w:rFonts w:ascii="Courier New" w:cs="Courier New" w:eastAsia="Courier New" w:hAnsi="Courier New"/>
                <w:sz w:val="12"/>
                <w:szCs w:val="12"/>
                <w:color w:val="auto"/>
              </w:rPr>
              <w:t>Somekh Gilboa</w:t>
            </w:r>
          </w:p>
        </w:tc>
        <w:tc>
          <w:tcPr>
            <w:tcW w:w="5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31</w:t>
            </w:r>
          </w:p>
        </w:tc>
        <w:tc>
          <w:tcPr>
            <w:tcW w:w="2460" w:type="dxa"/>
            <w:vAlign w:val="bottom"/>
            <w:gridSpan w:val="4"/>
          </w:tcPr>
          <w:p>
            <w:pPr>
              <w:ind w:left="180"/>
              <w:spacing w:after="0"/>
              <w:rPr>
                <w:sz w:val="20"/>
                <w:szCs w:val="20"/>
                <w:color w:val="auto"/>
              </w:rPr>
            </w:pPr>
            <w:r>
              <w:rPr>
                <w:rFonts w:ascii="Courier New" w:cs="Courier New" w:eastAsia="Courier New" w:hAnsi="Courier New"/>
                <w:sz w:val="12"/>
                <w:szCs w:val="12"/>
                <w:color w:val="auto"/>
              </w:rPr>
              <w:t>Corporate Secretary and General</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Counsel</w:t>
            </w:r>
          </w:p>
        </w:tc>
      </w:tr>
      <w:tr>
        <w:trPr>
          <w:trHeight w:val="137"/>
        </w:trPr>
        <w:tc>
          <w:tcPr>
            <w:tcW w:w="1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7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99"/>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6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320" w:type="dxa"/>
            <w:vAlign w:val="bottom"/>
            <w:gridSpan w:val="2"/>
          </w:tcPr>
          <w:p>
            <w:pPr>
              <w:spacing w:after="0"/>
              <w:rPr>
                <w:sz w:val="20"/>
                <w:szCs w:val="20"/>
                <w:color w:val="auto"/>
              </w:rPr>
            </w:pPr>
            <w:r>
              <w:rPr>
                <w:rFonts w:ascii="Courier New" w:cs="Courier New" w:eastAsia="Courier New" w:hAnsi="Courier New"/>
                <w:sz w:val="12"/>
                <w:szCs w:val="12"/>
                <w:color w:val="auto"/>
              </w:rPr>
              <w:t>Rafi</w:t>
            </w:r>
          </w:p>
        </w:tc>
        <w:tc>
          <w:tcPr>
            <w:tcW w:w="1200" w:type="dxa"/>
            <w:vAlign w:val="bottom"/>
          </w:tcPr>
          <w:p>
            <w:pPr>
              <w:ind w:left="40"/>
              <w:spacing w:after="0"/>
              <w:rPr>
                <w:sz w:val="20"/>
                <w:szCs w:val="20"/>
                <w:color w:val="auto"/>
              </w:rPr>
            </w:pPr>
            <w:r>
              <w:rPr>
                <w:rFonts w:ascii="Courier New" w:cs="Courier New" w:eastAsia="Courier New" w:hAnsi="Courier New"/>
                <w:sz w:val="12"/>
                <w:szCs w:val="12"/>
                <w:color w:val="auto"/>
              </w:rPr>
              <w:t>Mor</w:t>
            </w:r>
          </w:p>
        </w:tc>
        <w:tc>
          <w:tcPr>
            <w:tcW w:w="5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42</w:t>
            </w:r>
          </w:p>
        </w:tc>
        <w:tc>
          <w:tcPr>
            <w:tcW w:w="50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Vice</w:t>
            </w:r>
          </w:p>
        </w:tc>
        <w:tc>
          <w:tcPr>
            <w:tcW w:w="720" w:type="dxa"/>
            <w:vAlign w:val="bottom"/>
          </w:tcPr>
          <w:p>
            <w:pPr>
              <w:ind w:left="40"/>
              <w:spacing w:after="0"/>
              <w:rPr>
                <w:sz w:val="20"/>
                <w:szCs w:val="20"/>
                <w:color w:val="auto"/>
              </w:rPr>
            </w:pPr>
            <w:r>
              <w:rPr>
                <w:rFonts w:ascii="Courier New" w:cs="Courier New" w:eastAsia="Courier New" w:hAnsi="Courier New"/>
                <w:sz w:val="12"/>
                <w:szCs w:val="12"/>
                <w:color w:val="auto"/>
              </w:rPr>
              <w:t>President</w:t>
            </w:r>
          </w:p>
        </w:tc>
        <w:tc>
          <w:tcPr>
            <w:tcW w:w="1240" w:type="dxa"/>
            <w:vAlign w:val="bottom"/>
          </w:tcPr>
          <w:p>
            <w:pPr>
              <w:ind w:left="20"/>
              <w:spacing w:after="0"/>
              <w:rPr>
                <w:sz w:val="20"/>
                <w:szCs w:val="20"/>
                <w:color w:val="auto"/>
              </w:rPr>
            </w:pPr>
            <w:r>
              <w:rPr>
                <w:rFonts w:ascii="Courier New" w:cs="Courier New" w:eastAsia="Courier New" w:hAnsi="Courier New"/>
                <w:sz w:val="12"/>
                <w:szCs w:val="12"/>
                <w:color w:val="auto"/>
                <w:w w:val="97"/>
              </w:rPr>
              <w:t>and Fab 2 Manager</w:t>
            </w:r>
          </w:p>
        </w:tc>
        <w:tc>
          <w:tcPr>
            <w:tcW w:w="1280" w:type="dxa"/>
            <w:vAlign w:val="bottom"/>
          </w:tcPr>
          <w:p>
            <w:pPr>
              <w:spacing w:after="0"/>
              <w:rPr>
                <w:sz w:val="11"/>
                <w:szCs w:val="11"/>
                <w:color w:val="auto"/>
              </w:rPr>
            </w:pPr>
          </w:p>
        </w:tc>
      </w:tr>
    </w:tbl>
    <w:p>
      <w:pPr>
        <w:spacing w:after="0" w:line="4" w:lineRule="exact"/>
        <w:rPr>
          <w:sz w:val="20"/>
          <w:szCs w:val="20"/>
          <w:color w:val="auto"/>
        </w:rPr>
      </w:pPr>
    </w:p>
    <w:p>
      <w:pPr>
        <w:ind w:left="147" w:hanging="147"/>
        <w:spacing w:after="0"/>
        <w:tabs>
          <w:tab w:leader="none" w:pos="147" w:val="left"/>
        </w:tabs>
        <w:numPr>
          <w:ilvl w:val="0"/>
          <w:numId w:val="39"/>
        </w:numPr>
        <w:rPr>
          <w:rFonts w:ascii="Courier New" w:cs="Courier New" w:eastAsia="Courier New" w:hAnsi="Courier New"/>
          <w:sz w:val="11"/>
          <w:szCs w:val="11"/>
          <w:color w:val="auto"/>
        </w:rPr>
      </w:pPr>
      <w:r>
        <w:rPr>
          <w:rFonts w:ascii="Courier New" w:cs="Courier New" w:eastAsia="Courier New" w:hAnsi="Courier New"/>
          <w:sz w:val="11"/>
          <w:szCs w:val="11"/>
          <w:color w:val="auto"/>
        </w:rPr>
        <w:t>------------------------ ------ ------------------------------------------------</w:t>
      </w:r>
    </w:p>
    <w:p>
      <w:pPr>
        <w:spacing w:after="0" w:line="9" w:lineRule="exact"/>
        <w:rPr>
          <w:rFonts w:ascii="Courier New" w:cs="Courier New" w:eastAsia="Courier New" w:hAnsi="Courier New"/>
          <w:sz w:val="11"/>
          <w:szCs w:val="11"/>
          <w:color w:val="auto"/>
        </w:rPr>
      </w:pPr>
    </w:p>
    <w:p>
      <w:pPr>
        <w:ind w:left="7"/>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DIRECTORS</w:t>
      </w:r>
    </w:p>
    <w:p>
      <w:pPr>
        <w:spacing w:after="0" w:line="4" w:lineRule="exact"/>
        <w:rPr>
          <w:rFonts w:ascii="Courier New" w:cs="Courier New" w:eastAsia="Courier New" w:hAnsi="Courier New"/>
          <w:sz w:val="11"/>
          <w:szCs w:val="11"/>
          <w:color w:val="auto"/>
        </w:rPr>
      </w:pPr>
    </w:p>
    <w:p>
      <w:pPr>
        <w:ind w:left="147" w:hanging="147"/>
        <w:spacing w:after="0"/>
        <w:tabs>
          <w:tab w:leader="none" w:pos="147" w:val="left"/>
        </w:tabs>
        <w:numPr>
          <w:ilvl w:val="0"/>
          <w:numId w:val="39"/>
        </w:numPr>
        <w:rPr>
          <w:rFonts w:ascii="Courier New" w:cs="Courier New" w:eastAsia="Courier New" w:hAnsi="Courier New"/>
          <w:sz w:val="11"/>
          <w:szCs w:val="11"/>
          <w:color w:val="auto"/>
        </w:rPr>
      </w:pPr>
      <w:r>
        <w:rPr>
          <w:rFonts w:ascii="Courier New" w:cs="Courier New" w:eastAsia="Courier New" w:hAnsi="Courier New"/>
          <w:sz w:val="11"/>
          <w:szCs w:val="11"/>
          <w:color w:val="auto"/>
        </w:rPr>
        <w:t>------------------------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Udi Hillman</w:t>
      </w:r>
      <w:r>
        <w:rPr>
          <w:sz w:val="20"/>
          <w:szCs w:val="20"/>
          <w:color w:val="auto"/>
        </w:rPr>
        <w:tab/>
      </w:r>
      <w:r>
        <w:rPr>
          <w:rFonts w:ascii="Courier New" w:cs="Courier New" w:eastAsia="Courier New" w:hAnsi="Courier New"/>
          <w:sz w:val="12"/>
          <w:szCs w:val="12"/>
          <w:color w:val="auto"/>
        </w:rPr>
        <w:t>53</w:t>
      </w:r>
      <w:r>
        <w:rPr>
          <w:sz w:val="20"/>
          <w:szCs w:val="20"/>
          <w:color w:val="auto"/>
        </w:rPr>
        <w:tab/>
      </w:r>
      <w:r>
        <w:rPr>
          <w:rFonts w:ascii="Courier New" w:cs="Courier New" w:eastAsia="Courier New" w:hAnsi="Courier New"/>
          <w:sz w:val="11"/>
          <w:szCs w:val="11"/>
          <w:color w:val="auto"/>
        </w:rPr>
        <w:t>Chairman of the Board</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Russell C. Ellwanger</w:t>
      </w:r>
      <w:r>
        <w:rPr>
          <w:sz w:val="20"/>
          <w:szCs w:val="20"/>
          <w:color w:val="auto"/>
        </w:rPr>
        <w:tab/>
      </w:r>
      <w:r>
        <w:rPr>
          <w:rFonts w:ascii="Courier New" w:cs="Courier New" w:eastAsia="Courier New" w:hAnsi="Courier New"/>
          <w:sz w:val="12"/>
          <w:szCs w:val="12"/>
          <w:color w:val="auto"/>
        </w:rPr>
        <w:t>51</w:t>
      </w:r>
      <w:r>
        <w:rPr>
          <w:sz w:val="20"/>
          <w:szCs w:val="20"/>
          <w:color w:val="auto"/>
        </w:rPr>
        <w:tab/>
      </w:r>
      <w:r>
        <w:rPr>
          <w:rFonts w:ascii="Courier New" w:cs="Courier New" w:eastAsia="Courier New" w:hAnsi="Courier New"/>
          <w:sz w:val="11"/>
          <w:szCs w:val="11"/>
          <w:color w:val="auto"/>
        </w:rPr>
        <w:t>Director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Yossi Rosen</w:t>
      </w:r>
      <w:r>
        <w:rPr>
          <w:sz w:val="20"/>
          <w:szCs w:val="20"/>
          <w:color w:val="auto"/>
        </w:rPr>
        <w:tab/>
      </w:r>
      <w:r>
        <w:rPr>
          <w:rFonts w:ascii="Courier New" w:cs="Courier New" w:eastAsia="Courier New" w:hAnsi="Courier New"/>
          <w:sz w:val="12"/>
          <w:szCs w:val="12"/>
          <w:color w:val="auto"/>
        </w:rPr>
        <w:t>66</w:t>
      </w:r>
      <w:r>
        <w:rPr>
          <w:sz w:val="20"/>
          <w:szCs w:val="20"/>
          <w:color w:val="auto"/>
        </w:rPr>
        <w:tab/>
      </w:r>
      <w:r>
        <w:rPr>
          <w:rFonts w:ascii="Courier New" w:cs="Courier New" w:eastAsia="Courier New" w:hAnsi="Courier New"/>
          <w:sz w:val="11"/>
          <w:szCs w:val="11"/>
          <w:color w:val="auto"/>
        </w:rPr>
        <w:t>Director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Dr. Eli Harari</w:t>
      </w:r>
      <w:r>
        <w:rPr>
          <w:sz w:val="20"/>
          <w:szCs w:val="20"/>
          <w:color w:val="auto"/>
        </w:rPr>
        <w:tab/>
      </w:r>
      <w:r>
        <w:rPr>
          <w:rFonts w:ascii="Courier New" w:cs="Courier New" w:eastAsia="Courier New" w:hAnsi="Courier New"/>
          <w:sz w:val="12"/>
          <w:szCs w:val="12"/>
          <w:color w:val="auto"/>
        </w:rPr>
        <w:t>61</w:t>
      </w:r>
      <w:r>
        <w:rPr>
          <w:sz w:val="20"/>
          <w:szCs w:val="20"/>
          <w:color w:val="auto"/>
        </w:rPr>
        <w:tab/>
      </w:r>
      <w:r>
        <w:rPr>
          <w:rFonts w:ascii="Courier New" w:cs="Courier New" w:eastAsia="Courier New" w:hAnsi="Courier New"/>
          <w:sz w:val="11"/>
          <w:szCs w:val="11"/>
          <w:color w:val="auto"/>
        </w:rPr>
        <w:t>Director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Miin Wu</w:t>
      </w:r>
      <w:r>
        <w:rPr>
          <w:sz w:val="20"/>
          <w:szCs w:val="20"/>
          <w:color w:val="auto"/>
        </w:rPr>
        <w:tab/>
      </w:r>
      <w:r>
        <w:rPr>
          <w:rFonts w:ascii="Courier New" w:cs="Courier New" w:eastAsia="Courier New" w:hAnsi="Courier New"/>
          <w:sz w:val="12"/>
          <w:szCs w:val="12"/>
          <w:color w:val="auto"/>
        </w:rPr>
        <w:t>57</w:t>
      </w:r>
      <w:r>
        <w:rPr>
          <w:sz w:val="20"/>
          <w:szCs w:val="20"/>
          <w:color w:val="auto"/>
        </w:rPr>
        <w:tab/>
      </w:r>
      <w:r>
        <w:rPr>
          <w:rFonts w:ascii="Courier New" w:cs="Courier New" w:eastAsia="Courier New" w:hAnsi="Courier New"/>
          <w:sz w:val="11"/>
          <w:szCs w:val="11"/>
          <w:color w:val="auto"/>
        </w:rPr>
        <w:t>Director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N. Damodar Reddy</w:t>
      </w:r>
      <w:r>
        <w:rPr>
          <w:sz w:val="20"/>
          <w:szCs w:val="20"/>
          <w:color w:val="auto"/>
        </w:rPr>
        <w:tab/>
      </w:r>
      <w:r>
        <w:rPr>
          <w:rFonts w:ascii="Courier New" w:cs="Courier New" w:eastAsia="Courier New" w:hAnsi="Courier New"/>
          <w:sz w:val="12"/>
          <w:szCs w:val="12"/>
          <w:color w:val="auto"/>
        </w:rPr>
        <w:t>67</w:t>
      </w:r>
      <w:r>
        <w:rPr>
          <w:sz w:val="20"/>
          <w:szCs w:val="20"/>
          <w:color w:val="auto"/>
        </w:rPr>
        <w:tab/>
      </w:r>
      <w:r>
        <w:rPr>
          <w:rFonts w:ascii="Courier New" w:cs="Courier New" w:eastAsia="Courier New" w:hAnsi="Courier New"/>
          <w:sz w:val="11"/>
          <w:szCs w:val="11"/>
          <w:color w:val="auto"/>
        </w:rPr>
        <w:t>Director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Kalman Kaufman</w:t>
      </w:r>
      <w:r>
        <w:rPr>
          <w:sz w:val="20"/>
          <w:szCs w:val="20"/>
          <w:color w:val="auto"/>
        </w:rPr>
        <w:tab/>
      </w:r>
      <w:r>
        <w:rPr>
          <w:rFonts w:ascii="Courier New" w:cs="Courier New" w:eastAsia="Courier New" w:hAnsi="Courier New"/>
          <w:sz w:val="12"/>
          <w:szCs w:val="12"/>
          <w:color w:val="auto"/>
        </w:rPr>
        <w:t>61</w:t>
      </w:r>
      <w:r>
        <w:rPr>
          <w:sz w:val="20"/>
          <w:szCs w:val="20"/>
          <w:color w:val="auto"/>
        </w:rPr>
        <w:tab/>
      </w:r>
      <w:r>
        <w:rPr>
          <w:rFonts w:ascii="Courier New" w:cs="Courier New" w:eastAsia="Courier New" w:hAnsi="Courier New"/>
          <w:sz w:val="11"/>
          <w:szCs w:val="11"/>
          <w:color w:val="auto"/>
        </w:rPr>
        <w:t>Independent Director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Hans Rohrer</w:t>
      </w:r>
      <w:r>
        <w:rPr>
          <w:sz w:val="20"/>
          <w:szCs w:val="20"/>
          <w:color w:val="auto"/>
        </w:rPr>
        <w:tab/>
      </w:r>
      <w:r>
        <w:rPr>
          <w:rFonts w:ascii="Courier New" w:cs="Courier New" w:eastAsia="Courier New" w:hAnsi="Courier New"/>
          <w:sz w:val="12"/>
          <w:szCs w:val="12"/>
          <w:color w:val="auto"/>
        </w:rPr>
        <w:t>56</w:t>
      </w:r>
      <w:r>
        <w:rPr>
          <w:sz w:val="20"/>
          <w:szCs w:val="20"/>
          <w:color w:val="auto"/>
        </w:rPr>
        <w:tab/>
      </w:r>
      <w:r>
        <w:rPr>
          <w:rFonts w:ascii="Courier New" w:cs="Courier New" w:eastAsia="Courier New" w:hAnsi="Courier New"/>
          <w:sz w:val="11"/>
          <w:szCs w:val="11"/>
          <w:color w:val="auto"/>
        </w:rPr>
        <w:t>Independent and External Director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766" w:val="left"/>
          <w:tab w:leader="none" w:pos="2266" w:val="left"/>
        </w:tabs>
        <w:rPr>
          <w:sz w:val="20"/>
          <w:szCs w:val="20"/>
          <w:color w:val="auto"/>
        </w:rPr>
      </w:pPr>
      <w:r>
        <w:rPr>
          <w:rFonts w:ascii="Courier New" w:cs="Courier New" w:eastAsia="Courier New" w:hAnsi="Courier New"/>
          <w:sz w:val="12"/>
          <w:szCs w:val="12"/>
          <w:color w:val="auto"/>
        </w:rPr>
        <w:t>Tal Yaron-Eldar</w:t>
      </w:r>
      <w:r>
        <w:rPr>
          <w:sz w:val="20"/>
          <w:szCs w:val="20"/>
          <w:color w:val="auto"/>
        </w:rPr>
        <w:tab/>
      </w:r>
      <w:r>
        <w:rPr>
          <w:rFonts w:ascii="Courier New" w:cs="Courier New" w:eastAsia="Courier New" w:hAnsi="Courier New"/>
          <w:sz w:val="12"/>
          <w:szCs w:val="12"/>
          <w:color w:val="auto"/>
        </w:rPr>
        <w:t>42</w:t>
      </w:r>
      <w:r>
        <w:rPr>
          <w:sz w:val="20"/>
          <w:szCs w:val="20"/>
          <w:color w:val="auto"/>
        </w:rPr>
        <w:tab/>
      </w:r>
      <w:r>
        <w:rPr>
          <w:rFonts w:ascii="Courier New" w:cs="Courier New" w:eastAsia="Courier New" w:hAnsi="Courier New"/>
          <w:sz w:val="11"/>
          <w:szCs w:val="11"/>
          <w:color w:val="auto"/>
        </w:rPr>
        <w:t>Independent and External Director</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50"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RUSSELL C. ELLWANGER has served as our Chief Executive Officer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47"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OREN SHIRAZI was appointed as our acting Chief Financial Officer in November 2004. Mr. Shirazi joined us in October 1998 and served as our controller since July 2000, after serving as vice controller since October 1998.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62</w:t>
      </w:r>
    </w:p>
    <w:p>
      <w:pPr>
        <w:spacing w:after="0" w:line="200" w:lineRule="exact"/>
        <w:rPr>
          <w:sz w:val="20"/>
          <w:szCs w:val="20"/>
          <w:color w:val="auto"/>
        </w:rPr>
      </w:pPr>
    </w:p>
    <w:p>
      <w:pPr>
        <w:spacing w:after="0" w:line="335" w:lineRule="exact"/>
        <w:rPr>
          <w:sz w:val="20"/>
          <w:szCs w:val="20"/>
          <w:color w:val="auto"/>
        </w:rPr>
      </w:pPr>
    </w:p>
    <w:p>
      <w:pPr>
        <w:ind w:left="7" w:right="4539" w:firstLine="357"/>
        <w:spacing w:after="0" w:line="268" w:lineRule="auto"/>
        <w:rPr>
          <w:sz w:val="20"/>
          <w:szCs w:val="20"/>
          <w:color w:val="auto"/>
        </w:rPr>
      </w:pPr>
      <w:r>
        <w:rPr>
          <w:rFonts w:ascii="Courier New" w:cs="Courier New" w:eastAsia="Courier New" w:hAnsi="Courier New"/>
          <w:sz w:val="11"/>
          <w:szCs w:val="11"/>
          <w:color w:val="auto"/>
        </w:rPr>
        <w:t>DUDU VIDAN was appointed Vice President and Fab 1 Manager in August 2005, having served previously as FAB2 production manager since March 2003 and as FAB2 tool installation manager from March 2001. Previously, Mr. Vidan was employed by MDF, serving as plant manager, and Carcom Aviation Products serving as production manager. Mr Vidan served as a Naval Reserve Lt. Colonel in the Israel</w:t>
      </w:r>
    </w:p>
    <w:p>
      <w:pPr>
        <w:sectPr>
          <w:pgSz w:w="11900" w:h="16901" w:orient="portrait"/>
          <w:cols w:equalWidth="0" w:num="1">
            <w:col w:w="10246"/>
          </w:cols>
          <w:pgMar w:left="213" w:top="141" w:right="1440" w:bottom="0" w:gutter="0" w:footer="0" w:header="0"/>
        </w:sectPr>
      </w:pPr>
    </w:p>
    <w:bookmarkStart w:id="32" w:name="page33"/>
    <w:bookmarkEnd w:id="32"/>
    <w:p>
      <w:pPr>
        <w:ind w:right="4539"/>
        <w:spacing w:after="0" w:line="238" w:lineRule="auto"/>
        <w:rPr>
          <w:sz w:val="20"/>
          <w:szCs w:val="20"/>
          <w:color w:val="auto"/>
        </w:rPr>
      </w:pPr>
      <w:r>
        <w:rPr>
          <w:rFonts w:ascii="Courier New" w:cs="Courier New" w:eastAsia="Courier New" w:hAnsi="Courier New"/>
          <w:sz w:val="12"/>
          <w:szCs w:val="12"/>
          <w:color w:val="auto"/>
        </w:rPr>
        <w:t>Defense Forces. Mr. Vidan holds a B.Sc. in Industrial and Management Engineering from the Technion - Israel Institute of Technology.</w:t>
      </w:r>
    </w:p>
    <w:p>
      <w:pPr>
        <w:spacing w:after="0" w:line="142"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DR. Itzhak Edrei was appointed Senior Vice President of Product Lines and Sales in August 2005 after serving as Vice President of Research and Development since August 2001,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2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RAFI NAVE was appointed Chief Technology Officer in August 2005 after serving as Vice President of Customer Services since August 2003. From 1996 to 2003, Mr. Nave served as Vice President of Research and Development for NDS Group. From 1974 to 1995, Mr. Nave was employed by Intel Corporation in a variety of positions of increasing responsibility, among them chip design engineer and General Manager of Intel's design center in Israel. Mr. Nave earned master and bachelor degrees in electrical engineering from the Technion - Israel Institute of Technology.</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EPHIE KOLTIN was appointed Vice President of Business Development in August 2005, having served as Vice President, General Foundry and Mixed Signal Technology from 2003 and as Senior Director, FAB2 Process Engineering since 2000. From 1996-1999, Mr. Koltin served in several senior positions as Director, NVM Technology, CIS technology and ERS manager, FAB1. Prior to joining Tower, Mr. Koltin was employed at National Semiconductor and the Technion - Israel Institute of Technology. Mr. Koltin holds a B.Sc. in Mechanical Engineering and M.Sc. in Materials Engineering from the Technion - Israel Institute of Technology.</w:t>
      </w:r>
    </w:p>
    <w:p>
      <w:pPr>
        <w:spacing w:after="0" w:line="144"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DALIT DAHAN was appointed Vice President of Human Resources in April 2004. Ms. Dahan joined us in 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SHIMON DAHAN was appointed Vice President of Manufacturing Services in January 2006, having served previously as Test &amp; MTG manager since August 2005 and prior to that as Research and Development Operation Manager from November 2000. Prior to that, Mr. Dahan was employed by National Semiconductor in various capacities. Mr. Dahan holds a bachelors degree in Political Science from Haifa University, and an MBA from the University of Derby.</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NATI SOMEKH GILBOA was appointed as Corporate Secretary and General Counsel in March 2005, has served as our Associate General Counsel since May 2004. From 2001 to 2004, Ms. Somekh Gilboa was employed by Goldsobel &amp; Kirshen, Adv. Ms. Somekh Gilboa holds an LL.M. and J.D. from Boston University and a B.A. from Johns Hopkins University. She is a member of the Israeli Bar Association and the New York bar.</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RAFI MOR was appointed Vice President and Fab 2 Manager in August 2005, having served as Fab 1 Manager since August 2003 and Senior Director and 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earned master and bachelor degrees in chemical engineering from Ben Gurion University.</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63</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UDI HILLMAN has served as Chairman of the Board since May 2005. Mr. Hillman served as Acting Chief Executive Officer from February 2005 to April 2005. Mr. Hillman has served as a director from October 1996 through August 1999 and was reappointed to the Board in January 2000. In January 2001, Mr. Hillman was appointed Vice Chairman of the Board and resigned as Vice Chairman in March 2005. Mr. Hillman serves on the Tender Committee. Since March 2001, Mr. Hillman has served as President and Chief Executive Officer of ICTech, a subsidiary of Israel Corp., which is one of our current principal shareholders. Since February 2004, Mr. Hillman has served as a member of the Board of Directors of ZIM Integrated Shipping Services.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Integrated Shipping Services and others. Prior thereto, Mr. Hillman was Vice President and Controller of Clal Industries Ltd. and a director of several companies in the Clal Group.</w:t>
      </w:r>
    </w:p>
    <w:p>
      <w:pPr>
        <w:spacing w:after="0" w:line="149"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YOSSI ROSEN has served as a director and Chairman of the Stock Option and Compensation Committee since February 2005. Since November 30, 1998, Mr. Rosen has served as the President and CEO of The Israel Corporation. Mr. Rosen is also Chairman of the Board of Directors of Israel Chemicals Ltd. and a director of its subsidiaries, a member of the Board of Directors and Executive Committee of ZIM Integrated Shipping Services, Chairman of the Board of Dead Sea Magnesium Ltd. and a director of Oil Refineries Ltd. Mr. Rosen was previously President of Mashav Initiating &amp; Development Ltd. and Chairman of the Board of various industrial companies, such as Nesher cement. Mr. Rosen holds a BA in Economics from the Hebrew University of Jerusalem and an MA in Business Management from the Hebrew University of Jerusalem.</w:t>
      </w:r>
    </w:p>
    <w:p>
      <w:pPr>
        <w:spacing w:after="0" w:line="14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DR. ELI HARARI has served as a director since January 2001. Dr. Harari serves on the Stock Option and Compensation Committee. Dr. Harari served as President and Chief Executive Officer and as a Director of SanDisk Corporation from its inception in 1988 until May 2006, and currently serves as Chief Executive Officer and Chairman of the Board of SanDisk. Dr. Harari is a pioneer in non-volatile semiconductor storage with more than 100 U.S. and foreign patents and numerous technical articles and has more than 30 years of experience in the electronics industry. His extensive operational and technological development experiences include co-founding Waferscale Integration, overseeing the development and transfer into production of Intel Corporation's first-generation stepper and dry etch technology, and technical management positions at Hughes Aircraft and Honeywell, Inc. He holds an M.A. and Ph.D. in Solid State Sciences from Princeton University and a B.S. (Honors) degree in Physics from Manchester University.</w:t>
      </w:r>
    </w:p>
    <w:p>
      <w:pPr>
        <w:spacing w:after="0" w:line="147"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MIIN WU has served as a director since January 2001. Mr. Wu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ectPr>
          <w:pgSz w:w="11900" w:h="16838" w:orient="portrait"/>
          <w:cols w:equalWidth="0" w:num="1">
            <w:col w:w="10239"/>
          </w:cols>
          <w:pgMar w:left="220" w:top="141" w:right="1440" w:bottom="0" w:gutter="0" w:footer="0" w:header="0"/>
        </w:sectPr>
      </w:pPr>
    </w:p>
    <w:p>
      <w:pPr>
        <w:spacing w:after="0" w:line="279" w:lineRule="exact"/>
        <w:rPr>
          <w:sz w:val="20"/>
          <w:szCs w:val="20"/>
          <w:color w:val="auto"/>
        </w:rPr>
      </w:pPr>
    </w:p>
    <w:p>
      <w:pPr>
        <w:ind w:left="2780"/>
        <w:spacing w:after="0"/>
        <w:rPr>
          <w:sz w:val="20"/>
          <w:szCs w:val="20"/>
          <w:color w:val="auto"/>
        </w:rPr>
      </w:pPr>
      <w:r>
        <w:rPr>
          <w:rFonts w:ascii="Courier New" w:cs="Courier New" w:eastAsia="Courier New" w:hAnsi="Courier New"/>
          <w:sz w:val="11"/>
          <w:szCs w:val="11"/>
          <w:color w:val="auto"/>
        </w:rPr>
        <w:t>64</w:t>
      </w:r>
    </w:p>
    <w:p>
      <w:pPr>
        <w:sectPr>
          <w:pgSz w:w="11900" w:h="16838" w:orient="portrait"/>
          <w:cols w:equalWidth="0" w:num="1">
            <w:col w:w="10239"/>
          </w:cols>
          <w:pgMar w:left="220" w:top="141" w:right="1440" w:bottom="0" w:gutter="0" w:footer="0" w:header="0"/>
          <w:type w:val="continuous"/>
        </w:sectPr>
      </w:pPr>
    </w:p>
    <w:bookmarkStart w:id="33" w:name="page34"/>
    <w:bookmarkEnd w:id="33"/>
    <w:p>
      <w:pPr>
        <w:ind w:right="4539" w:firstLine="357"/>
        <w:spacing w:after="0" w:line="241" w:lineRule="auto"/>
        <w:rPr>
          <w:sz w:val="20"/>
          <w:szCs w:val="20"/>
          <w:color w:val="auto"/>
        </w:rPr>
      </w:pPr>
      <w:r>
        <w:rPr>
          <w:rFonts w:ascii="Courier New" w:cs="Courier New" w:eastAsia="Courier New" w:hAnsi="Courier New"/>
          <w:sz w:val="12"/>
          <w:szCs w:val="12"/>
          <w:color w:val="auto"/>
        </w:rPr>
        <w:t>N. DAMODAR REDDY has served as a director since January 2001. Mr. Reddy serves on the Audit Committee. Mr. Reddy is the co-founder of Alliance Semiconductor Corporation and has served as its Chairman of the Board since its inception in February 1985. Mr. Reddy also served as President and Chief Executive Officer since its inception and until December 2005. In addition, Mr. Reddy served as Chief Financial Officer of Alliance Semiconductor from June 1998 to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He holds an MS degree in Electrical Engineering from North Dakota State University and an MBA from Santa Clara University.</w:t>
      </w:r>
    </w:p>
    <w:p>
      <w:pPr>
        <w:spacing w:after="0" w:line="148"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KALMAN KAUFMAN has served as a director and as a member of our Audit Committee since August 2005. Mr. Kaufman also served as Corporate Vice President at Applied Materials from 1994 to 2005. Between 1985 and 1994, Mr. 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27"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HANS ROHRER has been a director and member of the Audit Committee since April 2002. Since May 2002, Mr. Rohrer serves as President and Chief Executive Officer of Acuid Corporation. From 1999 to 2002, Mr. Rohrer served as President of Taiwan Semiconductor Manufacturing Company -- Europe (TSMC - Europe). Mr. Rohrer has held various engineering, marketing, sales and general management positions, including Vice President and General Manager, Europe, with National Semiconductor between 1980 and 1998. Mr. Rohrer started his career in the semiconductor industry with Texas Instruments.</w:t>
      </w:r>
    </w:p>
    <w:p>
      <w:pPr>
        <w:spacing w:after="0" w:line="143"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TAL YARON-ELDAR has been a director and member of the Audit Committee and the Stock Option and Compensation Committee since January 2005. Since September 2004, Ms. Yaron-Eldar serves as Chief Executive Officer of Arazim Investment Ltd. and she is a partner in Cohen, Cohen, Yaron-Eldar &amp; Co. law offices. Ms. Yaron-Eldar served as Israel's Income Tax and Real Property Tax Commissioner from 2002 to 2004. Between 1998 and 2001, Ms. Yaron-Eldar served as the Chief Legal Advisor to the Customs and V.A.T. Authority. During the preceding ten years, Ms. Yaron-Eldar served in various positions with Israel's Income Tax and Real Property Tax Commission, including Senior Head of its legislation department and Deputy Chief Legal Advisor. Ms. Yaron-Eldar holds a master's degree in business and a bachelor's degree in law from Tel-Aviv University and is a member of the Israeli Bar Association.</w:t>
      </w:r>
    </w:p>
    <w:p>
      <w:pPr>
        <w:spacing w:after="0" w:line="146" w:lineRule="exact"/>
        <w:rPr>
          <w:sz w:val="20"/>
          <w:szCs w:val="20"/>
          <w:color w:val="auto"/>
        </w:rPr>
      </w:pPr>
    </w:p>
    <w:p>
      <w:pPr>
        <w:ind w:right="4819" w:firstLine="357"/>
        <w:spacing w:after="0"/>
        <w:rPr>
          <w:sz w:val="20"/>
          <w:szCs w:val="20"/>
          <w:color w:val="auto"/>
        </w:rPr>
      </w:pPr>
      <w:r>
        <w:rPr>
          <w:rFonts w:ascii="Courier New" w:cs="Courier New" w:eastAsia="Courier New" w:hAnsi="Courier New"/>
          <w:sz w:val="12"/>
          <w:szCs w:val="12"/>
          <w:color w:val="auto"/>
        </w:rPr>
        <w:t>Pursuant to a shareholders agreement dated January 18, 2001, SanDisk, Alliance Semiconductor and Macronix have agreed to vote all their respective shares for nominees designated by each shareholder and for the election of a nominee of Israel Corp. as Chairman of the Board.</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65</w:t>
      </w:r>
    </w:p>
    <w:p>
      <w:pPr>
        <w:spacing w:after="0" w:line="200" w:lineRule="exact"/>
        <w:rPr>
          <w:sz w:val="20"/>
          <w:szCs w:val="20"/>
          <w:color w:val="auto"/>
        </w:rPr>
      </w:pPr>
    </w:p>
    <w:p>
      <w:pPr>
        <w:spacing w:after="0" w:line="332" w:lineRule="exact"/>
        <w:rPr>
          <w:sz w:val="20"/>
          <w:szCs w:val="20"/>
          <w:color w:val="auto"/>
        </w:rPr>
      </w:pPr>
    </w:p>
    <w:p>
      <w:pPr>
        <w:ind w:left="700" w:hanging="350"/>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COMPENSATION</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For the years ended December 31, 2005 and 2004, we paid to all our directors and senior management, as a group, an aggregate of $1.2 and $1.2 million, respectively, in salaries, fees and bonuses, excluding management fees paid to Israel Corp. The total amount set aside or accrued in the year ended December 31, 2005 to provide for severance, retirement and similar benefits for such persons was $0.2 million. No directors received cash compensation other than the annual and meeting fees described below.</w:t>
      </w:r>
    </w:p>
    <w:p>
      <w:pPr>
        <w:spacing w:after="0" w:line="142" w:lineRule="exact"/>
        <w:rPr>
          <w:sz w:val="20"/>
          <w:szCs w:val="20"/>
          <w:color w:val="auto"/>
        </w:rPr>
      </w:pPr>
    </w:p>
    <w:p>
      <w:pPr>
        <w:ind w:right="4679" w:firstLine="357"/>
        <w:spacing w:after="0" w:line="266" w:lineRule="auto"/>
        <w:rPr>
          <w:sz w:val="20"/>
          <w:szCs w:val="20"/>
          <w:color w:val="auto"/>
        </w:rPr>
      </w:pPr>
      <w:r>
        <w:rPr>
          <w:rFonts w:ascii="Courier New" w:cs="Courier New" w:eastAsia="Courier New" w:hAnsi="Courier New"/>
          <w:sz w:val="11"/>
          <w:szCs w:val="11"/>
          <w:color w:val="auto"/>
        </w:rPr>
        <w:t>During 2005, three of our directors were granted options to purchase an aggregate of 120,000 ordinary shares at a weighted average exercise price of $1.67 per share. These options will become exercisable according to various vesting schedules over four years and generally remain exercisable for five years following the vesting date. During the year ended December 31, 2005, we granted a total of 1,420,000 options to purchase ordinary shares to our senior managers as a group. These options have a weighted average exercise price of $1.545 per share with vesting periods over four years and expire in 2015.</w:t>
      </w:r>
    </w:p>
    <w:p>
      <w:pPr>
        <w:spacing w:after="0" w:line="130"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In April 2005, our Board of Directors approved the grant of options to purchase up to 1,325,724 of our ordinary shares to our Chief Executive Officer ("CEO"), who was also appointed as a director, which was further approved by our shareholders in October 2005. These options are exercisable at an exercise price of $1.56, which was the closing market price of our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130"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addition, in May 2006, our Audit Committee and Board of Directors approved the grant of options to the CEO in addition to the options granted to him in April 2005, such that in total, the CEO will hold options to purchase shares that represent 4% of our shares on a fully diluted basis during the two-year period from the approval of the Audit Committee. The exercise price of the initial grant of additional options will be $1.45, the 90 day average closing price of our shares prior to the Board of Directors' approval. In the event of a future equity financing, additional options will be granted to the CEO as described above with an exercise price equal to the price per share of such investment. The vesting period of the new options will be identical to the vesting period of the existing options. No additional options will be granted under the CEO's employment agreement, which was approved by our shareholders in October 2005. The new grant of options and its terms are subject to the approval of our shareholders.</w:t>
      </w:r>
    </w:p>
    <w:p>
      <w:pPr>
        <w:spacing w:after="0" w:line="147"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Since October 2001, our directors have foregone their directors' fees, except for fees required by law to be paid to our external directors, consisting of a NIS 26,000 (approximately $5,650) annual fee plus NIS 915 (approximately $200) per meeting. The aggregate amount payable to our external directors with respect to the year ended December 31, 2005 was approximately $21,000. The annual and meeting fees paid to our external directors are adjusted semiannually to reflect changes to the published guidelines in Israel for external directors.</w:t>
      </w:r>
    </w:p>
    <w:p>
      <w:pPr>
        <w:spacing w:after="0" w:line="125" w:lineRule="exact"/>
        <w:rPr>
          <w:sz w:val="20"/>
          <w:szCs w:val="20"/>
          <w:color w:val="auto"/>
        </w:rPr>
      </w:pPr>
    </w:p>
    <w:p>
      <w:pPr>
        <w:ind w:left="700" w:hanging="350"/>
        <w:spacing w:after="0"/>
        <w:tabs>
          <w:tab w:leader="none" w:pos="700"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BOARD PRACTICES</w:t>
      </w:r>
    </w:p>
    <w:p>
      <w:pPr>
        <w:spacing w:after="0" w:line="141"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Our Articles of Association provide that the Board of Directors shall consist of at least five and no more than 11 members. All directors, except for external directors, hold office until their successors are elected at the next annual general meeting of shareholders. Our officers are appointed by the Board of Directors and (subject, in certain cases, to employment agreement provisions that require 270 days notice of termination) continue to serve at the discretion of the Board of Directors. The Board of Directors may grant the CEO the power to</w:t>
      </w:r>
    </w:p>
    <w:p>
      <w:pPr>
        <w:sectPr>
          <w:pgSz w:w="11900" w:h="16838" w:orient="portrait"/>
          <w:cols w:equalWidth="0" w:num="1">
            <w:col w:w="10239"/>
          </w:cols>
          <w:pgMar w:left="220" w:top="553" w:right="1440" w:bottom="0" w:gutter="0" w:footer="0" w:header="0"/>
        </w:sectPr>
      </w:pPr>
    </w:p>
    <w:bookmarkStart w:id="34" w:name="page35"/>
    <w:bookmarkEnd w:id="34"/>
    <w:p>
      <w:pPr>
        <w:spacing w:after="0" w:line="5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appoint officers.</w:t>
      </w:r>
    </w:p>
    <w:p>
      <w:pPr>
        <w:spacing w:after="0" w:line="276"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66</w:t>
      </w:r>
    </w:p>
    <w:p>
      <w:pPr>
        <w:spacing w:after="0" w:line="200" w:lineRule="exact"/>
        <w:rPr>
          <w:sz w:val="20"/>
          <w:szCs w:val="20"/>
          <w:color w:val="auto"/>
        </w:rPr>
      </w:pPr>
    </w:p>
    <w:p>
      <w:pPr>
        <w:spacing w:after="0" w:line="335" w:lineRule="exact"/>
        <w:rPr>
          <w:sz w:val="20"/>
          <w:szCs w:val="20"/>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Our Articles of Association provide that any director may, by written notice to us, appoint another person to serve as an alternate director, and may cancel such appointment. Any person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 is given of the cancellation of the appointment.</w:t>
      </w:r>
    </w:p>
    <w:p>
      <w:pPr>
        <w:spacing w:after="0" w:line="142" w:lineRule="exact"/>
        <w:rPr>
          <w:sz w:val="20"/>
          <w:szCs w:val="20"/>
          <w:color w:val="auto"/>
        </w:rPr>
      </w:pPr>
    </w:p>
    <w:p>
      <w:pPr>
        <w:ind w:left="7" w:right="4679" w:firstLine="357"/>
        <w:spacing w:after="0" w:line="238" w:lineRule="auto"/>
        <w:rPr>
          <w:sz w:val="20"/>
          <w:szCs w:val="20"/>
          <w:color w:val="auto"/>
        </w:rPr>
      </w:pPr>
      <w:r>
        <w:rPr>
          <w:rFonts w:ascii="Courier New" w:cs="Courier New" w:eastAsia="Courier New" w:hAnsi="Courier New"/>
          <w:sz w:val="12"/>
          <w:szCs w:val="12"/>
          <w:color w:val="auto"/>
        </w:rPr>
        <w:t>None of the members of the Board are entitled to receive any severance or similar benefits upon termination of service with the Board of Directors.</w:t>
      </w:r>
    </w:p>
    <w:p>
      <w:pPr>
        <w:spacing w:after="0" w:line="142"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The Companies Law requires Israeli companies with shares that have been offered to the public in or outside of Israel to appoint no less than two external directors. No person may be appointed as an external director if the person or the person's relative, partner, employer or any entity under the person's control, has or had, on or within the two years preceding the date of the person's appointment to serve as external director, any affiliation with the company or any entity controlling, controlled by or under common control with the company. The term "affiliation" includes:</w:t>
      </w:r>
    </w:p>
    <w:p>
      <w:pPr>
        <w:spacing w:after="0" w:line="140" w:lineRule="exact"/>
        <w:rPr>
          <w:sz w:val="20"/>
          <w:szCs w:val="20"/>
          <w:color w:val="auto"/>
        </w:rPr>
      </w:pPr>
    </w:p>
    <w:p>
      <w:pPr>
        <w:ind w:left="367" w:hanging="367"/>
        <w:spacing w:after="0"/>
        <w:tabs>
          <w:tab w:leader="none" w:pos="367"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employment relationship;</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business or professional relationship maintained on a regular basis;</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control; and</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service as an office holder.</w:t>
      </w:r>
    </w:p>
    <w:p>
      <w:pPr>
        <w:spacing w:after="0" w:line="141" w:lineRule="exact"/>
        <w:rPr>
          <w:sz w:val="20"/>
          <w:szCs w:val="20"/>
          <w:color w:val="auto"/>
        </w:rPr>
      </w:pPr>
    </w:p>
    <w:p>
      <w:pPr>
        <w:ind w:left="7" w:right="4539" w:firstLine="357"/>
        <w:spacing w:after="0" w:line="265" w:lineRule="auto"/>
        <w:rPr>
          <w:sz w:val="20"/>
          <w:szCs w:val="20"/>
          <w:color w:val="auto"/>
        </w:rPr>
      </w:pPr>
      <w:r>
        <w:rPr>
          <w:rFonts w:ascii="Courier New" w:cs="Courier New" w:eastAsia="Courier New" w:hAnsi="Courier New"/>
          <w:sz w:val="11"/>
          <w:szCs w:val="11"/>
          <w:color w:val="auto"/>
        </w:rPr>
        <w:t>A person shall be qualified to serve as an external director only if he or she possesses accounting and financial expertise or professional qualifications. At least one external director must posses accounting and financial expertise. The conditions and criteria for possessing accounting and financial expertise or professional qualifications were recently determined in regulations promulgated by the Israeli Minister of Justice in consultation with the Israeli Securities Authority. These regulations do not appear to relate to external directors currently serving. The regulations mandate that a person is deemed to have "expertise in finance and accounting" if his or her education, experience and qualifications provide him or her with expertise and understanding in business matters - accounting and financial statements, in a way that allows him or her to understand, in depth, the company's financial statements and to encourage discussion about the manner in which the financial data is presented.</w:t>
      </w:r>
    </w:p>
    <w:p>
      <w:pPr>
        <w:spacing w:after="0" w:line="133"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The company's board of directors must evaluate the proposed external director's expertise in finance and accounting, by considering, among other things, his or her education, experience and knowledge in the following: (i) accounting and auditing issues typical to the field in which the company operates and to companies of a size and complexity similar to such company; (ii) a company's external public accountant's duties and obligations; (iii) preparing company financial statements and their approval in accordance with the Companies Law and the Israeli Securities Law.</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67</w:t>
      </w:r>
    </w:p>
    <w:p>
      <w:pPr>
        <w:spacing w:after="0" w:line="200" w:lineRule="exact"/>
        <w:rPr>
          <w:sz w:val="20"/>
          <w:szCs w:val="20"/>
          <w:color w:val="auto"/>
        </w:rPr>
      </w:pPr>
    </w:p>
    <w:p>
      <w:pPr>
        <w:spacing w:after="0" w:line="335"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A director is deemed to be "professionally qualified" if he or she meets any of the following criteria: (i) has an academic degree in any of the following professions: economics, business administration, accounting, law or public administration; (ii) has a different academic degree or has completed higher education in a field that is the company's main field of operations, or a field relevant to his or her position; or (iii) has at least five years experience in any of the following, or has a total of five years experience in at least two of the following: (A) a senior position in the business management of a corporation with significant operations, (B) a senior public position or a senior position in public service, or (C) a senior position in the company's main field of operations. The board of directors here too must evaluate the proposed external director's "professional qualification" in accordance with the criteria set forth above.</w:t>
      </w:r>
    </w:p>
    <w:p>
      <w:pPr>
        <w:spacing w:after="0" w:line="147"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The affidavit required by law to be signed by a candidate to serve as an external director must include a statement by such candidate concerning his or her education and experience, if relevant, in order that the board of directors may properly evaluate whether such candidate meets the requirements set forth in the regulations. Additionally, the candidate should submit documents and certificates that support the statements set forth in the affidavit.</w:t>
      </w:r>
    </w:p>
    <w:p>
      <w:pPr>
        <w:spacing w:after="0" w:line="142"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No person may serve as an external director if the person's position or other business activities create, or may create, a conflict of interest with the person's responsibilities as an external director or may otherwise interfere with the person's ability to serve as an external director. If, at the time external directors are to be appointed, all current members of the board of directors are of the same gender, then at least one external director must be of the other gender.</w:t>
      </w:r>
    </w:p>
    <w:p>
      <w:pPr>
        <w:spacing w:after="0" w:line="142" w:lineRule="exact"/>
        <w:rPr>
          <w:sz w:val="20"/>
          <w:szCs w:val="20"/>
          <w:color w:val="auto"/>
        </w:rPr>
      </w:pPr>
    </w:p>
    <w:p>
      <w:pPr>
        <w:ind w:left="7" w:right="4599" w:firstLine="357"/>
        <w:spacing w:after="0" w:line="238" w:lineRule="auto"/>
        <w:rPr>
          <w:sz w:val="20"/>
          <w:szCs w:val="20"/>
          <w:color w:val="auto"/>
        </w:rPr>
      </w:pPr>
      <w:r>
        <w:rPr>
          <w:rFonts w:ascii="Courier New" w:cs="Courier New" w:eastAsia="Courier New" w:hAnsi="Courier New"/>
          <w:sz w:val="12"/>
          <w:szCs w:val="12"/>
          <w:color w:val="auto"/>
        </w:rPr>
        <w:t>External directors are to be elected by a majority vote at a shareholders' meeting, provided that either:</w:t>
      </w:r>
    </w:p>
    <w:p>
      <w:pPr>
        <w:spacing w:after="0" w:line="142" w:lineRule="exact"/>
        <w:rPr>
          <w:sz w:val="20"/>
          <w:szCs w:val="20"/>
          <w:color w:val="auto"/>
        </w:rPr>
      </w:pPr>
    </w:p>
    <w:p>
      <w:pPr>
        <w:ind w:left="367" w:right="4679" w:hanging="367"/>
        <w:spacing w:after="0" w:line="239" w:lineRule="auto"/>
        <w:tabs>
          <w:tab w:leader="none" w:pos="367"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majority of shares voted at the meeting, including at least one-third of the shares held by non-controlling shareholders voted at the meeting, vote in favor of election of the director; or</w:t>
      </w:r>
    </w:p>
    <w:p>
      <w:pPr>
        <w:spacing w:after="0" w:line="142" w:lineRule="exact"/>
        <w:rPr>
          <w:rFonts w:ascii="Courier New" w:cs="Courier New" w:eastAsia="Courier New" w:hAnsi="Courier New"/>
          <w:sz w:val="12"/>
          <w:szCs w:val="12"/>
          <w:color w:val="auto"/>
        </w:rPr>
      </w:pPr>
    </w:p>
    <w:p>
      <w:pPr>
        <w:ind w:left="367" w:right="4819" w:hanging="367"/>
        <w:spacing w:after="0" w:line="239" w:lineRule="auto"/>
        <w:tabs>
          <w:tab w:leader="none" w:pos="367"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total number of shares held by non-controlling shareholders voted against the election of the director does not exceed one percent of the aggregate voting rights in the company.</w:t>
      </w:r>
    </w:p>
    <w:p>
      <w:pPr>
        <w:spacing w:after="0" w:line="143"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The initial term of an external director is three years and may be extended for an additional three years. External directors may be removed only by the same percentage of shareholders as is required for their election, or by a court, and then only if the external directors cease to meet the statutory qualifications for their appointment or if they violate their duty of loyalty to the company. Each committee of a company's board of directors must include at least one external director.</w:t>
      </w:r>
    </w:p>
    <w:p>
      <w:pPr>
        <w:spacing w:after="0" w:line="142" w:lineRule="exact"/>
        <w:rPr>
          <w:sz w:val="20"/>
          <w:szCs w:val="20"/>
          <w:color w:val="auto"/>
        </w:rPr>
      </w:pPr>
    </w:p>
    <w:p>
      <w:pPr>
        <w:ind w:left="7" w:right="4679" w:firstLine="357"/>
        <w:spacing w:after="0" w:line="241" w:lineRule="auto"/>
        <w:rPr>
          <w:sz w:val="20"/>
          <w:szCs w:val="20"/>
          <w:color w:val="auto"/>
        </w:rPr>
      </w:pPr>
      <w:r>
        <w:rPr>
          <w:rFonts w:ascii="Courier New" w:cs="Courier New" w:eastAsia="Courier New" w:hAnsi="Courier New"/>
          <w:sz w:val="12"/>
          <w:szCs w:val="12"/>
          <w:color w:val="auto"/>
        </w:rPr>
        <w:t>Mr. Rohrer and Ms. Yaron-Eldar currently serve as our external directors. Mr. Rohrer was appointed for an initial three-year term that expired in April 2005 and was reappointed for a subsequent three-year term expiring in April 2008. Ms. Yaron-Eldar was appointed for an initial three-year term expiring in December 2007</w:t>
      </w:r>
    </w:p>
    <w:p>
      <w:pPr>
        <w:sectPr>
          <w:pgSz w:w="11900" w:h="16897" w:orient="portrait"/>
          <w:cols w:equalWidth="0" w:num="1">
            <w:col w:w="10246"/>
          </w:cols>
          <w:pgMar w:left="213" w:top="138" w:right="1440" w:bottom="0" w:gutter="0" w:footer="0" w:header="0"/>
        </w:sectPr>
      </w:pPr>
    </w:p>
    <w:p>
      <w:pPr>
        <w:spacing w:after="0" w:line="278" w:lineRule="exact"/>
        <w:rPr>
          <w:sz w:val="20"/>
          <w:szCs w:val="20"/>
          <w:color w:val="auto"/>
        </w:rPr>
      </w:pPr>
    </w:p>
    <w:p>
      <w:pPr>
        <w:ind w:left="2787"/>
        <w:spacing w:after="0"/>
        <w:rPr>
          <w:sz w:val="20"/>
          <w:szCs w:val="20"/>
          <w:color w:val="auto"/>
        </w:rPr>
      </w:pPr>
      <w:r>
        <w:rPr>
          <w:rFonts w:ascii="Courier New" w:cs="Courier New" w:eastAsia="Courier New" w:hAnsi="Courier New"/>
          <w:sz w:val="11"/>
          <w:szCs w:val="11"/>
          <w:color w:val="auto"/>
        </w:rPr>
        <w:t>68</w:t>
      </w:r>
    </w:p>
    <w:p>
      <w:pPr>
        <w:sectPr>
          <w:pgSz w:w="11900" w:h="16897" w:orient="portrait"/>
          <w:cols w:equalWidth="0" w:num="1">
            <w:col w:w="10246"/>
          </w:cols>
          <w:pgMar w:left="213" w:top="138" w:right="1440" w:bottom="0" w:gutter="0" w:footer="0" w:header="0"/>
          <w:type w:val="continuous"/>
        </w:sectPr>
      </w:pPr>
    </w:p>
    <w:bookmarkStart w:id="35" w:name="page36"/>
    <w:bookmarkEnd w:id="35"/>
    <w:p>
      <w:pPr>
        <w:spacing w:after="0" w:line="88"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An external director is entitled to compensation, as provided in regulations adopted under the Israeli Companies Law, and is otherwise prohibited from receiving any other compensation, directly or indirectly, in connection with service provided as an external director.</w:t>
      </w:r>
    </w:p>
    <w:p>
      <w:pPr>
        <w:spacing w:after="0" w:line="142"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The Companies Law requires public companies to appoint an audit committee. The responsibilities of the audit committee include reviewing the company's financial statements, monitoring the company's independent auditors, identifying irregularities in the management of the company's business and approving related party transactions as required by law. An audit committee must consist of at least three directors, including the external directors of the company. The chairman of the board of directors, any director employed by or otherwise providing services to the company, and a controlling shareholder or any relative of a controlling shareholder, may not be a member of the audit committee. An employee, executive officer or director of a controlling shareholder of an Israeli company may serve as a member of an audit committee under Israeli law, unless such individual controls more than 50% of the controlling shareholder. Each of our external directors are members of our audit committee.</w:t>
      </w:r>
    </w:p>
    <w:p>
      <w:pPr>
        <w:spacing w:after="0" w:line="13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an affiliate, or a relative of an office holder or affiliate, and he may not be the company's independent auditor or its representative.</w:t>
      </w:r>
    </w:p>
    <w:p>
      <w:pPr>
        <w:spacing w:after="0" w:line="142" w:lineRule="exact"/>
        <w:rPr>
          <w:sz w:val="20"/>
          <w:szCs w:val="20"/>
          <w:color w:val="auto"/>
        </w:rPr>
      </w:pPr>
    </w:p>
    <w:p>
      <w:pPr>
        <w:ind w:right="4759" w:firstLine="357"/>
        <w:spacing w:after="0" w:line="241" w:lineRule="auto"/>
        <w:rPr>
          <w:sz w:val="20"/>
          <w:szCs w:val="20"/>
          <w:color w:val="auto"/>
        </w:rPr>
      </w:pPr>
      <w:r>
        <w:rPr>
          <w:rFonts w:ascii="Courier New" w:cs="Courier New" w:eastAsia="Courier New" w:hAnsi="Courier New"/>
          <w:sz w:val="12"/>
          <w:szCs w:val="12"/>
          <w:color w:val="auto"/>
        </w:rPr>
        <w:t>Mr. Rosen, Dr. Harari and Ms. Yaron-Eldar serve on the stock option and compensation committee. The committee meets at least once a year. The primary function of this committee is to approve our employee compensation policy and determine remuneration and other terms of employment for our officers. In setting our remuneration policy, the committee considers a number of factors including:</w:t>
      </w:r>
    </w:p>
    <w:p>
      <w:pPr>
        <w:spacing w:after="0" w:line="139" w:lineRule="exact"/>
        <w:rPr>
          <w:sz w:val="20"/>
          <w:szCs w:val="20"/>
          <w:color w:val="auto"/>
        </w:rPr>
      </w:pPr>
    </w:p>
    <w:p>
      <w:pPr>
        <w:ind w:left="700" w:hanging="350"/>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overall employment market environment;</w:t>
      </w:r>
    </w:p>
    <w:p>
      <w:pPr>
        <w:spacing w:after="0" w:line="141" w:lineRule="exact"/>
        <w:rPr>
          <w:rFonts w:ascii="Courier New" w:cs="Courier New" w:eastAsia="Courier New" w:hAnsi="Courier New"/>
          <w:sz w:val="12"/>
          <w:szCs w:val="12"/>
          <w:color w:val="auto"/>
        </w:rPr>
      </w:pPr>
    </w:p>
    <w:p>
      <w:pPr>
        <w:ind w:left="700" w:right="4759" w:hanging="350"/>
        <w:spacing w:after="0" w:line="238" w:lineRule="auto"/>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basic salaries and benefits available to comparable officers at comparable companies;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attract and retain officers of an appropriate caliber;</w:t>
      </w:r>
    </w:p>
    <w:p>
      <w:pPr>
        <w:spacing w:after="0" w:line="141" w:lineRule="exact"/>
        <w:rPr>
          <w:rFonts w:ascii="Courier New" w:cs="Courier New" w:eastAsia="Courier New" w:hAnsi="Courier New"/>
          <w:sz w:val="12"/>
          <w:szCs w:val="12"/>
          <w:color w:val="auto"/>
        </w:rPr>
      </w:pPr>
    </w:p>
    <w:p>
      <w:pPr>
        <w:ind w:left="700" w:right="4679" w:hanging="350"/>
        <w:spacing w:after="0" w:line="238" w:lineRule="auto"/>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ensure such executives' commitment to the future success of our company by means of incentive schemes;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performance of the officer; and</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financial and operating results of our company.</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69</w:t>
      </w:r>
    </w:p>
    <w:p>
      <w:pPr>
        <w:spacing w:after="0" w:line="200" w:lineRule="exact"/>
        <w:rPr>
          <w:sz w:val="20"/>
          <w:szCs w:val="20"/>
          <w:color w:val="auto"/>
        </w:rPr>
      </w:pPr>
    </w:p>
    <w:p>
      <w:pPr>
        <w:spacing w:after="0" w:line="332" w:lineRule="exact"/>
        <w:rPr>
          <w:sz w:val="20"/>
          <w:szCs w:val="20"/>
          <w:color w:val="auto"/>
        </w:rPr>
      </w:pPr>
    </w:p>
    <w:p>
      <w:pPr>
        <w:ind w:left="700" w:hanging="350"/>
        <w:spacing w:after="0"/>
        <w:tabs>
          <w:tab w:leader="none" w:pos="700"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EMPLOYEES</w:t>
      </w:r>
    </w:p>
    <w:p>
      <w:pPr>
        <w:spacing w:after="0" w:line="141" w:lineRule="exact"/>
        <w:rPr>
          <w:sz w:val="20"/>
          <w:szCs w:val="20"/>
          <w:color w:val="auto"/>
        </w:rPr>
      </w:pPr>
    </w:p>
    <w:p>
      <w:pPr>
        <w:ind w:right="4599" w:firstLine="357"/>
        <w:spacing w:after="0" w:line="238" w:lineRule="auto"/>
        <w:rPr>
          <w:sz w:val="20"/>
          <w:szCs w:val="20"/>
          <w:color w:val="auto"/>
        </w:rPr>
      </w:pPr>
      <w:r>
        <w:rPr>
          <w:rFonts w:ascii="Courier New" w:cs="Courier New" w:eastAsia="Courier New" w:hAnsi="Courier New"/>
          <w:sz w:val="12"/>
          <w:szCs w:val="12"/>
          <w:color w:val="auto"/>
        </w:rPr>
        <w:t>The following table sets forth for the last three fiscal years, the number of our employees engaged in the specified activities.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As of</w:t>
            </w:r>
          </w:p>
        </w:tc>
        <w:tc>
          <w:tcPr>
            <w:tcW w:w="400" w:type="dxa"/>
            <w:vAlign w:val="bottom"/>
          </w:tcPr>
          <w:p>
            <w:pPr>
              <w:spacing w:after="0"/>
              <w:rPr>
                <w:sz w:val="11"/>
                <w:szCs w:val="11"/>
                <w:color w:val="auto"/>
              </w:rPr>
            </w:pPr>
          </w:p>
        </w:tc>
      </w:tr>
      <w:tr>
        <w:trPr>
          <w:trHeight w:val="137"/>
        </w:trPr>
        <w:tc>
          <w:tcPr>
            <w:tcW w:w="3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December 31,</w:t>
            </w:r>
          </w:p>
        </w:tc>
        <w:tc>
          <w:tcPr>
            <w:tcW w:w="400" w:type="dxa"/>
            <w:vAlign w:val="bottom"/>
          </w:tcPr>
          <w:p>
            <w:pPr>
              <w:spacing w:after="0"/>
              <w:rPr>
                <w:sz w:val="11"/>
                <w:szCs w:val="11"/>
                <w:color w:val="auto"/>
              </w:rPr>
            </w:pPr>
          </w:p>
        </w:tc>
      </w:tr>
      <w:tr>
        <w:trPr>
          <w:trHeight w:val="137"/>
        </w:trPr>
        <w:tc>
          <w:tcPr>
            <w:tcW w:w="3460" w:type="dxa"/>
            <w:vAlign w:val="bottom"/>
          </w:tcPr>
          <w:p>
            <w:pPr>
              <w:spacing w:after="0"/>
              <w:rPr>
                <w:sz w:val="11"/>
                <w:szCs w:val="11"/>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4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2005</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2004</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34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460" w:type="dxa"/>
            <w:vAlign w:val="bottom"/>
          </w:tcPr>
          <w:p>
            <w:pPr>
              <w:spacing w:after="0"/>
              <w:rPr>
                <w:sz w:val="20"/>
                <w:szCs w:val="20"/>
                <w:color w:val="auto"/>
              </w:rPr>
            </w:pPr>
            <w:r>
              <w:rPr>
                <w:rFonts w:ascii="Courier New" w:cs="Courier New" w:eastAsia="Courier New" w:hAnsi="Courier New"/>
                <w:sz w:val="12"/>
                <w:szCs w:val="12"/>
                <w:color w:val="auto"/>
              </w:rPr>
              <w:t>Process and Product Engineering, R&amp;D, Design</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293</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360</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405</w:t>
            </w:r>
          </w:p>
        </w:tc>
      </w:tr>
      <w:tr>
        <w:trPr>
          <w:trHeight w:val="137"/>
        </w:trPr>
        <w:tc>
          <w:tcPr>
            <w:tcW w:w="3460" w:type="dxa"/>
            <w:vAlign w:val="bottom"/>
          </w:tcPr>
          <w:p>
            <w:pPr>
              <w:spacing w:after="0"/>
              <w:rPr>
                <w:sz w:val="20"/>
                <w:szCs w:val="20"/>
                <w:color w:val="auto"/>
              </w:rPr>
            </w:pPr>
            <w:r>
              <w:rPr>
                <w:rFonts w:ascii="Courier New" w:cs="Courier New" w:eastAsia="Courier New" w:hAnsi="Courier New"/>
                <w:sz w:val="12"/>
                <w:szCs w:val="12"/>
                <w:color w:val="auto"/>
              </w:rPr>
              <w:t>Manufacturing, Operations (*)</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734</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780</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670</w:t>
            </w:r>
          </w:p>
        </w:tc>
      </w:tr>
      <w:tr>
        <w:trPr>
          <w:trHeight w:val="137"/>
        </w:trPr>
        <w:tc>
          <w:tcPr>
            <w:tcW w:w="3460" w:type="dxa"/>
            <w:vAlign w:val="bottom"/>
          </w:tcPr>
          <w:p>
            <w:pPr>
              <w:spacing w:after="0"/>
              <w:rPr>
                <w:sz w:val="20"/>
                <w:szCs w:val="20"/>
                <w:color w:val="auto"/>
              </w:rPr>
            </w:pPr>
            <w:r>
              <w:rPr>
                <w:rFonts w:ascii="Courier New" w:cs="Courier New" w:eastAsia="Courier New" w:hAnsi="Courier New"/>
                <w:sz w:val="12"/>
                <w:szCs w:val="12"/>
                <w:color w:val="auto"/>
              </w:rPr>
              <w:t>Manufacturing Support</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124</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134</w:t>
            </w:r>
          </w:p>
        </w:tc>
      </w:tr>
      <w:tr>
        <w:trPr>
          <w:trHeight w:val="137"/>
        </w:trPr>
        <w:tc>
          <w:tcPr>
            <w:tcW w:w="3460" w:type="dxa"/>
            <w:vAlign w:val="bottom"/>
          </w:tcPr>
          <w:p>
            <w:pPr>
              <w:spacing w:after="0"/>
              <w:rPr>
                <w:sz w:val="20"/>
                <w:szCs w:val="20"/>
                <w:color w:val="auto"/>
              </w:rPr>
            </w:pPr>
            <w:r>
              <w:rPr>
                <w:rFonts w:ascii="Courier New" w:cs="Courier New" w:eastAsia="Courier New" w:hAnsi="Courier New"/>
                <w:sz w:val="12"/>
                <w:szCs w:val="12"/>
                <w:color w:val="auto"/>
              </w:rPr>
              <w:t>Administration, Marketing, Finance</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88</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100</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117</w:t>
            </w:r>
          </w:p>
        </w:tc>
      </w:tr>
      <w:tr>
        <w:trPr>
          <w:trHeight w:val="137"/>
        </w:trPr>
        <w:tc>
          <w:tcPr>
            <w:tcW w:w="3460" w:type="dxa"/>
            <w:vAlign w:val="bottom"/>
          </w:tcPr>
          <w:p>
            <w:pPr>
              <w:spacing w:after="0"/>
              <w:rPr>
                <w:sz w:val="20"/>
                <w:szCs w:val="20"/>
                <w:color w:val="auto"/>
              </w:rPr>
            </w:pPr>
            <w:r>
              <w:rPr>
                <w:rFonts w:ascii="Courier New" w:cs="Courier New" w:eastAsia="Courier New" w:hAnsi="Courier New"/>
                <w:sz w:val="12"/>
                <w:szCs w:val="12"/>
                <w:color w:val="auto"/>
              </w:rPr>
              <w:t>Fab 2 Construction and Technology Transfer (*)</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45</w:t>
            </w:r>
          </w:p>
        </w:tc>
      </w:tr>
      <w:tr>
        <w:trPr>
          <w:trHeight w:val="137"/>
        </w:trPr>
        <w:tc>
          <w:tcPr>
            <w:tcW w:w="34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46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1,238</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1,369</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1,371</w:t>
            </w:r>
          </w:p>
        </w:tc>
      </w:tr>
      <w:tr>
        <w:trPr>
          <w:trHeight w:val="137"/>
        </w:trPr>
        <w:tc>
          <w:tcPr>
            <w:tcW w:w="3460" w:type="dxa"/>
            <w:vAlign w:val="bottom"/>
          </w:tcPr>
          <w:p>
            <w:pPr>
              <w:spacing w:after="0"/>
              <w:rPr>
                <w:sz w:val="11"/>
                <w:szCs w:val="11"/>
                <w:color w:val="auto"/>
              </w:rPr>
            </w:pPr>
          </w:p>
        </w:tc>
        <w:tc>
          <w:tcPr>
            <w:tcW w:w="6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41" w:lineRule="exact"/>
        <w:rPr>
          <w:sz w:val="20"/>
          <w:szCs w:val="20"/>
          <w:color w:val="auto"/>
        </w:rPr>
      </w:pPr>
    </w:p>
    <w:p>
      <w:pPr>
        <w:ind w:right="4539" w:firstLine="350"/>
        <w:spacing w:after="0"/>
        <w:tabs>
          <w:tab w:leader="none" w:pos="642"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commencement of operations of Fab 2 during the third quarter of 2003, most of the employees that prior to that date were classified under Fab 2 construction and technology transfer activities are classified under manufacturing operations activities.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Except for an arrangement regarding pension contributions, we have no collective bargaining agreements with any of our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w:t>
      </w:r>
    </w:p>
    <w:p>
      <w:pPr>
        <w:spacing w:after="0" w:line="14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generally provide our employees with benefits and working conditions beyond the minimum requirements. For example, a general practice in Israel, which we follow, despite not being legally obligated to do so, is the contribution of funds to an employee's "Manager's Insurance" fund and/or pension fund. Such funds generally provide a combination of savings plans, insurance and severance pay benefits to the employee, giving the employee a lump sum payment upon retirement and securing his or her right to receive severance pay, if legally entitled, upon termination of employment. To the Manager's Insurance fund, the employee usually contributes an amount equal to 5% of his or her wages and the employer usually contributes an additional 13.3% to 15.8%. To the pension fund the employee usually contributes an amount equal to between 5% and 6% of his or her wages and the employer usually contributes an additional 13.7% to 17.3%. Israeli law generally requires severance pay upon the retirement or death of an employee or termination of employment without due cause. Furthermore, Israeli employees and employers are required to make payments to the National Insurance Institute. We consider our relationship with our employees to be good, and we have never experienced a labor dispute, strike or work stoppage.</w:t>
      </w:r>
    </w:p>
    <w:p>
      <w:pPr>
        <w:spacing w:after="0" w:line="28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70</w:t>
      </w:r>
    </w:p>
    <w:p>
      <w:pPr>
        <w:spacing w:after="0" w:line="200" w:lineRule="exact"/>
        <w:rPr>
          <w:sz w:val="20"/>
          <w:szCs w:val="20"/>
          <w:color w:val="auto"/>
        </w:rPr>
      </w:pPr>
    </w:p>
    <w:p>
      <w:pPr>
        <w:spacing w:after="0" w:line="332" w:lineRule="exact"/>
        <w:rPr>
          <w:sz w:val="20"/>
          <w:szCs w:val="20"/>
          <w:color w:val="auto"/>
        </w:rPr>
      </w:pPr>
    </w:p>
    <w:p>
      <w:pPr>
        <w:ind w:left="700" w:hanging="350"/>
        <w:spacing w:after="0"/>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OWNERSHIP</w:t>
      </w:r>
    </w:p>
    <w:p>
      <w:pPr>
        <w:spacing w:after="0" w:line="141" w:lineRule="exact"/>
        <w:rPr>
          <w:sz w:val="20"/>
          <w:szCs w:val="20"/>
          <w:color w:val="auto"/>
        </w:rPr>
      </w:pPr>
    </w:p>
    <w:p>
      <w:pPr>
        <w:ind w:right="4819" w:firstLine="357"/>
        <w:spacing w:after="0" w:line="280" w:lineRule="auto"/>
        <w:rPr>
          <w:sz w:val="20"/>
          <w:szCs w:val="20"/>
          <w:color w:val="auto"/>
        </w:rPr>
      </w:pPr>
      <w:r>
        <w:rPr>
          <w:rFonts w:ascii="Courier New" w:cs="Courier New" w:eastAsia="Courier New" w:hAnsi="Courier New"/>
          <w:sz w:val="11"/>
          <w:szCs w:val="11"/>
          <w:color w:val="auto"/>
        </w:rPr>
        <w:t>All of the persons listed above under the caption "Directors and Senior Management" own ordinary shares and/or options to purchase ordinary shares.</w:t>
      </w:r>
    </w:p>
    <w:p>
      <w:pPr>
        <w:sectPr>
          <w:pgSz w:w="11900" w:h="16926" w:orient="portrait"/>
          <w:cols w:equalWidth="0" w:num="1">
            <w:col w:w="10239"/>
          </w:cols>
          <w:pgMar w:left="220" w:top="553" w:right="1440" w:bottom="0" w:gutter="0" w:footer="0" w:header="0"/>
        </w:sectPr>
      </w:pPr>
    </w:p>
    <w:bookmarkStart w:id="36" w:name="page37"/>
    <w:bookmarkEnd w:id="36"/>
    <w:p>
      <w:pPr>
        <w:spacing w:after="0" w:line="83" w:lineRule="exact"/>
        <w:rPr>
          <w:sz w:val="20"/>
          <w:szCs w:val="20"/>
          <w:color w:val="auto"/>
        </w:rPr>
      </w:pPr>
    </w:p>
    <w:p>
      <w:pPr>
        <w:ind w:right="4959"/>
        <w:spacing w:after="0" w:line="269" w:lineRule="auto"/>
        <w:rPr>
          <w:sz w:val="20"/>
          <w:szCs w:val="20"/>
          <w:color w:val="auto"/>
        </w:rPr>
      </w:pPr>
      <w:r>
        <w:rPr>
          <w:rFonts w:ascii="Courier New" w:cs="Courier New" w:eastAsia="Courier New" w:hAnsi="Courier New"/>
          <w:sz w:val="11"/>
          <w:szCs w:val="11"/>
          <w:color w:val="auto"/>
        </w:rPr>
        <w:t>Except as described below, none of such persons own shares and/or options amounting to 1% or more of the outstanding ordinary shares. Information regarding our share option plans and warrants presented in Note 13B to our consolidated financial statements is incorporated herein by reference.</w:t>
      </w:r>
    </w:p>
    <w:p>
      <w:pPr>
        <w:spacing w:after="0" w:line="12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April 2005, our Board of Directors approved the grants of options to purchase up to 1,325,724 ordinary shares (which represent 1.6% of our outstanding share capital as of June 30, 2006) to our Chief Executive Officer, who was also appointed as a director. These options are exercisable at an exercise price of $1.56, the opening market price of our shares on the date of the board approval of the grants. The options vest over a four-year period, 25% over each year of employment. The options granted are exercisable for a period of ten years from the date of grant. If as a result of future equity financings (excluding the exercise or conversion of existing warrants, options or other rights to acquire our securities), the number of total options granted to our CEO through April 30, 2007 would represent less than 1.2% of our total number of issued and outstanding shares as of such date, additional options will be granted to the CEO to represent a 1.2% holding of the total number of our issued and outstanding shares as of April 30, 2007. These grants were approved by our shareholders in October 2005.</w:t>
      </w:r>
    </w:p>
    <w:p>
      <w:pPr>
        <w:spacing w:after="0" w:line="148"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In May 2006, our audit committee and board of directors approved the grant of options to our CEO, who also serves as a director, in addition to the options granted to him in April 2005, such that in total, the CEO will hold options to purchase shares that represent 4% of our shares on a fully diluted basis during the two-year period from the approval of the audit committee. The exercise price of the initial grant of additional options will be $1.45, the average closing price of our shares on the Nasdaq during the 90 consecutive trading days prior to the board of directors' approval. In the event of a future equity financing, additional options will be granted to the CEO as described above with an exercise price equal to the price per share of such investment. The vesting period of the new options will be identical to the vesting period of the existing options. The new grant of options and its terms are subject to the approval of our shareholders. If the new grant of options is approved by our shareholders, no additional options will be granted under the CEO's current option agreement, which was approved by our shareholders in October 2005.</w:t>
      </w:r>
    </w:p>
    <w:p>
      <w:pPr>
        <w:spacing w:after="0" w:line="269"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Our board of directors approved a plan to offer each of our current employees the opportunity to exchange their existing options to purchase our ordinary shares for new options with an exercise price $1.45, which is the average closing price of our shares on the Nasdaq during the 90 consecutive trading days prior to the board of directors' approval. The new options will be granted based on terms similar to our existing employee option plan with new vesting periods. As of May 19, 2006, options to purchase approximately 9 million ordinary shares held by our current employees, with exercise prices ranging from $1.46 to $25, were outstanding. Our board of directors further approved that if the total number of employee options, including the options to our CEO, during the coming 24 months will represent less than 8% of the our shares on a fully diluted basis, additional options will be allocated for grants to be made to our employees. As of May 31, 2006, no options have been granted under such plan.</w:t>
      </w:r>
    </w:p>
    <w:p>
      <w:pPr>
        <w:spacing w:after="0" w:line="200" w:lineRule="exact"/>
        <w:rPr>
          <w:sz w:val="20"/>
          <w:szCs w:val="20"/>
          <w:color w:val="auto"/>
        </w:rPr>
      </w:pPr>
    </w:p>
    <w:p>
      <w:pPr>
        <w:spacing w:after="0" w:line="20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71</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During 2001, the Audit Committee, Board of Directors and shareholders approved a stock option plan pursuant to which our Board members will be granted options to purchase up to 400,000 ordinary shares. In accordance with this option plan, 120,000 options were granted in 2005 to three directors (40,000 options each) at exercise prices of $1.87, $1.87 and $1.26 280,000 options to purchase ordinary shares were outstanding under this plan, with a weighted average exercise price of $5.39. These options vest over a four-year period, according to various vesting schedules and are generally not exercisable following the fifth anniversary of their vesting date.</w:t>
      </w:r>
    </w:p>
    <w:p>
      <w:pPr>
        <w:spacing w:after="0" w:line="14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7.</w:t>
      </w:r>
      <w:r>
        <w:rPr>
          <w:sz w:val="20"/>
          <w:szCs w:val="20"/>
          <w:color w:val="auto"/>
        </w:rPr>
        <w:tab/>
      </w:r>
      <w:r>
        <w:rPr>
          <w:rFonts w:ascii="Courier New" w:cs="Courier New" w:eastAsia="Courier New" w:hAnsi="Courier New"/>
          <w:sz w:val="11"/>
          <w:szCs w:val="11"/>
          <w:color w:val="auto"/>
        </w:rPr>
        <w:t>MAJOR SHAREHOLDERS AND RELATED PARTY TRANSACTIONS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following table and notes thereto set forth information, as of May 19, 2006, concerning the beneficial ownership (as defined in Rule 13d-3 under the Securities Exchange Act of 1934, as amended), and on a diluted basis, of ordinary shares by any person who is known to own at least 5% of our issued and outstanding ordinary shares. On such date, 77,561,979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60" w:type="dxa"/>
            <w:vAlign w:val="bottom"/>
          </w:tcPr>
          <w:p>
            <w:pPr>
              <w:spacing w:after="0"/>
              <w:rPr>
                <w:sz w:val="11"/>
                <w:szCs w:val="11"/>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AMOUNT</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PERCENT</w:t>
            </w:r>
          </w:p>
        </w:tc>
        <w:tc>
          <w:tcPr>
            <w:tcW w:w="1360" w:type="dxa"/>
            <w:vAlign w:val="bottom"/>
          </w:tcPr>
          <w:p>
            <w:pPr>
              <w:jc w:val="right"/>
              <w:ind w:right="1"/>
              <w:spacing w:after="0"/>
              <w:rPr>
                <w:sz w:val="20"/>
                <w:szCs w:val="20"/>
                <w:color w:val="auto"/>
              </w:rPr>
            </w:pPr>
            <w:r>
              <w:rPr>
                <w:rFonts w:ascii="Courier New" w:cs="Courier New" w:eastAsia="Courier New" w:hAnsi="Courier New"/>
                <w:sz w:val="12"/>
                <w:szCs w:val="12"/>
                <w:color w:val="auto"/>
              </w:rPr>
              <w:t>PERCENT OF CLASS</w:t>
            </w:r>
          </w:p>
        </w:tc>
      </w:tr>
      <w:tr>
        <w:trPr>
          <w:trHeight w:val="137"/>
        </w:trPr>
        <w:tc>
          <w:tcPr>
            <w:tcW w:w="2960" w:type="dxa"/>
            <w:vAlign w:val="bottom"/>
          </w:tcPr>
          <w:p>
            <w:pPr>
              <w:spacing w:after="0"/>
              <w:rPr>
                <w:sz w:val="20"/>
                <w:szCs w:val="20"/>
                <w:color w:val="auto"/>
              </w:rPr>
            </w:pPr>
            <w:r>
              <w:rPr>
                <w:rFonts w:ascii="Courier New" w:cs="Courier New" w:eastAsia="Courier New" w:hAnsi="Courier New"/>
                <w:sz w:val="12"/>
                <w:szCs w:val="12"/>
                <w:color w:val="auto"/>
              </w:rPr>
              <w:t>IDENTITY OF PERSON OR GROUP</w:t>
            </w: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OWNED (1)</w:t>
            </w:r>
          </w:p>
        </w:tc>
        <w:tc>
          <w:tcPr>
            <w:tcW w:w="1140" w:type="dxa"/>
            <w:vAlign w:val="bottom"/>
          </w:tcPr>
          <w:p>
            <w:pPr>
              <w:ind w:left="140"/>
              <w:spacing w:after="0"/>
              <w:rPr>
                <w:sz w:val="20"/>
                <w:szCs w:val="20"/>
                <w:color w:val="auto"/>
              </w:rPr>
            </w:pPr>
            <w:r>
              <w:rPr>
                <w:rFonts w:ascii="Courier New" w:cs="Courier New" w:eastAsia="Courier New" w:hAnsi="Courier New"/>
                <w:sz w:val="12"/>
                <w:szCs w:val="12"/>
                <w:color w:val="auto"/>
              </w:rPr>
              <w:t>OF CLASS(1)</w:t>
            </w:r>
          </w:p>
        </w:tc>
        <w:tc>
          <w:tcPr>
            <w:tcW w:w="13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(DILUTED)(2)</w:t>
            </w:r>
          </w:p>
        </w:tc>
      </w:tr>
      <w:tr>
        <w:trPr>
          <w:trHeight w:val="137"/>
        </w:trPr>
        <w:tc>
          <w:tcPr>
            <w:tcW w:w="296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3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4"/>
        </w:trPr>
        <w:tc>
          <w:tcPr>
            <w:tcW w:w="2960" w:type="dxa"/>
            <w:vAlign w:val="bottom"/>
          </w:tcPr>
          <w:p>
            <w:pPr>
              <w:spacing w:after="0"/>
              <w:rPr>
                <w:sz w:val="20"/>
                <w:szCs w:val="20"/>
                <w:color w:val="auto"/>
              </w:rPr>
            </w:pPr>
            <w:r>
              <w:rPr>
                <w:rFonts w:ascii="Courier New" w:cs="Courier New" w:eastAsia="Courier New" w:hAnsi="Courier New"/>
                <w:sz w:val="12"/>
                <w:szCs w:val="12"/>
                <w:color w:val="auto"/>
              </w:rPr>
              <w:t>Israel Corporation Ltd. (3)</w:t>
            </w:r>
          </w:p>
        </w:tc>
        <w:tc>
          <w:tcPr>
            <w:tcW w:w="13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33,324,887(4)</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34.49%</w:t>
            </w:r>
          </w:p>
        </w:tc>
        <w:tc>
          <w:tcPr>
            <w:tcW w:w="13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23.50%</w:t>
            </w:r>
          </w:p>
        </w:tc>
      </w:tr>
      <w:tr>
        <w:trPr>
          <w:trHeight w:val="274"/>
        </w:trPr>
        <w:tc>
          <w:tcPr>
            <w:tcW w:w="2960" w:type="dxa"/>
            <w:vAlign w:val="bottom"/>
          </w:tcPr>
          <w:p>
            <w:pPr>
              <w:spacing w:after="0"/>
              <w:rPr>
                <w:sz w:val="20"/>
                <w:szCs w:val="20"/>
                <w:color w:val="auto"/>
              </w:rPr>
            </w:pPr>
            <w:r>
              <w:rPr>
                <w:rFonts w:ascii="Courier New" w:cs="Courier New" w:eastAsia="Courier New" w:hAnsi="Courier New"/>
                <w:sz w:val="12"/>
                <w:szCs w:val="12"/>
                <w:color w:val="auto"/>
              </w:rPr>
              <w:t>SanDisk Corporation(3)</w:t>
            </w:r>
          </w:p>
        </w:tc>
        <w:tc>
          <w:tcPr>
            <w:tcW w:w="13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14,650,132(5)</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18.06%</w:t>
            </w:r>
          </w:p>
        </w:tc>
        <w:tc>
          <w:tcPr>
            <w:tcW w:w="13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10.33%</w:t>
            </w:r>
          </w:p>
        </w:tc>
      </w:tr>
      <w:tr>
        <w:trPr>
          <w:trHeight w:val="274"/>
        </w:trPr>
        <w:tc>
          <w:tcPr>
            <w:tcW w:w="2960" w:type="dxa"/>
            <w:vAlign w:val="bottom"/>
          </w:tcPr>
          <w:p>
            <w:pPr>
              <w:spacing w:after="0"/>
              <w:rPr>
                <w:sz w:val="20"/>
                <w:szCs w:val="20"/>
                <w:color w:val="auto"/>
              </w:rPr>
            </w:pPr>
            <w:r>
              <w:rPr>
                <w:rFonts w:ascii="Courier New" w:cs="Courier New" w:eastAsia="Courier New" w:hAnsi="Courier New"/>
                <w:sz w:val="12"/>
                <w:szCs w:val="12"/>
                <w:color w:val="auto"/>
              </w:rPr>
              <w:t>Alliance Semiconductor Corporation (3)</w:t>
            </w:r>
          </w:p>
        </w:tc>
        <w:tc>
          <w:tcPr>
            <w:tcW w:w="13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13,492,975(6)</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16.67%</w:t>
            </w:r>
          </w:p>
        </w:tc>
        <w:tc>
          <w:tcPr>
            <w:tcW w:w="13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9.52%</w:t>
            </w:r>
          </w:p>
        </w:tc>
      </w:tr>
      <w:tr>
        <w:trPr>
          <w:trHeight w:val="274"/>
        </w:trPr>
        <w:tc>
          <w:tcPr>
            <w:tcW w:w="2960" w:type="dxa"/>
            <w:vAlign w:val="bottom"/>
          </w:tcPr>
          <w:p>
            <w:pPr>
              <w:spacing w:after="0"/>
              <w:rPr>
                <w:sz w:val="20"/>
                <w:szCs w:val="20"/>
                <w:color w:val="auto"/>
              </w:rPr>
            </w:pPr>
            <w:r>
              <w:rPr>
                <w:rFonts w:ascii="Courier New" w:cs="Courier New" w:eastAsia="Courier New" w:hAnsi="Courier New"/>
                <w:sz w:val="12"/>
                <w:szCs w:val="12"/>
                <w:color w:val="auto"/>
              </w:rPr>
              <w:t>Macronix International Co. Ltd.(3)</w:t>
            </w:r>
          </w:p>
        </w:tc>
        <w:tc>
          <w:tcPr>
            <w:tcW w:w="13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9,979,485(7)</w:t>
            </w:r>
          </w:p>
        </w:tc>
        <w:tc>
          <w:tcPr>
            <w:tcW w:w="1140" w:type="dxa"/>
            <w:vAlign w:val="bottom"/>
          </w:tcPr>
          <w:p>
            <w:pPr>
              <w:ind w:left="220"/>
              <w:spacing w:after="0"/>
              <w:rPr>
                <w:sz w:val="20"/>
                <w:szCs w:val="20"/>
                <w:color w:val="auto"/>
              </w:rPr>
            </w:pPr>
            <w:r>
              <w:rPr>
                <w:rFonts w:ascii="Courier New" w:cs="Courier New" w:eastAsia="Courier New" w:hAnsi="Courier New"/>
                <w:sz w:val="12"/>
                <w:szCs w:val="12"/>
                <w:color w:val="auto"/>
              </w:rPr>
              <w:t>12.67%</w:t>
            </w:r>
          </w:p>
        </w:tc>
        <w:tc>
          <w:tcPr>
            <w:tcW w:w="13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7.04%</w:t>
            </w:r>
          </w:p>
        </w:tc>
      </w:tr>
    </w:tbl>
    <w:p>
      <w:pPr>
        <w:spacing w:after="0" w:line="141" w:lineRule="exact"/>
        <w:rPr>
          <w:sz w:val="20"/>
          <w:szCs w:val="20"/>
          <w:color w:val="auto"/>
        </w:rPr>
      </w:pPr>
    </w:p>
    <w:p>
      <w:pPr>
        <w:ind w:left="700" w:right="4539" w:hanging="350"/>
        <w:spacing w:after="0" w:line="280" w:lineRule="auto"/>
        <w:tabs>
          <w:tab w:leader="none" w:pos="700"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Assumes the holder's beneficial ownership of all Ordinary Shares and all securities that the holder has a right to purchase within 60 days.</w:t>
      </w:r>
    </w:p>
    <w:p>
      <w:pPr>
        <w:spacing w:after="0" w:line="120" w:lineRule="exact"/>
        <w:rPr>
          <w:rFonts w:ascii="Courier New" w:cs="Courier New" w:eastAsia="Courier New" w:hAnsi="Courier New"/>
          <w:sz w:val="11"/>
          <w:szCs w:val="11"/>
          <w:color w:val="auto"/>
        </w:rPr>
      </w:pPr>
    </w:p>
    <w:p>
      <w:pPr>
        <w:ind w:left="700" w:right="4539" w:hanging="350"/>
        <w:spacing w:after="0" w:line="239" w:lineRule="auto"/>
        <w:tabs>
          <w:tab w:leader="none" w:pos="700"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Assumes that all currently outstanding securities to purchase Ordinary Shares, other than those which cannot be calculated as of the date of this annual report, have been exercised by all holders.</w:t>
      </w:r>
    </w:p>
    <w:p>
      <w:pPr>
        <w:spacing w:after="0" w:line="142" w:lineRule="exact"/>
        <w:rPr>
          <w:rFonts w:ascii="Courier New" w:cs="Courier New" w:eastAsia="Courier New" w:hAnsi="Courier New"/>
          <w:sz w:val="12"/>
          <w:szCs w:val="12"/>
          <w:color w:val="auto"/>
        </w:rPr>
      </w:pPr>
    </w:p>
    <w:p>
      <w:pPr>
        <w:ind w:left="700" w:right="4599" w:hanging="350"/>
        <w:spacing w:after="0" w:line="241" w:lineRule="auto"/>
        <w:tabs>
          <w:tab w:leader="none" w:pos="700"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a shareholders agreement among Israel Corp., Alliance Semiconductor Corporation, SanDisk Corporation and Macronix Co. Ltd., each of Israel Corp., Alliance Semiconductor Corporation, SanDisk Corporation and Macronix Co. Ltd. may be said to have shared voting and dispositive control over approximately 57% of the outstanding shares of Tower.</w:t>
      </w:r>
    </w:p>
    <w:p>
      <w:pPr>
        <w:spacing w:after="0" w:line="141" w:lineRule="exact"/>
        <w:rPr>
          <w:rFonts w:ascii="Courier New" w:cs="Courier New" w:eastAsia="Courier New" w:hAnsi="Courier New"/>
          <w:sz w:val="12"/>
          <w:szCs w:val="12"/>
          <w:color w:val="auto"/>
        </w:rPr>
      </w:pPr>
    </w:p>
    <w:p>
      <w:pPr>
        <w:jc w:val="both"/>
        <w:ind w:left="700" w:right="4679" w:hanging="350"/>
        <w:spacing w:after="0"/>
        <w:tabs>
          <w:tab w:leader="none" w:pos="700"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Israel Corp., represents 14,260,504 shares currently owned by Israel Corp., 882,560 shares issuable upon the exercise of currently exercisable warrants and 18,181,823 shares issuable upon conversion of debentures.</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72</w:t>
      </w:r>
    </w:p>
    <w:p>
      <w:pPr>
        <w:spacing w:after="0" w:line="200" w:lineRule="exact"/>
        <w:rPr>
          <w:sz w:val="20"/>
          <w:szCs w:val="20"/>
          <w:color w:val="auto"/>
        </w:rPr>
      </w:pPr>
    </w:p>
    <w:p>
      <w:pPr>
        <w:spacing w:after="0" w:line="335" w:lineRule="exact"/>
        <w:rPr>
          <w:sz w:val="20"/>
          <w:szCs w:val="20"/>
          <w:color w:val="auto"/>
        </w:rPr>
      </w:pPr>
    </w:p>
    <w:p>
      <w:pPr>
        <w:ind w:left="700" w:right="4539" w:hanging="350"/>
        <w:spacing w:after="0" w:line="272" w:lineRule="auto"/>
        <w:tabs>
          <w:tab w:leader="none" w:pos="700" w:val="left"/>
        </w:tabs>
        <w:numPr>
          <w:ilvl w:val="0"/>
          <w:numId w:val="49"/>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information provided by SanDisk, represents 11,108,002 shares currently owned by SanDisk, 360,312 shares issuable upon the exercise of currently exercisable warrants and 3,181,818 shares issuable upon</w:t>
      </w:r>
    </w:p>
    <w:p>
      <w:pPr>
        <w:sectPr>
          <w:pgSz w:w="11900" w:h="16922" w:orient="portrait"/>
          <w:cols w:equalWidth="0" w:num="1">
            <w:col w:w="10239"/>
          </w:cols>
          <w:pgMar w:left="220" w:top="141" w:right="1440" w:bottom="0" w:gutter="0" w:footer="0" w:header="0"/>
        </w:sectPr>
      </w:pPr>
    </w:p>
    <w:bookmarkStart w:id="37" w:name="page38"/>
    <w:bookmarkEnd w:id="37"/>
    <w:p>
      <w:pPr>
        <w:spacing w:after="0" w:line="88"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conversion of debentures.</w:t>
      </w:r>
    </w:p>
    <w:p>
      <w:pPr>
        <w:spacing w:after="0" w:line="141" w:lineRule="exact"/>
        <w:rPr>
          <w:sz w:val="20"/>
          <w:szCs w:val="20"/>
          <w:color w:val="auto"/>
        </w:rPr>
      </w:pPr>
    </w:p>
    <w:p>
      <w:pPr>
        <w:ind w:left="700" w:right="4679" w:hanging="350"/>
        <w:spacing w:after="0"/>
        <w:tabs>
          <w:tab w:leader="none" w:pos="700"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upon information provided by Alliance, represents 10,125,410 shares currently owned by Alliance, 357,747 shares issuable upon the exercise of currently exercisable warrants and 3,009,818 shares issuable upon conversion of debentures.</w:t>
      </w:r>
    </w:p>
    <w:p>
      <w:pPr>
        <w:spacing w:after="0" w:line="142" w:lineRule="exact"/>
        <w:rPr>
          <w:rFonts w:ascii="Courier New" w:cs="Courier New" w:eastAsia="Courier New" w:hAnsi="Courier New"/>
          <w:sz w:val="12"/>
          <w:szCs w:val="12"/>
          <w:color w:val="auto"/>
        </w:rPr>
      </w:pPr>
    </w:p>
    <w:p>
      <w:pPr>
        <w:ind w:left="700" w:right="4539" w:hanging="350"/>
        <w:spacing w:after="0"/>
        <w:tabs>
          <w:tab w:leader="none" w:pos="700"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Macronix, represents 8,773,395 shares currently owned by Macronix, 297,000 shares issuable upon the exercise of currently exercisable warrants and 909,090 shares issuable upon conversion of debentures.</w:t>
      </w:r>
    </w:p>
    <w:p>
      <w:pPr>
        <w:spacing w:after="0" w:line="142"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annual report since the number of shares issuable will depend upon future transactions in which we may engage: (i) ordinary shares issuable upon conversion of up to $30 million in wafer prepayment credits (as of May 19, 2006) which we have issued to our major wafer partners; and (ii) ordinary shares issuable upon conversion of securities we may be required to issue in connection with a rights offering and outside investor provisions agreed to in the November 2003 amendment to our facility agreement.</w:t>
      </w:r>
    </w:p>
    <w:p>
      <w:pPr>
        <w:spacing w:after="0" w:line="128"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w:t>
      </w:r>
    </w:p>
    <w:p>
      <w:pPr>
        <w:spacing w:after="0" w:line="145"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As of July 10, 2006, there were a total of 34 holders of record of our ordinary shares, of which 21 were registered with addresses in the United States. Such United States holders were, as of such date, the holders of record of approximately 62% of our outstanding ordinary shares.</w:t>
      </w:r>
    </w:p>
    <w:p>
      <w:pPr>
        <w:spacing w:after="0" w:line="140" w:lineRule="exact"/>
        <w:rPr>
          <w:sz w:val="20"/>
          <w:szCs w:val="20"/>
          <w:color w:val="auto"/>
        </w:rPr>
      </w:pPr>
    </w:p>
    <w:p>
      <w:pPr>
        <w:ind w:left="700" w:hanging="350"/>
        <w:spacing w:after="0"/>
        <w:tabs>
          <w:tab w:leader="none" w:pos="700"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RELATED PARTY TRANSACTIONS</w:t>
      </w:r>
    </w:p>
    <w:p>
      <w:pPr>
        <w:spacing w:after="0" w:line="141"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EXEMPTION AND INDEMNIFICATION AGREEMENTS WITH DIRECTORS. In December 2001, we entered into exemption and indemnification agreements with the members of our Board of Directors, pursuant to which, subject to the limitations set forth in the Israeli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In September 2005, we entered into amended exemption and indemnification agreements with the members of our Board of Directors to reflect certain amendments to the Companies Law that came into effect in March 2005. Our shareholders approved these amended exemption and indemnification agreements in October 2005.</w:t>
      </w:r>
    </w:p>
    <w:p>
      <w:pPr>
        <w:spacing w:after="0" w:line="268"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73</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AGREEMENTS WITH CERTAIN OF OUR WAFER PARTNERS AND ISRAEL CORP. We are party to several agreements with our wafer partners, including SanDisk and Alliance, and Israel Corp related to the financing of Fab 2 and manufacture of products as described under the caption "Fab 2 Agreements" in "Item 5. Operating and Financial Review and Prospects" of this annual report and Note 11A to the consolidated financial statements included in this annual report, which discussions are incorporated by reference herein</w:t>
      </w:r>
    </w:p>
    <w:p>
      <w:pPr>
        <w:spacing w:after="0" w:line="142" w:lineRule="exact"/>
        <w:rPr>
          <w:sz w:val="20"/>
          <w:szCs w:val="20"/>
          <w:color w:val="auto"/>
        </w:rPr>
      </w:pPr>
    </w:p>
    <w:p>
      <w:pPr>
        <w:ind w:right="4679" w:firstLine="357"/>
        <w:spacing w:after="0" w:line="239" w:lineRule="auto"/>
        <w:rPr>
          <w:sz w:val="20"/>
          <w:szCs w:val="20"/>
          <w:color w:val="auto"/>
        </w:rPr>
      </w:pPr>
      <w:r>
        <w:rPr>
          <w:rFonts w:ascii="Courier New" w:cs="Courier New" w:eastAsia="Courier New" w:hAnsi="Courier New"/>
          <w:sz w:val="12"/>
          <w:szCs w:val="12"/>
          <w:color w:val="auto"/>
        </w:rPr>
        <w:t>AGREEMENTS WITH ISRAEL CORP. Discussed under "Item 4 - Information on the Company - A. History and Development of the Company - Recent Developments", which discussion is incorporated by reference herein.</w:t>
      </w:r>
    </w:p>
    <w:p>
      <w:pPr>
        <w:spacing w:after="0" w:line="143" w:lineRule="exact"/>
        <w:rPr>
          <w:sz w:val="20"/>
          <w:szCs w:val="20"/>
          <w:color w:val="auto"/>
        </w:rPr>
      </w:pPr>
    </w:p>
    <w:p>
      <w:pPr>
        <w:ind w:right="5099" w:firstLine="357"/>
        <w:spacing w:after="0" w:line="239" w:lineRule="auto"/>
        <w:rPr>
          <w:sz w:val="20"/>
          <w:szCs w:val="20"/>
          <w:color w:val="auto"/>
        </w:rPr>
      </w:pPr>
      <w:r>
        <w:rPr>
          <w:rFonts w:ascii="Courier New" w:cs="Courier New" w:eastAsia="Courier New" w:hAnsi="Courier New"/>
          <w:sz w:val="12"/>
          <w:szCs w:val="12"/>
          <w:color w:val="auto"/>
        </w:rPr>
        <w:t>GRANT OF OPTIONS TO OUR CEO AND DIRECTOR. Discussed under "Item 6 - Directors, Senior Management and Employees - E. Share Ownership", which discussion is incorporated by reference herein.</w:t>
      </w:r>
    </w:p>
    <w:p>
      <w:pPr>
        <w:spacing w:after="0" w:line="143" w:lineRule="exact"/>
        <w:rPr>
          <w:sz w:val="20"/>
          <w:szCs w:val="20"/>
          <w:color w:val="auto"/>
        </w:rPr>
      </w:pPr>
    </w:p>
    <w:p>
      <w:pPr>
        <w:ind w:right="7239" w:firstLine="350"/>
        <w:spacing w:after="0" w:line="479" w:lineRule="auto"/>
        <w:tabs>
          <w:tab w:leader="none" w:pos="714"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INTERESTS OF EXPERTS AND COUNSEL Not applicable.</w:t>
      </w:r>
    </w:p>
    <w:p>
      <w:pPr>
        <w:spacing w:after="0" w:line="3"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ITEM 8.   FINANCIAL INFORMATION</w:t>
      </w:r>
    </w:p>
    <w:p>
      <w:pPr>
        <w:spacing w:after="0" w:line="139" w:lineRule="exact"/>
        <w:rPr>
          <w:sz w:val="20"/>
          <w:szCs w:val="20"/>
          <w:color w:val="auto"/>
        </w:rPr>
      </w:pPr>
    </w:p>
    <w:p>
      <w:pPr>
        <w:ind w:left="700" w:hanging="350"/>
        <w:spacing w:after="0"/>
        <w:tabs>
          <w:tab w:leader="none" w:pos="700"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CONSOLIDATED STATEMENTS AND OTHER FINANCIAL INFORMATION</w:t>
      </w:r>
    </w:p>
    <w:p>
      <w:pPr>
        <w:spacing w:after="0" w:line="141" w:lineRule="exact"/>
        <w:rPr>
          <w:sz w:val="20"/>
          <w:szCs w:val="20"/>
          <w:color w:val="auto"/>
        </w:rPr>
      </w:pPr>
    </w:p>
    <w:p>
      <w:pPr>
        <w:jc w:val="both"/>
        <w:ind w:right="4759"/>
        <w:spacing w:after="0" w:line="238" w:lineRule="auto"/>
        <w:rPr>
          <w:sz w:val="20"/>
          <w:szCs w:val="20"/>
          <w:color w:val="auto"/>
        </w:rPr>
      </w:pPr>
      <w:r>
        <w:rPr>
          <w:rFonts w:ascii="Courier New" w:cs="Courier New" w:eastAsia="Courier New" w:hAnsi="Courier New"/>
          <w:sz w:val="12"/>
          <w:szCs w:val="12"/>
          <w:color w:val="auto"/>
        </w:rPr>
        <w:t>Our consolidated financial statements are incorporated herein by reference to pages following the signature page of this Annual Report.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LEGAL PROCEEDINGS</w:t>
      </w:r>
    </w:p>
    <w:p>
      <w:pPr>
        <w:spacing w:after="0" w:line="141" w:lineRule="exact"/>
        <w:rPr>
          <w:sz w:val="20"/>
          <w:szCs w:val="20"/>
          <w:color w:val="auto"/>
        </w:rPr>
      </w:pPr>
    </w:p>
    <w:p>
      <w:pPr>
        <w:jc w:val="both"/>
        <w:ind w:right="4759" w:firstLine="357"/>
        <w:spacing w:after="0" w:line="264" w:lineRule="auto"/>
        <w:rPr>
          <w:sz w:val="20"/>
          <w:szCs w:val="20"/>
          <w:color w:val="auto"/>
        </w:rPr>
      </w:pPr>
      <w:r>
        <w:rPr>
          <w:rFonts w:ascii="Courier New" w:cs="Courier New" w:eastAsia="Courier New" w:hAnsi="Courier New"/>
          <w:sz w:val="11"/>
          <w:szCs w:val="11"/>
          <w:color w:val="auto"/>
        </w:rPr>
        <w:t>In June 2006, the United States Court of Appeals for the Second Circuit affirmed the August 2004 decision of the United States District Court for the Southern District of New York to dismiss the class action suit filed in July</w:t>
      </w:r>
    </w:p>
    <w:p>
      <w:pPr>
        <w:ind w:right="4539"/>
        <w:spacing w:after="0" w:line="266" w:lineRule="auto"/>
        <w:rPr>
          <w:sz w:val="20"/>
          <w:szCs w:val="20"/>
          <w:color w:val="auto"/>
        </w:rPr>
      </w:pPr>
      <w:r>
        <w:rPr>
          <w:rFonts w:ascii="Courier New" w:cs="Courier New" w:eastAsia="Courier New" w:hAnsi="Courier New"/>
          <w:sz w:val="11"/>
          <w:szCs w:val="11"/>
          <w:color w:val="auto"/>
        </w:rPr>
        <w:t>2003 by certain of our shareholders in the United States against us and certain of our directors, wafer partners and equity investors (the "Defendants"). The plaintiffs had asserted claims arising under the Securities Exchange Act of 1934, alleging misstatements and omissions made by the Defendants in materials sent to our shareholders in April 2002 with respect to the approval of an amendment to the investment agreements with our Fab 2 investors. The decision of the Court of Appeals may be subject to motions for appeal/or rehearing by the plaintiff within 90 days of said decision and there is therefore no assurance that the decision of the Court of Appeals is a final disposition of the action.</w:t>
      </w:r>
    </w:p>
    <w:p>
      <w:pPr>
        <w:spacing w:after="0" w:line="129"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From time to time we are a party to various litigation matters incidental to the conduct of our business. There is no pending or threatened legal proceeding to which we are a party, that, in the opinion of management, is likely to have a material adverse effect on our future financial results or financial condition.</w:t>
      </w:r>
    </w:p>
    <w:p>
      <w:pPr>
        <w:spacing w:after="0" w:line="27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74</w:t>
      </w:r>
    </w:p>
    <w:p>
      <w:pPr>
        <w:spacing w:after="0" w:line="200" w:lineRule="exact"/>
        <w:rPr>
          <w:sz w:val="20"/>
          <w:szCs w:val="20"/>
          <w:color w:val="auto"/>
        </w:rPr>
      </w:pPr>
    </w:p>
    <w:p>
      <w:pPr>
        <w:spacing w:after="0" w:line="335" w:lineRule="exact"/>
        <w:rPr>
          <w:sz w:val="20"/>
          <w:szCs w:val="20"/>
          <w:color w:val="auto"/>
        </w:rPr>
      </w:pPr>
    </w:p>
    <w:p>
      <w:pPr>
        <w:ind w:left="360" w:right="8179" w:hanging="10"/>
        <w:spacing w:after="0" w:line="479" w:lineRule="auto"/>
        <w:tabs>
          <w:tab w:leader="none" w:pos="717"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SIGNIFICANT CHANGES Not applicable.</w:t>
      </w:r>
    </w:p>
    <w:p>
      <w:pPr>
        <w:spacing w:after="0" w:line="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9.</w:t>
      </w:r>
      <w:r>
        <w:rPr>
          <w:sz w:val="20"/>
          <w:szCs w:val="20"/>
          <w:color w:val="auto"/>
        </w:rPr>
        <w:tab/>
      </w:r>
      <w:r>
        <w:rPr>
          <w:rFonts w:ascii="Courier New" w:cs="Courier New" w:eastAsia="Courier New" w:hAnsi="Courier New"/>
          <w:sz w:val="11"/>
          <w:szCs w:val="11"/>
          <w:color w:val="auto"/>
        </w:rPr>
        <w:t>THE OFFER AND LISTING</w:t>
      </w:r>
    </w:p>
    <w:p>
      <w:pPr>
        <w:spacing w:after="0" w:line="141" w:lineRule="exact"/>
        <w:rPr>
          <w:sz w:val="20"/>
          <w:szCs w:val="20"/>
          <w:color w:val="auto"/>
        </w:rPr>
      </w:pPr>
    </w:p>
    <w:p>
      <w:pPr>
        <w:ind w:right="4819" w:firstLine="357"/>
        <w:spacing w:after="0" w:line="280" w:lineRule="auto"/>
        <w:rPr>
          <w:sz w:val="20"/>
          <w:szCs w:val="20"/>
          <w:color w:val="auto"/>
        </w:rPr>
      </w:pPr>
      <w:r>
        <w:rPr>
          <w:rFonts w:ascii="Courier New" w:cs="Courier New" w:eastAsia="Courier New" w:hAnsi="Courier New"/>
          <w:sz w:val="11"/>
          <w:szCs w:val="11"/>
          <w:color w:val="auto"/>
        </w:rPr>
        <w:t>Our ordinary shares are listed and traded on the NASDAQ National Market under the symbol "TSEM." In addition, in January 2001, our ordinary shares</w:t>
      </w:r>
    </w:p>
    <w:p>
      <w:pPr>
        <w:sectPr>
          <w:pgSz w:w="11900" w:h="16926" w:orient="portrait"/>
          <w:cols w:equalWidth="0" w:num="1">
            <w:col w:w="10239"/>
          </w:cols>
          <w:pgMar w:left="220" w:top="138" w:right="1440" w:bottom="0" w:gutter="0" w:footer="0" w:header="0"/>
        </w:sectPr>
      </w:pPr>
    </w:p>
    <w:bookmarkStart w:id="38" w:name="page39"/>
    <w:bookmarkEnd w:id="38"/>
    <w:p>
      <w:pPr>
        <w:ind w:left="7"/>
        <w:spacing w:after="0"/>
        <w:rPr>
          <w:sz w:val="20"/>
          <w:szCs w:val="20"/>
          <w:color w:val="auto"/>
        </w:rPr>
      </w:pPr>
      <w:r>
        <w:rPr>
          <w:rFonts w:ascii="Courier New" w:cs="Courier New" w:eastAsia="Courier New" w:hAnsi="Courier New"/>
          <w:sz w:val="12"/>
          <w:szCs w:val="12"/>
          <w:color w:val="auto"/>
        </w:rPr>
        <w:t>commenced trading on the Tel Aviv Stock Exchange (TASE) under the symbol "TSEM."</w:t>
      </w:r>
    </w:p>
    <w:p>
      <w:pPr>
        <w:spacing w:after="0" w:line="141" w:lineRule="exact"/>
        <w:rPr>
          <w:sz w:val="20"/>
          <w:szCs w:val="20"/>
          <w:color w:val="auto"/>
        </w:rPr>
      </w:pPr>
    </w:p>
    <w:p>
      <w:pPr>
        <w:ind w:left="7" w:right="4539" w:firstLine="357"/>
        <w:spacing w:after="0" w:line="239" w:lineRule="auto"/>
        <w:rPr>
          <w:sz w:val="20"/>
          <w:szCs w:val="20"/>
          <w:color w:val="auto"/>
        </w:rPr>
      </w:pPr>
      <w:r>
        <w:rPr>
          <w:rFonts w:ascii="Courier New" w:cs="Courier New" w:eastAsia="Courier New" w:hAnsi="Courier New"/>
          <w:sz w:val="12"/>
          <w:szCs w:val="12"/>
          <w:color w:val="auto"/>
        </w:rPr>
        <w:t>The following table sets forth, for the periods indicated, the high and low reported sales prices of the ordinary shares on the Nasdaq National Market and Tel Aviv Stock Exchange:</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w:t>
            </w:r>
          </w:p>
        </w:tc>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ind w:left="840"/>
              <w:spacing w:after="0"/>
              <w:rPr>
                <w:sz w:val="20"/>
                <w:szCs w:val="20"/>
                <w:color w:val="auto"/>
              </w:rPr>
            </w:pPr>
            <w:r>
              <w:rPr>
                <w:rFonts w:ascii="Courier New" w:cs="Courier New" w:eastAsia="Courier New" w:hAnsi="Courier New"/>
                <w:sz w:val="12"/>
                <w:szCs w:val="12"/>
                <w:color w:val="auto"/>
              </w:rPr>
              <w:t>PERIOD</w:t>
            </w:r>
          </w:p>
        </w:tc>
        <w:tc>
          <w:tcPr>
            <w:tcW w:w="2960" w:type="dxa"/>
            <w:vAlign w:val="bottom"/>
            <w:gridSpan w:val="2"/>
          </w:tcPr>
          <w:p>
            <w:pPr>
              <w:jc w:val="right"/>
              <w:ind w:right="701"/>
              <w:spacing w:after="0"/>
              <w:rPr>
                <w:sz w:val="20"/>
                <w:szCs w:val="20"/>
                <w:color w:val="auto"/>
              </w:rPr>
            </w:pPr>
            <w:r>
              <w:rPr>
                <w:rFonts w:ascii="Courier New" w:cs="Courier New" w:eastAsia="Courier New" w:hAnsi="Courier New"/>
                <w:sz w:val="12"/>
                <w:szCs w:val="12"/>
                <w:color w:val="auto"/>
              </w:rPr>
              <w:t>NASDAQ NATIONAL MARKET</w:t>
            </w:r>
          </w:p>
        </w:tc>
        <w:tc>
          <w:tcPr>
            <w:tcW w:w="224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TEL AVIV STOCK EXCHANGE</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w:t>
            </w:r>
          </w:p>
        </w:tc>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11"/>
                <w:szCs w:val="11"/>
                <w:color w:val="auto"/>
              </w:rPr>
            </w:pPr>
          </w:p>
        </w:tc>
        <w:tc>
          <w:tcPr>
            <w:tcW w:w="14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HIGH ($)</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LOW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rPr>
              <w:t>HIGH (NIS)</w:t>
            </w:r>
          </w:p>
        </w:tc>
        <w:tc>
          <w:tcPr>
            <w:tcW w:w="11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LOW (NIS)</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June 2006</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1.70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1.35</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7.65</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6.00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May 2006</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1.75</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1.22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7.91</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6.37</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April 2006</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1.41</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1.25</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6.90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6.00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March 2006</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1.45</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1.28</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6.73</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6.11</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February 2006</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1.73</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1.22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8.10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6.03</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January 2006</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1.93</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1.52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8.54</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6.57</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Second quarter 2006</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1.75</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1.22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7.91</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6.00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First quarter 2006</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1.93</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1.22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8.54</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6.03</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Fourth quarter 2005</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1.80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1.02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8.30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5.20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Third quarter 2005</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1.40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0.92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6.04</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5.10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Second quarter 2005</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1.90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1.08</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8.00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5.15</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First quarter 2005</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2.38</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1.36</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10.30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6.36</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Fourth quarter 2004</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3.66</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1.62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15.55</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7.70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Third quarter 2004</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5.96</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2.95</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26.95</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13.03</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Second quarter 2004</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7.20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4.87</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32.70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21.80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First quarter 2004</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10.80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6.22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46.39</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29.30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2005</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2.38</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0.92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10.30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5.10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2004</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10.80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1.62</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46.39</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7.70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2003</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7.90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2.16</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35.00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10.12</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2002</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8.50</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3.11</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37.99</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15.30</w:t>
            </w:r>
          </w:p>
        </w:tc>
      </w:tr>
      <w:tr>
        <w:trPr>
          <w:trHeight w:val="137"/>
        </w:trPr>
        <w:tc>
          <w:tcPr>
            <w:tcW w:w="4740" w:type="dxa"/>
            <w:vAlign w:val="bottom"/>
            <w:gridSpan w:val="3"/>
          </w:tcPr>
          <w:p>
            <w:pPr>
              <w:spacing w:after="0"/>
              <w:rPr>
                <w:sz w:val="20"/>
                <w:szCs w:val="20"/>
                <w:color w:val="auto"/>
              </w:rPr>
            </w:pPr>
            <w:r>
              <w:rPr>
                <w:rFonts w:ascii="Courier New" w:cs="Courier New" w:eastAsia="Courier New" w:hAnsi="Courier New"/>
                <w:sz w:val="12"/>
                <w:szCs w:val="12"/>
                <w:color w:val="auto"/>
                <w:w w:val="99"/>
              </w:rPr>
              <w:t>- ------------------------- ---------------- ---------------------</w:t>
            </w:r>
          </w:p>
        </w:tc>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r>
      <w:tr>
        <w:trPr>
          <w:trHeight w:val="137"/>
        </w:trPr>
        <w:tc>
          <w:tcPr>
            <w:tcW w:w="1780" w:type="dxa"/>
            <w:vAlign w:val="bottom"/>
          </w:tcPr>
          <w:p>
            <w:pPr>
              <w:spacing w:after="0"/>
              <w:rPr>
                <w:sz w:val="20"/>
                <w:szCs w:val="20"/>
                <w:color w:val="auto"/>
              </w:rPr>
            </w:pPr>
            <w:r>
              <w:rPr>
                <w:rFonts w:ascii="Courier New" w:cs="Courier New" w:eastAsia="Courier New" w:hAnsi="Courier New"/>
                <w:sz w:val="12"/>
                <w:szCs w:val="12"/>
                <w:color w:val="auto"/>
              </w:rPr>
              <w:t>2001</w:t>
            </w:r>
          </w:p>
        </w:tc>
        <w:tc>
          <w:tcPr>
            <w:tcW w:w="1420" w:type="dxa"/>
            <w:vAlign w:val="bottom"/>
          </w:tcPr>
          <w:p>
            <w:pPr>
              <w:jc w:val="right"/>
              <w:ind w:right="501"/>
              <w:spacing w:after="0"/>
              <w:rPr>
                <w:sz w:val="20"/>
                <w:szCs w:val="20"/>
                <w:color w:val="auto"/>
              </w:rPr>
            </w:pPr>
            <w:r>
              <w:rPr>
                <w:rFonts w:ascii="Courier New" w:cs="Courier New" w:eastAsia="Courier New" w:hAnsi="Courier New"/>
                <w:sz w:val="12"/>
                <w:szCs w:val="12"/>
                <w:color w:val="auto"/>
              </w:rPr>
              <w:t>17.12</w:t>
            </w:r>
          </w:p>
        </w:tc>
        <w:tc>
          <w:tcPr>
            <w:tcW w:w="1540" w:type="dxa"/>
            <w:vAlign w:val="bottom"/>
          </w:tcPr>
          <w:p>
            <w:pPr>
              <w:jc w:val="right"/>
              <w:ind w:right="701"/>
              <w:spacing w:after="0"/>
              <w:rPr>
                <w:sz w:val="20"/>
                <w:szCs w:val="20"/>
                <w:color w:val="auto"/>
              </w:rPr>
            </w:pPr>
            <w:r>
              <w:rPr>
                <w:rFonts w:ascii="Courier New" w:cs="Courier New" w:eastAsia="Courier New" w:hAnsi="Courier New"/>
                <w:sz w:val="12"/>
                <w:szCs w:val="12"/>
                <w:color w:val="auto"/>
              </w:rPr>
              <w:t>3.80</w:t>
            </w:r>
          </w:p>
        </w:tc>
        <w:tc>
          <w:tcPr>
            <w:tcW w:w="11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71.90</w:t>
            </w:r>
          </w:p>
        </w:tc>
        <w:tc>
          <w:tcPr>
            <w:tcW w:w="110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16.80</w:t>
            </w:r>
          </w:p>
        </w:tc>
      </w:tr>
    </w:tbl>
    <w:p>
      <w:pPr>
        <w:spacing w:after="0" w:line="4" w:lineRule="exact"/>
        <w:rPr>
          <w:sz w:val="20"/>
          <w:szCs w:val="20"/>
          <w:color w:val="auto"/>
        </w:rPr>
      </w:pPr>
    </w:p>
    <w:p>
      <w:pPr>
        <w:ind w:left="147" w:hanging="147"/>
        <w:spacing w:after="0"/>
        <w:tabs>
          <w:tab w:leader="none" w:pos="147"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 ---------------- --------------------- --------------- ---------------</w:t>
      </w:r>
    </w:p>
    <w:p>
      <w:pPr>
        <w:spacing w:after="0" w:line="284" w:lineRule="exact"/>
        <w:rPr>
          <w:rFonts w:ascii="Courier New" w:cs="Courier New" w:eastAsia="Courier New" w:hAnsi="Courier New"/>
          <w:sz w:val="11"/>
          <w:szCs w:val="11"/>
          <w:color w:val="auto"/>
        </w:rPr>
      </w:pPr>
    </w:p>
    <w:p>
      <w:pPr>
        <w:ind w:left="2787"/>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75</w:t>
      </w:r>
    </w:p>
    <w:p>
      <w:pPr>
        <w:spacing w:after="0" w:line="200" w:lineRule="exact"/>
        <w:rPr>
          <w:sz w:val="20"/>
          <w:szCs w:val="20"/>
          <w:color w:val="auto"/>
        </w:rPr>
      </w:pPr>
    </w:p>
    <w:p>
      <w:pPr>
        <w:spacing w:after="0" w:line="332" w:lineRule="exact"/>
        <w:rPr>
          <w:sz w:val="20"/>
          <w:szCs w:val="20"/>
          <w:color w:val="auto"/>
        </w:rPr>
      </w:pPr>
    </w:p>
    <w:p>
      <w:pPr>
        <w:ind w:left="7"/>
        <w:spacing w:after="0"/>
        <w:tabs>
          <w:tab w:leader="none" w:pos="686"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ADDITIONAL INFORMATION</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ARTICLES OF ASSOCIATION; ISRAELI COMPANIES LAW</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ARTICLES OF ASSOCIATION</w:t>
      </w:r>
    </w:p>
    <w:p>
      <w:pPr>
        <w:spacing w:after="0" w:line="141" w:lineRule="exact"/>
        <w:rPr>
          <w:sz w:val="20"/>
          <w:szCs w:val="20"/>
          <w:color w:val="auto"/>
        </w:rPr>
      </w:pPr>
    </w:p>
    <w:p>
      <w:pPr>
        <w:ind w:left="7" w:right="4539" w:firstLine="357"/>
        <w:spacing w:after="0"/>
        <w:rPr>
          <w:sz w:val="20"/>
          <w:szCs w:val="20"/>
          <w:color w:val="auto"/>
        </w:rPr>
      </w:pPr>
      <w:r>
        <w:rPr>
          <w:rFonts w:ascii="Courier New" w:cs="Courier New" w:eastAsia="Courier New" w:hAnsi="Courier New"/>
          <w:sz w:val="12"/>
          <w:szCs w:val="12"/>
          <w:color w:val="auto"/>
        </w:rPr>
        <w:t>Our Articles of Association ("Articles") were adopted in November 2000, and amended on October 27, 2005 in order to increase our authorized capital toNIS 500 million. The objective stated in the Articles is to engage in any lawful activity.</w:t>
      </w:r>
    </w:p>
    <w:p>
      <w:pPr>
        <w:spacing w:after="0" w:line="142" w:lineRule="exact"/>
        <w:rPr>
          <w:sz w:val="20"/>
          <w:szCs w:val="20"/>
          <w:color w:val="auto"/>
        </w:rPr>
      </w:pPr>
    </w:p>
    <w:p>
      <w:pPr>
        <w:ind w:left="7" w:right="4679" w:firstLine="357"/>
        <w:spacing w:after="0" w:line="241" w:lineRule="auto"/>
        <w:rPr>
          <w:sz w:val="20"/>
          <w:szCs w:val="20"/>
          <w:color w:val="auto"/>
        </w:rPr>
      </w:pPr>
      <w:r>
        <w:rPr>
          <w:rFonts w:ascii="Courier New" w:cs="Courier New" w:eastAsia="Courier New" w:hAnsi="Courier New"/>
          <w:sz w:val="12"/>
          <w:szCs w:val="12"/>
          <w:color w:val="auto"/>
        </w:rPr>
        <w:t>We have currently outstanding only one class of equity securities, our ordinary shares, par value NIS 1.00 per share. Holders of ordinary shares have one vote per share, and are entitled to participate equally in the payment of dividends and share distributions and, in the event of liquidation of the Company, in the distribution of assets after satisfaction of liabilities to creditors. No preferred shares are currently authorized.</w:t>
      </w:r>
    </w:p>
    <w:p>
      <w:pPr>
        <w:spacing w:after="0" w:line="142" w:lineRule="exact"/>
        <w:rPr>
          <w:sz w:val="20"/>
          <w:szCs w:val="20"/>
          <w:color w:val="auto"/>
        </w:rPr>
      </w:pPr>
    </w:p>
    <w:p>
      <w:pPr>
        <w:ind w:left="7" w:right="4539" w:firstLine="357"/>
        <w:spacing w:after="0" w:line="264" w:lineRule="auto"/>
        <w:rPr>
          <w:sz w:val="20"/>
          <w:szCs w:val="20"/>
          <w:color w:val="auto"/>
        </w:rPr>
      </w:pPr>
      <w:r>
        <w:rPr>
          <w:rFonts w:ascii="Courier New" w:cs="Courier New" w:eastAsia="Courier New" w:hAnsi="Courier New"/>
          <w:sz w:val="11"/>
          <w:szCs w:val="11"/>
          <w:color w:val="auto"/>
        </w:rPr>
        <w:t>Our Articles require that we hold our annual general meeting of shareholders each year no later than 15 months from the last annual meeting, at a time and place determined by the Board of Directors, upon at least 21 days' prior notice to our shareholders. No business may be commenced until a quorum of two or more shareholders holding at least 33% of the voting rights are present in person or by proxy. Shareholders may vote in person or by proxy, and are required to prove title to their shares as required by the Israeli Companies Law</w:t>
      </w:r>
    </w:p>
    <w:p>
      <w:pPr>
        <w:spacing w:after="0" w:line="1" w:lineRule="exact"/>
        <w:rPr>
          <w:sz w:val="20"/>
          <w:szCs w:val="20"/>
          <w:color w:val="auto"/>
        </w:rPr>
      </w:pPr>
    </w:p>
    <w:p>
      <w:pPr>
        <w:ind w:left="7" w:right="4459" w:hanging="7"/>
        <w:spacing w:after="0" w:line="239" w:lineRule="auto"/>
        <w:tabs>
          <w:tab w:leader="none" w:pos="150" w:val="left"/>
        </w:tabs>
        <w:numPr>
          <w:ilvl w:val="0"/>
          <w:numId w:val="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- 1999 (or the "Companies Law") pursuant to procedures established by the Board of Directors. Resolutions regarding the following matters must be passed by an ordinary majority of those voting at the general meeting:</w:t>
      </w:r>
    </w:p>
    <w:p>
      <w:pPr>
        <w:spacing w:after="0" w:line="140" w:lineRule="exact"/>
        <w:rPr>
          <w:sz w:val="20"/>
          <w:szCs w:val="20"/>
          <w:color w:val="auto"/>
        </w:rPr>
      </w:pPr>
    </w:p>
    <w:p>
      <w:pPr>
        <w:ind w:left="707" w:hanging="350"/>
        <w:spacing w:after="0"/>
        <w:tabs>
          <w:tab w:leader="none" w:pos="707"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our Articles;</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appointment and termination of our independent auditors;</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appointment and dismissal of directors;</w:t>
      </w:r>
    </w:p>
    <w:p>
      <w:pPr>
        <w:spacing w:after="0" w:line="141" w:lineRule="exact"/>
        <w:rPr>
          <w:rFonts w:ascii="Courier New" w:cs="Courier New" w:eastAsia="Courier New" w:hAnsi="Courier New"/>
          <w:sz w:val="12"/>
          <w:szCs w:val="12"/>
          <w:color w:val="auto"/>
        </w:rPr>
      </w:pPr>
    </w:p>
    <w:p>
      <w:pPr>
        <w:ind w:left="707" w:right="4679" w:hanging="350"/>
        <w:spacing w:after="0" w:line="238" w:lineRule="auto"/>
        <w:tabs>
          <w:tab w:leader="none" w:pos="707"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approval of acts and transactions requiring general meeting approval under the Companies Law;</w:t>
      </w:r>
    </w:p>
    <w:p>
      <w:pPr>
        <w:spacing w:after="0" w:line="142" w:lineRule="exact"/>
        <w:rPr>
          <w:rFonts w:ascii="Courier New" w:cs="Courier New" w:eastAsia="Courier New" w:hAnsi="Courier New"/>
          <w:sz w:val="12"/>
          <w:szCs w:val="12"/>
          <w:color w:val="auto"/>
        </w:rPr>
      </w:pPr>
    </w:p>
    <w:p>
      <w:pPr>
        <w:ind w:left="707" w:right="4819" w:hanging="350"/>
        <w:spacing w:after="0" w:line="238" w:lineRule="auto"/>
        <w:tabs>
          <w:tab w:leader="none" w:pos="707"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increase or reduction of authorized share capital or the rights of shareholders or a class of shareholders;</w:t>
      </w:r>
    </w:p>
    <w:p>
      <w:pPr>
        <w:spacing w:after="0" w:line="139" w:lineRule="exact"/>
        <w:rPr>
          <w:rFonts w:ascii="Courier New" w:cs="Courier New" w:eastAsia="Courier New" w:hAnsi="Courier New"/>
          <w:sz w:val="12"/>
          <w:szCs w:val="12"/>
          <w:color w:val="auto"/>
        </w:rPr>
      </w:pPr>
    </w:p>
    <w:p>
      <w:pPr>
        <w:ind w:left="707" w:hanging="350"/>
        <w:spacing w:after="0"/>
        <w:tabs>
          <w:tab w:leader="none" w:pos="707"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merger as provided in section 320 of the Companies Law; and</w:t>
      </w:r>
    </w:p>
    <w:p>
      <w:pPr>
        <w:spacing w:after="0" w:line="141" w:lineRule="exact"/>
        <w:rPr>
          <w:rFonts w:ascii="Courier New" w:cs="Courier New" w:eastAsia="Courier New" w:hAnsi="Courier New"/>
          <w:sz w:val="12"/>
          <w:szCs w:val="12"/>
          <w:color w:val="auto"/>
        </w:rPr>
      </w:pPr>
    </w:p>
    <w:p>
      <w:pPr>
        <w:ind w:left="707" w:right="4539" w:hanging="350"/>
        <w:spacing w:after="0"/>
        <w:tabs>
          <w:tab w:leader="none" w:pos="707"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142" w:lineRule="exact"/>
        <w:rPr>
          <w:sz w:val="20"/>
          <w:szCs w:val="20"/>
          <w:color w:val="auto"/>
        </w:rPr>
      </w:pPr>
    </w:p>
    <w:p>
      <w:pPr>
        <w:ind w:left="7" w:right="4539" w:firstLine="357"/>
        <w:spacing w:after="0" w:line="266" w:lineRule="auto"/>
        <w:rPr>
          <w:sz w:val="20"/>
          <w:szCs w:val="20"/>
          <w:color w:val="auto"/>
        </w:rPr>
      </w:pPr>
      <w:r>
        <w:rPr>
          <w:rFonts w:ascii="Courier New" w:cs="Courier New" w:eastAsia="Courier New" w:hAnsi="Courier New"/>
          <w:sz w:val="11"/>
          <w:szCs w:val="11"/>
          <w:color w:val="auto"/>
        </w:rPr>
        <w:t>A special meeting may be convened by the request of two directors or by written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Such notice must be given at least 21 days but not more than 35 days prior to the special meeting.</w:t>
      </w:r>
    </w:p>
    <w:p>
      <w:pPr>
        <w:sectPr>
          <w:pgSz w:w="11900" w:h="16838" w:orient="portrait"/>
          <w:cols w:equalWidth="0" w:num="1">
            <w:col w:w="10246"/>
          </w:cols>
          <w:pgMar w:left="213" w:top="138" w:right="1440" w:bottom="0" w:gutter="0" w:footer="0" w:header="0"/>
        </w:sectPr>
      </w:pPr>
    </w:p>
    <w:p>
      <w:pPr>
        <w:spacing w:after="0" w:line="267" w:lineRule="exact"/>
        <w:rPr>
          <w:sz w:val="20"/>
          <w:szCs w:val="20"/>
          <w:color w:val="auto"/>
        </w:rPr>
      </w:pPr>
    </w:p>
    <w:p>
      <w:pPr>
        <w:ind w:left="2787"/>
        <w:spacing w:after="0"/>
        <w:rPr>
          <w:sz w:val="20"/>
          <w:szCs w:val="20"/>
          <w:color w:val="auto"/>
        </w:rPr>
      </w:pPr>
      <w:r>
        <w:rPr>
          <w:rFonts w:ascii="Courier New" w:cs="Courier New" w:eastAsia="Courier New" w:hAnsi="Courier New"/>
          <w:sz w:val="11"/>
          <w:szCs w:val="11"/>
          <w:color w:val="auto"/>
        </w:rPr>
        <w:t>76</w:t>
      </w:r>
    </w:p>
    <w:p>
      <w:pPr>
        <w:sectPr>
          <w:pgSz w:w="11900" w:h="16838" w:orient="portrait"/>
          <w:cols w:equalWidth="0" w:num="1">
            <w:col w:w="10246"/>
          </w:cols>
          <w:pgMar w:left="213" w:top="138" w:right="1440" w:bottom="0" w:gutter="0" w:footer="0" w:header="0"/>
          <w:type w:val="continuous"/>
        </w:sectPr>
      </w:pPr>
    </w:p>
    <w:bookmarkStart w:id="39" w:name="page40"/>
    <w:bookmarkEnd w:id="39"/>
    <w:p>
      <w:pPr>
        <w:ind w:left="7"/>
        <w:spacing w:after="0"/>
        <w:rPr>
          <w:sz w:val="20"/>
          <w:szCs w:val="20"/>
          <w:color w:val="auto"/>
        </w:rPr>
      </w:pPr>
      <w:r>
        <w:rPr>
          <w:rFonts w:ascii="Courier New" w:cs="Courier New" w:eastAsia="Courier New" w:hAnsi="Courier New"/>
          <w:sz w:val="12"/>
          <w:szCs w:val="12"/>
          <w:color w:val="auto"/>
        </w:rPr>
        <w:t>EXEMPTION AND INDEMNIFICATION AGREEMENTS WITH DIRECTORS</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In December 2001, we entered into exemption and indemnification agreements with the members of our Board of Directors, pursuant to which, subject to the limitations set forth in the Israeli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In September 2005, we entered into amended exemption and indemnification agreements with the members of our Board of Directors to reflect certain amendments to the Companies Law that came into effect in March 2005. Our shareholders approved these amended exemption and indemnification agreements in October 2005.</w:t>
      </w:r>
    </w:p>
    <w:p>
      <w:pPr>
        <w:spacing w:after="0" w:line="142"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THE COMPANIES LAW</w:t>
      </w:r>
    </w:p>
    <w:p>
      <w:pPr>
        <w:spacing w:after="0" w:line="141" w:lineRule="exact"/>
        <w:rPr>
          <w:sz w:val="20"/>
          <w:szCs w:val="20"/>
          <w:color w:val="auto"/>
        </w:rPr>
      </w:pPr>
    </w:p>
    <w:p>
      <w:pPr>
        <w:ind w:left="7" w:right="4539" w:firstLine="357"/>
        <w:spacing w:after="0" w:line="264" w:lineRule="auto"/>
        <w:rPr>
          <w:sz w:val="20"/>
          <w:szCs w:val="20"/>
          <w:color w:val="auto"/>
        </w:rPr>
      </w:pPr>
      <w:r>
        <w:rPr>
          <w:rFonts w:ascii="Courier New" w:cs="Courier New" w:eastAsia="Courier New" w:hAnsi="Courier New"/>
          <w:sz w:val="11"/>
          <w:szCs w:val="11"/>
          <w:color w:val="auto"/>
        </w:rPr>
        <w:t>We are subject to the provisions of the Israeli Companies Law - 1999. The Companies Law codifies the fiduciary duties that "office holders," including directors and executive officers, owe to a company. An office holder, as defined in the Companies Law, is a director, general manager, chief business manager, deputy general manager, vice general manager, executive vice president, vice president, another manager directly subordinate to the managing director or any other person assuming the responsibilities of any of the foregoing positions without regard to such person's title. Each person listed in the table in "Item</w:t>
      </w:r>
    </w:p>
    <w:p>
      <w:pPr>
        <w:spacing w:after="0" w:line="1" w:lineRule="exact"/>
        <w:rPr>
          <w:sz w:val="20"/>
          <w:szCs w:val="20"/>
          <w:color w:val="auto"/>
        </w:rPr>
      </w:pPr>
    </w:p>
    <w:p>
      <w:pPr>
        <w:ind w:left="7" w:right="4539" w:hanging="7"/>
        <w:spacing w:after="0" w:line="267" w:lineRule="auto"/>
        <w:tabs>
          <w:tab w:leader="none" w:pos="221"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Directors, Senior Management and Employees" above is an office holder. Under the Companies Law, all arrangements as to compensation of office holders who are not directors require approval of the board of directors. With the exception of compensation of external directors in an amount specified in the regulations adopted under the Companies Law, arrangements regarding the compensation of directors also require audit committee and shareholder approval.</w:t>
      </w:r>
    </w:p>
    <w:p>
      <w:pPr>
        <w:spacing w:after="0" w:line="129"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spouse's descendants and the spouse of any of the foregoing, or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that is likely to have a material impact on the company's profitability, assets or liabilities.</w:t>
      </w:r>
    </w:p>
    <w:p>
      <w:pPr>
        <w:spacing w:after="0" w:line="147"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The Companies Law requires that specific types of transactions, actions and arrangements be approved as provided for in a company's articles of association and in some circumstances by the company's audit committee, board of directors and shareholders. In the case of a transaction that is not an extraordinary transaction, after the office holder complies with the above disclosure requirements, only board approval is required, unless the Articles provide otherwise. If the transaction is an extraordinary transaction, then, in addition to any approval required by the Articles it must be approved first by the audit committee and then by the board of directors, and, in specific circumstances, by a meeting of the shareholders. Subject to exceptions set forth in the Companies Law, an office holder who has a personal interest in a matter that is considered at a meeting of the board of directors or the audit committee may not be present at such meeting or vote on such matter.</w:t>
      </w:r>
    </w:p>
    <w:p>
      <w:pPr>
        <w:spacing w:after="0" w:line="281"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77</w:t>
      </w:r>
    </w:p>
    <w:p>
      <w:pPr>
        <w:spacing w:after="0" w:line="200" w:lineRule="exact"/>
        <w:rPr>
          <w:sz w:val="20"/>
          <w:szCs w:val="20"/>
          <w:color w:val="auto"/>
        </w:rPr>
      </w:pPr>
    </w:p>
    <w:p>
      <w:pPr>
        <w:spacing w:after="0" w:line="335" w:lineRule="exact"/>
        <w:rPr>
          <w:sz w:val="20"/>
          <w:szCs w:val="20"/>
          <w:color w:val="auto"/>
        </w:rPr>
      </w:pPr>
    </w:p>
    <w:p>
      <w:pPr>
        <w:ind w:left="7" w:right="4539" w:firstLine="357"/>
        <w:spacing w:after="0" w:line="265" w:lineRule="auto"/>
        <w:rPr>
          <w:sz w:val="20"/>
          <w:szCs w:val="20"/>
          <w:color w:val="auto"/>
        </w:rPr>
      </w:pPr>
      <w:r>
        <w:rPr>
          <w:rFonts w:ascii="Courier New" w:cs="Courier New" w:eastAsia="Courier New" w:hAnsi="Courier New"/>
          <w:sz w:val="11"/>
          <w:szCs w:val="11"/>
          <w:color w:val="auto"/>
        </w:rPr>
        <w:t>The Companies Law applies the same disclosure requirements to a controlling shareholder of a public company, which is defined as a shareholder who has the ability to direct the activities of a company, other than if this power derives solely from the shareholder's position on the board of directors or any other position with the company and includes a shareholder that holds 25% or more of the voting rights if no other shareholder owns more than 50% of the voting rights in the company. Extraordinary transactions with a controlling shareholder or in which a controlling shareholder has a personal interest, and agreements relating to employment and compensation terms of controlling shareholders require the approval of the audit committee, the board of directors and the shareholders of the company. The shareholder approval must either include at least one-third of the shares held by disinterested shareholders who are present, in person or by proxy, at the meeting, or, alternatively, the total shareholdings of the disinterested shareholders who vote against the transaction must not represent more than one percent of the voting rights in the company.</w:t>
      </w:r>
    </w:p>
    <w:p>
      <w:pPr>
        <w:spacing w:after="0" w:line="132" w:lineRule="exact"/>
        <w:rPr>
          <w:sz w:val="20"/>
          <w:szCs w:val="20"/>
          <w:color w:val="auto"/>
        </w:rPr>
      </w:pPr>
    </w:p>
    <w:p>
      <w:pPr>
        <w:ind w:left="7" w:right="4679" w:firstLine="357"/>
        <w:spacing w:after="0" w:line="239" w:lineRule="auto"/>
        <w:rPr>
          <w:sz w:val="20"/>
          <w:szCs w:val="20"/>
          <w:color w:val="auto"/>
        </w:rPr>
      </w:pPr>
      <w:r>
        <w:rPr>
          <w:rFonts w:ascii="Courier New" w:cs="Courier New" w:eastAsia="Courier New" w:hAnsi="Courier New"/>
          <w:sz w:val="12"/>
          <w:szCs w:val="12"/>
          <w:color w:val="auto"/>
        </w:rPr>
        <w:t>In addition to approval by a company's board of directors, a private placement in a public company requires approval by a company's shareholders in the following cases:</w:t>
      </w:r>
    </w:p>
    <w:p>
      <w:pPr>
        <w:spacing w:after="0" w:line="140" w:lineRule="exact"/>
        <w:rPr>
          <w:sz w:val="20"/>
          <w:szCs w:val="20"/>
          <w:color w:val="auto"/>
        </w:rPr>
      </w:pPr>
    </w:p>
    <w:p>
      <w:pPr>
        <w:ind w:left="707" w:hanging="350"/>
        <w:spacing w:after="0"/>
        <w:tabs>
          <w:tab w:leader="none" w:pos="707"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private placement that meets all of the following conditions:</w:t>
      </w:r>
    </w:p>
    <w:p>
      <w:pPr>
        <w:spacing w:after="0" w:line="141" w:lineRule="exact"/>
        <w:rPr>
          <w:rFonts w:ascii="Courier New" w:cs="Courier New" w:eastAsia="Courier New" w:hAnsi="Courier New"/>
          <w:sz w:val="12"/>
          <w:szCs w:val="12"/>
          <w:color w:val="auto"/>
        </w:rPr>
      </w:pPr>
    </w:p>
    <w:p>
      <w:pPr>
        <w:ind w:left="1067" w:right="4679" w:hanging="357"/>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o20 percent or more of the voting rights in the company prior to such issuance are being offered.</w:t>
      </w:r>
    </w:p>
    <w:p>
      <w:pPr>
        <w:spacing w:after="0" w:line="142" w:lineRule="exact"/>
        <w:rPr>
          <w:rFonts w:ascii="Courier New" w:cs="Courier New" w:eastAsia="Courier New" w:hAnsi="Courier New"/>
          <w:sz w:val="12"/>
          <w:szCs w:val="12"/>
          <w:color w:val="auto"/>
        </w:rPr>
      </w:pPr>
    </w:p>
    <w:p>
      <w:pPr>
        <w:ind w:left="1067" w:right="4539" w:hanging="357"/>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oThe private placement will increase the relative holdings of a shareholder that holds five percent or more of the company's outstanding share capital (assuming the exercise of all of the securities convertible into shares held by that person), or that will cause any person to become, as a result of the issuance, a holder of five percent or more of the company's outstanding share capital.</w:t>
      </w:r>
    </w:p>
    <w:p>
      <w:pPr>
        <w:spacing w:after="0" w:line="142" w:lineRule="exact"/>
        <w:rPr>
          <w:rFonts w:ascii="Courier New" w:cs="Courier New" w:eastAsia="Courier New" w:hAnsi="Courier New"/>
          <w:sz w:val="12"/>
          <w:szCs w:val="12"/>
          <w:color w:val="auto"/>
        </w:rPr>
      </w:pPr>
    </w:p>
    <w:p>
      <w:pPr>
        <w:ind w:left="1067" w:right="4599" w:hanging="357"/>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oAll or part of the consideration for the offering is not cash or registered securities, or the private placement is not being offered at market terms.</w:t>
      </w:r>
    </w:p>
    <w:p>
      <w:pPr>
        <w:spacing w:after="0" w:line="142" w:lineRule="exact"/>
        <w:rPr>
          <w:rFonts w:ascii="Courier New" w:cs="Courier New" w:eastAsia="Courier New" w:hAnsi="Courier New"/>
          <w:sz w:val="12"/>
          <w:szCs w:val="12"/>
          <w:color w:val="auto"/>
        </w:rPr>
      </w:pPr>
    </w:p>
    <w:p>
      <w:pPr>
        <w:ind w:left="707" w:right="4819" w:hanging="350"/>
        <w:spacing w:after="0" w:line="238" w:lineRule="auto"/>
        <w:tabs>
          <w:tab w:leader="none" w:pos="707"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private placement which results in anyone becoming a controlling shareholder.</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The above transactions must not be adverse to the company's interest.</w:t>
      </w:r>
    </w:p>
    <w:p>
      <w:pPr>
        <w:spacing w:after="0" w:line="141" w:lineRule="exact"/>
        <w:rPr>
          <w:sz w:val="20"/>
          <w:szCs w:val="20"/>
          <w:color w:val="auto"/>
        </w:rPr>
      </w:pPr>
    </w:p>
    <w:p>
      <w:pPr>
        <w:ind w:left="7" w:right="4539" w:firstLine="357"/>
        <w:spacing w:after="0"/>
        <w:rPr>
          <w:sz w:val="20"/>
          <w:szCs w:val="20"/>
          <w:color w:val="auto"/>
        </w:rPr>
      </w:pPr>
      <w:r>
        <w:rPr>
          <w:rFonts w:ascii="Courier New" w:cs="Courier New" w:eastAsia="Courier New" w:hAnsi="Courier New"/>
          <w:sz w:val="12"/>
          <w:szCs w:val="12"/>
          <w:color w:val="auto"/>
        </w:rPr>
        <w:t>Under the Companies Law, a shareholder has a duty to act in good faith towards the company and other shareholders and refrain from abusing his power in the company, including, among other things, vote in the general meeting of shareholders on the following matters:</w:t>
      </w:r>
    </w:p>
    <w:p>
      <w:pPr>
        <w:spacing w:after="0" w:line="140" w:lineRule="exact"/>
        <w:rPr>
          <w:sz w:val="20"/>
          <w:szCs w:val="20"/>
          <w:color w:val="auto"/>
        </w:rPr>
      </w:pPr>
    </w:p>
    <w:p>
      <w:pPr>
        <w:ind w:left="707" w:hanging="350"/>
        <w:spacing w:after="0"/>
        <w:tabs>
          <w:tab w:leader="none" w:pos="707"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amendment to the Articles;</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increase of the company's authorized share capital;</w:t>
      </w:r>
    </w:p>
    <w:p>
      <w:pPr>
        <w:sectPr>
          <w:pgSz w:w="11900" w:h="16838" w:orient="portrait"/>
          <w:cols w:equalWidth="0" w:num="1">
            <w:col w:w="10246"/>
          </w:cols>
          <w:pgMar w:left="213" w:top="550" w:right="1440" w:bottom="0" w:gutter="0" w:footer="0" w:header="0"/>
        </w:sectPr>
      </w:pPr>
    </w:p>
    <w:bookmarkStart w:id="40" w:name="page41"/>
    <w:bookmarkEnd w:id="40"/>
    <w:p>
      <w:pPr>
        <w:spacing w:after="0" w:line="81"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78</w:t>
      </w:r>
    </w:p>
    <w:p>
      <w:pPr>
        <w:spacing w:after="0" w:line="200" w:lineRule="exact"/>
        <w:rPr>
          <w:sz w:val="20"/>
          <w:szCs w:val="20"/>
          <w:color w:val="auto"/>
        </w:rPr>
      </w:pPr>
    </w:p>
    <w:p>
      <w:pPr>
        <w:spacing w:after="0" w:line="332" w:lineRule="exact"/>
        <w:rPr>
          <w:sz w:val="20"/>
          <w:szCs w:val="20"/>
          <w:color w:val="auto"/>
        </w:rPr>
      </w:pPr>
    </w:p>
    <w:p>
      <w:pPr>
        <w:ind w:left="700" w:hanging="350"/>
        <w:spacing w:after="0"/>
        <w:tabs>
          <w:tab w:leader="none" w:pos="700"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w:t>
      </w:r>
    </w:p>
    <w:p>
      <w:pPr>
        <w:spacing w:after="0" w:line="141" w:lineRule="exact"/>
        <w:rPr>
          <w:rFonts w:ascii="Courier New" w:cs="Courier New" w:eastAsia="Courier New" w:hAnsi="Courier New"/>
          <w:sz w:val="12"/>
          <w:szCs w:val="12"/>
          <w:color w:val="auto"/>
        </w:rPr>
      </w:pPr>
    </w:p>
    <w:p>
      <w:pPr>
        <w:ind w:left="700" w:right="4819" w:hanging="350"/>
        <w:spacing w:after="0" w:line="238" w:lineRule="auto"/>
        <w:tabs>
          <w:tab w:leader="none" w:pos="700"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approval of interested party transactions that require shareholder approval.</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Tender Offer. A person wishing to acquire shares or any class of shares of a publicly traded Israeli company and who would as a result hold over 90% of the company's issued and outstanding share capital or of a class of shares which are listed, is required by the Companies Law to make a tender offer to all of the company's shareholders for the purchase of all of the issued and outstanding shares of the company. If the shareholders who do not respond to the offer hold less than 5% of the issued share capital of the company, all of the shares that the acquirer offered to purchase will be transferred to the acquirer by operation of law. The Companies Law provides for an exception regarding the threshold requirement for a shareholder that prior to and following February 2000 holds over 90% of a company's issued and outstanding share capital. However, the shareholders may petition the court to alter the consideration for the acquisition. If the dissenting shareholders hold more than 5% of the issued and outstanding share capital of the company, the acquirer may not acquire additional shares of the company from shareholders who accepted the tender offer if following such acquisition the acquirer would then own over 90% of the company's issued and outstanding share capital.</w:t>
      </w:r>
    </w:p>
    <w:p>
      <w:pPr>
        <w:spacing w:after="0" w:line="150"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The Companies Law provides that an acquisition of shares of a public company must be made by means of a tender offer if as a result of the acquisition the purchaser would become a 25% or greater shareholder of the company. This rule does not apply if there is already another 25% shareholder of the company. Similarly, the Companies Law provides that an acquisition of shares in a public company must be made by means of a tender offer if as a result of the acquisition the purchaser would become a 45% or greater shareholder of the company, if there is no 45% or greater shareholder of the company.</w:t>
      </w:r>
    </w:p>
    <w:p>
      <w:pPr>
        <w:spacing w:after="0" w:line="130" w:lineRule="exact"/>
        <w:rPr>
          <w:sz w:val="20"/>
          <w:szCs w:val="20"/>
          <w:color w:val="auto"/>
        </w:rPr>
      </w:pPr>
    </w:p>
    <w:p>
      <w:pPr>
        <w:ind w:right="4539" w:firstLine="357"/>
        <w:spacing w:after="0" w:line="242" w:lineRule="auto"/>
        <w:rPr>
          <w:sz w:val="20"/>
          <w:szCs w:val="20"/>
          <w:color w:val="auto"/>
        </w:rPr>
      </w:pPr>
      <w:r>
        <w:rPr>
          <w:rFonts w:ascii="Courier New" w:cs="Courier New" w:eastAsia="Courier New" w:hAnsi="Courier New"/>
          <w:sz w:val="12"/>
          <w:szCs w:val="12"/>
          <w:color w:val="auto"/>
        </w:rPr>
        <w:t>Merger. The Companies Law permits merger transactions if approved by each party's board of directors and the majority of each party's shares voted on the proposed merger at a shareholders' meeting called on at least 21 days' prior notice. 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executed unless at least 30 days have passed from the receipt of the shareholders' approval and 50 days have passed from the time that a proposal for approval of the merger has been filed with the Israeli Registrar of Companies.</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79</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NASDAQ MARKETPLACE RULES AND HOME COUNTRY PRACTICES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Nasdaq's Marketplace Rule 4350 ("Rule 4350") was amended to permit foreign private issuers to follow certain home country corporate governance practices without the need to seek an individual exemption from Nasdaq. Instead, a foreign private issuer must provide Nasdaq with a letter from outside counsel in its home country certifying that the issuer's corporate governance practices are not prohibited by home country law.</w:t>
      </w:r>
    </w:p>
    <w:p>
      <w:pPr>
        <w:spacing w:after="0" w:line="142"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In July 2005, pursuant to this new exception, we provided a notice to Nasdaq required by Rule 4350, with a letter from our outside Israeli counsel informing it that in keeping with Rule 4350(a)(1) we had elected to follow the practices of our home country in lieu of those set forth in Rule 4350, to the extent permitted thereby, and provided a letter from our outside Israeli counsel certifying that our the practices being followed of amending employee share option plans that do not permit the grant of options to directors upon the approval of our board of directors, and without seeking shareholder approval (which approval is required for Nasdaq-listed companies under Marketplace Rule 4350(i)), is in place thereof were not prohibited by Israeli law.</w:t>
      </w:r>
    </w:p>
    <w:p>
      <w:pPr>
        <w:spacing w:after="0" w:line="128" w:lineRule="exact"/>
        <w:rPr>
          <w:sz w:val="20"/>
          <w:szCs w:val="20"/>
          <w:color w:val="auto"/>
        </w:rPr>
      </w:pPr>
    </w:p>
    <w:p>
      <w:pPr>
        <w:ind w:right="4539" w:firstLine="357"/>
        <w:spacing w:after="0" w:line="239" w:lineRule="auto"/>
        <w:rPr>
          <w:sz w:val="20"/>
          <w:szCs w:val="20"/>
          <w:color w:val="auto"/>
        </w:rPr>
      </w:pPr>
      <w:r>
        <w:rPr>
          <w:rFonts w:ascii="Courier New" w:cs="Courier New" w:eastAsia="Courier New" w:hAnsi="Courier New"/>
          <w:sz w:val="12"/>
          <w:szCs w:val="12"/>
          <w:color w:val="auto"/>
        </w:rPr>
        <w:t>As provided by Rule 4350(a)(1), in lieu of the requirements of Rule 4350 we have chosen to follow the practices of our home country with respect to the following:</w:t>
      </w:r>
    </w:p>
    <w:p>
      <w:pPr>
        <w:spacing w:after="0" w:line="143" w:lineRule="exact"/>
        <w:rPr>
          <w:sz w:val="20"/>
          <w:szCs w:val="20"/>
          <w:color w:val="auto"/>
        </w:rPr>
      </w:pPr>
    </w:p>
    <w:p>
      <w:pPr>
        <w:ind w:right="4679" w:firstLine="350"/>
        <w:spacing w:after="0" w:line="239" w:lineRule="auto"/>
        <w:tabs>
          <w:tab w:leader="none" w:pos="642"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do not supply an annual report as required by Rule 4350(b)(1)(A), but makes our audited financial statements available to our shareholders prior to our annual general meeting.</w:t>
      </w:r>
    </w:p>
    <w:p>
      <w:pPr>
        <w:spacing w:after="0" w:line="142" w:lineRule="exact"/>
        <w:rPr>
          <w:rFonts w:ascii="Courier New" w:cs="Courier New" w:eastAsia="Courier New" w:hAnsi="Courier New"/>
          <w:sz w:val="12"/>
          <w:szCs w:val="12"/>
          <w:color w:val="auto"/>
        </w:rPr>
      </w:pPr>
    </w:p>
    <w:p>
      <w:pPr>
        <w:ind w:right="4539" w:firstLine="350"/>
        <w:spacing w:after="0" w:line="241" w:lineRule="auto"/>
        <w:tabs>
          <w:tab w:leader="none" w:pos="642"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majority of our Board of Directors is not comprised of directors who meet the definition of independence contained in Nasdaq Marketplace Rule 4200(a)(15), as required by Rule 4350(c)(1). Under the Companies Law a majority of the Board of Directors is not required to be comprised of independent directors. In keeping with the requirements of the Companies Law two of the members of our Board of Directors are external directors, and are independent as defined under Rule 10A-3 of the Securities Act.</w:t>
      </w:r>
    </w:p>
    <w:p>
      <w:pPr>
        <w:spacing w:after="0" w:line="142" w:lineRule="exact"/>
        <w:rPr>
          <w:rFonts w:ascii="Courier New" w:cs="Courier New" w:eastAsia="Courier New" w:hAnsi="Courier New"/>
          <w:sz w:val="12"/>
          <w:szCs w:val="12"/>
          <w:color w:val="auto"/>
        </w:rPr>
      </w:pPr>
    </w:p>
    <w:p>
      <w:pPr>
        <w:ind w:right="4759" w:firstLine="350"/>
        <w:spacing w:after="0" w:line="269" w:lineRule="auto"/>
        <w:tabs>
          <w:tab w:leader="none" w:pos="642"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Our Board has not adopted a policy of conducting regularly scheduled meetings at which only our independent directors are present, as required by Rule 4350(c)(2). The Companies Law does not require our external directors to conduct regularly scheduled meetings at which only they are present.</w:t>
      </w:r>
    </w:p>
    <w:p>
      <w:pPr>
        <w:spacing w:after="0" w:line="127" w:lineRule="exact"/>
        <w:rPr>
          <w:rFonts w:ascii="Courier New" w:cs="Courier New" w:eastAsia="Courier New" w:hAnsi="Courier New"/>
          <w:sz w:val="11"/>
          <w:szCs w:val="11"/>
          <w:color w:val="auto"/>
        </w:rPr>
      </w:pPr>
    </w:p>
    <w:p>
      <w:pPr>
        <w:ind w:right="4539" w:firstLine="350"/>
        <w:spacing w:after="0" w:line="269" w:lineRule="auto"/>
        <w:tabs>
          <w:tab w:leader="none" w:pos="642"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compensation of our chief executive officer and all other executive officers is not determined, or recommended to the Board for determination, in the manner required by Rule 4350(c)(3). In accord with the Companies Law the compensation of the chief executive officer and all other officers requires the</w:t>
      </w:r>
    </w:p>
    <w:p>
      <w:pPr>
        <w:sectPr>
          <w:pgSz w:w="11900" w:h="16920" w:orient="portrait"/>
          <w:cols w:equalWidth="0" w:num="1">
            <w:col w:w="10239"/>
          </w:cols>
          <w:pgMar w:left="220" w:top="275" w:right="1440" w:bottom="0" w:gutter="0" w:footer="0" w:header="0"/>
        </w:sectPr>
      </w:pPr>
    </w:p>
    <w:bookmarkStart w:id="41" w:name="page42"/>
    <w:bookmarkEnd w:id="41"/>
    <w:p>
      <w:pPr>
        <w:spacing w:after="0" w:line="66" w:lineRule="exact"/>
        <w:rPr>
          <w:sz w:val="20"/>
          <w:szCs w:val="20"/>
          <w:color w:val="auto"/>
        </w:rPr>
      </w:pPr>
    </w:p>
    <w:p>
      <w:pPr>
        <w:ind w:right="4599"/>
        <w:spacing w:after="0" w:line="239" w:lineRule="auto"/>
        <w:rPr>
          <w:sz w:val="20"/>
          <w:szCs w:val="20"/>
          <w:color w:val="auto"/>
        </w:rPr>
      </w:pPr>
      <w:r>
        <w:rPr>
          <w:rFonts w:ascii="Courier New" w:cs="Courier New" w:eastAsia="Courier New" w:hAnsi="Courier New"/>
          <w:sz w:val="12"/>
          <w:szCs w:val="12"/>
          <w:color w:val="auto"/>
        </w:rPr>
        <w:t>approval of our Board of Directors, however the compensation of our chief executive officer, who also serves as a director, requires also the approval of our shareholders.</w:t>
      </w:r>
    </w:p>
    <w:p>
      <w:pPr>
        <w:spacing w:after="0" w:line="143" w:lineRule="exact"/>
        <w:rPr>
          <w:sz w:val="20"/>
          <w:szCs w:val="20"/>
          <w:color w:val="auto"/>
        </w:rPr>
      </w:pPr>
    </w:p>
    <w:p>
      <w:pPr>
        <w:ind w:right="4899" w:firstLine="350"/>
        <w:spacing w:after="0" w:line="238" w:lineRule="auto"/>
        <w:tabs>
          <w:tab w:leader="none" w:pos="642"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Director nominees are not selected, or recommended for the Board's selection, as required by Rules 4350(c)(4)(A) and 4350(c)(4)(C).</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80</w:t>
      </w:r>
    </w:p>
    <w:p>
      <w:pPr>
        <w:spacing w:after="0" w:line="200" w:lineRule="exact"/>
        <w:rPr>
          <w:sz w:val="20"/>
          <w:szCs w:val="20"/>
          <w:color w:val="auto"/>
        </w:rPr>
      </w:pPr>
    </w:p>
    <w:p>
      <w:pPr>
        <w:spacing w:after="0" w:line="335" w:lineRule="exact"/>
        <w:rPr>
          <w:sz w:val="20"/>
          <w:szCs w:val="20"/>
          <w:color w:val="auto"/>
        </w:rPr>
      </w:pPr>
    </w:p>
    <w:p>
      <w:pPr>
        <w:ind w:right="4539" w:firstLine="350"/>
        <w:spacing w:after="0"/>
        <w:tabs>
          <w:tab w:leader="none" w:pos="642"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Board of Directors has not adopted a formal written charter or board resolution addressing the nomination process and such related matters as may be required under United States federal securities laws, as required by Rule 4350(c)(4)(B).</w:t>
      </w:r>
    </w:p>
    <w:p>
      <w:pPr>
        <w:spacing w:after="0" w:line="142" w:lineRule="exact"/>
        <w:rPr>
          <w:rFonts w:ascii="Courier New" w:cs="Courier New" w:eastAsia="Courier New" w:hAnsi="Courier New"/>
          <w:sz w:val="12"/>
          <w:szCs w:val="12"/>
          <w:color w:val="auto"/>
        </w:rPr>
      </w:pPr>
    </w:p>
    <w:p>
      <w:pPr>
        <w:jc w:val="both"/>
        <w:ind w:right="4899" w:firstLine="350"/>
        <w:spacing w:after="0" w:line="272" w:lineRule="auto"/>
        <w:tabs>
          <w:tab w:leader="none" w:pos="642"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Although we have adopted a formal written audit committee charter, there is no requirement under the Companies Law to do so and the charter as adopted may not specify all the items enumerated in Rule 4350(d)(1).</w:t>
      </w:r>
    </w:p>
    <w:p>
      <w:pPr>
        <w:spacing w:after="0" w:line="125" w:lineRule="exact"/>
        <w:rPr>
          <w:rFonts w:ascii="Courier New" w:cs="Courier New" w:eastAsia="Courier New" w:hAnsi="Courier New"/>
          <w:sz w:val="11"/>
          <w:szCs w:val="11"/>
          <w:color w:val="auto"/>
        </w:rPr>
      </w:pPr>
    </w:p>
    <w:p>
      <w:pPr>
        <w:ind w:right="4539" w:firstLine="350"/>
        <w:spacing w:after="0" w:line="241" w:lineRule="auto"/>
        <w:tabs>
          <w:tab w:leader="none" w:pos="642"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audit committee does not meet with all of the requirements of Rules 4350(d)(2)(A)(i), 4350(d)(2)(A)(iii) and 4350(d)(2)(A)(iv). Though all members are independent as such term is defined under Rule 10A-3 of the Exchange Act, the audit committee does not comply with the foregoing Rule 4350 requirements, as permitted by the Companies Law.</w:t>
      </w:r>
    </w:p>
    <w:p>
      <w:pPr>
        <w:spacing w:after="0" w:line="140" w:lineRule="exact"/>
        <w:rPr>
          <w:rFonts w:ascii="Courier New" w:cs="Courier New" w:eastAsia="Courier New" w:hAnsi="Courier New"/>
          <w:sz w:val="12"/>
          <w:szCs w:val="12"/>
          <w:color w:val="auto"/>
        </w:rPr>
      </w:pPr>
    </w:p>
    <w:p>
      <w:pPr>
        <w:ind w:right="4539" w:firstLine="350"/>
        <w:spacing w:after="0" w:line="241" w:lineRule="auto"/>
        <w:tabs>
          <w:tab w:leader="none" w:pos="642"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articles of association do not provide for a quorum of not less than 33 1/3% of the outstanding shares of our voting ordinary shares for meetings of our ordinary shareholders, as required by Rule 4350(f). Our articles of association presently require a quorum consisting of two shareholders holding a combined 33% of our ordinary shares. Under the Companies Law a quorum consisting of two shareholders holding a combined 25% of the company's voting shares is required.</w:t>
      </w:r>
    </w:p>
    <w:p>
      <w:pPr>
        <w:spacing w:after="0" w:line="142" w:lineRule="exact"/>
        <w:rPr>
          <w:rFonts w:ascii="Courier New" w:cs="Courier New" w:eastAsia="Courier New" w:hAnsi="Courier New"/>
          <w:sz w:val="12"/>
          <w:szCs w:val="12"/>
          <w:color w:val="auto"/>
        </w:rPr>
      </w:pPr>
    </w:p>
    <w:p>
      <w:pPr>
        <w:ind w:right="4539" w:firstLine="350"/>
        <w:spacing w:after="0"/>
        <w:tabs>
          <w:tab w:leader="none" w:pos="642"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review and approve all related party transactions in accordance with the requirements and procedures for approval of interested party acts and transactions, set forth in the Companies Law, which do not fully reflect the requirements of Rule 4350(h).</w:t>
      </w:r>
    </w:p>
    <w:p>
      <w:pPr>
        <w:spacing w:after="0" w:line="142" w:lineRule="exact"/>
        <w:rPr>
          <w:rFonts w:ascii="Courier New" w:cs="Courier New" w:eastAsia="Courier New" w:hAnsi="Courier New"/>
          <w:sz w:val="12"/>
          <w:szCs w:val="12"/>
          <w:color w:val="auto"/>
        </w:rPr>
      </w:pPr>
    </w:p>
    <w:p>
      <w:pPr>
        <w:ind w:right="4679" w:firstLine="350"/>
        <w:spacing w:after="0" w:line="239" w:lineRule="auto"/>
        <w:tabs>
          <w:tab w:leader="none" w:pos="642"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seek shareholder approval for all corporate action requiring such approval, in accordance with the requirements of the Companies Law, which does not fully reflect the requirements of Rule 4350(i).</w:t>
      </w:r>
    </w:p>
    <w:p>
      <w:pPr>
        <w:spacing w:after="0" w:line="143"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We may in the future provide Nasdaq with an additional such letter or letters notifying Nasdaq that we are following our own practices, consistent with the Companies Law and practices in Israel in lieu of other requirements of Marketplace Rule 4350.</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MATERIAL CONTRACTS. Discussions of these agreements are incorporated herein by reference to the discussion under the caption "Intellectual Property and Licensing Agreements" in "Item 4."Information on the Company" and under the caption "Fab 2 Agreements" in "Item 5. Operating and Financial Review and Prospects" of this annual report.</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FAB 2 AGREEMENTS. Since 2000, we have entered into several important Fab 2 agreements and arrangements with a key technology partner, wafer and equity financing partners, the Israeli Investment Center and two leading Israeli banks. Discussions of these agreements are incorporated herein by reference to the discussion under the caption "Fab 2 Agreements" in "Item 5. Operating and Financial Review and Prospects" of this annual report and to Note 11A to the consolidated financial statements included in this annual report.</w:t>
      </w:r>
    </w:p>
    <w:p>
      <w:pPr>
        <w:spacing w:after="0" w:line="142"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INTELLECTUAL PROPERTY AND LICENSING AGREEMENTS. Discussions of these agreements are incorporated herein by reference to the discussion under the caption "Intellectual Property and Licensing Agreements" in "Item 4."Information on the Company" of this annual report.</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EXCHANGE CONTROLS</w:t>
      </w:r>
    </w:p>
    <w:p>
      <w:pPr>
        <w:spacing w:after="0" w:line="141" w:lineRule="exact"/>
        <w:rPr>
          <w:sz w:val="20"/>
          <w:szCs w:val="20"/>
          <w:color w:val="auto"/>
        </w:rPr>
      </w:pPr>
    </w:p>
    <w:p>
      <w:pPr>
        <w:ind w:right="4539" w:firstLine="357"/>
        <w:spacing w:after="0" w:line="266" w:lineRule="auto"/>
        <w:rPr>
          <w:sz w:val="20"/>
          <w:szCs w:val="20"/>
          <w:color w:val="auto"/>
        </w:rPr>
      </w:pPr>
      <w:r>
        <w:rPr>
          <w:rFonts w:ascii="Courier New" w:cs="Courier New" w:eastAsia="Courier New" w:hAnsi="Courier New"/>
          <w:sz w:val="11"/>
          <w:szCs w:val="11"/>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30" w:lineRule="exact"/>
        <w:rPr>
          <w:sz w:val="20"/>
          <w:szCs w:val="20"/>
          <w:color w:val="auto"/>
        </w:rPr>
      </w:pPr>
    </w:p>
    <w:p>
      <w:pPr>
        <w:ind w:right="4819" w:firstLine="357"/>
        <w:spacing w:after="0" w:line="238" w:lineRule="auto"/>
        <w:rPr>
          <w:sz w:val="20"/>
          <w:szCs w:val="20"/>
          <w:color w:val="auto"/>
        </w:rPr>
      </w:pPr>
      <w:r>
        <w:rPr>
          <w:rFonts w:ascii="Courier New" w:cs="Courier New" w:eastAsia="Courier New" w:hAnsi="Courier New"/>
          <w:sz w:val="12"/>
          <w:szCs w:val="12"/>
          <w:color w:val="auto"/>
        </w:rPr>
        <w:t>Under Israeli law and our company's Articles, both residents and non-residents of Israel may freely hold, vote and trade our ordinary shares.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TAXATION</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4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 Israeli Capital Gains Tax</w:t>
      </w:r>
    </w:p>
    <w:p>
      <w:pPr>
        <w:spacing w:after="0" w:line="141" w:lineRule="exact"/>
        <w:rPr>
          <w:sz w:val="20"/>
          <w:szCs w:val="20"/>
          <w:color w:val="auto"/>
        </w:rPr>
      </w:pPr>
    </w:p>
    <w:p>
      <w:pPr>
        <w:ind w:right="4539" w:firstLine="357"/>
        <w:spacing w:after="0" w:line="267" w:lineRule="auto"/>
        <w:rPr>
          <w:sz w:val="20"/>
          <w:szCs w:val="20"/>
          <w:color w:val="auto"/>
        </w:rPr>
      </w:pPr>
      <w:r>
        <w:rPr>
          <w:rFonts w:ascii="Courier New" w:cs="Courier New" w:eastAsia="Courier New" w:hAnsi="Courier New"/>
          <w:sz w:val="11"/>
          <w:szCs w:val="11"/>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29" w:lineRule="exact"/>
        <w:rPr>
          <w:sz w:val="20"/>
          <w:szCs w:val="20"/>
          <w:color w:val="auto"/>
        </w:rPr>
      </w:pPr>
    </w:p>
    <w:p>
      <w:pPr>
        <w:ind w:right="4539" w:firstLine="357"/>
        <w:spacing w:after="0" w:line="239" w:lineRule="auto"/>
        <w:rPr>
          <w:sz w:val="20"/>
          <w:szCs w:val="20"/>
          <w:color w:val="auto"/>
        </w:rPr>
      </w:pPr>
      <w:r>
        <w:rPr>
          <w:rFonts w:ascii="Courier New" w:cs="Courier New" w:eastAsia="Courier New" w:hAnsi="Courier New"/>
          <w:sz w:val="12"/>
          <w:szCs w:val="12"/>
          <w:color w:val="auto"/>
        </w:rPr>
        <w:t>On January 1, 2006 an amendment to the Israeli tax regime became effective (the "2006 Tax Reform"). The 2006 Tax Reform significantly changed the tax rates applicable to income derived from shares.</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and voting rights) in the company issuing the shares. The rate on the gains from publicly traded shares applicable to gains that were realized between January 1, 2003 and January 1, 2006 was 15%.</w:t>
      </w:r>
    </w:p>
    <w:p>
      <w:pPr>
        <w:sectPr>
          <w:pgSz w:w="11900" w:h="16905" w:orient="portrait"/>
          <w:cols w:equalWidth="0" w:num="1">
            <w:col w:w="10239"/>
          </w:cols>
          <w:pgMar w:left="220" w:top="141" w:right="1440" w:bottom="0" w:gutter="0" w:footer="0" w:header="0"/>
        </w:sectPr>
      </w:pPr>
    </w:p>
    <w:bookmarkStart w:id="42" w:name="page43"/>
    <w:bookmarkEnd w:id="42"/>
    <w:p>
      <w:pPr>
        <w:spacing w:after="0" w:line="8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had been a substantial shareholder.</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82</w:t>
      </w:r>
    </w:p>
    <w:p>
      <w:pPr>
        <w:spacing w:after="0" w:line="200" w:lineRule="exact"/>
        <w:rPr>
          <w:sz w:val="20"/>
          <w:szCs w:val="20"/>
          <w:color w:val="auto"/>
        </w:rPr>
      </w:pPr>
    </w:p>
    <w:p>
      <w:pPr>
        <w:spacing w:after="0" w:line="335"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44"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45" w:lineRule="exact"/>
        <w:rPr>
          <w:sz w:val="20"/>
          <w:szCs w:val="20"/>
          <w:color w:val="auto"/>
        </w:rPr>
      </w:pPr>
    </w:p>
    <w:p>
      <w:pPr>
        <w:ind w:right="4759" w:firstLine="357"/>
        <w:spacing w:after="0" w:line="239" w:lineRule="auto"/>
        <w:rPr>
          <w:sz w:val="20"/>
          <w:szCs w:val="20"/>
          <w:color w:val="auto"/>
        </w:rPr>
      </w:pPr>
      <w:r>
        <w:rPr>
          <w:rFonts w:ascii="Courier New" w:cs="Courier New" w:eastAsia="Courier New" w:hAnsi="Courier New"/>
          <w:sz w:val="12"/>
          <w:szCs w:val="12"/>
          <w:color w:val="auto"/>
        </w:rPr>
        <w:t>In some instances where our shareholders may be liable to Israeli tax on the sale of their ordinary shares, the payment of the consideration may be subject to the withholding of Israeli tax at the source.</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4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 Israeli Tax on Interest Income and on Original Issuance Discount</w:t>
      </w:r>
    </w:p>
    <w:p>
      <w:pPr>
        <w:spacing w:after="0" w:line="141"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34% in 2005, 31% in 2006,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83</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4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 Israeli Tax on Dividend Income</w:t>
      </w:r>
    </w:p>
    <w:p>
      <w:pPr>
        <w:spacing w:after="0" w:line="141"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 PFIC Rules</w:t>
      </w:r>
    </w:p>
    <w:p>
      <w:pPr>
        <w:spacing w:after="0" w:line="141" w:lineRule="exact"/>
        <w:rPr>
          <w:sz w:val="20"/>
          <w:szCs w:val="20"/>
          <w:color w:val="auto"/>
        </w:rPr>
      </w:pPr>
    </w:p>
    <w:p>
      <w:pPr>
        <w:ind w:right="4679" w:firstLine="357"/>
        <w:spacing w:after="0" w:line="269" w:lineRule="auto"/>
        <w:rPr>
          <w:sz w:val="20"/>
          <w:szCs w:val="20"/>
          <w:color w:val="auto"/>
        </w:rPr>
      </w:pPr>
      <w:r>
        <w:rPr>
          <w:rFonts w:ascii="Courier New" w:cs="Courier New" w:eastAsia="Courier New" w:hAnsi="Courier New"/>
          <w:sz w:val="11"/>
          <w:szCs w:val="11"/>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w:t>
      </w:r>
    </w:p>
    <w:p>
      <w:pPr>
        <w:sectPr>
          <w:pgSz w:w="11900" w:h="16920" w:orient="portrait"/>
          <w:cols w:equalWidth="0" w:num="1">
            <w:col w:w="10239"/>
          </w:cols>
          <w:pgMar w:left="220" w:top="278" w:right="1440" w:bottom="0" w:gutter="0" w:footer="0" w:header="0"/>
        </w:sectPr>
      </w:pPr>
    </w:p>
    <w:bookmarkStart w:id="43" w:name="page44"/>
    <w:bookmarkEnd w:id="43"/>
    <w:p>
      <w:pPr>
        <w:spacing w:after="0" w:line="78" w:lineRule="exact"/>
        <w:rPr>
          <w:sz w:val="20"/>
          <w:szCs w:val="20"/>
          <w:color w:val="auto"/>
        </w:rPr>
      </w:pPr>
    </w:p>
    <w:p>
      <w:pPr>
        <w:ind w:right="4679"/>
        <w:spacing w:after="0" w:line="238" w:lineRule="auto"/>
        <w:rPr>
          <w:sz w:val="20"/>
          <w:szCs w:val="20"/>
          <w:color w:val="auto"/>
        </w:rPr>
      </w:pPr>
      <w:r>
        <w:rPr>
          <w:rFonts w:ascii="Courier New" w:cs="Courier New" w:eastAsia="Courier New" w:hAnsi="Courier New"/>
          <w:sz w:val="12"/>
          <w:szCs w:val="12"/>
          <w:color w:val="auto"/>
        </w:rPr>
        <w:t>traded corporation and so elects, by adjusted basis), 50% or more of its gross assets produce or are held for the production of passive income.</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do not believe that we satisfied either of the tests for PFIC status in 2005 or in any prior year. However, there can be no assurance that we will not be a PFIC in 2006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282"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84</w:t>
      </w:r>
    </w:p>
    <w:p>
      <w:pPr>
        <w:spacing w:after="0" w:line="200" w:lineRule="exact"/>
        <w:rPr>
          <w:sz w:val="20"/>
          <w:szCs w:val="20"/>
          <w:color w:val="auto"/>
        </w:rPr>
      </w:pPr>
    </w:p>
    <w:p>
      <w:pPr>
        <w:spacing w:after="0" w:line="335" w:lineRule="exact"/>
        <w:rPr>
          <w:sz w:val="20"/>
          <w:szCs w:val="20"/>
          <w:color w:val="auto"/>
        </w:rPr>
      </w:pPr>
    </w:p>
    <w:p>
      <w:pPr>
        <w:ind w:right="4599" w:firstLine="357"/>
        <w:spacing w:after="0" w:line="265" w:lineRule="auto"/>
        <w:rPr>
          <w:sz w:val="20"/>
          <w:szCs w:val="20"/>
          <w:color w:val="auto"/>
        </w:rPr>
      </w:pPr>
      <w:r>
        <w:rPr>
          <w:rFonts w:ascii="Courier New" w:cs="Courier New" w:eastAsia="Courier New" w:hAnsi="Courier New"/>
          <w:sz w:val="11"/>
          <w:szCs w:val="11"/>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National Market is a qualifying exchange. U.S. holders are strongly urged to consult their own tax advisers regarding the possible application and consequences of the PFIC rules.</w:t>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DOCUMENTS ON DISPLAY</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46"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You may review and copy our filings with the SEC, including any exhibits and schedules, at the SEC's public reference room at 100 F Street N.E., Washington, D.C. 20549. You may call the SEC at 1-800-SEC-0330 for further information on this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45" w:lineRule="exact"/>
        <w:rPr>
          <w:sz w:val="20"/>
          <w:szCs w:val="20"/>
          <w:color w:val="auto"/>
        </w:rPr>
      </w:pPr>
    </w:p>
    <w:p>
      <w:pPr>
        <w:ind w:right="4599" w:firstLine="357"/>
        <w:spacing w:after="0" w:line="268" w:lineRule="auto"/>
        <w:rPr>
          <w:sz w:val="20"/>
          <w:szCs w:val="20"/>
          <w:color w:val="auto"/>
        </w:rPr>
      </w:pPr>
      <w:r>
        <w:rPr>
          <w:rFonts w:ascii="Courier New" w:cs="Courier New" w:eastAsia="Courier New" w:hAnsi="Courier New"/>
          <w:sz w:val="11"/>
          <w:szCs w:val="11"/>
          <w:color w:val="auto"/>
        </w:rPr>
        <w:t>Any statement in this annual report about any of our contracts or other documents is not necessarily complete. If the contract or document is filed as an exhibit to a registration statement, the contract or document is deemed to modify the description contained in this annual report. We urge you to review the exhibits themselves for a complete description of the contract or document.</w:t>
      </w:r>
    </w:p>
    <w:p>
      <w:pPr>
        <w:spacing w:after="0" w:line="262"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85</w:t>
      </w:r>
    </w:p>
    <w:p>
      <w:pPr>
        <w:spacing w:after="0" w:line="200" w:lineRule="exact"/>
        <w:rPr>
          <w:sz w:val="20"/>
          <w:szCs w:val="20"/>
          <w:color w:val="auto"/>
        </w:rPr>
      </w:pPr>
    </w:p>
    <w:p>
      <w:pPr>
        <w:spacing w:after="0" w:line="33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11.</w:t>
      </w:r>
      <w:r>
        <w:rPr>
          <w:sz w:val="20"/>
          <w:szCs w:val="20"/>
          <w:color w:val="auto"/>
        </w:rPr>
        <w:tab/>
      </w:r>
      <w:r>
        <w:rPr>
          <w:rFonts w:ascii="Courier New" w:cs="Courier New" w:eastAsia="Courier New" w:hAnsi="Courier New"/>
          <w:sz w:val="11"/>
          <w:szCs w:val="11"/>
          <w:color w:val="auto"/>
        </w:rPr>
        <w:t>QUANTITATIVE AND QUALITATIVE DISCLOSURES ABOUT MARKET RISK</w:t>
      </w:r>
    </w:p>
    <w:p>
      <w:pPr>
        <w:spacing w:after="0" w:line="141" w:lineRule="exact"/>
        <w:rPr>
          <w:sz w:val="20"/>
          <w:szCs w:val="20"/>
          <w:color w:val="auto"/>
        </w:rPr>
      </w:pPr>
    </w:p>
    <w:p>
      <w:pPr>
        <w:ind w:right="4679" w:firstLine="357"/>
        <w:spacing w:after="0"/>
        <w:rPr>
          <w:sz w:val="20"/>
          <w:szCs w:val="20"/>
          <w:color w:val="auto"/>
        </w:rPr>
      </w:pPr>
      <w:r>
        <w:rPr>
          <w:rFonts w:ascii="Courier New" w:cs="Courier New" w:eastAsia="Courier New" w:hAnsi="Courier New"/>
          <w:sz w:val="12"/>
          <w:szCs w:val="12"/>
          <w:color w:val="auto"/>
        </w:rPr>
        <w:t>Market risk is the risk of loss related to changes in market prices, including interest rates and foreign exchange rates, of financial instruments and derivatives that may adversely impact our consolidated financial position, results of operations or cash flows.</w:t>
      </w:r>
    </w:p>
    <w:p>
      <w:pPr>
        <w:spacing w:after="0" w:line="142" w:lineRule="exact"/>
        <w:rPr>
          <w:sz w:val="20"/>
          <w:szCs w:val="20"/>
          <w:color w:val="auto"/>
        </w:rPr>
      </w:pPr>
    </w:p>
    <w:p>
      <w:pPr>
        <w:ind w:right="4679" w:firstLine="357"/>
        <w:spacing w:after="0" w:line="241" w:lineRule="auto"/>
        <w:rPr>
          <w:sz w:val="20"/>
          <w:szCs w:val="20"/>
          <w:color w:val="auto"/>
        </w:rPr>
      </w:pPr>
      <w:r>
        <w:rPr>
          <w:rFonts w:ascii="Courier New" w:cs="Courier New" w:eastAsia="Courier New" w:hAnsi="Courier New"/>
          <w:sz w:val="12"/>
          <w:szCs w:val="12"/>
          <w:color w:val="auto"/>
        </w:rPr>
        <w:t>Our primary market risk exposures relate to interest rate movements on borrowings, fluctuations of the exchange rate of the US dollar, which is the primary currency in which we conduct our operations, against the NIS, the Japanese Yen and the Euro. To manage those risks and mitigate our exposure to them, we from time to time use financial instruments, primarily, interest rate collar agreements with a knock-out and knock-in features, and foreign currency forward contracts and options (including zero-cost cylinders).</w:t>
      </w:r>
    </w:p>
    <w:p>
      <w:pPr>
        <w:spacing w:after="0" w:line="142" w:lineRule="exact"/>
        <w:rPr>
          <w:sz w:val="20"/>
          <w:szCs w:val="20"/>
          <w:color w:val="auto"/>
        </w:rPr>
      </w:pPr>
    </w:p>
    <w:p>
      <w:pPr>
        <w:ind w:right="4819" w:firstLine="357"/>
        <w:spacing w:after="0" w:line="267" w:lineRule="auto"/>
        <w:rPr>
          <w:sz w:val="20"/>
          <w:szCs w:val="20"/>
          <w:color w:val="auto"/>
        </w:rPr>
      </w:pPr>
      <w:r>
        <w:rPr>
          <w:rFonts w:ascii="Courier New" w:cs="Courier New" w:eastAsia="Courier New" w:hAnsi="Courier New"/>
          <w:sz w:val="11"/>
          <w:szCs w:val="11"/>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RISK OF INTEREST RATE FLUCTUATION</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have market risk exposure to changes in interest rates on our long-term debt obligations with floating interest rates. We have entered into debt obligations to support our capital expenditures and needs. From time to time we enter into interest rate collar agreements with knock-out and knock-in features to modify our exposure to interest rate movements and to reduce our borrowing costs. These agreements limit our exposure to the risks of fluctuating interest rates by allowing us to convert a portion of the interest on our borrowings from a variable rate to a limited variable rate. A knock-out LIBOR-based interest rate collar is a combination of a purchased knock-out cap with a cap level, floor level and a knock out level (and a knock in level for some of the agreements).</w:t>
      </w:r>
    </w:p>
    <w:p>
      <w:pPr>
        <w:spacing w:after="0" w:line="145" w:lineRule="exact"/>
        <w:rPr>
          <w:sz w:val="20"/>
          <w:szCs w:val="20"/>
          <w:color w:val="auto"/>
        </w:rPr>
      </w:pPr>
    </w:p>
    <w:p>
      <w:pPr>
        <w:ind w:right="4679" w:firstLine="357"/>
        <w:spacing w:after="0" w:line="266" w:lineRule="auto"/>
        <w:rPr>
          <w:sz w:val="20"/>
          <w:szCs w:val="20"/>
          <w:color w:val="auto"/>
        </w:rPr>
      </w:pPr>
      <w:r>
        <w:rPr>
          <w:rFonts w:ascii="Courier New" w:cs="Courier New" w:eastAsia="Courier New" w:hAnsi="Courier New"/>
          <w:sz w:val="11"/>
          <w:szCs w:val="11"/>
          <w:color w:val="auto"/>
        </w:rPr>
        <w:t>We are subject to interest rate exposure in connection with $518 million long-term debt outstanding as of December 31, 2005 under the Fab 2 facility agreement, as such debt bears interest at a rate of LIBOR plus 2.5% per annum. The interest rate as of December 31, 2005 on $226 million of the Fab 2 loans, not subject to the results of our collar agreements, was 7.06%. Our remaining loans of $292 million are covered by the collar agreements and bore annual interest rate as of December 31, 2005, including the results of our hedging activities described below, as follows: $212 million - 7.06%, $80 million -</w:t>
      </w:r>
    </w:p>
    <w:p>
      <w:pPr>
        <w:sectPr>
          <w:pgSz w:w="11900" w:h="16917" w:orient="portrait"/>
          <w:cols w:equalWidth="0" w:num="1">
            <w:col w:w="10239"/>
          </w:cols>
          <w:pgMar w:left="220" w:top="141" w:right="1440" w:bottom="0" w:gutter="0" w:footer="0" w:header="0"/>
        </w:sectPr>
      </w:pPr>
    </w:p>
    <w:bookmarkStart w:id="44" w:name="page45"/>
    <w:bookmarkEnd w:id="44"/>
    <w:p>
      <w:pPr>
        <w:spacing w:after="0" w:line="64" w:lineRule="exact"/>
        <w:rPr>
          <w:sz w:val="20"/>
          <w:szCs w:val="20"/>
          <w:color w:val="auto"/>
        </w:rPr>
      </w:pPr>
    </w:p>
    <w:p>
      <w:pPr>
        <w:ind w:right="4539"/>
        <w:spacing w:after="0" w:line="241" w:lineRule="auto"/>
        <w:rPr>
          <w:sz w:val="20"/>
          <w:szCs w:val="20"/>
          <w:color w:val="auto"/>
        </w:rPr>
      </w:pPr>
      <w:r>
        <w:rPr>
          <w:rFonts w:ascii="Courier New" w:cs="Courier New" w:eastAsia="Courier New" w:hAnsi="Courier New"/>
          <w:sz w:val="12"/>
          <w:szCs w:val="12"/>
          <w:color w:val="auto"/>
        </w:rPr>
        <w:t>6.5%, As of December 31,2005 loans in the amount of $21 million drawn down during 2005 following the July 2005 Amendment of the Facility Agreement were repayable through December 31,2006, loans in the amount of $431 million were repayable in 12 equal consecutive quarterly installments commencing March 31, 2007, and loans in the amount of $66 million drawn down during 2004 were repayable in 12 equal consecutive quarterly installments, commencing three years from the end of the quarter of each draw down. Following the May 2006 Amendment to the Facility Agreement, the repayments of long-term loans in the amount of approximately $100 million (including $8 million drawn down in 2006 following the July 2005 Amendment to the Facility Agreement) formerly scheduled to be paid between October 2006 and June 2007, were deferred to July 2007.</w:t>
      </w:r>
    </w:p>
    <w:p>
      <w:pPr>
        <w:spacing w:after="0" w:line="28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86</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All our collar agreements, which gradually expire in 2006-2009, were effective as of December 31, 2005. These agreements provide for combinations as described below. Under the knock-out provision in these agreements, in the event that the LIBOR rate exceeds the knock-out LIBOR rate level during a particular quarter, the protection provided under the interest collar agreements will not apply with respect to that entire quarter. If the LIBOR rate decreases thereafter and remains below the knock-out LIBOR rate level in any successive quarter for the duration of the entire quarter, the protection provided under the interest rate collar will again be effective.</w:t>
      </w:r>
    </w:p>
    <w:p>
      <w:pPr>
        <w:spacing w:after="0" w:line="144" w:lineRule="exact"/>
        <w:rPr>
          <w:sz w:val="20"/>
          <w:szCs w:val="20"/>
          <w:color w:val="auto"/>
        </w:rPr>
      </w:pPr>
    </w:p>
    <w:p>
      <w:pPr>
        <w:ind w:right="4679" w:firstLine="357"/>
        <w:spacing w:after="0" w:line="264" w:lineRule="auto"/>
        <w:rPr>
          <w:sz w:val="20"/>
          <w:szCs w:val="20"/>
          <w:color w:val="auto"/>
        </w:rPr>
      </w:pPr>
      <w:r>
        <w:rPr>
          <w:rFonts w:ascii="Courier New" w:cs="Courier New" w:eastAsia="Courier New" w:hAnsi="Courier New"/>
          <w:sz w:val="11"/>
          <w:szCs w:val="11"/>
          <w:color w:val="auto"/>
        </w:rPr>
        <w:t>With respect to the $172 million of our Fab 2 credit facility debt, under the terms of the collar agreements, if the LIBOR is below the floor rate of</w:t>
      </w:r>
    </w:p>
    <w:p>
      <w:pPr>
        <w:ind w:right="4599"/>
        <w:spacing w:after="0" w:line="264" w:lineRule="auto"/>
        <w:rPr>
          <w:sz w:val="20"/>
          <w:szCs w:val="20"/>
          <w:color w:val="auto"/>
        </w:rPr>
      </w:pPr>
      <w:r>
        <w:rPr>
          <w:rFonts w:ascii="Courier New" w:cs="Courier New" w:eastAsia="Courier New" w:hAnsi="Courier New"/>
          <w:sz w:val="11"/>
          <w:szCs w:val="11"/>
          <w:color w:val="auto"/>
        </w:rPr>
        <w:t>4.28% we will pay total interest at the fixed rate of 6.78% (the 4.28% floor rate plus 2.5%); if the LIBOR is between 4.28% and 5.56%, we will pay total interest at the actual LIBOR plus 2.5%; if the LIBOR is between 5.56% and 7.50% we will pay total interest at a fixed rate of 8.06% (the 5.56% cap rate plus</w:t>
      </w:r>
    </w:p>
    <w:p>
      <w:pPr>
        <w:spacing w:after="0" w:line="1" w:lineRule="exact"/>
        <w:rPr>
          <w:sz w:val="20"/>
          <w:szCs w:val="20"/>
          <w:color w:val="auto"/>
        </w:rPr>
      </w:pPr>
    </w:p>
    <w:p>
      <w:pPr>
        <w:ind w:right="4599"/>
        <w:spacing w:after="0"/>
        <w:rPr>
          <w:sz w:val="20"/>
          <w:szCs w:val="20"/>
          <w:color w:val="auto"/>
        </w:rPr>
      </w:pPr>
      <w:r>
        <w:rPr>
          <w:rFonts w:ascii="Courier New" w:cs="Courier New" w:eastAsia="Courier New" w:hAnsi="Courier New"/>
          <w:sz w:val="12"/>
          <w:szCs w:val="12"/>
          <w:color w:val="auto"/>
        </w:rPr>
        <w:t>2.5%); and if the LIBOR is higher than 7.50%, we will pay the actual LIBOR rate plus 2.5%. On December 31, 2005, the LIBOR rate was 4.56%. Accordingly, as of such date the interest rate on these long-term loans was 7.06% (the Libor rate of 4.56% plus 2.5%).</w:t>
      </w:r>
    </w:p>
    <w:p>
      <w:pPr>
        <w:spacing w:after="0" w:line="142" w:lineRule="exact"/>
        <w:rPr>
          <w:sz w:val="20"/>
          <w:szCs w:val="20"/>
          <w:color w:val="auto"/>
        </w:rPr>
      </w:pPr>
    </w:p>
    <w:p>
      <w:pPr>
        <w:ind w:right="4759" w:firstLine="357"/>
        <w:spacing w:after="0" w:line="264" w:lineRule="auto"/>
        <w:rPr>
          <w:sz w:val="20"/>
          <w:szCs w:val="20"/>
          <w:color w:val="auto"/>
        </w:rPr>
      </w:pPr>
      <w:r>
        <w:rPr>
          <w:rFonts w:ascii="Courier New" w:cs="Courier New" w:eastAsia="Courier New" w:hAnsi="Courier New"/>
          <w:sz w:val="11"/>
          <w:szCs w:val="11"/>
          <w:color w:val="auto"/>
        </w:rPr>
        <w:t>With respect to the $40 million of our Fab 2 credit facility debt, under the terms of the collar agreements, if the LIBOR is below the floor rate of</w:t>
      </w:r>
    </w:p>
    <w:p>
      <w:pPr>
        <w:ind w:right="4539"/>
        <w:spacing w:after="0" w:line="241" w:lineRule="auto"/>
        <w:rPr>
          <w:sz w:val="20"/>
          <w:szCs w:val="20"/>
          <w:color w:val="auto"/>
        </w:rPr>
      </w:pPr>
      <w:r>
        <w:rPr>
          <w:rFonts w:ascii="Courier New" w:cs="Courier New" w:eastAsia="Courier New" w:hAnsi="Courier New"/>
          <w:sz w:val="12"/>
          <w:szCs w:val="12"/>
          <w:color w:val="auto"/>
        </w:rPr>
        <w:t>2.80% we will pay total interest at the fixed rate of 5.30% (the 2.80% floor rate plus 2.5%); if the LIBOR is between 2.80% and 5.50%, we will pay total interest at actual LIBOR plus 2.5%; if the LIBOR is between 5.50% and 7.50% we will pay total interest at a fixed rate of 8.00% (the 5.50% cap rate plus 2.5%); and if the LIBOR is higher than 7.50%, we will pay the actual LIBOR rate plus 2.5%. At December 31, 2005, the LIBOR rate was 4.56%. Accordingly, as of such date, the interest rate on these long-term loans was 7.06% (the Libor rate of 4.56% plus 2.5%).</w:t>
      </w:r>
    </w:p>
    <w:p>
      <w:pPr>
        <w:spacing w:after="0" w:line="143"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With respect to the $80 million of our Fab 2 credit facility debt, under the terms of the collar agreements, if the LIBOR is below the knock-in of 0.70% we will pay total interest at the fixed rate of 5.25% (the 2.75% floor rate plus 2.5%); if the LIBOR is between 0.70% and 4.00%, we will pay total interest at the actual LIBOR plus 2.5%; if the LIBOR is between 4.00% and 7.00% we will pay total interest at a fixed rate of 6.50% (the 4.00% cap level plus 2.5%); and if the LIBOR is higher than 7.00%, we will pay the actual LIBOR rate plus 2.5%. At December 31, 2005, the LIBOR rate was 4.56%. Accordingly, as of such date, the interest rate on these long-term loans was 6.5% (the cap level of 4.0% plus 2.5%).</w:t>
      </w:r>
    </w:p>
    <w:p>
      <w:pPr>
        <w:spacing w:after="0" w:line="145" w:lineRule="exact"/>
        <w:rPr>
          <w:sz w:val="20"/>
          <w:szCs w:val="20"/>
          <w:color w:val="auto"/>
        </w:rPr>
      </w:pPr>
    </w:p>
    <w:p>
      <w:pPr>
        <w:ind w:right="4599" w:firstLine="357"/>
        <w:spacing w:after="0" w:line="239" w:lineRule="auto"/>
        <w:rPr>
          <w:sz w:val="20"/>
          <w:szCs w:val="20"/>
          <w:color w:val="auto"/>
        </w:rPr>
      </w:pPr>
      <w:r>
        <w:rPr>
          <w:rFonts w:ascii="Courier New" w:cs="Courier New" w:eastAsia="Courier New" w:hAnsi="Courier New"/>
          <w:sz w:val="12"/>
          <w:szCs w:val="12"/>
          <w:color w:val="auto"/>
        </w:rPr>
        <w:t>All our collar agreements resulted in a loss of $1.8 million in the year ended December 31, 2005. The fair value of these agreements, as of December 31, 2005 was a $1.8 million gain.</w:t>
      </w:r>
    </w:p>
    <w:p>
      <w:pPr>
        <w:spacing w:after="0" w:line="143"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Our cash equivalents and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our investments, their carrying value approximates their fair value.</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87</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CONVERTIBLE DEBENTURES AND OPTIONS - FOREIGN EXCHANGE RISK</w:t>
      </w:r>
    </w:p>
    <w:p>
      <w:pPr>
        <w:spacing w:after="0" w:line="141" w:lineRule="exact"/>
        <w:rPr>
          <w:sz w:val="20"/>
          <w:szCs w:val="20"/>
          <w:color w:val="auto"/>
        </w:rPr>
      </w:pPr>
    </w:p>
    <w:p>
      <w:pPr>
        <w:ind w:right="4539" w:firstLine="357"/>
        <w:spacing w:after="0" w:line="242" w:lineRule="auto"/>
        <w:rPr>
          <w:sz w:val="20"/>
          <w:szCs w:val="20"/>
          <w:color w:val="auto"/>
        </w:rPr>
      </w:pPr>
      <w:r>
        <w:rPr>
          <w:rFonts w:ascii="Courier New" w:cs="Courier New" w:eastAsia="Courier New" w:hAnsi="Courier New"/>
          <w:sz w:val="12"/>
          <w:szCs w:val="12"/>
          <w:color w:val="auto"/>
        </w:rPr>
        <w:t>We are exposed to the risk of fluctuation in the NIS/dollar exchange rate with respect to our 2002 convertible debentures. As of December 31, 2005, we were exposed to the risk of fluctuation in the NIS/dollar exchange rate with respect to our exercise price of our Options (Series 1) issued in 2002, which are both denominated in NIS linked to the Consumer Price Index in Israel (CPI). As of December 31, 2005 the adjusted outstanding principal amount of the 2002 convertible debentures was $26.1 million and the adjusted exercise price of the options (Series 1) was $9.2(all of which expired on January 2006). The dollar amount of our finance costs (interest and currency adjustments) related to the 2002 convertible debentures will be increased if the rate of inflation in Israel is not offset (or is offset on a lagging basis) by the devaluation of the NIS in relation to the dollar. In addition, the dollar amount of any repayment on account of the principal of the 2002 convertible debentures will be increased as well. If the devaluation of the NIS against the dollar is greater than the rate of inflation in Israel, the dollar amounts we may raise on the date of exercising our NIS denominated options linked to the CPI will be decreased (all our options (Series 1) expired in January 2006). From the date of the issuance of the 2002 convertible debentures and Options (Series 1) in January 2002 until December 31, 2005, the Israel consumer price index increased by 8.5% while the US dollar/NIS exchange rate increased by 0.4%.</w:t>
      </w:r>
    </w:p>
    <w:p>
      <w:pPr>
        <w:spacing w:after="0" w:line="141" w:lineRule="exact"/>
        <w:rPr>
          <w:sz w:val="20"/>
          <w:szCs w:val="20"/>
          <w:color w:val="auto"/>
        </w:rPr>
      </w:pPr>
    </w:p>
    <w:p>
      <w:pPr>
        <w:jc w:val="both"/>
        <w:ind w:right="4539" w:firstLine="357"/>
        <w:spacing w:after="0"/>
        <w:rPr>
          <w:sz w:val="20"/>
          <w:szCs w:val="20"/>
          <w:color w:val="auto"/>
        </w:rPr>
      </w:pPr>
      <w:r>
        <w:rPr>
          <w:rFonts w:ascii="Courier New" w:cs="Courier New" w:eastAsia="Courier New" w:hAnsi="Courier New"/>
          <w:sz w:val="12"/>
          <w:szCs w:val="12"/>
          <w:color w:val="auto"/>
        </w:rPr>
        <w:t>Following the completion of the TASE offering in June 2006, we will also be exposed to foreign exchange risk with respect to our 2006 convertible debentures and our Options (Series C3, 3 and 4), which are denominated in NIS and linked to the CPI.</w:t>
      </w:r>
    </w:p>
    <w:p>
      <w:pPr>
        <w:spacing w:after="0" w:line="142" w:lineRule="exact"/>
        <w:rPr>
          <w:sz w:val="20"/>
          <w:szCs w:val="20"/>
          <w:color w:val="auto"/>
        </w:rPr>
      </w:pPr>
    </w:p>
    <w:p>
      <w:pPr>
        <w:ind w:right="5039" w:firstLine="357"/>
        <w:spacing w:after="0" w:line="280" w:lineRule="auto"/>
        <w:rPr>
          <w:sz w:val="20"/>
          <w:szCs w:val="20"/>
          <w:color w:val="auto"/>
        </w:rPr>
      </w:pPr>
      <w:r>
        <w:rPr>
          <w:rFonts w:ascii="Courier New" w:cs="Courier New" w:eastAsia="Courier New" w:hAnsi="Courier New"/>
          <w:sz w:val="11"/>
          <w:szCs w:val="11"/>
          <w:color w:val="auto"/>
        </w:rPr>
        <w:t>We are not exposed to foreign exchange risk with respect to our 2005 convertible debentures since these debentures are denominated in USD.</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CONVERTIBLE DEBENTURES - RISK OF INTEREST RATE FLUCTUATION</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The 2002 convertible debentures bear annual interest at a fixed rate of 4.7%. The debentures are payable in four annual installments commencing in January 2006. The 2005 convertible debentures are denominated in USD and bear annual interest at the rate of 5%. The principle of the debentures, together with accrued interest, will be payable in one installment on January 12, 2012. Therefore, we are not subject to exposure to interest rate fluctuations with respect to the debentures. However, in case the actual market interest rates are lower than the interest rate provided on the convertible debentures, our actual finance costs would be higher than in case our convertible debentures bear floating interest rate.</w:t>
      </w:r>
    </w:p>
    <w:p>
      <w:pPr>
        <w:sectPr>
          <w:pgSz w:w="11900" w:h="16903" w:orient="portrait"/>
          <w:cols w:equalWidth="0" w:num="1">
            <w:col w:w="10239"/>
          </w:cols>
          <w:pgMar w:left="220" w:top="141" w:right="1440" w:bottom="0" w:gutter="0" w:footer="0" w:header="0"/>
        </w:sectPr>
      </w:pPr>
    </w:p>
    <w:bookmarkStart w:id="45" w:name="page46"/>
    <w:bookmarkEnd w:id="45"/>
    <w:p>
      <w:pPr>
        <w:spacing w:after="0" w:line="61"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Assuming a 10% upward shift in the LIBOR rate at December 31, 2005 (from 4.56% to 5.02%), the effective fair value of $438 million debt would have increased and the effective fair value of the convertible debentures would have decreased resulting in a total increase in the fair value of our debts in the amount of approximately $2.9 million. The amount of $438 is comprised of $226 million debt not hedged by the collar agreements and $212 million debt hedged by the collar agreements with a cap level of 5.5% and a knock out level of 7.5%. With regard to the remaining $80 million debt hedged by the collar agreements, as of December 31, 2005 such assumed increase in the LIBOR rate presents no change in the interest rate exposure since as of such date the collar agreements would still result in a fixed rate interest of the cap level plus 2.5%.</w:t>
      </w:r>
    </w:p>
    <w:p>
      <w:pPr>
        <w:spacing w:after="0" w:line="268"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88</w:t>
      </w:r>
    </w:p>
    <w:p>
      <w:pPr>
        <w:spacing w:after="0" w:line="200" w:lineRule="exact"/>
        <w:rPr>
          <w:sz w:val="20"/>
          <w:szCs w:val="20"/>
          <w:color w:val="auto"/>
        </w:rPr>
      </w:pPr>
    </w:p>
    <w:p>
      <w:pPr>
        <w:spacing w:after="0" w:line="335" w:lineRule="exact"/>
        <w:rPr>
          <w:sz w:val="20"/>
          <w:szCs w:val="20"/>
          <w:color w:val="auto"/>
        </w:rPr>
      </w:pPr>
    </w:p>
    <w:p>
      <w:pPr>
        <w:ind w:right="4539" w:firstLine="357"/>
        <w:spacing w:after="0" w:line="238" w:lineRule="auto"/>
        <w:rPr>
          <w:sz w:val="20"/>
          <w:szCs w:val="20"/>
          <w:color w:val="auto"/>
        </w:rPr>
      </w:pPr>
      <w:r>
        <w:rPr>
          <w:rFonts w:ascii="Courier New" w:cs="Courier New" w:eastAsia="Courier New" w:hAnsi="Courier New"/>
          <w:sz w:val="12"/>
          <w:szCs w:val="12"/>
          <w:color w:val="auto"/>
        </w:rPr>
        <w:t>We are not exposed to the risk of interest rate fluctuation with respect to our 2006 convertible debentures since these debentures do not bear interest.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FOREIGN EXCHANGE RISK</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Our main foreign currency exposures give rise to market risk associated with exchange rate movements of the US dollar, our functional and reporting currency, against the Japanese Yen, the Euro and the NIS. To protect against reductions in value and the volatility of future cash flows caused by changes in foreign exchange rates, we utilize foreign currency forward contracts and options (including zero-cost cylinder options) in order to minimize part of the impact of foreign currency fluctuations on our financial position and results of operations. A cylinder option is a combination of a purchased call option and a written put option. The exercise prices of the options may not be identical and this effectively creates a synthetic range forward. The maturity dates of the options coincide with the scheduled payments to suppliers.</w:t>
      </w:r>
    </w:p>
    <w:p>
      <w:pPr>
        <w:spacing w:after="0" w:line="145"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Accordingly, we enter, from time to time, into foreign currency agreements to hedge exposure to equipment purchase commitments and other firm commitments. Most of our agreements to hedge equipment purchase commitments are designated to eliminate exposure changes in the Japanese Yen and the Euro vis-a-vis the US dollar. During the year ended December 31, 2005, we did not have any such transactions.</w:t>
      </w:r>
    </w:p>
    <w:p>
      <w:pPr>
        <w:spacing w:after="0" w:line="142" w:lineRule="exact"/>
        <w:rPr>
          <w:sz w:val="20"/>
          <w:szCs w:val="20"/>
          <w:color w:val="auto"/>
        </w:rPr>
      </w:pPr>
    </w:p>
    <w:p>
      <w:pPr>
        <w:ind w:right="4539" w:firstLine="357"/>
        <w:spacing w:after="0"/>
        <w:rPr>
          <w:sz w:val="20"/>
          <w:szCs w:val="20"/>
          <w:color w:val="auto"/>
        </w:rPr>
      </w:pPr>
      <w:r>
        <w:rPr>
          <w:rFonts w:ascii="Courier New" w:cs="Courier New" w:eastAsia="Courier New" w:hAnsi="Courier New"/>
          <w:sz w:val="12"/>
          <w:szCs w:val="12"/>
          <w:color w:val="auto"/>
        </w:rPr>
        <w:t>We enter from time to time into foreign exchange agreements to hedge exposure relating to Value Added Tax (VAT), grants receivables and payroll payments denominated in NIS. During the year ended December 31, 2005, we did not have any such transaction.</w:t>
      </w:r>
    </w:p>
    <w:p>
      <w:pPr>
        <w:spacing w:after="0" w:line="142"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We are exposed to currency risk in the event of default by the other parties of the exchange transaction. We estimate the likelihood of such default to occur is remote, as the other parties are widely recognized and reputable Israeli banks.</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Assuming a 10% revaluation of the NIS against the US dollar on December 31, 2005 (from 4.603 to 4.143), the effective fair value of our liabilities net of assets denominated in NIS (mainly vendors, convertible debentures and liabilities in regard to employees ) would have increased in approximately $4.6 million.</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w:t>
      </w:r>
    </w:p>
    <w:p>
      <w:pPr>
        <w:spacing w:after="0" w:line="141" w:lineRule="exact"/>
        <w:rPr>
          <w:sz w:val="20"/>
          <w:szCs w:val="20"/>
          <w:color w:val="auto"/>
        </w:rPr>
      </w:pPr>
    </w:p>
    <w:p>
      <w:pPr>
        <w:ind w:right="4599" w:firstLine="357"/>
        <w:spacing w:after="0"/>
        <w:rPr>
          <w:sz w:val="20"/>
          <w:szCs w:val="20"/>
          <w:color w:val="auto"/>
        </w:rPr>
      </w:pPr>
      <w:r>
        <w:rPr>
          <w:rFonts w:ascii="Courier New" w:cs="Courier New" w:eastAsia="Courier New" w:hAnsi="Courier New"/>
          <w:sz w:val="12"/>
          <w:szCs w:val="12"/>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4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12.</w:t>
      </w:r>
      <w:r>
        <w:rPr>
          <w:sz w:val="20"/>
          <w:szCs w:val="20"/>
          <w:color w:val="auto"/>
        </w:rPr>
        <w:tab/>
      </w:r>
      <w:r>
        <w:rPr>
          <w:rFonts w:ascii="Courier New" w:cs="Courier New" w:eastAsia="Courier New" w:hAnsi="Courier New"/>
          <w:sz w:val="11"/>
          <w:szCs w:val="11"/>
          <w:color w:val="auto"/>
        </w:rPr>
        <w:t>DESCRIPTION OF SECURITIES OTHER THAN EQUITY SECURITIES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Not applicable.</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89</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PART II</w:t>
      </w:r>
    </w:p>
    <w:p>
      <w:pPr>
        <w:spacing w:after="0" w:line="13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13.</w:t>
      </w:r>
      <w:r>
        <w:rPr>
          <w:sz w:val="20"/>
          <w:szCs w:val="20"/>
          <w:color w:val="auto"/>
        </w:rPr>
        <w:tab/>
      </w:r>
      <w:r>
        <w:rPr>
          <w:rFonts w:ascii="Courier New" w:cs="Courier New" w:eastAsia="Courier New" w:hAnsi="Courier New"/>
          <w:sz w:val="11"/>
          <w:szCs w:val="11"/>
          <w:color w:val="auto"/>
        </w:rPr>
        <w:t>DEFAULTS, DIVIDEND ARREARAGES AND DELINQUENCIES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None.</w:t>
      </w:r>
    </w:p>
    <w:p>
      <w:pPr>
        <w:spacing w:after="0" w:line="141" w:lineRule="exact"/>
        <w:rPr>
          <w:sz w:val="20"/>
          <w:szCs w:val="20"/>
          <w:color w:val="auto"/>
        </w:rPr>
      </w:pPr>
    </w:p>
    <w:p>
      <w:pPr>
        <w:ind w:left="700" w:right="4539" w:hanging="713"/>
        <w:spacing w:after="0" w:line="238" w:lineRule="auto"/>
        <w:tabs>
          <w:tab w:leader="none" w:pos="680" w:val="left"/>
        </w:tabs>
        <w:rPr>
          <w:sz w:val="20"/>
          <w:szCs w:val="20"/>
          <w:color w:val="auto"/>
        </w:rPr>
      </w:pPr>
      <w:r>
        <w:rPr>
          <w:rFonts w:ascii="Courier New" w:cs="Courier New" w:eastAsia="Courier New" w:hAnsi="Courier New"/>
          <w:sz w:val="12"/>
          <w:szCs w:val="12"/>
          <w:color w:val="auto"/>
        </w:rPr>
        <w:t>ITEM 14.</w:t>
        <w:tab/>
        <w:t>MATERIAL MODIFICATIONS TO THE RIGHTS OF SECURITY HOLDERS AND USE OF PROCEEDS</w:t>
      </w:r>
    </w:p>
    <w:p>
      <w:pPr>
        <w:spacing w:after="0" w:line="142" w:lineRule="exact"/>
        <w:rPr>
          <w:sz w:val="20"/>
          <w:szCs w:val="20"/>
          <w:color w:val="auto"/>
        </w:rPr>
      </w:pPr>
    </w:p>
    <w:p>
      <w:pPr>
        <w:ind w:right="4599" w:firstLine="357"/>
        <w:spacing w:after="0" w:line="265" w:lineRule="auto"/>
        <w:rPr>
          <w:sz w:val="20"/>
          <w:szCs w:val="20"/>
          <w:color w:val="auto"/>
        </w:rPr>
      </w:pPr>
      <w:r>
        <w:rPr>
          <w:rFonts w:ascii="Courier New" w:cs="Courier New" w:eastAsia="Courier New" w:hAnsi="Courier New"/>
          <w:sz w:val="11"/>
          <w:szCs w:val="11"/>
          <w:color w:val="auto"/>
        </w:rPr>
        <w:t>In December of 2005 we filed a registration statement on Form F-1 (Registration No. 333-126909) covering the registration of rights to purchase $50 million worth of $1 denominated convertible debentures, $50 million in aggregate principal amount of convertible debentures issuable upon the exercise of the rights, and 45,454,454 Ordinary Shares issuable upon conversion of the convertible debentures at a conversion price of $1.10 per share. The effective date of the registration statement was December 15, 2005. The rights were distributed to all holders of record of our Ordinary Shares as of December 20, 2005. The rights were exercisable for a 23-day period beginning on December 20, 2005 and ending on January 12, 2006. The offering, which terminated on January 20, 2005, resulted in gross proceeds to us from rights exercises of approximately $48.2 million. After issuing expenses of approximately $1.6, the net proceeds received by us were approximately $46.4 million. None of the net proceeds were paid directly or indirectly to any of our directors or officers, or their associates, any persons owning 10% or more of any class of our equity securities, or any of our affiliates. From January 20, 2005 to the date of this annual report, the net offering proceeds were used to finance our on going operations, including the cash needed to support our production ramp-up in both fabs to support our increased customers demand in the first half of 2006.</w:t>
      </w:r>
    </w:p>
    <w:p>
      <w:pPr>
        <w:spacing w:after="0" w:line="26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2"/>
          <w:szCs w:val="12"/>
          <w:color w:val="auto"/>
        </w:rPr>
        <w:t>ITEM 15.</w:t>
      </w:r>
      <w:r>
        <w:rPr>
          <w:sz w:val="20"/>
          <w:szCs w:val="20"/>
          <w:color w:val="auto"/>
        </w:rPr>
        <w:tab/>
      </w:r>
      <w:r>
        <w:rPr>
          <w:rFonts w:ascii="Courier New" w:cs="Courier New" w:eastAsia="Courier New" w:hAnsi="Courier New"/>
          <w:sz w:val="11"/>
          <w:szCs w:val="11"/>
          <w:color w:val="auto"/>
        </w:rPr>
        <w:t>CONTROLS AND PROCEDURES</w:t>
      </w:r>
    </w:p>
    <w:p>
      <w:pPr>
        <w:spacing w:after="0" w:line="141"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We carried out an evaluation, under the supervision and with the participation of our management, including the Chief Executive Officer and the acting Chief Financial Officer, of the design and operation of our disclosure controls and procedures. Based on this evaluation, our Chief Executive Officer and acting Chief Financial Officer concluded that as of December 31, 2005, our disclosure controls and procedures were effective to ensure that information required to be disclosed by us in the reports that we file or submit under the Securities Exchange Act of 1934 is recorded, processed, summarized and reported, within the time periods specified in the SEC's rules and forms and to ensure that information required to be disclosed by us in the reports that we file or submit under the Securities Exchange Act of 1934 is accumulated and communicated to our management, including our principal executive and principal financial officers, or persons performing similar functions, as required to allow timely decisions regarding required disclosure.</w:t>
      </w:r>
    </w:p>
    <w:p>
      <w:pPr>
        <w:sectPr>
          <w:pgSz w:w="11900" w:h="16900" w:orient="portrait"/>
          <w:cols w:equalWidth="0" w:num="1">
            <w:col w:w="10239"/>
          </w:cols>
          <w:pgMar w:left="220" w:top="278" w:right="1440" w:bottom="0" w:gutter="0" w:footer="0" w:header="0"/>
        </w:sectPr>
      </w:pPr>
    </w:p>
    <w:bookmarkStart w:id="46" w:name="page47"/>
    <w:bookmarkEnd w:id="46"/>
    <w:p>
      <w:pPr>
        <w:ind w:left="7" w:right="4539" w:firstLine="357"/>
        <w:spacing w:after="0" w:line="239" w:lineRule="auto"/>
        <w:rPr>
          <w:sz w:val="20"/>
          <w:szCs w:val="20"/>
          <w:color w:val="auto"/>
        </w:rPr>
      </w:pPr>
      <w:r>
        <w:rPr>
          <w:rFonts w:ascii="Courier New" w:cs="Courier New" w:eastAsia="Courier New" w:hAnsi="Courier New"/>
          <w:sz w:val="12"/>
          <w:szCs w:val="12"/>
          <w:color w:val="auto"/>
        </w:rPr>
        <w:t>There have been no significant changes in our internal controls or in other factors that could significantly affect disclosure controls and procedures subsequent to the date of our most recent evaluation.</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90</w:t>
      </w:r>
    </w:p>
    <w:p>
      <w:pPr>
        <w:spacing w:after="0" w:line="200" w:lineRule="exact"/>
        <w:rPr>
          <w:sz w:val="20"/>
          <w:szCs w:val="20"/>
          <w:color w:val="auto"/>
        </w:rPr>
      </w:pPr>
    </w:p>
    <w:p>
      <w:pPr>
        <w:spacing w:after="0" w:line="332" w:lineRule="exact"/>
        <w:rPr>
          <w:sz w:val="20"/>
          <w:szCs w:val="20"/>
          <w:color w:val="auto"/>
        </w:rPr>
      </w:pPr>
    </w:p>
    <w:p>
      <w:pPr>
        <w:ind w:left="7"/>
        <w:spacing w:after="0"/>
        <w:tabs>
          <w:tab w:leader="none" w:pos="686" w:val="left"/>
        </w:tabs>
        <w:rPr>
          <w:sz w:val="20"/>
          <w:szCs w:val="20"/>
          <w:color w:val="auto"/>
        </w:rPr>
      </w:pPr>
      <w:r>
        <w:rPr>
          <w:rFonts w:ascii="Courier New" w:cs="Courier New" w:eastAsia="Courier New" w:hAnsi="Courier New"/>
          <w:sz w:val="12"/>
          <w:szCs w:val="12"/>
          <w:color w:val="auto"/>
        </w:rPr>
        <w:t>ITEM 16.</w:t>
      </w:r>
      <w:r>
        <w:rPr>
          <w:sz w:val="20"/>
          <w:szCs w:val="20"/>
          <w:color w:val="auto"/>
        </w:rPr>
        <w:tab/>
      </w:r>
      <w:r>
        <w:rPr>
          <w:rFonts w:ascii="Courier New" w:cs="Courier New" w:eastAsia="Courier New" w:hAnsi="Courier New"/>
          <w:sz w:val="11"/>
          <w:szCs w:val="11"/>
          <w:color w:val="auto"/>
        </w:rPr>
        <w:t>[RESERVED]</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ITEM 16A. AUDIT COMMITTEE FINANCIAL EXPERT</w:t>
      </w:r>
    </w:p>
    <w:p>
      <w:pPr>
        <w:spacing w:after="0" w:line="141" w:lineRule="exact"/>
        <w:rPr>
          <w:sz w:val="20"/>
          <w:szCs w:val="20"/>
          <w:color w:val="auto"/>
        </w:rPr>
      </w:pPr>
    </w:p>
    <w:p>
      <w:pPr>
        <w:ind w:left="7" w:right="4539" w:firstLine="357"/>
        <w:spacing w:after="0" w:line="239" w:lineRule="auto"/>
        <w:rPr>
          <w:sz w:val="20"/>
          <w:szCs w:val="20"/>
          <w:color w:val="auto"/>
        </w:rPr>
      </w:pPr>
      <w:r>
        <w:rPr>
          <w:rFonts w:ascii="Courier New" w:cs="Courier New" w:eastAsia="Courier New" w:hAnsi="Courier New"/>
          <w:sz w:val="12"/>
          <w:szCs w:val="12"/>
          <w:color w:val="auto"/>
        </w:rPr>
        <w:t>Our board of directors has determined that a member of our audit committee, Ms. Tal Yaron-Eldar, is an audit committee financial expert and is independent as defined by Nasdaq Marketplace Rule 4350.</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ITEM 16B. CODE OF ETHICS</w:t>
      </w:r>
    </w:p>
    <w:p>
      <w:pPr>
        <w:spacing w:after="0" w:line="141" w:lineRule="exact"/>
        <w:rPr>
          <w:sz w:val="20"/>
          <w:szCs w:val="20"/>
          <w:color w:val="auto"/>
        </w:rPr>
      </w:pPr>
    </w:p>
    <w:p>
      <w:pPr>
        <w:ind w:left="7" w:right="4599" w:firstLine="357"/>
        <w:spacing w:after="0" w:line="269" w:lineRule="auto"/>
        <w:rPr>
          <w:sz w:val="20"/>
          <w:szCs w:val="20"/>
          <w:color w:val="auto"/>
        </w:rPr>
      </w:pPr>
      <w:r>
        <w:rPr>
          <w:rFonts w:ascii="Courier New" w:cs="Courier New" w:eastAsia="Courier New" w:hAnsi="Courier New"/>
          <w:sz w:val="11"/>
          <w:szCs w:val="11"/>
          <w:color w:val="auto"/>
        </w:rPr>
        <w:t>We adopted a code of ethics that applies to all of our directors, officers and employees, including our chief executive officer, acting chief financial officer, controller, and persons performing similar functions. We have posted our code of ethics on our website, www.towersemi.com under "About Tower".</w:t>
      </w:r>
    </w:p>
    <w:p>
      <w:pPr>
        <w:spacing w:after="0" w:line="125"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ITEM 16C. PRINCIPAL ACCOUNTANT FEES AND SERVICES</w:t>
      </w:r>
    </w:p>
    <w:p>
      <w:pPr>
        <w:spacing w:after="0" w:line="141" w:lineRule="exact"/>
        <w:rPr>
          <w:sz w:val="20"/>
          <w:szCs w:val="20"/>
          <w:color w:val="auto"/>
        </w:rPr>
      </w:pPr>
    </w:p>
    <w:p>
      <w:pPr>
        <w:ind w:left="7" w:right="4539" w:firstLine="357"/>
        <w:spacing w:after="0" w:line="239" w:lineRule="auto"/>
        <w:rPr>
          <w:sz w:val="20"/>
          <w:szCs w:val="20"/>
          <w:color w:val="auto"/>
        </w:rPr>
      </w:pPr>
      <w:r>
        <w:rPr>
          <w:rFonts w:ascii="Courier New" w:cs="Courier New" w:eastAsia="Courier New" w:hAnsi="Courier New"/>
          <w:sz w:val="12"/>
          <w:szCs w:val="12"/>
          <w:color w:val="auto"/>
        </w:rPr>
        <w:t>The following table presents fees for professional services rendered by our independent registered public accounting firm for audit services, audit-related services and for tax services:</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2000" w:type="dxa"/>
            <w:vAlign w:val="bottom"/>
          </w:tcPr>
          <w:p>
            <w:pPr>
              <w:spacing w:after="0"/>
              <w:rPr>
                <w:sz w:val="11"/>
                <w:szCs w:val="11"/>
                <w:color w:val="auto"/>
              </w:rPr>
            </w:pPr>
          </w:p>
        </w:tc>
        <w:tc>
          <w:tcPr>
            <w:tcW w:w="1740" w:type="dxa"/>
            <w:vAlign w:val="bottom"/>
          </w:tcPr>
          <w:p>
            <w:pPr>
              <w:jc w:val="right"/>
              <w:ind w:right="621"/>
              <w:spacing w:after="0"/>
              <w:rPr>
                <w:sz w:val="20"/>
                <w:szCs w:val="20"/>
                <w:color w:val="auto"/>
              </w:rPr>
            </w:pPr>
            <w:r>
              <w:rPr>
                <w:rFonts w:ascii="Courier New" w:cs="Courier New" w:eastAsia="Courier New" w:hAnsi="Courier New"/>
                <w:sz w:val="12"/>
                <w:szCs w:val="12"/>
                <w:color w:val="auto"/>
              </w:rPr>
              <w:t>2005</w:t>
            </w:r>
          </w:p>
        </w:tc>
        <w:tc>
          <w:tcPr>
            <w:tcW w:w="1240" w:type="dxa"/>
            <w:vAlign w:val="bottom"/>
          </w:tcPr>
          <w:p>
            <w:pPr>
              <w:jc w:val="center"/>
              <w:ind w:left="341"/>
              <w:spacing w:after="0"/>
              <w:rPr>
                <w:sz w:val="20"/>
                <w:szCs w:val="20"/>
                <w:color w:val="auto"/>
              </w:rPr>
            </w:pPr>
            <w:r>
              <w:rPr>
                <w:rFonts w:ascii="Courier New" w:cs="Courier New" w:eastAsia="Courier New" w:hAnsi="Courier New"/>
                <w:sz w:val="12"/>
                <w:szCs w:val="12"/>
                <w:color w:val="auto"/>
                <w:w w:val="97"/>
              </w:rPr>
              <w:t>2004</w:t>
            </w:r>
          </w:p>
        </w:tc>
      </w:tr>
      <w:tr>
        <w:trPr>
          <w:trHeight w:val="137"/>
        </w:trPr>
        <w:tc>
          <w:tcPr>
            <w:tcW w:w="2000" w:type="dxa"/>
            <w:vAlign w:val="bottom"/>
          </w:tcPr>
          <w:p>
            <w:pPr>
              <w:spacing w:after="0"/>
              <w:rPr>
                <w:sz w:val="11"/>
                <w:szCs w:val="11"/>
                <w:color w:val="auto"/>
              </w:rPr>
            </w:pPr>
          </w:p>
        </w:tc>
        <w:tc>
          <w:tcPr>
            <w:tcW w:w="174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(US DOLLARS)</w:t>
            </w:r>
          </w:p>
        </w:tc>
        <w:tc>
          <w:tcPr>
            <w:tcW w:w="1240" w:type="dxa"/>
            <w:vAlign w:val="bottom"/>
          </w:tcPr>
          <w:p>
            <w:pPr>
              <w:jc w:val="center"/>
              <w:ind w:left="341"/>
              <w:spacing w:after="0"/>
              <w:rPr>
                <w:sz w:val="20"/>
                <w:szCs w:val="20"/>
                <w:color w:val="auto"/>
              </w:rPr>
            </w:pPr>
            <w:r>
              <w:rPr>
                <w:rFonts w:ascii="Courier New" w:cs="Courier New" w:eastAsia="Courier New" w:hAnsi="Courier New"/>
                <w:sz w:val="12"/>
                <w:szCs w:val="12"/>
                <w:color w:val="auto"/>
                <w:w w:val="97"/>
              </w:rPr>
              <w:t>(US DOLLARS)</w:t>
            </w:r>
          </w:p>
        </w:tc>
      </w:tr>
      <w:tr>
        <w:trPr>
          <w:trHeight w:val="137"/>
        </w:trPr>
        <w:tc>
          <w:tcPr>
            <w:tcW w:w="2000" w:type="dxa"/>
            <w:vAlign w:val="bottom"/>
          </w:tcPr>
          <w:p>
            <w:pPr>
              <w:spacing w:after="0"/>
              <w:rPr>
                <w:sz w:val="11"/>
                <w:szCs w:val="11"/>
                <w:color w:val="auto"/>
              </w:rPr>
            </w:pPr>
          </w:p>
        </w:tc>
        <w:tc>
          <w:tcPr>
            <w:tcW w:w="174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ind w:left="341"/>
              <w:spacing w:after="0"/>
              <w:rPr>
                <w:sz w:val="20"/>
                <w:szCs w:val="20"/>
                <w:color w:val="auto"/>
              </w:rPr>
            </w:pPr>
            <w:r>
              <w:rPr>
                <w:rFonts w:ascii="Courier New" w:cs="Courier New" w:eastAsia="Courier New" w:hAnsi="Courier New"/>
                <w:sz w:val="12"/>
                <w:szCs w:val="12"/>
                <w:color w:val="auto"/>
                <w:w w:val="97"/>
              </w:rPr>
              <w:t>------------</w:t>
            </w:r>
          </w:p>
        </w:tc>
      </w:tr>
      <w:tr>
        <w:trPr>
          <w:trHeight w:val="274"/>
        </w:trPr>
        <w:tc>
          <w:tcPr>
            <w:tcW w:w="2000" w:type="dxa"/>
            <w:vAlign w:val="bottom"/>
          </w:tcPr>
          <w:p>
            <w:pPr>
              <w:spacing w:after="0"/>
              <w:rPr>
                <w:sz w:val="20"/>
                <w:szCs w:val="20"/>
                <w:color w:val="auto"/>
              </w:rPr>
            </w:pPr>
            <w:r>
              <w:rPr>
                <w:rFonts w:ascii="Courier New" w:cs="Courier New" w:eastAsia="Courier New" w:hAnsi="Courier New"/>
                <w:sz w:val="12"/>
                <w:szCs w:val="12"/>
                <w:color w:val="auto"/>
              </w:rPr>
              <w:t>Audit Fees(1)</w:t>
            </w:r>
          </w:p>
        </w:tc>
        <w:tc>
          <w:tcPr>
            <w:tcW w:w="17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325,000</w:t>
            </w:r>
          </w:p>
        </w:tc>
        <w:tc>
          <w:tcPr>
            <w:tcW w:w="12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362,000</w:t>
            </w:r>
          </w:p>
        </w:tc>
      </w:tr>
      <w:tr>
        <w:trPr>
          <w:trHeight w:val="137"/>
        </w:trPr>
        <w:tc>
          <w:tcPr>
            <w:tcW w:w="2000" w:type="dxa"/>
            <w:vAlign w:val="bottom"/>
          </w:tcPr>
          <w:p>
            <w:pPr>
              <w:spacing w:after="0"/>
              <w:rPr>
                <w:sz w:val="20"/>
                <w:szCs w:val="20"/>
                <w:color w:val="auto"/>
              </w:rPr>
            </w:pPr>
            <w:r>
              <w:rPr>
                <w:rFonts w:ascii="Courier New" w:cs="Courier New" w:eastAsia="Courier New" w:hAnsi="Courier New"/>
                <w:sz w:val="12"/>
                <w:szCs w:val="12"/>
                <w:color w:val="auto"/>
              </w:rPr>
              <w:t>Audit-Related Fees(2)</w:t>
            </w:r>
          </w:p>
        </w:tc>
        <w:tc>
          <w:tcPr>
            <w:tcW w:w="17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3,000</w:t>
            </w:r>
          </w:p>
        </w:tc>
        <w:tc>
          <w:tcPr>
            <w:tcW w:w="12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12,000</w:t>
            </w:r>
          </w:p>
        </w:tc>
      </w:tr>
      <w:tr>
        <w:trPr>
          <w:trHeight w:val="137"/>
        </w:trPr>
        <w:tc>
          <w:tcPr>
            <w:tcW w:w="2000" w:type="dxa"/>
            <w:vAlign w:val="bottom"/>
          </w:tcPr>
          <w:p>
            <w:pPr>
              <w:spacing w:after="0"/>
              <w:rPr>
                <w:sz w:val="20"/>
                <w:szCs w:val="20"/>
                <w:color w:val="auto"/>
              </w:rPr>
            </w:pPr>
            <w:r>
              <w:rPr>
                <w:rFonts w:ascii="Courier New" w:cs="Courier New" w:eastAsia="Courier New" w:hAnsi="Courier New"/>
                <w:sz w:val="12"/>
                <w:szCs w:val="12"/>
                <w:color w:val="auto"/>
              </w:rPr>
              <w:t>Tax Fees(3)</w:t>
            </w:r>
          </w:p>
        </w:tc>
        <w:tc>
          <w:tcPr>
            <w:tcW w:w="17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9,000</w:t>
            </w:r>
          </w:p>
        </w:tc>
        <w:tc>
          <w:tcPr>
            <w:tcW w:w="12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14,000</w:t>
            </w:r>
          </w:p>
        </w:tc>
      </w:tr>
      <w:tr>
        <w:trPr>
          <w:trHeight w:val="137"/>
        </w:trPr>
        <w:tc>
          <w:tcPr>
            <w:tcW w:w="2000" w:type="dxa"/>
            <w:vAlign w:val="bottom"/>
          </w:tcPr>
          <w:p>
            <w:pPr>
              <w:spacing w:after="0"/>
              <w:rPr>
                <w:sz w:val="20"/>
                <w:szCs w:val="20"/>
                <w:color w:val="auto"/>
              </w:rPr>
            </w:pPr>
            <w:r>
              <w:rPr>
                <w:rFonts w:ascii="Courier New" w:cs="Courier New" w:eastAsia="Courier New" w:hAnsi="Courier New"/>
                <w:sz w:val="12"/>
                <w:szCs w:val="12"/>
                <w:color w:val="auto"/>
              </w:rPr>
              <w:t>Other(4)</w:t>
            </w:r>
          </w:p>
        </w:tc>
        <w:tc>
          <w:tcPr>
            <w:tcW w:w="17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r>
      <w:tr>
        <w:trPr>
          <w:trHeight w:val="137"/>
        </w:trPr>
        <w:tc>
          <w:tcPr>
            <w:tcW w:w="200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7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337,000</w:t>
            </w:r>
          </w:p>
        </w:tc>
        <w:tc>
          <w:tcPr>
            <w:tcW w:w="12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388,000</w:t>
            </w:r>
          </w:p>
        </w:tc>
      </w:tr>
    </w:tbl>
    <w:p>
      <w:pPr>
        <w:spacing w:after="0" w:line="141" w:lineRule="exact"/>
        <w:rPr>
          <w:sz w:val="20"/>
          <w:szCs w:val="20"/>
          <w:color w:val="auto"/>
        </w:rPr>
      </w:pPr>
    </w:p>
    <w:p>
      <w:pPr>
        <w:ind w:left="367" w:right="4539" w:hanging="367"/>
        <w:spacing w:after="0" w:line="241" w:lineRule="auto"/>
        <w:tabs>
          <w:tab w:leader="none" w:pos="367"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Audit fees consist of fees for professional services rendered for the audit of our consolidated financial statements, services in connection with statutory and regulatory filings and engagements (including review of Forms 20-F, F-1, F-3 and S-8), and reviews of our unaudited interim consolidated financial statements included in our quarterly reports.</w:t>
      </w:r>
    </w:p>
    <w:p>
      <w:pPr>
        <w:spacing w:after="0" w:line="140" w:lineRule="exact"/>
        <w:rPr>
          <w:rFonts w:ascii="Courier New" w:cs="Courier New" w:eastAsia="Courier New" w:hAnsi="Courier New"/>
          <w:sz w:val="12"/>
          <w:szCs w:val="12"/>
          <w:color w:val="auto"/>
        </w:rPr>
      </w:pPr>
    </w:p>
    <w:p>
      <w:pPr>
        <w:ind w:left="367" w:right="4679" w:hanging="367"/>
        <w:spacing w:after="0" w:line="238" w:lineRule="auto"/>
        <w:tabs>
          <w:tab w:leader="none" w:pos="367"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Audit related fees consist of accounting consultation and consultation on financial accounting standards, not arising as part of the audit.</w:t>
      </w:r>
    </w:p>
    <w:p>
      <w:pPr>
        <w:spacing w:after="0" w:line="142" w:lineRule="exact"/>
        <w:rPr>
          <w:rFonts w:ascii="Courier New" w:cs="Courier New" w:eastAsia="Courier New" w:hAnsi="Courier New"/>
          <w:sz w:val="12"/>
          <w:szCs w:val="12"/>
          <w:color w:val="auto"/>
        </w:rPr>
      </w:pPr>
    </w:p>
    <w:p>
      <w:pPr>
        <w:ind w:left="367" w:right="4599" w:hanging="367"/>
        <w:spacing w:after="0" w:line="238" w:lineRule="auto"/>
        <w:tabs>
          <w:tab w:leader="none" w:pos="367"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fees consist of fees for tax compliance services, tax planning and tax advice.</w:t>
      </w:r>
    </w:p>
    <w:p>
      <w:pPr>
        <w:spacing w:after="0" w:line="142" w:lineRule="exact"/>
        <w:rPr>
          <w:sz w:val="20"/>
          <w:szCs w:val="20"/>
          <w:color w:val="auto"/>
        </w:rPr>
      </w:pPr>
    </w:p>
    <w:p>
      <w:pPr>
        <w:ind w:left="7" w:right="4899" w:firstLine="357"/>
        <w:spacing w:after="0" w:line="269" w:lineRule="auto"/>
        <w:rPr>
          <w:sz w:val="20"/>
          <w:szCs w:val="20"/>
          <w:color w:val="auto"/>
        </w:rPr>
      </w:pPr>
      <w:r>
        <w:rPr>
          <w:rFonts w:ascii="Courier New" w:cs="Courier New" w:eastAsia="Courier New" w:hAnsi="Courier New"/>
          <w:sz w:val="11"/>
          <w:szCs w:val="11"/>
          <w:color w:val="auto"/>
        </w:rPr>
        <w:t>Our audit committee's charter states that the audit committee is responsible for receiving specific information on the independent auditor's proposed services and for pre-approving all audit services annually and separately approving any other permitted non-audit related services.</w:t>
      </w:r>
    </w:p>
    <w:p>
      <w:pPr>
        <w:spacing w:after="0" w:line="262"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91</w:t>
      </w: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ITEM 16D. EXEMPTIONS FROM THE LISTING STANDARDS FROM AUDIT COMMITTEES.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Not Applicable.</w:t>
      </w:r>
    </w:p>
    <w:p>
      <w:pPr>
        <w:spacing w:after="0" w:line="139" w:lineRule="exact"/>
        <w:rPr>
          <w:sz w:val="20"/>
          <w:szCs w:val="20"/>
          <w:color w:val="auto"/>
        </w:rPr>
      </w:pPr>
    </w:p>
    <w:p>
      <w:pPr>
        <w:ind w:left="67"/>
        <w:spacing w:after="0"/>
        <w:rPr>
          <w:sz w:val="20"/>
          <w:szCs w:val="20"/>
          <w:color w:val="auto"/>
        </w:rPr>
      </w:pPr>
      <w:r>
        <w:rPr>
          <w:rFonts w:ascii="Courier New" w:cs="Courier New" w:eastAsia="Courier New" w:hAnsi="Courier New"/>
          <w:sz w:val="12"/>
          <w:szCs w:val="12"/>
          <w:color w:val="auto"/>
        </w:rPr>
        <w:t>ITEM 16E.PURCHASES OF EQUITY SECURITIES BY THE ISSUER AND AFFILIATED PARTIES.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Not Applicable.</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PART III</w:t>
      </w:r>
    </w:p>
    <w:p>
      <w:pPr>
        <w:spacing w:after="0" w:line="139" w:lineRule="exact"/>
        <w:rPr>
          <w:sz w:val="20"/>
          <w:szCs w:val="20"/>
          <w:color w:val="auto"/>
        </w:rPr>
      </w:pPr>
    </w:p>
    <w:p>
      <w:pPr>
        <w:ind w:left="7"/>
        <w:spacing w:after="0"/>
        <w:tabs>
          <w:tab w:leader="none" w:pos="686" w:val="left"/>
        </w:tabs>
        <w:rPr>
          <w:sz w:val="20"/>
          <w:szCs w:val="20"/>
          <w:color w:val="auto"/>
        </w:rPr>
      </w:pPr>
      <w:r>
        <w:rPr>
          <w:rFonts w:ascii="Courier New" w:cs="Courier New" w:eastAsia="Courier New" w:hAnsi="Courier New"/>
          <w:sz w:val="12"/>
          <w:szCs w:val="12"/>
          <w:color w:val="auto"/>
        </w:rPr>
        <w:t>ITEM 17.</w:t>
      </w:r>
      <w:r>
        <w:rPr>
          <w:sz w:val="20"/>
          <w:szCs w:val="20"/>
          <w:color w:val="auto"/>
        </w:rPr>
        <w:tab/>
      </w:r>
      <w:r>
        <w:rPr>
          <w:rFonts w:ascii="Courier New" w:cs="Courier New" w:eastAsia="Courier New" w:hAnsi="Courier New"/>
          <w:sz w:val="11"/>
          <w:szCs w:val="11"/>
          <w:color w:val="auto"/>
        </w:rPr>
        <w:t>FINANCIAL STATEMENTS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Not applicable.</w:t>
      </w:r>
    </w:p>
    <w:p>
      <w:pPr>
        <w:spacing w:after="0" w:line="139" w:lineRule="exact"/>
        <w:rPr>
          <w:sz w:val="20"/>
          <w:szCs w:val="20"/>
          <w:color w:val="auto"/>
        </w:rPr>
      </w:pPr>
    </w:p>
    <w:p>
      <w:pPr>
        <w:ind w:left="7"/>
        <w:spacing w:after="0"/>
        <w:tabs>
          <w:tab w:leader="none" w:pos="686" w:val="left"/>
        </w:tabs>
        <w:rPr>
          <w:sz w:val="20"/>
          <w:szCs w:val="20"/>
          <w:color w:val="auto"/>
        </w:rPr>
      </w:pPr>
      <w:r>
        <w:rPr>
          <w:rFonts w:ascii="Courier New" w:cs="Courier New" w:eastAsia="Courier New" w:hAnsi="Courier New"/>
          <w:sz w:val="12"/>
          <w:szCs w:val="12"/>
          <w:color w:val="auto"/>
        </w:rPr>
        <w:t>ITEM 18.</w:t>
      </w:r>
      <w:r>
        <w:rPr>
          <w:sz w:val="20"/>
          <w:szCs w:val="20"/>
          <w:color w:val="auto"/>
        </w:rPr>
        <w:tab/>
      </w:r>
      <w:r>
        <w:rPr>
          <w:rFonts w:ascii="Courier New" w:cs="Courier New" w:eastAsia="Courier New" w:hAnsi="Courier New"/>
          <w:sz w:val="11"/>
          <w:szCs w:val="11"/>
          <w:color w:val="auto"/>
        </w:rPr>
        <w:t>FINANCIAL STATEMENTS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See Index to Financial Statements following the signature page.</w:t>
      </w:r>
    </w:p>
    <w:p>
      <w:pPr>
        <w:spacing w:after="0" w:line="139" w:lineRule="exact"/>
        <w:rPr>
          <w:sz w:val="20"/>
          <w:szCs w:val="20"/>
          <w:color w:val="auto"/>
        </w:rPr>
      </w:pPr>
    </w:p>
    <w:p>
      <w:pPr>
        <w:ind w:left="7"/>
        <w:spacing w:after="0"/>
        <w:tabs>
          <w:tab w:leader="none" w:pos="686" w:val="left"/>
        </w:tabs>
        <w:rPr>
          <w:sz w:val="20"/>
          <w:szCs w:val="20"/>
          <w:color w:val="auto"/>
        </w:rPr>
      </w:pPr>
      <w:r>
        <w:rPr>
          <w:rFonts w:ascii="Courier New" w:cs="Courier New" w:eastAsia="Courier New" w:hAnsi="Courier New"/>
          <w:sz w:val="12"/>
          <w:szCs w:val="12"/>
          <w:color w:val="auto"/>
        </w:rPr>
        <w:t>ITEM 19.</w:t>
        <w:tab/>
        <w:t>EXHIBITS</w:t>
      </w:r>
    </w:p>
    <w:p>
      <w:pPr>
        <w:spacing w:after="0" w:line="141" w:lineRule="exact"/>
        <w:rPr>
          <w:sz w:val="20"/>
          <w:szCs w:val="20"/>
          <w:color w:val="auto"/>
        </w:rPr>
      </w:pPr>
    </w:p>
    <w:p>
      <w:pPr>
        <w:ind w:left="367" w:right="4599" w:hanging="356"/>
        <w:spacing w:after="0" w:line="239" w:lineRule="auto"/>
        <w:tabs>
          <w:tab w:leader="none" w:pos="346" w:val="left"/>
        </w:tabs>
        <w:rPr>
          <w:sz w:val="20"/>
          <w:szCs w:val="20"/>
          <w:color w:val="auto"/>
        </w:rPr>
      </w:pPr>
      <w:r>
        <w:rPr>
          <w:rFonts w:ascii="Courier New" w:cs="Courier New" w:eastAsia="Courier New" w:hAnsi="Courier New"/>
          <w:sz w:val="12"/>
          <w:szCs w:val="12"/>
          <w:color w:val="auto"/>
        </w:rPr>
        <w:t>1.1</w:t>
        <w:tab/>
        <w:t>Articles of Association of the Registrant, approved by shareholders on November 14, 2000, as amended (incorporated by reference to Exhibit 3.1 of the Registrant's Registration Statement on Form F-1, File No.</w:t>
      </w:r>
    </w:p>
    <w:p>
      <w:pPr>
        <w:spacing w:after="0" w:line="3"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333-126909,"Form F-1 No. 333-126909").</w:t>
      </w:r>
    </w:p>
    <w:p>
      <w:pPr>
        <w:spacing w:after="0" w:line="141" w:lineRule="exact"/>
        <w:rPr>
          <w:sz w:val="20"/>
          <w:szCs w:val="20"/>
          <w:color w:val="auto"/>
        </w:rPr>
      </w:pPr>
    </w:p>
    <w:p>
      <w:pPr>
        <w:ind w:left="367" w:right="4679" w:hanging="356"/>
        <w:spacing w:after="0" w:line="269" w:lineRule="auto"/>
        <w:tabs>
          <w:tab w:leader="none" w:pos="346" w:val="left"/>
        </w:tabs>
        <w:rPr>
          <w:sz w:val="20"/>
          <w:szCs w:val="20"/>
          <w:color w:val="auto"/>
        </w:rPr>
      </w:pPr>
      <w:r>
        <w:rPr>
          <w:rFonts w:ascii="Courier New" w:cs="Courier New" w:eastAsia="Courier New" w:hAnsi="Courier New"/>
          <w:sz w:val="12"/>
          <w:szCs w:val="12"/>
          <w:color w:val="auto"/>
        </w:rPr>
        <w:t>2.1</w:t>
      </w:r>
      <w:r>
        <w:rPr>
          <w:sz w:val="20"/>
          <w:szCs w:val="20"/>
          <w:color w:val="auto"/>
        </w:rPr>
        <w:tab/>
      </w:r>
      <w:r>
        <w:rPr>
          <w:rFonts w:ascii="Courier New" w:cs="Courier New" w:eastAsia="Courier New" w:hAnsi="Courier New"/>
          <w:sz w:val="11"/>
          <w:szCs w:val="11"/>
          <w:color w:val="auto"/>
        </w:rPr>
        <w:t>Bank Warrants, dated January 18, 2001, between the Registrant and Bank Hapoalim B.M. and Bank Leumi Le-Israel B.M. (incorporated by reference to the correspondingly-numbered exhibit to the Registrant's Annual Report on Form 20-F for the year ended December 31, 2000 (the "2000 Form 20-F")).</w:t>
      </w:r>
    </w:p>
    <w:p>
      <w:pPr>
        <w:spacing w:after="0" w:line="127" w:lineRule="exact"/>
        <w:rPr>
          <w:sz w:val="20"/>
          <w:szCs w:val="20"/>
          <w:color w:val="auto"/>
        </w:rPr>
      </w:pPr>
    </w:p>
    <w:p>
      <w:pPr>
        <w:ind w:left="367" w:right="4759" w:hanging="356"/>
        <w:spacing w:after="0"/>
        <w:tabs>
          <w:tab w:leader="none" w:pos="346" w:val="left"/>
        </w:tabs>
        <w:rPr>
          <w:sz w:val="20"/>
          <w:szCs w:val="20"/>
          <w:color w:val="auto"/>
        </w:rPr>
      </w:pPr>
      <w:r>
        <w:rPr>
          <w:rFonts w:ascii="Courier New" w:cs="Courier New" w:eastAsia="Courier New" w:hAnsi="Courier New"/>
          <w:sz w:val="12"/>
          <w:szCs w:val="12"/>
          <w:color w:val="auto"/>
        </w:rPr>
        <w:t>2.2</w:t>
        <w:tab/>
        <w:t>Registration Rights Agreement, dated January 18, 2001, by and between SanDisk Corporation, Israel Corporation, Alliance Semiconductor Ltd. and Macronix International Co., Ltd. (incorporated by reference to the correspondingly-numbered exhibit to the 2000 Form 20-F).</w:t>
      </w:r>
    </w:p>
    <w:p>
      <w:pPr>
        <w:spacing w:after="0" w:line="142" w:lineRule="exact"/>
        <w:rPr>
          <w:sz w:val="20"/>
          <w:szCs w:val="20"/>
          <w:color w:val="auto"/>
        </w:rPr>
      </w:pPr>
    </w:p>
    <w:p>
      <w:pPr>
        <w:ind w:left="367" w:right="4539" w:hanging="356"/>
        <w:spacing w:after="0" w:line="241" w:lineRule="auto"/>
        <w:tabs>
          <w:tab w:leader="none" w:pos="346" w:val="left"/>
        </w:tabs>
        <w:rPr>
          <w:sz w:val="20"/>
          <w:szCs w:val="20"/>
          <w:color w:val="auto"/>
        </w:rPr>
      </w:pPr>
      <w:r>
        <w:rPr>
          <w:rFonts w:ascii="Courier New" w:cs="Courier New" w:eastAsia="Courier New" w:hAnsi="Courier New"/>
          <w:sz w:val="12"/>
          <w:szCs w:val="12"/>
          <w:color w:val="auto"/>
        </w:rPr>
        <w:t>2.3</w:t>
        <w:tab/>
        <w:t>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41" w:lineRule="exact"/>
        <w:rPr>
          <w:sz w:val="20"/>
          <w:szCs w:val="20"/>
          <w:color w:val="auto"/>
        </w:rPr>
      </w:pPr>
    </w:p>
    <w:p>
      <w:pPr>
        <w:ind w:left="367" w:right="4599" w:hanging="356"/>
        <w:spacing w:after="0" w:line="239" w:lineRule="auto"/>
        <w:tabs>
          <w:tab w:leader="none" w:pos="346" w:val="left"/>
        </w:tabs>
        <w:rPr>
          <w:sz w:val="20"/>
          <w:szCs w:val="20"/>
          <w:color w:val="auto"/>
        </w:rPr>
      </w:pPr>
      <w:r>
        <w:rPr>
          <w:rFonts w:ascii="Courier New" w:cs="Courier New" w:eastAsia="Courier New" w:hAnsi="Courier New"/>
          <w:sz w:val="12"/>
          <w:szCs w:val="12"/>
          <w:color w:val="auto"/>
        </w:rPr>
        <w:t>2.4</w:t>
        <w:tab/>
        <w:t>Terms of the Registrant's Options (Series 1) (incorporated by reference to the summary of terms included under the caption "Description of the Options" in Exhibit C to the January 2002 Form 6-K).</w:t>
      </w:r>
    </w:p>
    <w:p>
      <w:pPr>
        <w:spacing w:after="0" w:line="140"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2.5</w:t>
      </w:r>
      <w:r>
        <w:rPr>
          <w:sz w:val="20"/>
          <w:szCs w:val="20"/>
          <w:color w:val="auto"/>
        </w:rPr>
        <w:tab/>
      </w:r>
      <w:r>
        <w:rPr>
          <w:rFonts w:ascii="Courier New" w:cs="Courier New" w:eastAsia="Courier New" w:hAnsi="Courier New"/>
          <w:sz w:val="11"/>
          <w:szCs w:val="11"/>
          <w:color w:val="auto"/>
        </w:rPr>
        <w:t>Form of Indenture (incorporated by reference to Exhibit 4.2 to Form F-1 No.</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333-126909).</w:t>
      </w:r>
    </w:p>
    <w:p>
      <w:pPr>
        <w:spacing w:after="0" w:line="141" w:lineRule="exact"/>
        <w:rPr>
          <w:sz w:val="20"/>
          <w:szCs w:val="20"/>
          <w:color w:val="auto"/>
        </w:rPr>
      </w:pPr>
    </w:p>
    <w:p>
      <w:pPr>
        <w:ind w:left="367" w:right="4539" w:hanging="356"/>
        <w:spacing w:after="0" w:line="239" w:lineRule="auto"/>
        <w:tabs>
          <w:tab w:leader="none" w:pos="346" w:val="left"/>
        </w:tabs>
        <w:rPr>
          <w:sz w:val="20"/>
          <w:szCs w:val="20"/>
          <w:color w:val="auto"/>
        </w:rPr>
      </w:pPr>
      <w:r>
        <w:rPr>
          <w:rFonts w:ascii="Courier New" w:cs="Courier New" w:eastAsia="Courier New" w:hAnsi="Courier New"/>
          <w:sz w:val="12"/>
          <w:szCs w:val="12"/>
          <w:color w:val="auto"/>
        </w:rPr>
        <w:t>2.6</w:t>
        <w:tab/>
        <w:t>Form of Note for the Debentures (included as Exhibit A to the Indenture filed as Exhibit No. 4.2 to Form F-1 No. 333-126909 and incorporated herein by reference).</w:t>
      </w:r>
    </w:p>
    <w:p>
      <w:pPr>
        <w:spacing w:after="0" w:line="277"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92</w:t>
      </w:r>
    </w:p>
    <w:p>
      <w:pPr>
        <w:sectPr>
          <w:pgSz w:w="11900" w:h="16838" w:orient="portrait"/>
          <w:cols w:equalWidth="0" w:num="1">
            <w:col w:w="10246"/>
          </w:cols>
          <w:pgMar w:left="213" w:top="278" w:right="1440" w:bottom="0" w:gutter="0" w:footer="0" w:header="0"/>
        </w:sectPr>
      </w:pPr>
    </w:p>
    <w:bookmarkStart w:id="47" w:name="page48"/>
    <w:bookmarkEnd w:id="47"/>
    <w:p>
      <w:pPr>
        <w:ind w:left="360" w:right="4539" w:hanging="356"/>
        <w:spacing w:after="0"/>
        <w:tabs>
          <w:tab w:leader="none" w:pos="340" w:val="left"/>
        </w:tabs>
        <w:rPr>
          <w:sz w:val="20"/>
          <w:szCs w:val="20"/>
          <w:color w:val="auto"/>
        </w:rPr>
      </w:pPr>
      <w:r>
        <w:rPr>
          <w:rFonts w:ascii="Courier New" w:cs="Courier New" w:eastAsia="Courier New" w:hAnsi="Courier New"/>
          <w:sz w:val="12"/>
          <w:szCs w:val="12"/>
          <w:color w:val="auto"/>
        </w:rPr>
        <w:t>3.1</w:t>
        <w:tab/>
        <w:t>Consolidated Shareholders Agreement, dated January 18, 2001, by and between SanDisk Corporation, Israel Corporation, Alliance Semiconductor Ltd. and Macronix International Co., Ltd. (incorporated by reference to the correspondingly-numbered exhibit to the 2000 Form 20-F).</w:t>
      </w:r>
    </w:p>
    <w:p>
      <w:pPr>
        <w:spacing w:after="0" w:line="142" w:lineRule="exact"/>
        <w:rPr>
          <w:sz w:val="20"/>
          <w:szCs w:val="20"/>
          <w:color w:val="auto"/>
        </w:rPr>
      </w:pPr>
    </w:p>
    <w:p>
      <w:pPr>
        <w:ind w:left="360" w:right="5039" w:hanging="356"/>
        <w:spacing w:after="0" w:line="239" w:lineRule="auto"/>
        <w:tabs>
          <w:tab w:leader="none" w:pos="340" w:val="left"/>
        </w:tabs>
        <w:rPr>
          <w:sz w:val="20"/>
          <w:szCs w:val="20"/>
          <w:color w:val="auto"/>
        </w:rPr>
      </w:pPr>
      <w:r>
        <w:rPr>
          <w:rFonts w:ascii="Courier New" w:cs="Courier New" w:eastAsia="Courier New" w:hAnsi="Courier New"/>
          <w:sz w:val="12"/>
          <w:szCs w:val="12"/>
          <w:color w:val="auto"/>
        </w:rPr>
        <w:t>4.1</w:t>
        <w:tab/>
        <w:t>Share Purchase Agreement, dated July 4, 2000, by and between SanDisk Corporation and the Registrant (incorporated by reference to the correspondingly-numbered exhibit to the 2000 Form 20-F).</w:t>
      </w:r>
    </w:p>
    <w:p>
      <w:pPr>
        <w:spacing w:after="0" w:line="143" w:lineRule="exact"/>
        <w:rPr>
          <w:sz w:val="20"/>
          <w:szCs w:val="20"/>
          <w:color w:val="auto"/>
        </w:rPr>
      </w:pPr>
    </w:p>
    <w:p>
      <w:pPr>
        <w:ind w:left="360" w:right="4539" w:hanging="356"/>
        <w:spacing w:after="0" w:line="272" w:lineRule="auto"/>
        <w:tabs>
          <w:tab w:leader="none" w:pos="340" w:val="left"/>
        </w:tabs>
        <w:rPr>
          <w:sz w:val="20"/>
          <w:szCs w:val="20"/>
          <w:color w:val="auto"/>
        </w:rPr>
      </w:pPr>
      <w:r>
        <w:rPr>
          <w:rFonts w:ascii="Courier New" w:cs="Courier New" w:eastAsia="Courier New" w:hAnsi="Courier New"/>
          <w:sz w:val="12"/>
          <w:szCs w:val="12"/>
          <w:color w:val="auto"/>
        </w:rPr>
        <w:t>4.2</w:t>
      </w:r>
      <w:r>
        <w:rPr>
          <w:sz w:val="20"/>
          <w:szCs w:val="20"/>
          <w:color w:val="auto"/>
        </w:rPr>
        <w:tab/>
      </w:r>
      <w:r>
        <w:rPr>
          <w:rFonts w:ascii="Courier New" w:cs="Courier New" w:eastAsia="Courier New" w:hAnsi="Courier New"/>
          <w:sz w:val="11"/>
          <w:szCs w:val="11"/>
          <w:color w:val="auto"/>
        </w:rPr>
        <w:t>Additional Purchase Obligation Agreement, dated July 4, 2000, by and between SanDisk Corporation ("SanDisk") and the Registrant (incorporated by reference to the correspondingly-numbered exhibit to the 2000 Form 20-F).</w:t>
      </w:r>
    </w:p>
    <w:p>
      <w:pPr>
        <w:spacing w:after="0" w:line="125" w:lineRule="exact"/>
        <w:rPr>
          <w:sz w:val="20"/>
          <w:szCs w:val="20"/>
          <w:color w:val="auto"/>
        </w:rPr>
      </w:pPr>
    </w:p>
    <w:p>
      <w:pPr>
        <w:ind w:left="360" w:right="4599" w:hanging="356"/>
        <w:spacing w:after="0" w:line="272" w:lineRule="auto"/>
        <w:tabs>
          <w:tab w:leader="none" w:pos="340" w:val="left"/>
        </w:tabs>
        <w:rPr>
          <w:sz w:val="20"/>
          <w:szCs w:val="20"/>
          <w:color w:val="auto"/>
        </w:rPr>
      </w:pPr>
      <w:r>
        <w:rPr>
          <w:rFonts w:ascii="Courier New" w:cs="Courier New" w:eastAsia="Courier New" w:hAnsi="Courier New"/>
          <w:sz w:val="12"/>
          <w:szCs w:val="12"/>
          <w:color w:val="auto"/>
        </w:rPr>
        <w:t>4.3</w:t>
      </w:r>
      <w:r>
        <w:rPr>
          <w:sz w:val="20"/>
          <w:szCs w:val="20"/>
          <w:color w:val="auto"/>
        </w:rPr>
        <w:tab/>
      </w:r>
      <w:r>
        <w:rPr>
          <w:rFonts w:ascii="Courier New" w:cs="Courier New" w:eastAsia="Courier New" w:hAnsi="Courier New"/>
          <w:sz w:val="11"/>
          <w:szCs w:val="11"/>
          <w:color w:val="auto"/>
        </w:rPr>
        <w:t>Share Purchase Agreement, dated August 29, 2000, by and between Alliance Semiconductor Corporation ("Alliance") and the Registrant (incorporated by reference to the correspondingly-numbered exhibit to the 2000 Form 20-F).</w:t>
      </w:r>
    </w:p>
    <w:p>
      <w:pPr>
        <w:spacing w:after="0" w:line="125" w:lineRule="exact"/>
        <w:rPr>
          <w:sz w:val="20"/>
          <w:szCs w:val="20"/>
          <w:color w:val="auto"/>
        </w:rPr>
      </w:pPr>
    </w:p>
    <w:p>
      <w:pPr>
        <w:ind w:left="360" w:right="4679" w:hanging="356"/>
        <w:spacing w:after="0" w:line="272" w:lineRule="auto"/>
        <w:tabs>
          <w:tab w:leader="none" w:pos="340" w:val="left"/>
        </w:tabs>
        <w:rPr>
          <w:sz w:val="20"/>
          <w:szCs w:val="20"/>
          <w:color w:val="auto"/>
        </w:rPr>
      </w:pPr>
      <w:r>
        <w:rPr>
          <w:rFonts w:ascii="Courier New" w:cs="Courier New" w:eastAsia="Courier New" w:hAnsi="Courier New"/>
          <w:sz w:val="12"/>
          <w:szCs w:val="12"/>
          <w:color w:val="auto"/>
        </w:rPr>
        <w:t>4.4</w:t>
      </w:r>
      <w:r>
        <w:rPr>
          <w:sz w:val="20"/>
          <w:szCs w:val="20"/>
          <w:color w:val="auto"/>
        </w:rPr>
        <w:tab/>
      </w:r>
      <w:r>
        <w:rPr>
          <w:rFonts w:ascii="Courier New" w:cs="Courier New" w:eastAsia="Courier New" w:hAnsi="Courier New"/>
          <w:sz w:val="11"/>
          <w:szCs w:val="11"/>
          <w:color w:val="auto"/>
        </w:rPr>
        <w:t>Share Purchase Agreement, dated December 11, 2000, by and between QuickLogic Corporation ("QuickLogic") and the Registrant (incorporated by reference to the correspondingly-numbered exhibit to the 2000 Form 20-F).</w:t>
      </w:r>
    </w:p>
    <w:p>
      <w:pPr>
        <w:spacing w:after="0" w:line="125" w:lineRule="exact"/>
        <w:rPr>
          <w:sz w:val="20"/>
          <w:szCs w:val="20"/>
          <w:color w:val="auto"/>
        </w:rPr>
      </w:pPr>
    </w:p>
    <w:p>
      <w:pPr>
        <w:ind w:left="360" w:right="4599" w:hanging="356"/>
        <w:spacing w:after="0" w:line="272" w:lineRule="auto"/>
        <w:tabs>
          <w:tab w:leader="none" w:pos="340" w:val="left"/>
        </w:tabs>
        <w:rPr>
          <w:sz w:val="20"/>
          <w:szCs w:val="20"/>
          <w:color w:val="auto"/>
        </w:rPr>
      </w:pPr>
      <w:r>
        <w:rPr>
          <w:rFonts w:ascii="Courier New" w:cs="Courier New" w:eastAsia="Courier New" w:hAnsi="Courier New"/>
          <w:sz w:val="12"/>
          <w:szCs w:val="12"/>
          <w:color w:val="auto"/>
        </w:rPr>
        <w:t>4.5</w:t>
      </w:r>
      <w:r>
        <w:rPr>
          <w:sz w:val="20"/>
          <w:szCs w:val="20"/>
          <w:color w:val="auto"/>
        </w:rPr>
        <w:tab/>
      </w:r>
      <w:r>
        <w:rPr>
          <w:rFonts w:ascii="Courier New" w:cs="Courier New" w:eastAsia="Courier New" w:hAnsi="Courier New"/>
          <w:sz w:val="11"/>
          <w:szCs w:val="11"/>
          <w:color w:val="auto"/>
        </w:rPr>
        <w:t>Share Purchase Agreement, dated December 12, 2000, by and between Macronix International Co., Ltd. ("Macronix") and the Registrant (incorporated by reference to the correspondingly-numbered exhibit to the 2000 Form 20-F).</w:t>
      </w:r>
    </w:p>
    <w:p>
      <w:pPr>
        <w:spacing w:after="0" w:line="122"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2"/>
          <w:szCs w:val="12"/>
          <w:color w:val="auto"/>
        </w:rPr>
        <w:t>4.6</w:t>
      </w:r>
      <w:r>
        <w:rPr>
          <w:sz w:val="20"/>
          <w:szCs w:val="20"/>
          <w:color w:val="auto"/>
        </w:rPr>
        <w:tab/>
      </w:r>
      <w:r>
        <w:rPr>
          <w:rFonts w:ascii="Courier New" w:cs="Courier New" w:eastAsia="Courier New" w:hAnsi="Courier New"/>
          <w:sz w:val="11"/>
          <w:szCs w:val="11"/>
          <w:color w:val="auto"/>
        </w:rPr>
        <w:t>Share Purchase Agreement, dated December 12, 2000, between Israel</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Corporation and the Registrant (incorporated by reference to the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correspondingly-numbered exhibit to the 2000 Form 20-F).</w:t>
      </w:r>
    </w:p>
    <w:p>
      <w:pPr>
        <w:spacing w:after="0" w:line="141" w:lineRule="exact"/>
        <w:rPr>
          <w:sz w:val="20"/>
          <w:szCs w:val="20"/>
          <w:color w:val="auto"/>
        </w:rPr>
      </w:pPr>
    </w:p>
    <w:p>
      <w:pPr>
        <w:ind w:left="360" w:right="4599" w:hanging="356"/>
        <w:spacing w:after="0" w:line="239" w:lineRule="auto"/>
        <w:tabs>
          <w:tab w:leader="none" w:pos="340" w:val="left"/>
        </w:tabs>
        <w:rPr>
          <w:sz w:val="20"/>
          <w:szCs w:val="20"/>
          <w:color w:val="auto"/>
        </w:rPr>
      </w:pPr>
      <w:r>
        <w:rPr>
          <w:rFonts w:ascii="Courier New" w:cs="Courier New" w:eastAsia="Courier New" w:hAnsi="Courier New"/>
          <w:sz w:val="12"/>
          <w:szCs w:val="12"/>
          <w:color w:val="auto"/>
        </w:rPr>
        <w:t>4.7</w:t>
        <w:tab/>
        <w:t>Additional Purchase Obligation Agreement, dated December 12, 2000, between Israel Corporation and the Registrant (incorporated by reference to the correspondingly-numbered exhibit to the 2000 Form 20-F).</w:t>
      </w:r>
    </w:p>
    <w:p>
      <w:pPr>
        <w:spacing w:after="0" w:line="143" w:lineRule="exact"/>
        <w:rPr>
          <w:sz w:val="20"/>
          <w:szCs w:val="20"/>
          <w:color w:val="auto"/>
        </w:rPr>
      </w:pPr>
    </w:p>
    <w:p>
      <w:pPr>
        <w:ind w:left="360" w:right="4759" w:hanging="356"/>
        <w:spacing w:after="0" w:line="239" w:lineRule="auto"/>
        <w:tabs>
          <w:tab w:leader="none" w:pos="340" w:val="left"/>
        </w:tabs>
        <w:rPr>
          <w:sz w:val="20"/>
          <w:szCs w:val="20"/>
          <w:color w:val="auto"/>
        </w:rPr>
      </w:pPr>
      <w:r>
        <w:rPr>
          <w:rFonts w:ascii="Courier New" w:cs="Courier New" w:eastAsia="Courier New" w:hAnsi="Courier New"/>
          <w:sz w:val="12"/>
          <w:szCs w:val="12"/>
          <w:color w:val="auto"/>
        </w:rPr>
        <w:t>4.8</w:t>
        <w:tab/>
        <w:t>Share Purchase Agreement, dated February 11, 2001, between The Challenge Fund - Etgar II and the Registrant (incorporated by reference to the correspondingly-numbered exhibit to the 2000 Form 20-F).</w:t>
      </w:r>
    </w:p>
    <w:p>
      <w:pPr>
        <w:spacing w:after="0" w:line="143" w:lineRule="exact"/>
        <w:rPr>
          <w:sz w:val="20"/>
          <w:szCs w:val="20"/>
          <w:color w:val="auto"/>
        </w:rPr>
      </w:pPr>
    </w:p>
    <w:p>
      <w:pPr>
        <w:ind w:left="360" w:right="4679" w:hanging="356"/>
        <w:spacing w:after="0"/>
        <w:tabs>
          <w:tab w:leader="none" w:pos="340" w:val="left"/>
        </w:tabs>
        <w:rPr>
          <w:sz w:val="20"/>
          <w:szCs w:val="20"/>
          <w:color w:val="auto"/>
        </w:rPr>
      </w:pPr>
      <w:r>
        <w:rPr>
          <w:rFonts w:ascii="Courier New" w:cs="Courier New" w:eastAsia="Courier New" w:hAnsi="Courier New"/>
          <w:sz w:val="12"/>
          <w:szCs w:val="12"/>
          <w:color w:val="auto"/>
        </w:rPr>
        <w:t>4.9</w:t>
        <w:tab/>
        <w:t>Facility Agreement, dated January 18, 2001, among the Registrant, Bank Hapoalim B.M. and Bank Leumi Le-Israel B.M. (the "Facility Agreement") (incorporated by reference to the correspondingly-numbered exhibit to the 2000 Form 20-F).</w:t>
      </w:r>
    </w:p>
    <w:p>
      <w:pPr>
        <w:spacing w:after="0" w:line="142" w:lineRule="exact"/>
        <w:rPr>
          <w:sz w:val="20"/>
          <w:szCs w:val="20"/>
          <w:color w:val="auto"/>
        </w:rPr>
      </w:pPr>
    </w:p>
    <w:p>
      <w:pPr>
        <w:ind w:left="360" w:right="4539" w:hanging="356"/>
        <w:spacing w:after="0"/>
        <w:rPr>
          <w:sz w:val="20"/>
          <w:szCs w:val="20"/>
          <w:color w:val="auto"/>
        </w:rPr>
      </w:pPr>
      <w:r>
        <w:rPr>
          <w:rFonts w:ascii="Courier New" w:cs="Courier New" w:eastAsia="Courier New" w:hAnsi="Courier New"/>
          <w:sz w:val="12"/>
          <w:szCs w:val="12"/>
          <w:color w:val="auto"/>
        </w:rPr>
        <w:t>4.10 Design and Construction/Turn-Key Contract, dated August 20, 2000, among the Registrant, M+W Zander Holding GmbH, Meissner-Baran Ltd. and Baran Group Ltd. (incorporated by reference to the correspondingly-numbered exhibit to the 2000 Form 20-F).</w:t>
      </w:r>
    </w:p>
    <w:p>
      <w:pPr>
        <w:spacing w:after="0" w:line="142" w:lineRule="exact"/>
        <w:rPr>
          <w:sz w:val="20"/>
          <w:szCs w:val="20"/>
          <w:color w:val="auto"/>
        </w:rPr>
      </w:pPr>
    </w:p>
    <w:p>
      <w:pPr>
        <w:ind w:left="360" w:right="4539" w:hanging="356"/>
        <w:spacing w:after="0" w:line="241" w:lineRule="auto"/>
        <w:rPr>
          <w:sz w:val="20"/>
          <w:szCs w:val="20"/>
          <w:color w:val="auto"/>
        </w:rPr>
      </w:pPr>
      <w:r>
        <w:rPr>
          <w:rFonts w:ascii="Courier New" w:cs="Courier New" w:eastAsia="Courier New" w:hAnsi="Courier New"/>
          <w:sz w:val="12"/>
          <w:szCs w:val="12"/>
          <w:color w:val="auto"/>
        </w:rPr>
        <w:t>4.11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correspondingly-numbered exhibit to the 2000 Form 20-F).</w:t>
      </w:r>
    </w:p>
    <w:p>
      <w:pPr>
        <w:spacing w:after="0" w:line="27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93</w:t>
      </w:r>
    </w:p>
    <w:p>
      <w:pPr>
        <w:spacing w:after="0" w:line="200" w:lineRule="exact"/>
        <w:rPr>
          <w:sz w:val="20"/>
          <w:szCs w:val="20"/>
          <w:color w:val="auto"/>
        </w:rPr>
      </w:pPr>
    </w:p>
    <w:p>
      <w:pPr>
        <w:spacing w:after="0" w:line="335" w:lineRule="exact"/>
        <w:rPr>
          <w:sz w:val="20"/>
          <w:szCs w:val="20"/>
          <w:color w:val="auto"/>
        </w:rPr>
      </w:pPr>
    </w:p>
    <w:p>
      <w:pPr>
        <w:ind w:left="360" w:right="4539" w:hanging="356"/>
        <w:spacing w:after="0" w:line="239" w:lineRule="auto"/>
        <w:rPr>
          <w:sz w:val="20"/>
          <w:szCs w:val="20"/>
          <w:color w:val="auto"/>
        </w:rPr>
      </w:pPr>
      <w:r>
        <w:rPr>
          <w:rFonts w:ascii="Courier New" w:cs="Courier New" w:eastAsia="Courier New" w:hAnsi="Courier New"/>
          <w:sz w:val="12"/>
          <w:szCs w:val="12"/>
          <w:color w:val="auto"/>
        </w:rPr>
        <w:t>4.12 Agreement between the Registrant and Saifun, dated October 9, 1997 (incorporated by reference to exhibit 1.1 to the Registrant's Annual Report on Form 20-F for the year ended December 31, 1997).</w:t>
      </w:r>
    </w:p>
    <w:p>
      <w:pPr>
        <w:spacing w:after="0" w:line="143" w:lineRule="exact"/>
        <w:rPr>
          <w:sz w:val="20"/>
          <w:szCs w:val="20"/>
          <w:color w:val="auto"/>
        </w:rPr>
      </w:pPr>
    </w:p>
    <w:p>
      <w:pPr>
        <w:jc w:val="both"/>
        <w:ind w:left="360" w:right="4679" w:hanging="356"/>
        <w:spacing w:after="0" w:line="272" w:lineRule="auto"/>
        <w:rPr>
          <w:sz w:val="20"/>
          <w:szCs w:val="20"/>
          <w:color w:val="auto"/>
        </w:rPr>
      </w:pPr>
      <w:r>
        <w:rPr>
          <w:rFonts w:ascii="Courier New" w:cs="Courier New" w:eastAsia="Courier New" w:hAnsi="Courier New"/>
          <w:sz w:val="11"/>
          <w:szCs w:val="11"/>
          <w:color w:val="auto"/>
        </w:rPr>
        <w:t>4.13 Registrant's Non-Employee Director Share Option Plan 2000/3 (incorporated by reference to exhibit 4.5 to the Registrant's Registration Statement on Form S-8 No. 333-83204 ("Form S-8 No. 333-83204")).</w:t>
      </w:r>
    </w:p>
    <w:p>
      <w:pPr>
        <w:spacing w:after="0" w:line="125" w:lineRule="exact"/>
        <w:rPr>
          <w:sz w:val="20"/>
          <w:szCs w:val="20"/>
          <w:color w:val="auto"/>
        </w:rPr>
      </w:pPr>
    </w:p>
    <w:p>
      <w:pPr>
        <w:jc w:val="both"/>
        <w:ind w:left="360" w:right="4679" w:hanging="356"/>
        <w:spacing w:after="0" w:line="280" w:lineRule="auto"/>
        <w:rPr>
          <w:sz w:val="20"/>
          <w:szCs w:val="20"/>
          <w:color w:val="auto"/>
        </w:rPr>
      </w:pPr>
      <w:r>
        <w:rPr>
          <w:rFonts w:ascii="Courier New" w:cs="Courier New" w:eastAsia="Courier New" w:hAnsi="Courier New"/>
          <w:sz w:val="11"/>
          <w:szCs w:val="11"/>
          <w:color w:val="auto"/>
        </w:rPr>
        <w:t>4.14 Form of Grant Letter for Non-Employee Directors Share Option Plan 2001/4 (incorporated by reference to exhibit 4.9 to the Form S-8 No. 333-83204).</w:t>
      </w:r>
    </w:p>
    <w:p>
      <w:pPr>
        <w:spacing w:after="0" w:line="121" w:lineRule="exact"/>
        <w:rPr>
          <w:sz w:val="20"/>
          <w:szCs w:val="20"/>
          <w:color w:val="auto"/>
        </w:rPr>
      </w:pPr>
    </w:p>
    <w:p>
      <w:pPr>
        <w:ind w:left="360" w:right="4599" w:hanging="356"/>
        <w:spacing w:after="0" w:line="280" w:lineRule="auto"/>
        <w:rPr>
          <w:sz w:val="20"/>
          <w:szCs w:val="20"/>
          <w:color w:val="auto"/>
        </w:rPr>
      </w:pPr>
      <w:r>
        <w:rPr>
          <w:rFonts w:ascii="Courier New" w:cs="Courier New" w:eastAsia="Courier New" w:hAnsi="Courier New"/>
          <w:sz w:val="11"/>
          <w:szCs w:val="11"/>
          <w:color w:val="auto"/>
        </w:rPr>
        <w:t>4.15 Form of Grant Letter for Non-Employee Directors Share Option Plan 2001/5 (incorporated by reference to exhibit 4.10 to the Form S-8 No. 333-83204).</w:t>
      </w:r>
    </w:p>
    <w:p>
      <w:pPr>
        <w:spacing w:after="0" w:line="121" w:lineRule="exact"/>
        <w:rPr>
          <w:sz w:val="20"/>
          <w:szCs w:val="20"/>
          <w:color w:val="auto"/>
        </w:rPr>
      </w:pPr>
    </w:p>
    <w:p>
      <w:pPr>
        <w:ind w:left="360" w:right="4599" w:hanging="356"/>
        <w:spacing w:after="0" w:line="241" w:lineRule="auto"/>
        <w:rPr>
          <w:sz w:val="20"/>
          <w:szCs w:val="20"/>
          <w:color w:val="auto"/>
        </w:rPr>
      </w:pPr>
      <w:r>
        <w:rPr>
          <w:rFonts w:ascii="Courier New" w:cs="Courier New" w:eastAsia="Courier New" w:hAnsi="Courier New"/>
          <w:sz w:val="12"/>
          <w:szCs w:val="12"/>
          <w:color w:val="auto"/>
        </w:rPr>
        <w:t>4.16 Wafer Partner Conversion Agreements, dated September 2001, between the Registrant and each of SanDisk, Alliance and Macronix (incorporated by reference to the correspondingly-numbered exhibit to the Registrant's Annual Report on Form 20-F for the year ended December 31, 2001 (the "2001 Form 20-F)).</w:t>
      </w:r>
    </w:p>
    <w:p>
      <w:pPr>
        <w:spacing w:after="0" w:line="141" w:lineRule="exact"/>
        <w:rPr>
          <w:sz w:val="20"/>
          <w:szCs w:val="20"/>
          <w:color w:val="auto"/>
        </w:rPr>
      </w:pPr>
    </w:p>
    <w:p>
      <w:pPr>
        <w:ind w:left="360" w:right="4899" w:hanging="356"/>
        <w:spacing w:after="0"/>
        <w:rPr>
          <w:sz w:val="20"/>
          <w:szCs w:val="20"/>
          <w:color w:val="auto"/>
        </w:rPr>
      </w:pPr>
      <w:r>
        <w:rPr>
          <w:rFonts w:ascii="Courier New" w:cs="Courier New" w:eastAsia="Courier New" w:hAnsi="Courier New"/>
          <w:sz w:val="12"/>
          <w:szCs w:val="12"/>
          <w:color w:val="auto"/>
        </w:rPr>
        <w:t>4.17 Letter Agreement, dated November 29, 2001, among SanDisk, Alliance, Macronix, QuickLogic and the Registrant regarding the Utilization of Prepayments (incorporated by reference to the correspondingly-numbered exhibit to the 2001 Form 20-F).</w:t>
      </w:r>
    </w:p>
    <w:p>
      <w:pPr>
        <w:spacing w:after="0" w:line="142" w:lineRule="exact"/>
        <w:rPr>
          <w:sz w:val="20"/>
          <w:szCs w:val="20"/>
          <w:color w:val="auto"/>
        </w:rPr>
      </w:pPr>
    </w:p>
    <w:p>
      <w:pPr>
        <w:ind w:left="360" w:right="4599" w:hanging="356"/>
        <w:spacing w:after="0"/>
        <w:rPr>
          <w:sz w:val="20"/>
          <w:szCs w:val="20"/>
          <w:color w:val="auto"/>
        </w:rPr>
      </w:pPr>
      <w:r>
        <w:rPr>
          <w:rFonts w:ascii="Courier New" w:cs="Courier New" w:eastAsia="Courier New" w:hAnsi="Courier New"/>
          <w:sz w:val="12"/>
          <w:szCs w:val="12"/>
          <w:color w:val="auto"/>
        </w:rPr>
        <w:t>4.18 Letter Agreements among Alliance, Macronix, QuickLogic, Israel Corp. and the Registrant and between SanDisk and the Registrant regarding Additional Wafer Partner Financing Date (incorporated by reference to the correspondingly-numbered exhibit to the 2001 Form 20-F).</w:t>
      </w:r>
    </w:p>
    <w:p>
      <w:pPr>
        <w:spacing w:after="0" w:line="142" w:lineRule="exact"/>
        <w:rPr>
          <w:sz w:val="20"/>
          <w:szCs w:val="20"/>
          <w:color w:val="auto"/>
        </w:rPr>
      </w:pPr>
    </w:p>
    <w:p>
      <w:pPr>
        <w:ind w:left="360" w:right="4679" w:hanging="356"/>
        <w:spacing w:after="0"/>
        <w:rPr>
          <w:sz w:val="20"/>
          <w:szCs w:val="20"/>
          <w:color w:val="auto"/>
        </w:rPr>
      </w:pPr>
      <w:r>
        <w:rPr>
          <w:rFonts w:ascii="Courier New" w:cs="Courier New" w:eastAsia="Courier New" w:hAnsi="Courier New"/>
          <w:sz w:val="12"/>
          <w:szCs w:val="12"/>
          <w:color w:val="auto"/>
        </w:rPr>
        <w:t>4.19 Letter Agreement, dated November 15, 2001, among SanDisk, Alliance, Macronix, QuickLogic, ICTech and the Registrant regarding Amendment to Financing Plan (incorporated by reference to the correspondingly-numbered exhibit to the 2001 Form 20-F).</w:t>
      </w:r>
    </w:p>
    <w:p>
      <w:pPr>
        <w:spacing w:after="0" w:line="142" w:lineRule="exact"/>
        <w:rPr>
          <w:sz w:val="20"/>
          <w:szCs w:val="20"/>
          <w:color w:val="auto"/>
        </w:rPr>
      </w:pPr>
    </w:p>
    <w:p>
      <w:pPr>
        <w:ind w:left="360" w:right="4679" w:hanging="356"/>
        <w:spacing w:after="0" w:line="239" w:lineRule="auto"/>
        <w:rPr>
          <w:sz w:val="20"/>
          <w:szCs w:val="20"/>
          <w:color w:val="auto"/>
        </w:rPr>
      </w:pPr>
      <w:r>
        <w:rPr>
          <w:rFonts w:ascii="Courier New" w:cs="Courier New" w:eastAsia="Courier New" w:hAnsi="Courier New"/>
          <w:sz w:val="12"/>
          <w:szCs w:val="12"/>
          <w:color w:val="auto"/>
        </w:rPr>
        <w:t>4.20 First Amendment, dated January 29, 2001, to the Facility Agreement (incorporated by reference to the correspondingly-numbered exhibit to the 2001 Form 20-F).</w:t>
      </w:r>
    </w:p>
    <w:p>
      <w:pPr>
        <w:spacing w:after="0" w:line="143" w:lineRule="exact"/>
        <w:rPr>
          <w:sz w:val="20"/>
          <w:szCs w:val="20"/>
          <w:color w:val="auto"/>
        </w:rPr>
      </w:pPr>
    </w:p>
    <w:p>
      <w:pPr>
        <w:ind w:left="360" w:right="4679" w:hanging="356"/>
        <w:spacing w:after="0" w:line="239" w:lineRule="auto"/>
        <w:rPr>
          <w:sz w:val="20"/>
          <w:szCs w:val="20"/>
          <w:color w:val="auto"/>
        </w:rPr>
      </w:pPr>
      <w:r>
        <w:rPr>
          <w:rFonts w:ascii="Courier New" w:cs="Courier New" w:eastAsia="Courier New" w:hAnsi="Courier New"/>
          <w:sz w:val="12"/>
          <w:szCs w:val="12"/>
          <w:color w:val="auto"/>
        </w:rPr>
        <w:t>4.21 Second Amendment, dated January 10, 2002, to Facility Agreement (incorporated by reference to the correspondingly-numbered exhibit to the 2001 Form 20-F).</w:t>
      </w:r>
    </w:p>
    <w:p>
      <w:pPr>
        <w:spacing w:after="0" w:line="143" w:lineRule="exact"/>
        <w:rPr>
          <w:sz w:val="20"/>
          <w:szCs w:val="20"/>
          <w:color w:val="auto"/>
        </w:rPr>
      </w:pPr>
    </w:p>
    <w:p>
      <w:pPr>
        <w:ind w:left="360" w:right="4679" w:hanging="356"/>
        <w:spacing w:after="0" w:line="239" w:lineRule="auto"/>
        <w:rPr>
          <w:sz w:val="20"/>
          <w:szCs w:val="20"/>
          <w:color w:val="auto"/>
        </w:rPr>
      </w:pPr>
      <w:r>
        <w:rPr>
          <w:rFonts w:ascii="Courier New" w:cs="Courier New" w:eastAsia="Courier New" w:hAnsi="Courier New"/>
          <w:sz w:val="12"/>
          <w:szCs w:val="12"/>
          <w:color w:val="auto"/>
        </w:rPr>
        <w:t>4.22 Third Amendment, dated March 7, 2002, to the Facility Agreement (incorporated by reference to the correspondingly-numbered exhibit to the 2001 Form 20-F).</w:t>
      </w:r>
    </w:p>
    <w:p>
      <w:pPr>
        <w:spacing w:after="0" w:line="143" w:lineRule="exact"/>
        <w:rPr>
          <w:sz w:val="20"/>
          <w:szCs w:val="20"/>
          <w:color w:val="auto"/>
        </w:rPr>
      </w:pPr>
    </w:p>
    <w:p>
      <w:pPr>
        <w:ind w:left="360" w:right="4539" w:hanging="356"/>
        <w:spacing w:after="0"/>
        <w:rPr>
          <w:sz w:val="20"/>
          <w:szCs w:val="20"/>
          <w:color w:val="auto"/>
        </w:rPr>
      </w:pPr>
      <w:r>
        <w:rPr>
          <w:rFonts w:ascii="Courier New" w:cs="Courier New" w:eastAsia="Courier New" w:hAnsi="Courier New"/>
          <w:sz w:val="12"/>
          <w:szCs w:val="12"/>
          <w:color w:val="auto"/>
        </w:rPr>
        <w:t>4.23 Joint Development and Transfer and Cross License Agreement, dated May 2002, between the Registrant and a Japanese manufacturer (incorporated by reference to exhibit 10.3 to the Registrant's Registration Statement on Form F-2, No. 333-97043).</w:t>
      </w:r>
    </w:p>
    <w:p>
      <w:pPr>
        <w:spacing w:after="0" w:line="142" w:lineRule="exact"/>
        <w:rPr>
          <w:sz w:val="20"/>
          <w:szCs w:val="20"/>
          <w:color w:val="auto"/>
        </w:rPr>
      </w:pPr>
    </w:p>
    <w:p>
      <w:pPr>
        <w:jc w:val="both"/>
        <w:ind w:left="360" w:right="4679" w:hanging="356"/>
        <w:spacing w:after="0" w:line="272" w:lineRule="auto"/>
        <w:rPr>
          <w:sz w:val="20"/>
          <w:szCs w:val="20"/>
          <w:color w:val="auto"/>
        </w:rPr>
      </w:pPr>
      <w:r>
        <w:rPr>
          <w:rFonts w:ascii="Courier New" w:cs="Courier New" w:eastAsia="Courier New" w:hAnsi="Courier New"/>
          <w:sz w:val="11"/>
          <w:szCs w:val="11"/>
          <w:color w:val="auto"/>
        </w:rPr>
        <w:t>4.24 Technology License Agreement, dated April 7, 2000, between the Registrant and Toshiba Corporation (incorporated by reference to exhibit 10.4 to the Registrant's Registration Statement on Form F-2, No. 333-97043).</w:t>
      </w:r>
    </w:p>
    <w:p>
      <w:pPr>
        <w:spacing w:after="0" w:line="26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94</w:t>
      </w:r>
    </w:p>
    <w:p>
      <w:pPr>
        <w:sectPr>
          <w:pgSz w:w="11900" w:h="16838" w:orient="portrait"/>
          <w:cols w:equalWidth="0" w:num="1">
            <w:col w:w="10239"/>
          </w:cols>
          <w:pgMar w:left="220" w:top="553" w:right="1440" w:bottom="0" w:gutter="0" w:footer="0" w:header="0"/>
        </w:sectPr>
      </w:pPr>
    </w:p>
    <w:bookmarkStart w:id="48" w:name="page49"/>
    <w:bookmarkEnd w:id="48"/>
    <w:p>
      <w:pPr>
        <w:ind w:left="360" w:right="4539" w:hanging="356"/>
        <w:spacing w:after="0" w:line="239" w:lineRule="auto"/>
        <w:rPr>
          <w:sz w:val="20"/>
          <w:szCs w:val="20"/>
          <w:color w:val="auto"/>
        </w:rPr>
      </w:pPr>
      <w:r>
        <w:rPr>
          <w:rFonts w:ascii="Courier New" w:cs="Courier New" w:eastAsia="Courier New" w:hAnsi="Courier New"/>
          <w:sz w:val="12"/>
          <w:szCs w:val="12"/>
          <w:color w:val="auto"/>
        </w:rPr>
        <w:t>4.25 Technology Transfer License Agreement, dated September 2002, between Registrant and Motorola, Inc. (incorporated by reference to exhibit 10.5 to the Registrant's Registration Statement on Form F-2, No. 333-97043).</w:t>
      </w:r>
    </w:p>
    <w:p>
      <w:pPr>
        <w:spacing w:after="0" w:line="143" w:lineRule="exact"/>
        <w:rPr>
          <w:sz w:val="20"/>
          <w:szCs w:val="20"/>
          <w:color w:val="auto"/>
        </w:rPr>
      </w:pPr>
    </w:p>
    <w:p>
      <w:pPr>
        <w:ind w:left="360" w:right="4679" w:hanging="356"/>
        <w:spacing w:after="0"/>
        <w:rPr>
          <w:sz w:val="20"/>
          <w:szCs w:val="20"/>
          <w:color w:val="auto"/>
        </w:rPr>
      </w:pPr>
      <w:r>
        <w:rPr>
          <w:rFonts w:ascii="Courier New" w:cs="Courier New" w:eastAsia="Courier New" w:hAnsi="Courier New"/>
          <w:sz w:val="12"/>
          <w:szCs w:val="12"/>
          <w:color w:val="auto"/>
        </w:rPr>
        <w:t>4.26 Fourth Amendment, dated April 29, 2002, to the Facility Agreement (incorporated by reference to the correspondingly-numbered exhibit to the Registrant's Annual Report on Form 20-F for the year ended December 31, 2002 (the "2002 Form 20-F)).</w:t>
      </w:r>
    </w:p>
    <w:p>
      <w:pPr>
        <w:spacing w:after="0" w:line="142" w:lineRule="exact"/>
        <w:rPr>
          <w:sz w:val="20"/>
          <w:szCs w:val="20"/>
          <w:color w:val="auto"/>
        </w:rPr>
      </w:pPr>
    </w:p>
    <w:p>
      <w:pPr>
        <w:ind w:left="360" w:right="4679" w:hanging="356"/>
        <w:spacing w:after="0" w:line="239" w:lineRule="auto"/>
        <w:rPr>
          <w:sz w:val="20"/>
          <w:szCs w:val="20"/>
          <w:color w:val="auto"/>
        </w:rPr>
      </w:pPr>
      <w:r>
        <w:rPr>
          <w:rFonts w:ascii="Courier New" w:cs="Courier New" w:eastAsia="Courier New" w:hAnsi="Courier New"/>
          <w:sz w:val="12"/>
          <w:szCs w:val="12"/>
          <w:color w:val="auto"/>
        </w:rPr>
        <w:t>4.27 Fifth Amendment dated September 18, 2002 to the Facility Agreement (incorporated by reference to the correspondingly-numbered exhibit to the 2002 Form 20-F).</w:t>
      </w:r>
    </w:p>
    <w:p>
      <w:pPr>
        <w:spacing w:after="0" w:line="143" w:lineRule="exact"/>
        <w:rPr>
          <w:sz w:val="20"/>
          <w:szCs w:val="20"/>
          <w:color w:val="auto"/>
        </w:rPr>
      </w:pPr>
    </w:p>
    <w:p>
      <w:pPr>
        <w:ind w:left="360" w:right="4679" w:hanging="356"/>
        <w:spacing w:after="0" w:line="239" w:lineRule="auto"/>
        <w:rPr>
          <w:sz w:val="20"/>
          <w:szCs w:val="20"/>
          <w:color w:val="auto"/>
        </w:rPr>
      </w:pPr>
      <w:r>
        <w:rPr>
          <w:rFonts w:ascii="Courier New" w:cs="Courier New" w:eastAsia="Courier New" w:hAnsi="Courier New"/>
          <w:sz w:val="12"/>
          <w:szCs w:val="12"/>
          <w:color w:val="auto"/>
        </w:rPr>
        <w:t>4.28 Amendment to Fifth Amendment to the Facility Agreement, dated October 22, 2002, to the Facility Agreement (incorporated by reference to the correspondingly-numbered exhibit to the2002 Form 20-F).</w:t>
      </w:r>
    </w:p>
    <w:p>
      <w:pPr>
        <w:spacing w:after="0" w:line="143" w:lineRule="exact"/>
        <w:rPr>
          <w:sz w:val="20"/>
          <w:szCs w:val="20"/>
          <w:color w:val="auto"/>
        </w:rPr>
      </w:pPr>
    </w:p>
    <w:p>
      <w:pPr>
        <w:ind w:left="360" w:right="4679" w:hanging="356"/>
        <w:spacing w:after="0"/>
        <w:rPr>
          <w:sz w:val="20"/>
          <w:szCs w:val="20"/>
          <w:color w:val="auto"/>
        </w:rPr>
      </w:pPr>
      <w:r>
        <w:rPr>
          <w:rFonts w:ascii="Courier New" w:cs="Courier New" w:eastAsia="Courier New" w:hAnsi="Courier New"/>
          <w:sz w:val="12"/>
          <w:szCs w:val="12"/>
          <w:color w:val="auto"/>
        </w:rPr>
        <w:t>4.29 Letter Agreement, dated March 2002, among SanDisk, Alliance, Macronix, ICTech and Challenge Fund to advance Third and Fourth Milestone Payments (incorporated by reference to the correspondingly-numbered exhibit to the 2002 Form 20-F).</w:t>
      </w:r>
    </w:p>
    <w:p>
      <w:pPr>
        <w:spacing w:after="0" w:line="142" w:lineRule="exact"/>
        <w:rPr>
          <w:sz w:val="20"/>
          <w:szCs w:val="20"/>
          <w:color w:val="auto"/>
        </w:rPr>
      </w:pPr>
    </w:p>
    <w:p>
      <w:pPr>
        <w:jc w:val="both"/>
        <w:ind w:left="360" w:right="4679" w:hanging="356"/>
        <w:spacing w:after="0" w:line="272" w:lineRule="auto"/>
        <w:rPr>
          <w:sz w:val="20"/>
          <w:szCs w:val="20"/>
          <w:color w:val="auto"/>
        </w:rPr>
      </w:pPr>
      <w:r>
        <w:rPr>
          <w:rFonts w:ascii="Courier New" w:cs="Courier New" w:eastAsia="Courier New" w:hAnsi="Courier New"/>
          <w:sz w:val="11"/>
          <w:szCs w:val="11"/>
          <w:color w:val="auto"/>
        </w:rPr>
        <w:t>4.30 Letter Agreement, dated July 2002, among SanDisk, Alliance, Macronix, and ICTech to exercise rights distributed in rights offering (incorporated by reference to the correspondingly-numbered exhibit to the 2002 Form 20-F).</w:t>
      </w:r>
    </w:p>
    <w:p>
      <w:pPr>
        <w:spacing w:after="0" w:line="125" w:lineRule="exact"/>
        <w:rPr>
          <w:sz w:val="20"/>
          <w:szCs w:val="20"/>
          <w:color w:val="auto"/>
        </w:rPr>
      </w:pPr>
    </w:p>
    <w:p>
      <w:pPr>
        <w:ind w:left="360" w:right="4899" w:hanging="356"/>
        <w:spacing w:after="0" w:line="239" w:lineRule="auto"/>
        <w:rPr>
          <w:sz w:val="20"/>
          <w:szCs w:val="20"/>
          <w:color w:val="auto"/>
        </w:rPr>
      </w:pPr>
      <w:r>
        <w:rPr>
          <w:rFonts w:ascii="Courier New" w:cs="Courier New" w:eastAsia="Courier New" w:hAnsi="Courier New"/>
          <w:sz w:val="12"/>
          <w:szCs w:val="12"/>
          <w:color w:val="auto"/>
        </w:rPr>
        <w:t>4.31 Letter Agreement, dated March 2003, among SanDisk, Alliance, Macronix, ICTech, and the Registrant (incorporated by reference to the correspondingly-numbered exhibit to the 2002 Form 20-F).</w:t>
      </w:r>
    </w:p>
    <w:p>
      <w:pPr>
        <w:spacing w:after="0" w:line="143" w:lineRule="exact"/>
        <w:rPr>
          <w:sz w:val="20"/>
          <w:szCs w:val="20"/>
          <w:color w:val="auto"/>
        </w:rPr>
      </w:pPr>
    </w:p>
    <w:p>
      <w:pPr>
        <w:ind w:left="360" w:right="4599" w:hanging="356"/>
        <w:spacing w:after="0"/>
        <w:rPr>
          <w:sz w:val="20"/>
          <w:szCs w:val="20"/>
          <w:color w:val="auto"/>
        </w:rPr>
      </w:pPr>
      <w:r>
        <w:rPr>
          <w:rFonts w:ascii="Courier New" w:cs="Courier New" w:eastAsia="Courier New" w:hAnsi="Courier New"/>
          <w:sz w:val="12"/>
          <w:szCs w:val="12"/>
          <w:color w:val="auto"/>
        </w:rPr>
        <w:t>4.32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42" w:lineRule="exact"/>
        <w:rPr>
          <w:sz w:val="20"/>
          <w:szCs w:val="20"/>
          <w:color w:val="auto"/>
        </w:rPr>
      </w:pPr>
    </w:p>
    <w:p>
      <w:pPr>
        <w:ind w:left="360" w:right="4599" w:hanging="356"/>
        <w:spacing w:after="0"/>
        <w:rPr>
          <w:sz w:val="20"/>
          <w:szCs w:val="20"/>
          <w:color w:val="auto"/>
        </w:rPr>
      </w:pPr>
      <w:r>
        <w:rPr>
          <w:rFonts w:ascii="Courier New" w:cs="Courier New" w:eastAsia="Courier New" w:hAnsi="Courier New"/>
          <w:sz w:val="12"/>
          <w:szCs w:val="12"/>
          <w:color w:val="auto"/>
        </w:rPr>
        <w:t>4.33 Form of Warrant Agreement between the Registrant and American Stock Transfer &amp; Trust Company (including form of Warrant Certificate) (incorporated by reference to exhibit 4.2 to the Registrant's Registration Statement on Form F-2, No. 333-97043).</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4.34 Reserved.</w:t>
      </w:r>
    </w:p>
    <w:p>
      <w:pPr>
        <w:spacing w:after="0" w:line="141" w:lineRule="exact"/>
        <w:rPr>
          <w:sz w:val="20"/>
          <w:szCs w:val="20"/>
          <w:color w:val="auto"/>
        </w:rPr>
      </w:pPr>
    </w:p>
    <w:p>
      <w:pPr>
        <w:ind w:left="360" w:right="4759" w:hanging="356"/>
        <w:spacing w:after="0"/>
        <w:rPr>
          <w:sz w:val="20"/>
          <w:szCs w:val="20"/>
          <w:color w:val="auto"/>
        </w:rPr>
      </w:pPr>
      <w:r>
        <w:rPr>
          <w:rFonts w:ascii="Courier New" w:cs="Courier New" w:eastAsia="Courier New" w:hAnsi="Courier New"/>
          <w:sz w:val="12"/>
          <w:szCs w:val="12"/>
          <w:color w:val="auto"/>
        </w:rPr>
        <w:t>4.35 Investment Center Agreement related to Fab 1, dated November 13, 2001 (English translation of Hebrew original) (incorporated by reference to exhibit 10.2 to the Registrant's Registration Statement on Form F-2, No. 333-97043).</w:t>
      </w:r>
    </w:p>
    <w:p>
      <w:pPr>
        <w:spacing w:after="0" w:line="142" w:lineRule="exact"/>
        <w:rPr>
          <w:sz w:val="20"/>
          <w:szCs w:val="20"/>
          <w:color w:val="auto"/>
        </w:rPr>
      </w:pPr>
    </w:p>
    <w:p>
      <w:pPr>
        <w:ind w:left="360" w:right="4819" w:hanging="356"/>
        <w:spacing w:after="0" w:line="239" w:lineRule="auto"/>
        <w:rPr>
          <w:sz w:val="20"/>
          <w:szCs w:val="20"/>
          <w:color w:val="auto"/>
        </w:rPr>
      </w:pPr>
      <w:r>
        <w:rPr>
          <w:rFonts w:ascii="Courier New" w:cs="Courier New" w:eastAsia="Courier New" w:hAnsi="Courier New"/>
          <w:sz w:val="12"/>
          <w:szCs w:val="12"/>
          <w:color w:val="auto"/>
        </w:rPr>
        <w:t>4.36 Development and License Agreement, dated March 31, 2002, between Virage Logic Corporation and the Registrant (incorporated by reference to the correspondingly-numbered exhibit to the 2002 Form 20-F).</w:t>
      </w:r>
    </w:p>
    <w:p>
      <w:pPr>
        <w:spacing w:after="0" w:line="143" w:lineRule="exact"/>
        <w:rPr>
          <w:sz w:val="20"/>
          <w:szCs w:val="20"/>
          <w:color w:val="auto"/>
        </w:rPr>
      </w:pPr>
    </w:p>
    <w:p>
      <w:pPr>
        <w:ind w:left="360" w:right="4819" w:hanging="356"/>
        <w:spacing w:after="0" w:line="239" w:lineRule="auto"/>
        <w:rPr>
          <w:sz w:val="20"/>
          <w:szCs w:val="20"/>
          <w:color w:val="auto"/>
        </w:rPr>
      </w:pPr>
      <w:r>
        <w:rPr>
          <w:rFonts w:ascii="Courier New" w:cs="Courier New" w:eastAsia="Courier New" w:hAnsi="Courier New"/>
          <w:sz w:val="12"/>
          <w:szCs w:val="12"/>
          <w:color w:val="auto"/>
        </w:rPr>
        <w:t>4.37 Master Services and License Agreement, dated June 2002, between Artisan Components, Inc. and the Registrant (incorporated by reference to the correspondingly-numbered exhibit to the 2002 Form 20-F).</w:t>
      </w:r>
    </w:p>
    <w:p>
      <w:pPr>
        <w:spacing w:after="0" w:line="277"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95</w:t>
      </w:r>
    </w:p>
    <w:p>
      <w:pPr>
        <w:spacing w:after="0" w:line="200" w:lineRule="exact"/>
        <w:rPr>
          <w:sz w:val="20"/>
          <w:szCs w:val="20"/>
          <w:color w:val="auto"/>
        </w:rPr>
      </w:pPr>
    </w:p>
    <w:p>
      <w:pPr>
        <w:spacing w:after="0" w:line="335" w:lineRule="exact"/>
        <w:rPr>
          <w:sz w:val="20"/>
          <w:szCs w:val="20"/>
          <w:color w:val="auto"/>
        </w:rPr>
      </w:pPr>
    </w:p>
    <w:p>
      <w:pPr>
        <w:ind w:left="360" w:right="4759" w:hanging="356"/>
        <w:spacing w:after="0" w:line="239" w:lineRule="auto"/>
        <w:rPr>
          <w:sz w:val="20"/>
          <w:szCs w:val="20"/>
          <w:color w:val="auto"/>
        </w:rPr>
      </w:pPr>
      <w:r>
        <w:rPr>
          <w:rFonts w:ascii="Courier New" w:cs="Courier New" w:eastAsia="Courier New" w:hAnsi="Courier New"/>
          <w:sz w:val="12"/>
          <w:szCs w:val="12"/>
          <w:color w:val="auto"/>
        </w:rPr>
        <w:t>4.38 Seventh Amendment to the Facility Agreement, dated November 11, 2003, (incorporated by reference to Exhibit 99.1 of the Registrant's Report on Form 6-K filed on December 17, 2003).</w:t>
      </w:r>
    </w:p>
    <w:p>
      <w:pPr>
        <w:spacing w:after="0" w:line="143" w:lineRule="exact"/>
        <w:rPr>
          <w:sz w:val="20"/>
          <w:szCs w:val="20"/>
          <w:color w:val="auto"/>
        </w:rPr>
      </w:pPr>
    </w:p>
    <w:p>
      <w:pPr>
        <w:ind w:left="360" w:right="4679" w:hanging="356"/>
        <w:spacing w:after="0" w:line="239" w:lineRule="auto"/>
        <w:rPr>
          <w:sz w:val="20"/>
          <w:szCs w:val="20"/>
          <w:color w:val="auto"/>
        </w:rPr>
      </w:pPr>
      <w:r>
        <w:rPr>
          <w:rFonts w:ascii="Courier New" w:cs="Courier New" w:eastAsia="Courier New" w:hAnsi="Courier New"/>
          <w:sz w:val="12"/>
          <w:szCs w:val="12"/>
          <w:color w:val="auto"/>
        </w:rPr>
        <w:t>4.39 Undertaking of the Registrant, dated November 11, 2003 (incorporated by reference to Exhibit 99.3 of the Registrant's Report on Form 6-K filed on December 17, 2003).</w:t>
      </w:r>
    </w:p>
    <w:p>
      <w:pPr>
        <w:spacing w:after="0" w:line="143" w:lineRule="exact"/>
        <w:rPr>
          <w:sz w:val="20"/>
          <w:szCs w:val="20"/>
          <w:color w:val="auto"/>
        </w:rPr>
      </w:pPr>
    </w:p>
    <w:p>
      <w:pPr>
        <w:ind w:left="360" w:right="4759" w:hanging="356"/>
        <w:spacing w:after="0" w:line="241" w:lineRule="auto"/>
        <w:rPr>
          <w:sz w:val="20"/>
          <w:szCs w:val="20"/>
          <w:color w:val="auto"/>
        </w:rPr>
      </w:pPr>
      <w:r>
        <w:rPr>
          <w:rFonts w:ascii="Courier New" w:cs="Courier New" w:eastAsia="Courier New" w:hAnsi="Courier New"/>
          <w:sz w:val="12"/>
          <w:szCs w:val="12"/>
          <w:color w:val="auto"/>
        </w:rPr>
        <w:t>4.40 Letter Agreement, dated November 11, 2003, by and among the Registrant, Israel Corporation Technologies, SanDisk Corporation, Alliance Semiconductor Corporation and Macronix International Co., Ltd. (incorporated by reference to Exhibit 99.4 of the Registrant's Report on Form 6-K filed on December 17, 2003).</w:t>
      </w:r>
    </w:p>
    <w:p>
      <w:pPr>
        <w:spacing w:after="0" w:line="141" w:lineRule="exact"/>
        <w:rPr>
          <w:sz w:val="20"/>
          <w:szCs w:val="20"/>
          <w:color w:val="auto"/>
        </w:rPr>
      </w:pPr>
    </w:p>
    <w:p>
      <w:pPr>
        <w:ind w:left="360" w:right="4539" w:hanging="356"/>
        <w:spacing w:after="0"/>
        <w:rPr>
          <w:sz w:val="20"/>
          <w:szCs w:val="20"/>
          <w:color w:val="auto"/>
        </w:rPr>
      </w:pPr>
      <w:r>
        <w:rPr>
          <w:rFonts w:ascii="Courier New" w:cs="Courier New" w:eastAsia="Courier New" w:hAnsi="Courier New"/>
          <w:sz w:val="12"/>
          <w:szCs w:val="12"/>
          <w:color w:val="auto"/>
        </w:rPr>
        <w:t>4.41 Foundry Agreement, dated May 12, 2004, between the Registrant and Siliconix incorporated (incorporated by reference to correspondingly-numbered exhibit to the Registrant's Annual Report on Form 20-F for the year ended December 31, 2004 (the " 2004 Form 20-F)).</w:t>
      </w:r>
    </w:p>
    <w:p>
      <w:pPr>
        <w:spacing w:after="0" w:line="142" w:lineRule="exact"/>
        <w:rPr>
          <w:sz w:val="20"/>
          <w:szCs w:val="20"/>
          <w:color w:val="auto"/>
        </w:rPr>
      </w:pPr>
    </w:p>
    <w:p>
      <w:pPr>
        <w:ind w:left="360" w:right="4759" w:hanging="356"/>
        <w:spacing w:after="0" w:line="239" w:lineRule="auto"/>
        <w:rPr>
          <w:sz w:val="20"/>
          <w:szCs w:val="20"/>
          <w:color w:val="auto"/>
        </w:rPr>
      </w:pPr>
      <w:r>
        <w:rPr>
          <w:rFonts w:ascii="Courier New" w:cs="Courier New" w:eastAsia="Courier New" w:hAnsi="Courier New"/>
          <w:sz w:val="12"/>
          <w:szCs w:val="12"/>
          <w:color w:val="auto"/>
        </w:rPr>
        <w:t>4.42 Share Purchase Agreement, dated December 8, 2004, between the Registrant and the Purchasers named therein (incorporated by reference to correspondingly-numbered exhibit to the 2004 Form 20-F).</w:t>
      </w:r>
    </w:p>
    <w:p>
      <w:pPr>
        <w:spacing w:after="0" w:line="143" w:lineRule="exact"/>
        <w:rPr>
          <w:sz w:val="20"/>
          <w:szCs w:val="20"/>
          <w:color w:val="auto"/>
        </w:rPr>
      </w:pPr>
    </w:p>
    <w:p>
      <w:pPr>
        <w:ind w:left="360" w:right="4819" w:hanging="356"/>
        <w:spacing w:after="0" w:line="239" w:lineRule="auto"/>
        <w:rPr>
          <w:sz w:val="20"/>
          <w:szCs w:val="20"/>
          <w:color w:val="auto"/>
        </w:rPr>
      </w:pPr>
      <w:r>
        <w:rPr>
          <w:rFonts w:ascii="Courier New" w:cs="Courier New" w:eastAsia="Courier New" w:hAnsi="Courier New"/>
          <w:sz w:val="12"/>
          <w:szCs w:val="12"/>
          <w:color w:val="auto"/>
        </w:rPr>
        <w:t>4.43 Agreement, dated December 31, 2004, by and among the Registrant and the Purchasers named therein (incorporated by reference to correspondingly-numbered exhibit to the 2004 Form 20-F).</w:t>
      </w:r>
    </w:p>
    <w:p>
      <w:pPr>
        <w:spacing w:after="0" w:line="143" w:lineRule="exact"/>
        <w:rPr>
          <w:sz w:val="20"/>
          <w:szCs w:val="20"/>
          <w:color w:val="auto"/>
        </w:rPr>
      </w:pPr>
    </w:p>
    <w:p>
      <w:pPr>
        <w:ind w:left="360" w:right="4679" w:hanging="356"/>
        <w:spacing w:after="0" w:line="239" w:lineRule="auto"/>
        <w:rPr>
          <w:sz w:val="20"/>
          <w:szCs w:val="20"/>
          <w:color w:val="auto"/>
        </w:rPr>
      </w:pPr>
      <w:r>
        <w:rPr>
          <w:rFonts w:ascii="Courier New" w:cs="Courier New" w:eastAsia="Courier New" w:hAnsi="Courier New"/>
          <w:sz w:val="12"/>
          <w:szCs w:val="12"/>
          <w:color w:val="auto"/>
        </w:rPr>
        <w:t>4.44 Employee Share Option Plan 2004 (incorporated by reference to Exhibit 4.3 to the Registrant's Registration Statement on Form S-8 No. 333-117565 ("Form S-8 No. 333-117565").</w:t>
      </w:r>
    </w:p>
    <w:p>
      <w:pPr>
        <w:spacing w:after="0" w:line="143" w:lineRule="exact"/>
        <w:rPr>
          <w:sz w:val="20"/>
          <w:szCs w:val="20"/>
          <w:color w:val="auto"/>
        </w:rPr>
      </w:pPr>
    </w:p>
    <w:p>
      <w:pPr>
        <w:ind w:left="360" w:right="4819" w:hanging="356"/>
        <w:spacing w:after="0" w:line="238" w:lineRule="auto"/>
        <w:rPr>
          <w:sz w:val="20"/>
          <w:szCs w:val="20"/>
          <w:color w:val="auto"/>
        </w:rPr>
      </w:pPr>
      <w:r>
        <w:rPr>
          <w:rFonts w:ascii="Courier New" w:cs="Courier New" w:eastAsia="Courier New" w:hAnsi="Courier New"/>
          <w:sz w:val="12"/>
          <w:szCs w:val="12"/>
          <w:color w:val="auto"/>
        </w:rPr>
        <w:t>4.45 Form of Grant Letter to Israeli Employees (incorporated by reference to Exhibit 4.4 to Form S-8 No. 333-117565).</w:t>
      </w:r>
    </w:p>
    <w:p>
      <w:pPr>
        <w:spacing w:after="0" w:line="142" w:lineRule="exact"/>
        <w:rPr>
          <w:sz w:val="20"/>
          <w:szCs w:val="20"/>
          <w:color w:val="auto"/>
        </w:rPr>
      </w:pPr>
    </w:p>
    <w:p>
      <w:pPr>
        <w:ind w:left="360" w:right="5039" w:hanging="356"/>
        <w:spacing w:after="0" w:line="238" w:lineRule="auto"/>
        <w:rPr>
          <w:sz w:val="20"/>
          <w:szCs w:val="20"/>
          <w:color w:val="auto"/>
        </w:rPr>
      </w:pPr>
      <w:r>
        <w:rPr>
          <w:rFonts w:ascii="Courier New" w:cs="Courier New" w:eastAsia="Courier New" w:hAnsi="Courier New"/>
          <w:sz w:val="12"/>
          <w:szCs w:val="12"/>
          <w:color w:val="auto"/>
        </w:rPr>
        <w:t>4.46 Form of Grant Letter to U.S. Employees (incorporated by reference to Exhibit 4.5 to Form S-8 No. 333-117565).</w:t>
      </w:r>
    </w:p>
    <w:p>
      <w:pPr>
        <w:spacing w:after="0" w:line="142" w:lineRule="exact"/>
        <w:rPr>
          <w:sz w:val="20"/>
          <w:szCs w:val="20"/>
          <w:color w:val="auto"/>
        </w:rPr>
      </w:pPr>
    </w:p>
    <w:p>
      <w:pPr>
        <w:ind w:left="360" w:right="4599" w:hanging="356"/>
        <w:spacing w:after="0" w:line="238" w:lineRule="auto"/>
        <w:rPr>
          <w:sz w:val="20"/>
          <w:szCs w:val="20"/>
          <w:color w:val="auto"/>
        </w:rPr>
      </w:pPr>
      <w:r>
        <w:rPr>
          <w:rFonts w:ascii="Courier New" w:cs="Courier New" w:eastAsia="Courier New" w:hAnsi="Courier New"/>
          <w:sz w:val="12"/>
          <w:szCs w:val="12"/>
          <w:color w:val="auto"/>
        </w:rPr>
        <w:t>4.47 Bank Warrants, dated August 2005, between the Registrant and Bank Hapoalim B.M. and Bank Leumi Le-Israel B.M.</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4.48 Ninth Amendment to the Facility Agreement, dated July 2005, dated July 24,</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2005 (incorporated by reference to Form F-1 No. 333-126909).</w:t>
      </w:r>
    </w:p>
    <w:p>
      <w:pPr>
        <w:spacing w:after="0" w:line="141" w:lineRule="exact"/>
        <w:rPr>
          <w:sz w:val="20"/>
          <w:szCs w:val="20"/>
          <w:color w:val="auto"/>
        </w:rPr>
      </w:pPr>
    </w:p>
    <w:p>
      <w:pPr>
        <w:ind w:left="360" w:right="4539" w:hanging="356"/>
        <w:spacing w:after="0" w:line="238" w:lineRule="auto"/>
        <w:rPr>
          <w:sz w:val="20"/>
          <w:szCs w:val="20"/>
          <w:color w:val="auto"/>
        </w:rPr>
      </w:pPr>
      <w:r>
        <w:rPr>
          <w:rFonts w:ascii="Courier New" w:cs="Courier New" w:eastAsia="Courier New" w:hAnsi="Courier New"/>
          <w:sz w:val="12"/>
          <w:szCs w:val="12"/>
          <w:color w:val="auto"/>
        </w:rPr>
        <w:t>4.49 Tenth Amendment to the Facility Agreement, dated September 2005incorporated by reference to Exhibit 4.4 to Form F-1 No. 333-126909).</w:t>
      </w:r>
    </w:p>
    <w:p>
      <w:pPr>
        <w:spacing w:after="0" w:line="142" w:lineRule="exact"/>
        <w:rPr>
          <w:sz w:val="20"/>
          <w:szCs w:val="20"/>
          <w:color w:val="auto"/>
        </w:rPr>
      </w:pPr>
    </w:p>
    <w:p>
      <w:pPr>
        <w:ind w:left="360" w:right="4899" w:hanging="356"/>
        <w:spacing w:after="0" w:line="280" w:lineRule="auto"/>
        <w:rPr>
          <w:sz w:val="20"/>
          <w:szCs w:val="20"/>
          <w:color w:val="auto"/>
        </w:rPr>
      </w:pPr>
      <w:r>
        <w:rPr>
          <w:rFonts w:ascii="Courier New" w:cs="Courier New" w:eastAsia="Courier New" w:hAnsi="Courier New"/>
          <w:sz w:val="11"/>
          <w:szCs w:val="11"/>
          <w:color w:val="auto"/>
        </w:rPr>
        <w:t>4.50 Eleventh Amendment to the Facility Agreement, dated October 2005 (incorporated by reference to Exhibit 4.3 to Form F-1 No. 333-126909).</w:t>
      </w:r>
    </w:p>
    <w:p>
      <w:pPr>
        <w:spacing w:after="0" w:line="121" w:lineRule="exact"/>
        <w:rPr>
          <w:sz w:val="20"/>
          <w:szCs w:val="20"/>
          <w:color w:val="auto"/>
        </w:rPr>
      </w:pPr>
    </w:p>
    <w:p>
      <w:pPr>
        <w:ind w:left="360" w:right="4899" w:hanging="356"/>
        <w:spacing w:after="0" w:line="280" w:lineRule="auto"/>
        <w:rPr>
          <w:sz w:val="20"/>
          <w:szCs w:val="20"/>
          <w:color w:val="auto"/>
        </w:rPr>
      </w:pPr>
      <w:r>
        <w:rPr>
          <w:rFonts w:ascii="Courier New" w:cs="Courier New" w:eastAsia="Courier New" w:hAnsi="Courier New"/>
          <w:sz w:val="11"/>
          <w:szCs w:val="11"/>
          <w:color w:val="auto"/>
        </w:rPr>
        <w:t>4.51 Twelfth Amendment to the Facility Agreement, dated November 2005 (incorporated by reference to Exhibit 4.6 to Form F-1 No. 333-126909).</w:t>
      </w:r>
    </w:p>
    <w:p>
      <w:pPr>
        <w:spacing w:after="0" w:line="25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96</w:t>
      </w:r>
    </w:p>
    <w:p>
      <w:pPr>
        <w:sectPr>
          <w:pgSz w:w="11900" w:h="16838" w:orient="portrait"/>
          <w:cols w:equalWidth="0" w:num="1">
            <w:col w:w="10239"/>
          </w:cols>
          <w:pgMar w:left="220" w:top="553" w:right="1440" w:bottom="0" w:gutter="0" w:footer="0" w:header="0"/>
        </w:sectPr>
      </w:pPr>
    </w:p>
    <w:bookmarkStart w:id="49" w:name="page50"/>
    <w:bookmarkEnd w:id="49"/>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4.52 Thirteenth Amendment to the Facility Agreement, dated May 2006.</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4.53 Fourteenth Amendment to the Facility Agreement, dated May 2006.</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4.54 Fifteenth Amendment to the Facility Agreement, dated June 2006.</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4.55 Form of Indenture (incorporated by reference to Exhibit 4.2 to Form F-1 No.</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333-126909).</w:t>
      </w:r>
    </w:p>
    <w:p>
      <w:pPr>
        <w:spacing w:after="0" w:line="141" w:lineRule="exact"/>
        <w:rPr>
          <w:sz w:val="20"/>
          <w:szCs w:val="20"/>
          <w:color w:val="auto"/>
        </w:rPr>
      </w:pPr>
    </w:p>
    <w:p>
      <w:pPr>
        <w:ind w:left="360" w:right="4899" w:hanging="356"/>
        <w:spacing w:after="0" w:line="280" w:lineRule="auto"/>
        <w:rPr>
          <w:sz w:val="20"/>
          <w:szCs w:val="20"/>
          <w:color w:val="auto"/>
        </w:rPr>
      </w:pPr>
      <w:r>
        <w:rPr>
          <w:rFonts w:ascii="Courier New" w:cs="Courier New" w:eastAsia="Courier New" w:hAnsi="Courier New"/>
          <w:sz w:val="11"/>
          <w:szCs w:val="11"/>
          <w:color w:val="auto"/>
        </w:rPr>
        <w:t>4.56 Form of Rights Agent Agreement with Rights Certificate Attached (incorporated by reference to Exhibit 4.1 to Form F-1 No. 333-126909).</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4.57 Development and License Agreement, dated July 2005, between Impinj, Inc.</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and the Registrant.</w:t>
      </w:r>
    </w:p>
    <w:p>
      <w:pPr>
        <w:spacing w:after="0" w:line="141" w:lineRule="exact"/>
        <w:rPr>
          <w:sz w:val="20"/>
          <w:szCs w:val="20"/>
          <w:color w:val="auto"/>
        </w:rPr>
      </w:pPr>
    </w:p>
    <w:p>
      <w:pPr>
        <w:ind w:left="360" w:right="4959" w:hanging="356"/>
        <w:spacing w:after="0" w:line="238" w:lineRule="auto"/>
        <w:rPr>
          <w:sz w:val="20"/>
          <w:szCs w:val="20"/>
          <w:color w:val="auto"/>
        </w:rPr>
      </w:pPr>
      <w:r>
        <w:rPr>
          <w:rFonts w:ascii="Courier New" w:cs="Courier New" w:eastAsia="Courier New" w:hAnsi="Courier New"/>
          <w:sz w:val="12"/>
          <w:szCs w:val="12"/>
          <w:color w:val="auto"/>
        </w:rPr>
        <w:t>4.58 License and Design Agreement, dated January 10, 2003 between Chipidea Microelectronics S.A. and the Registrant.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4.59 Amendment to Design Agreement of January 2003 between Chipidea</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Microelectronics S.A. and the Registrant, dated June 2005.</w:t>
      </w:r>
    </w:p>
    <w:p>
      <w:pPr>
        <w:spacing w:after="0" w:line="141" w:lineRule="exact"/>
        <w:rPr>
          <w:sz w:val="20"/>
          <w:szCs w:val="20"/>
          <w:color w:val="auto"/>
        </w:rPr>
      </w:pPr>
    </w:p>
    <w:p>
      <w:pPr>
        <w:ind w:left="360" w:right="4819" w:hanging="356"/>
        <w:spacing w:after="0" w:line="238" w:lineRule="auto"/>
        <w:rPr>
          <w:sz w:val="20"/>
          <w:szCs w:val="20"/>
          <w:color w:val="auto"/>
        </w:rPr>
      </w:pPr>
      <w:r>
        <w:rPr>
          <w:rFonts w:ascii="Courier New" w:cs="Courier New" w:eastAsia="Courier New" w:hAnsi="Courier New"/>
          <w:sz w:val="12"/>
          <w:szCs w:val="12"/>
          <w:color w:val="auto"/>
        </w:rPr>
        <w:t>4.60 License Agreement, dated April 29, 2004, between Synopsys, Inc. and the Registrant.</w:t>
      </w:r>
    </w:p>
    <w:p>
      <w:pPr>
        <w:spacing w:after="0" w:line="142" w:lineRule="exact"/>
        <w:rPr>
          <w:sz w:val="20"/>
          <w:szCs w:val="20"/>
          <w:color w:val="auto"/>
        </w:rPr>
      </w:pPr>
    </w:p>
    <w:p>
      <w:pPr>
        <w:ind w:left="360" w:right="5039" w:hanging="356"/>
        <w:spacing w:after="0" w:line="238" w:lineRule="auto"/>
        <w:rPr>
          <w:sz w:val="20"/>
          <w:szCs w:val="20"/>
          <w:color w:val="auto"/>
        </w:rPr>
      </w:pPr>
      <w:r>
        <w:rPr>
          <w:rFonts w:ascii="Courier New" w:cs="Courier New" w:eastAsia="Courier New" w:hAnsi="Courier New"/>
          <w:sz w:val="12"/>
          <w:szCs w:val="12"/>
          <w:color w:val="auto"/>
        </w:rPr>
        <w:t>4.61 Equipment Purchase Agreement, dated May 17, 2006, between the Israel Corporation Ltd. and the Registrant.</w:t>
      </w:r>
    </w:p>
    <w:p>
      <w:pPr>
        <w:spacing w:after="0" w:line="142" w:lineRule="exact"/>
        <w:rPr>
          <w:sz w:val="20"/>
          <w:szCs w:val="20"/>
          <w:color w:val="auto"/>
        </w:rPr>
      </w:pPr>
    </w:p>
    <w:p>
      <w:pPr>
        <w:ind w:left="360" w:right="4819" w:hanging="356"/>
        <w:spacing w:after="0" w:line="238" w:lineRule="auto"/>
        <w:rPr>
          <w:sz w:val="20"/>
          <w:szCs w:val="20"/>
          <w:color w:val="auto"/>
        </w:rPr>
      </w:pPr>
      <w:r>
        <w:rPr>
          <w:rFonts w:ascii="Courier New" w:cs="Courier New" w:eastAsia="Courier New" w:hAnsi="Courier New"/>
          <w:sz w:val="12"/>
          <w:szCs w:val="12"/>
          <w:color w:val="auto"/>
        </w:rPr>
        <w:t>12.1 Certification by Chief Executive Officer pursuant to Section 302 of the Sarbanes-Oxley Act of 2002.</w:t>
      </w:r>
    </w:p>
    <w:p>
      <w:pPr>
        <w:spacing w:after="0" w:line="142" w:lineRule="exact"/>
        <w:rPr>
          <w:sz w:val="20"/>
          <w:szCs w:val="20"/>
          <w:color w:val="auto"/>
        </w:rPr>
      </w:pPr>
    </w:p>
    <w:p>
      <w:pPr>
        <w:ind w:left="360" w:right="4599" w:hanging="356"/>
        <w:spacing w:after="0" w:line="238" w:lineRule="auto"/>
        <w:rPr>
          <w:sz w:val="20"/>
          <w:szCs w:val="20"/>
          <w:color w:val="auto"/>
        </w:rPr>
      </w:pPr>
      <w:r>
        <w:rPr>
          <w:rFonts w:ascii="Courier New" w:cs="Courier New" w:eastAsia="Courier New" w:hAnsi="Courier New"/>
          <w:sz w:val="12"/>
          <w:szCs w:val="12"/>
          <w:color w:val="auto"/>
        </w:rPr>
        <w:t>12.2 Certification by Acting Chief Financial Officer pursuant to Section 302 of the Sarbanes-Oxley Act of 2002.</w:t>
      </w:r>
    </w:p>
    <w:p>
      <w:pPr>
        <w:spacing w:after="0" w:line="142" w:lineRule="exact"/>
        <w:rPr>
          <w:sz w:val="20"/>
          <w:szCs w:val="20"/>
          <w:color w:val="auto"/>
        </w:rPr>
      </w:pPr>
    </w:p>
    <w:p>
      <w:pPr>
        <w:ind w:left="360" w:right="4819" w:hanging="356"/>
        <w:spacing w:after="0" w:line="238" w:lineRule="auto"/>
        <w:rPr>
          <w:sz w:val="20"/>
          <w:szCs w:val="20"/>
          <w:color w:val="auto"/>
        </w:rPr>
      </w:pPr>
      <w:r>
        <w:rPr>
          <w:rFonts w:ascii="Courier New" w:cs="Courier New" w:eastAsia="Courier New" w:hAnsi="Courier New"/>
          <w:sz w:val="12"/>
          <w:szCs w:val="12"/>
          <w:color w:val="auto"/>
        </w:rPr>
        <w:t>13.1 Certification by Chief Executive Officer pursuant to Section 906 of the Sarbanes-Oxley Act of 2002.</w:t>
      </w:r>
    </w:p>
    <w:p>
      <w:pPr>
        <w:spacing w:after="0" w:line="142" w:lineRule="exact"/>
        <w:rPr>
          <w:sz w:val="20"/>
          <w:szCs w:val="20"/>
          <w:color w:val="auto"/>
        </w:rPr>
      </w:pPr>
    </w:p>
    <w:p>
      <w:pPr>
        <w:ind w:left="360" w:right="4599" w:hanging="356"/>
        <w:spacing w:after="0" w:line="238" w:lineRule="auto"/>
        <w:rPr>
          <w:sz w:val="20"/>
          <w:szCs w:val="20"/>
          <w:color w:val="auto"/>
        </w:rPr>
      </w:pPr>
      <w:r>
        <w:rPr>
          <w:rFonts w:ascii="Courier New" w:cs="Courier New" w:eastAsia="Courier New" w:hAnsi="Courier New"/>
          <w:sz w:val="12"/>
          <w:szCs w:val="12"/>
          <w:color w:val="auto"/>
        </w:rPr>
        <w:t>13.2 Certification by Acting Chief Financial Officer pursuant to Section 906 of the Sarbanes-Oxley Act of 2002.</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14.1 Consent of Brightman Almagor &amp; Co.</w:t>
      </w:r>
    </w:p>
    <w:p>
      <w:pPr>
        <w:spacing w:after="0" w:line="276"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97</w:t>
      </w:r>
    </w:p>
    <w:p>
      <w:pPr>
        <w:spacing w:after="0" w:line="257" w:lineRule="exact"/>
        <w:rPr>
          <w:sz w:val="20"/>
          <w:szCs w:val="20"/>
          <w:color w:val="auto"/>
        </w:rPr>
      </w:pPr>
    </w:p>
    <w:p>
      <w:pPr>
        <w:ind w:left="2000"/>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2"/>
          <w:szCs w:val="12"/>
          <w:color w:val="auto"/>
        </w:rPr>
        <w:t>AND SUBSIDIARY</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2"/>
          <w:szCs w:val="12"/>
          <w:color w:val="auto"/>
        </w:rPr>
        <w:t>CONSOLIDATED FINANCIAL STATEMENTS</w:t>
      </w:r>
    </w:p>
    <w:p>
      <w:pPr>
        <w:spacing w:after="0" w:line="1" w:lineRule="exact"/>
        <w:rPr>
          <w:sz w:val="20"/>
          <w:szCs w:val="20"/>
          <w:color w:val="auto"/>
        </w:rPr>
      </w:pPr>
    </w:p>
    <w:p>
      <w:pPr>
        <w:ind w:left="2060"/>
        <w:spacing w:after="0"/>
        <w:rPr>
          <w:sz w:val="20"/>
          <w:szCs w:val="20"/>
          <w:color w:val="auto"/>
        </w:rPr>
      </w:pPr>
      <w:r>
        <w:rPr>
          <w:rFonts w:ascii="Courier New" w:cs="Courier New" w:eastAsia="Courier New" w:hAnsi="Courier New"/>
          <w:sz w:val="12"/>
          <w:szCs w:val="12"/>
          <w:color w:val="auto"/>
        </w:rPr>
        <w:t>AS OF DECEMBER 31, 2005</w:t>
      </w:r>
    </w:p>
    <w:p>
      <w:pPr>
        <w:spacing w:after="0" w:line="395"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39"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INDEX TO CONSOLIDATED FINANCIAL STATEMENTS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00" w:type="dxa"/>
            <w:vAlign w:val="bottom"/>
          </w:tcPr>
          <w:p>
            <w:pPr>
              <w:spacing w:after="0"/>
              <w:rPr>
                <w:sz w:val="11"/>
                <w:szCs w:val="11"/>
                <w:color w:val="auto"/>
              </w:rPr>
            </w:pPr>
          </w:p>
        </w:tc>
        <w:tc>
          <w:tcPr>
            <w:tcW w:w="880" w:type="dxa"/>
            <w:vAlign w:val="bottom"/>
          </w:tcPr>
          <w:p>
            <w:pPr>
              <w:ind w:left="380"/>
              <w:spacing w:after="0"/>
              <w:rPr>
                <w:sz w:val="20"/>
                <w:szCs w:val="20"/>
                <w:color w:val="auto"/>
              </w:rPr>
            </w:pPr>
            <w:r>
              <w:rPr>
                <w:rFonts w:ascii="Courier New" w:cs="Courier New" w:eastAsia="Courier New" w:hAnsi="Courier New"/>
                <w:sz w:val="12"/>
                <w:szCs w:val="12"/>
                <w:color w:val="auto"/>
              </w:rPr>
              <w:t>Page</w:t>
            </w:r>
          </w:p>
        </w:tc>
      </w:tr>
      <w:tr>
        <w:trPr>
          <w:trHeight w:val="137"/>
        </w:trPr>
        <w:tc>
          <w:tcPr>
            <w:tcW w:w="4100" w:type="dxa"/>
            <w:vAlign w:val="bottom"/>
          </w:tcPr>
          <w:p>
            <w:pPr>
              <w:spacing w:after="0"/>
              <w:rPr>
                <w:sz w:val="11"/>
                <w:szCs w:val="11"/>
                <w:color w:val="auto"/>
              </w:rPr>
            </w:pPr>
          </w:p>
        </w:tc>
        <w:tc>
          <w:tcPr>
            <w:tcW w:w="880" w:type="dxa"/>
            <w:vAlign w:val="bottom"/>
          </w:tcPr>
          <w:p>
            <w:pPr>
              <w:ind w:left="380"/>
              <w:spacing w:after="0"/>
              <w:rPr>
                <w:sz w:val="20"/>
                <w:szCs w:val="20"/>
                <w:color w:val="auto"/>
              </w:rPr>
            </w:pPr>
            <w:r>
              <w:rPr>
                <w:rFonts w:ascii="Courier New" w:cs="Courier New" w:eastAsia="Courier New" w:hAnsi="Courier New"/>
                <w:sz w:val="12"/>
                <w:szCs w:val="12"/>
                <w:color w:val="auto"/>
              </w:rPr>
              <w:t>----</w:t>
            </w:r>
          </w:p>
        </w:tc>
      </w:tr>
      <w:tr>
        <w:trPr>
          <w:trHeight w:val="274"/>
        </w:trPr>
        <w:tc>
          <w:tcPr>
            <w:tcW w:w="4100" w:type="dxa"/>
            <w:vAlign w:val="bottom"/>
          </w:tcPr>
          <w:p>
            <w:pPr>
              <w:spacing w:after="0"/>
              <w:rPr>
                <w:sz w:val="20"/>
                <w:szCs w:val="20"/>
                <w:color w:val="auto"/>
              </w:rPr>
            </w:pPr>
            <w:r>
              <w:rPr>
                <w:rFonts w:ascii="Courier New" w:cs="Courier New" w:eastAsia="Courier New" w:hAnsi="Courier New"/>
                <w:sz w:val="12"/>
                <w:szCs w:val="12"/>
                <w:color w:val="auto"/>
              </w:rPr>
              <w:t>REPORT OF INDEPENDENT REGISTERED PUBLIC ACCOUNTING FIRM</w:t>
            </w:r>
          </w:p>
        </w:tc>
        <w:tc>
          <w:tcPr>
            <w:tcW w:w="880" w:type="dxa"/>
            <w:vAlign w:val="bottom"/>
          </w:tcPr>
          <w:p>
            <w:pPr>
              <w:ind w:left="380"/>
              <w:spacing w:after="0"/>
              <w:rPr>
                <w:sz w:val="20"/>
                <w:szCs w:val="20"/>
                <w:color w:val="auto"/>
              </w:rPr>
            </w:pPr>
            <w:r>
              <w:rPr>
                <w:rFonts w:ascii="Courier New" w:cs="Courier New" w:eastAsia="Courier New" w:hAnsi="Courier New"/>
                <w:sz w:val="12"/>
                <w:szCs w:val="12"/>
                <w:color w:val="auto"/>
              </w:rPr>
              <w:t>F-1</w:t>
            </w:r>
          </w:p>
        </w:tc>
      </w:tr>
      <w:tr>
        <w:trPr>
          <w:trHeight w:val="274"/>
        </w:trPr>
        <w:tc>
          <w:tcPr>
            <w:tcW w:w="410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880" w:type="dxa"/>
            <w:vAlign w:val="bottom"/>
          </w:tcPr>
          <w:p>
            <w:pPr>
              <w:ind w:left="380"/>
              <w:spacing w:after="0"/>
              <w:rPr>
                <w:sz w:val="20"/>
                <w:szCs w:val="20"/>
                <w:color w:val="auto"/>
              </w:rPr>
            </w:pPr>
            <w:r>
              <w:rPr>
                <w:rFonts w:ascii="Courier New" w:cs="Courier New" w:eastAsia="Courier New" w:hAnsi="Courier New"/>
                <w:sz w:val="12"/>
                <w:szCs w:val="12"/>
                <w:color w:val="auto"/>
              </w:rPr>
              <w:t>F-2</w:t>
            </w:r>
          </w:p>
        </w:tc>
      </w:tr>
      <w:tr>
        <w:trPr>
          <w:trHeight w:val="274"/>
        </w:trPr>
        <w:tc>
          <w:tcPr>
            <w:tcW w:w="410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880" w:type="dxa"/>
            <w:vAlign w:val="bottom"/>
          </w:tcPr>
          <w:p>
            <w:pPr>
              <w:ind w:left="380"/>
              <w:spacing w:after="0"/>
              <w:rPr>
                <w:sz w:val="20"/>
                <w:szCs w:val="20"/>
                <w:color w:val="auto"/>
              </w:rPr>
            </w:pPr>
            <w:r>
              <w:rPr>
                <w:rFonts w:ascii="Courier New" w:cs="Courier New" w:eastAsia="Courier New" w:hAnsi="Courier New"/>
                <w:sz w:val="12"/>
                <w:szCs w:val="12"/>
                <w:color w:val="auto"/>
              </w:rPr>
              <w:t>F-3</w:t>
            </w:r>
          </w:p>
        </w:tc>
      </w:tr>
      <w:tr>
        <w:trPr>
          <w:trHeight w:val="274"/>
        </w:trPr>
        <w:tc>
          <w:tcPr>
            <w:tcW w:w="4100" w:type="dxa"/>
            <w:vAlign w:val="bottom"/>
          </w:tcPr>
          <w:p>
            <w:pPr>
              <w:spacing w:after="0"/>
              <w:rPr>
                <w:sz w:val="20"/>
                <w:szCs w:val="20"/>
                <w:color w:val="auto"/>
              </w:rPr>
            </w:pPr>
            <w:r>
              <w:rPr>
                <w:rFonts w:ascii="Courier New" w:cs="Courier New" w:eastAsia="Courier New" w:hAnsi="Courier New"/>
                <w:sz w:val="12"/>
                <w:szCs w:val="12"/>
                <w:color w:val="auto"/>
              </w:rPr>
              <w:t>STATEMENTS OF CHANGES IN SHAREHOLDERS' EQUITY</w:t>
            </w:r>
          </w:p>
        </w:tc>
        <w:tc>
          <w:tcPr>
            <w:tcW w:w="880" w:type="dxa"/>
            <w:vAlign w:val="bottom"/>
          </w:tcPr>
          <w:p>
            <w:pPr>
              <w:ind w:left="380"/>
              <w:spacing w:after="0"/>
              <w:rPr>
                <w:sz w:val="20"/>
                <w:szCs w:val="20"/>
                <w:color w:val="auto"/>
              </w:rPr>
            </w:pPr>
            <w:r>
              <w:rPr>
                <w:rFonts w:ascii="Courier New" w:cs="Courier New" w:eastAsia="Courier New" w:hAnsi="Courier New"/>
                <w:sz w:val="12"/>
                <w:szCs w:val="12"/>
                <w:color w:val="auto"/>
              </w:rPr>
              <w:t>F-4</w:t>
            </w:r>
          </w:p>
        </w:tc>
      </w:tr>
      <w:tr>
        <w:trPr>
          <w:trHeight w:val="274"/>
        </w:trPr>
        <w:tc>
          <w:tcPr>
            <w:tcW w:w="410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880" w:type="dxa"/>
            <w:vAlign w:val="bottom"/>
          </w:tcPr>
          <w:p>
            <w:pPr>
              <w:ind w:left="380"/>
              <w:spacing w:after="0"/>
              <w:rPr>
                <w:sz w:val="20"/>
                <w:szCs w:val="20"/>
                <w:color w:val="auto"/>
              </w:rPr>
            </w:pPr>
            <w:r>
              <w:rPr>
                <w:rFonts w:ascii="Courier New" w:cs="Courier New" w:eastAsia="Courier New" w:hAnsi="Courier New"/>
                <w:sz w:val="12"/>
                <w:szCs w:val="12"/>
                <w:color w:val="auto"/>
              </w:rPr>
              <w:t>F-5</w:t>
            </w:r>
          </w:p>
        </w:tc>
      </w:tr>
      <w:tr>
        <w:trPr>
          <w:trHeight w:val="274"/>
        </w:trPr>
        <w:tc>
          <w:tcPr>
            <w:tcW w:w="410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880" w:type="dxa"/>
            <w:vAlign w:val="bottom"/>
          </w:tcPr>
          <w:p>
            <w:pPr>
              <w:ind w:left="180"/>
              <w:spacing w:after="0"/>
              <w:rPr>
                <w:sz w:val="20"/>
                <w:szCs w:val="20"/>
                <w:color w:val="auto"/>
              </w:rPr>
            </w:pPr>
            <w:r>
              <w:rPr>
                <w:rFonts w:ascii="Courier New" w:cs="Courier New" w:eastAsia="Courier New" w:hAnsi="Courier New"/>
                <w:sz w:val="12"/>
                <w:szCs w:val="12"/>
                <w:color w:val="auto"/>
                <w:w w:val="94"/>
              </w:rPr>
              <w:t>F-6 - F-58</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Brightman Almagor</w:t>
      </w:r>
    </w:p>
    <w:p>
      <w:pPr>
        <w:spacing w:after="0" w:line="1"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1 Azrieli Center</w:t>
      </w:r>
    </w:p>
    <w:p>
      <w:pPr>
        <w:spacing w:after="0" w:line="1"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Tel Aviv 67021</w:t>
      </w:r>
    </w:p>
    <w:p>
      <w:pPr>
        <w:spacing w:after="0" w:line="1"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P.O.B. 16593, Tel Aviv 61164</w:t>
      </w:r>
    </w:p>
    <w:p>
      <w:pPr>
        <w:spacing w:after="0" w:line="1"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Israel</w:t>
      </w:r>
    </w:p>
    <w:p>
      <w:pPr>
        <w:spacing w:after="0" w:line="139"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Tel: +972 (3) 608 5555</w:t>
      </w:r>
    </w:p>
    <w:p>
      <w:pPr>
        <w:spacing w:after="0" w:line="1"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Fax: +972 (3) 609 4022</w:t>
      </w:r>
    </w:p>
    <w:p>
      <w:pPr>
        <w:spacing w:after="0" w:line="1"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info@deloitte.co.il</w:t>
      </w:r>
    </w:p>
    <w:p>
      <w:pPr>
        <w:spacing w:after="0" w:line="1"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2"/>
          <w:szCs w:val="12"/>
          <w:color w:val="auto"/>
        </w:rPr>
        <w:t>www.deloitte.com</w:t>
      </w:r>
    </w:p>
    <w:p>
      <w:pPr>
        <w:spacing w:after="0" w:line="139"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REPORT OF INDEPENDENT REGISTERED PUBLIC ACCOUNTING FIRM</w:t>
      </w:r>
    </w:p>
    <w:p>
      <w:pPr>
        <w:spacing w:after="0" w:line="276"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TO THE SHAREHOLDERS OF</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TOWER SEMICONDUCTOR LTD.</w:t>
      </w:r>
    </w:p>
    <w:p>
      <w:pPr>
        <w:spacing w:after="0" w:line="279" w:lineRule="exact"/>
        <w:rPr>
          <w:sz w:val="20"/>
          <w:szCs w:val="20"/>
          <w:color w:val="auto"/>
        </w:rPr>
      </w:pPr>
    </w:p>
    <w:p>
      <w:pPr>
        <w:ind w:right="4759"/>
        <w:spacing w:after="0" w:line="267" w:lineRule="auto"/>
        <w:rPr>
          <w:sz w:val="20"/>
          <w:szCs w:val="20"/>
          <w:color w:val="auto"/>
        </w:rPr>
      </w:pPr>
      <w:r>
        <w:rPr>
          <w:rFonts w:ascii="Courier New" w:cs="Courier New" w:eastAsia="Courier New" w:hAnsi="Courier New"/>
          <w:sz w:val="11"/>
          <w:szCs w:val="11"/>
          <w:color w:val="auto"/>
        </w:rPr>
        <w:t>We have audited the accompanying consolidated balance sheets of Tower Semiconductor Ltd. and subsidiary ("the Company") as of December 31, 2005 and 2004, and the related consolidated statements of operations, changes in shareholders' equity and cash flows for each of the three years in the period ended December 31, 2005. These financial statements are the responsibility of the Company's Board of Directors and management. Our responsibility is to express an opinion on these financial statements based on our audits.</w:t>
      </w:r>
    </w:p>
    <w:p>
      <w:pPr>
        <w:spacing w:after="0" w:line="127" w:lineRule="exact"/>
        <w:rPr>
          <w:sz w:val="20"/>
          <w:szCs w:val="20"/>
          <w:color w:val="auto"/>
        </w:rPr>
      </w:pPr>
    </w:p>
    <w:p>
      <w:pPr>
        <w:ind w:right="4539"/>
        <w:spacing w:after="0" w:line="241" w:lineRule="auto"/>
        <w:rPr>
          <w:sz w:val="20"/>
          <w:szCs w:val="20"/>
          <w:color w:val="auto"/>
        </w:rPr>
      </w:pPr>
      <w:r>
        <w:rPr>
          <w:rFonts w:ascii="Courier New" w:cs="Courier New" w:eastAsia="Courier New" w:hAnsi="Courier New"/>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our opinion, the consolidated financial statements referred to above present</w:t>
      </w:r>
    </w:p>
    <w:p>
      <w:pPr>
        <w:sectPr>
          <w:pgSz w:w="11900" w:h="16851" w:orient="portrait"/>
          <w:cols w:equalWidth="0" w:num="1">
            <w:col w:w="10239"/>
          </w:cols>
          <w:pgMar w:left="220" w:top="275" w:right="1440" w:bottom="0" w:gutter="0" w:footer="0" w:header="0"/>
        </w:sectPr>
      </w:pPr>
    </w:p>
    <w:bookmarkStart w:id="50" w:name="page51"/>
    <w:bookmarkEnd w:id="50"/>
    <w:p>
      <w:pPr>
        <w:spacing w:after="0" w:line="59" w:lineRule="exact"/>
        <w:rPr>
          <w:sz w:val="20"/>
          <w:szCs w:val="20"/>
          <w:color w:val="auto"/>
        </w:rPr>
      </w:pPr>
    </w:p>
    <w:p>
      <w:pPr>
        <w:ind w:right="4599"/>
        <w:spacing w:after="0" w:line="241" w:lineRule="auto"/>
        <w:rPr>
          <w:sz w:val="20"/>
          <w:szCs w:val="20"/>
          <w:color w:val="auto"/>
        </w:rPr>
      </w:pPr>
      <w:r>
        <w:rPr>
          <w:rFonts w:ascii="Courier New" w:cs="Courier New" w:eastAsia="Courier New" w:hAnsi="Courier New"/>
          <w:sz w:val="12"/>
          <w:szCs w:val="12"/>
          <w:color w:val="auto"/>
        </w:rPr>
        <w:t>fairly, in all material respects, the consolidated financial position of the Company and subsidiary as of December 31, 2005 and 2004, and the consolidated results of their operations and their cash flows for each of the three years in the period ended December 31, 2005, in accordance with accounting principles generally accepted in Israel.</w:t>
      </w:r>
    </w:p>
    <w:p>
      <w:pPr>
        <w:spacing w:after="0" w:line="141" w:lineRule="exact"/>
        <w:rPr>
          <w:sz w:val="20"/>
          <w:szCs w:val="20"/>
          <w:color w:val="auto"/>
        </w:rPr>
      </w:pPr>
    </w:p>
    <w:p>
      <w:pPr>
        <w:ind w:right="4539"/>
        <w:spacing w:after="0" w:line="241" w:lineRule="auto"/>
        <w:rPr>
          <w:sz w:val="20"/>
          <w:szCs w:val="20"/>
          <w:color w:val="auto"/>
        </w:rPr>
      </w:pPr>
      <w:r>
        <w:rPr>
          <w:rFonts w:ascii="Courier New" w:cs="Courier New" w:eastAsia="Courier New" w:hAnsi="Courier New"/>
          <w:sz w:val="12"/>
          <w:szCs w:val="12"/>
          <w:color w:val="auto"/>
        </w:rPr>
        <w:t>Accounting principles generally accepted in Israel vary in certain significant respects from accounting principles generally accepted in the United States of America. The effect of the application of the latter on the financial position, results of operations and cash flows as of the dates and for the years presented is summarized in Note 20.</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CERTIFIED PUBLIC ACCOUNTANTS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MEMBER FIRM OF DELOITTE TOUCHE TOHMATSU</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February 1, 2006</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340" w:type="dxa"/>
            <w:vAlign w:val="bottom"/>
          </w:tcPr>
          <w:p>
            <w:pPr>
              <w:ind w:left="2640"/>
              <w:spacing w:after="0"/>
              <w:rPr>
                <w:sz w:val="20"/>
                <w:szCs w:val="20"/>
                <w:color w:val="auto"/>
              </w:rPr>
            </w:pPr>
            <w:r>
              <w:rPr>
                <w:rFonts w:ascii="Courier New" w:cs="Courier New" w:eastAsia="Courier New" w:hAnsi="Courier New"/>
                <w:sz w:val="12"/>
                <w:szCs w:val="12"/>
                <w:color w:val="auto"/>
              </w:rPr>
              <w:t>F - 1</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531"/>
        </w:trPr>
        <w:tc>
          <w:tcPr>
            <w:tcW w:w="5340" w:type="dxa"/>
            <w:vAlign w:val="bottom"/>
          </w:tcPr>
          <w:p>
            <w:pPr>
              <w:ind w:left="1500"/>
              <w:spacing w:after="0"/>
              <w:rPr>
                <w:sz w:val="20"/>
                <w:szCs w:val="20"/>
                <w:color w:val="auto"/>
              </w:rPr>
            </w:pPr>
            <w:r>
              <w:rPr>
                <w:rFonts w:ascii="Courier New" w:cs="Courier New" w:eastAsia="Courier New" w:hAnsi="Courier New"/>
                <w:sz w:val="12"/>
                <w:szCs w:val="12"/>
                <w:color w:val="auto"/>
              </w:rPr>
              <w:t>TOWER SEMICONDUCTOR LTD. AND SUBSIDIARY</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37"/>
        </w:trPr>
        <w:tc>
          <w:tcPr>
            <w:tcW w:w="5340" w:type="dxa"/>
            <w:vAlign w:val="bottom"/>
          </w:tcPr>
          <w:p>
            <w:pPr>
              <w:ind w:left="1920"/>
              <w:spacing w:after="0"/>
              <w:rPr>
                <w:sz w:val="20"/>
                <w:szCs w:val="20"/>
                <w:color w:val="auto"/>
              </w:rPr>
            </w:pPr>
            <w:r>
              <w:rPr>
                <w:rFonts w:ascii="Courier New" w:cs="Courier New" w:eastAsia="Courier New" w:hAnsi="Courier New"/>
                <w:sz w:val="12"/>
                <w:szCs w:val="12"/>
                <w:color w:val="auto"/>
              </w:rPr>
              <w:t>CONSOLIDATED BALANCE SHEETS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5340" w:type="dxa"/>
            <w:vAlign w:val="bottom"/>
          </w:tcPr>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74"/>
        </w:trPr>
        <w:tc>
          <w:tcPr>
            <w:tcW w:w="5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6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spacing w:after="0"/>
              <w:rPr>
                <w:sz w:val="11"/>
                <w:szCs w:val="11"/>
                <w:color w:val="auto"/>
              </w:rPr>
            </w:pPr>
          </w:p>
        </w:tc>
        <w:tc>
          <w:tcPr>
            <w:tcW w:w="10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NOTE</w:t>
            </w:r>
          </w:p>
        </w:tc>
        <w:tc>
          <w:tcPr>
            <w:tcW w:w="240" w:type="dxa"/>
            <w:vAlign w:val="bottom"/>
          </w:tcPr>
          <w:p>
            <w:pPr>
              <w:spacing w:after="0"/>
              <w:rPr>
                <w:sz w:val="11"/>
                <w:szCs w:val="11"/>
                <w:color w:val="auto"/>
              </w:rPr>
            </w:pPr>
          </w:p>
        </w:tc>
        <w:tc>
          <w:tcPr>
            <w:tcW w:w="7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2005</w:t>
            </w:r>
          </w:p>
        </w:tc>
        <w:tc>
          <w:tcPr>
            <w:tcW w:w="22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5340" w:type="dxa"/>
            <w:vAlign w:val="bottom"/>
          </w:tcPr>
          <w:p>
            <w:pPr>
              <w:spacing w:after="0"/>
              <w:rPr>
                <w:sz w:val="11"/>
                <w:szCs w:val="11"/>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CURRENT ASSETS</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CASH AND CASH EQUIVALENTS</w:t>
            </w:r>
          </w:p>
        </w:tc>
        <w:tc>
          <w:tcPr>
            <w:tcW w:w="10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7,337</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  27,664</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DESIGNATED CASH AND SHORT-TERM INTEREST-BEARING DEPOSITS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31,661</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53,793</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TRADE ACCOUNTS RECEIVABLE:</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5340" w:type="dxa"/>
            <w:vAlign w:val="bottom"/>
          </w:tcPr>
          <w:p>
            <w:pPr>
              <w:ind w:left="700"/>
              <w:spacing w:after="0"/>
              <w:rPr>
                <w:sz w:val="20"/>
                <w:szCs w:val="20"/>
                <w:color w:val="auto"/>
              </w:rPr>
            </w:pPr>
            <w:r>
              <w:rPr>
                <w:rFonts w:ascii="Courier New" w:cs="Courier New" w:eastAsia="Courier New" w:hAnsi="Courier New"/>
                <w:sz w:val="12"/>
                <w:szCs w:val="12"/>
                <w:color w:val="auto"/>
              </w:rPr>
              <w:t>RELATED PARTIES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5,309</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9,054</w:t>
            </w:r>
          </w:p>
        </w:tc>
      </w:tr>
      <w:tr>
        <w:trPr>
          <w:trHeight w:val="137"/>
        </w:trPr>
        <w:tc>
          <w:tcPr>
            <w:tcW w:w="5340" w:type="dxa"/>
            <w:vAlign w:val="bottom"/>
          </w:tcPr>
          <w:p>
            <w:pPr>
              <w:ind w:left="700"/>
              <w:spacing w:after="0"/>
              <w:rPr>
                <w:sz w:val="20"/>
                <w:szCs w:val="20"/>
                <w:color w:val="auto"/>
              </w:rPr>
            </w:pPr>
            <w:r>
              <w:rPr>
                <w:rFonts w:ascii="Courier New" w:cs="Courier New" w:eastAsia="Courier New" w:hAnsi="Courier New"/>
                <w:sz w:val="12"/>
                <w:szCs w:val="12"/>
                <w:color w:val="auto"/>
              </w:rPr>
              <w:t>OTHERS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11,467</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10,232</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OTHER RECEIVABLES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9,043</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11,365</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INVENTORIES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24,376</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25,669</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OTHER CURRENT ASSETS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1,048</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1,818</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ind w:left="840"/>
              <w:spacing w:after="0"/>
              <w:rPr>
                <w:sz w:val="20"/>
                <w:szCs w:val="20"/>
                <w:color w:val="auto"/>
              </w:rPr>
            </w:pPr>
            <w:r>
              <w:rPr>
                <w:rFonts w:ascii="Courier New" w:cs="Courier New" w:eastAsia="Courier New" w:hAnsi="Courier New"/>
                <w:sz w:val="12"/>
                <w:szCs w:val="12"/>
                <w:color w:val="auto"/>
              </w:rPr>
              <w:t>TOTAL CURRENT ASSETS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90,241</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139,595</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LONG-TERM INVESTMENTS</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7"/>
        </w:trPr>
        <w:tc>
          <w:tcPr>
            <w:tcW w:w="5340" w:type="dxa"/>
            <w:vAlign w:val="bottom"/>
          </w:tcPr>
          <w:p>
            <w:pPr>
              <w:ind w:left="560"/>
              <w:spacing w:after="0"/>
              <w:rPr>
                <w:sz w:val="20"/>
                <w:szCs w:val="20"/>
                <w:color w:val="auto"/>
              </w:rPr>
            </w:pPr>
            <w:r>
              <w:rPr>
                <w:rFonts w:ascii="Courier New" w:cs="Courier New" w:eastAsia="Courier New" w:hAnsi="Courier New"/>
                <w:sz w:val="12"/>
                <w:szCs w:val="12"/>
                <w:color w:val="auto"/>
              </w:rPr>
              <w:t>LONG-TERM INTEREST-BEARING DEPOSITS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5340" w:type="dxa"/>
            <w:vAlign w:val="bottom"/>
          </w:tcPr>
          <w:p>
            <w:pPr>
              <w:ind w:left="700"/>
              <w:spacing w:after="0"/>
              <w:rPr>
                <w:sz w:val="20"/>
                <w:szCs w:val="20"/>
                <w:color w:val="auto"/>
              </w:rPr>
            </w:pPr>
            <w:r>
              <w:rPr>
                <w:rFonts w:ascii="Courier New" w:cs="Courier New" w:eastAsia="Courier New" w:hAnsi="Courier New"/>
                <w:sz w:val="12"/>
                <w:szCs w:val="12"/>
                <w:color w:val="auto"/>
              </w:rPr>
              <w:t>DESIGNATED FOR FAB 2 OPERATIONS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5,134</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PROPERTY AND EQUIPMENT, NET</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w:t>
            </w:r>
          </w:p>
        </w:tc>
        <w:tc>
          <w:tcPr>
            <w:tcW w:w="240" w:type="dxa"/>
            <w:vAlign w:val="bottom"/>
          </w:tcPr>
          <w:p>
            <w:pPr>
              <w:spacing w:after="0"/>
              <w:rPr>
                <w:sz w:val="23"/>
                <w:szCs w:val="23"/>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510,645</w:t>
            </w:r>
          </w:p>
        </w:tc>
        <w:tc>
          <w:tcPr>
            <w:tcW w:w="2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609,296</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OTHER ASSETS, NET:</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TECHNOLOGY</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61,441</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76,950</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OTHER</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16,359</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16,533</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77,800</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93,483</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ind w:left="840"/>
              <w:spacing w:after="0"/>
              <w:rPr>
                <w:sz w:val="20"/>
                <w:szCs w:val="20"/>
                <w:color w:val="auto"/>
              </w:rPr>
            </w:pPr>
            <w:r>
              <w:rPr>
                <w:rFonts w:ascii="Courier New" w:cs="Courier New" w:eastAsia="Courier New" w:hAnsi="Courier New"/>
                <w:sz w:val="12"/>
                <w:szCs w:val="12"/>
                <w:color w:val="auto"/>
              </w:rPr>
              <w:t>TOTAL ASSETS</w:t>
            </w: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$ 678,686</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$ 847,508</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34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CURRENT LIABILITIES</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CURRENT MATURITIES OF LONG-TERM DEBT</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21,103</w:t>
            </w:r>
          </w:p>
        </w:tc>
        <w:tc>
          <w:tcPr>
            <w:tcW w:w="2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6,453</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TRADE ACCOUNTS PAYABLE</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59,741</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65,326</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OTHER CURRENT LIABILITIES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8,972</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10,678</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ind w:left="840"/>
              <w:spacing w:after="0"/>
              <w:rPr>
                <w:sz w:val="20"/>
                <w:szCs w:val="20"/>
                <w:color w:val="auto"/>
              </w:rPr>
            </w:pPr>
            <w:r>
              <w:rPr>
                <w:rFonts w:ascii="Courier New" w:cs="Courier New" w:eastAsia="Courier New" w:hAnsi="Courier New"/>
                <w:sz w:val="12"/>
                <w:szCs w:val="12"/>
                <w:color w:val="auto"/>
              </w:rPr>
              <w:t>TOTAL CURRENT LIABILITIES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96,269</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76,004</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LONG-TERM DEBT</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w:t>
            </w:r>
          </w:p>
        </w:tc>
        <w:tc>
          <w:tcPr>
            <w:tcW w:w="240" w:type="dxa"/>
            <w:vAlign w:val="bottom"/>
          </w:tcPr>
          <w:p>
            <w:pPr>
              <w:spacing w:after="0"/>
              <w:rPr>
                <w:sz w:val="23"/>
                <w:szCs w:val="23"/>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497,000</w:t>
            </w:r>
          </w:p>
        </w:tc>
        <w:tc>
          <w:tcPr>
            <w:tcW w:w="2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497,000</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CONVERTIBLE DEBENTURES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w:t>
            </w:r>
          </w:p>
        </w:tc>
        <w:tc>
          <w:tcPr>
            <w:tcW w:w="240" w:type="dxa"/>
            <w:vAlign w:val="bottom"/>
          </w:tcPr>
          <w:p>
            <w:pPr>
              <w:spacing w:after="0"/>
              <w:rPr>
                <w:sz w:val="23"/>
                <w:szCs w:val="23"/>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19,358</w:t>
            </w:r>
          </w:p>
        </w:tc>
        <w:tc>
          <w:tcPr>
            <w:tcW w:w="2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26,651</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LONG-TERM LIABILITY IN RESPECT</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7"/>
        </w:trPr>
        <w:tc>
          <w:tcPr>
            <w:tcW w:w="5340" w:type="dxa"/>
            <w:vAlign w:val="bottom"/>
          </w:tcPr>
          <w:p>
            <w:pPr>
              <w:ind w:left="560"/>
              <w:spacing w:after="0"/>
              <w:rPr>
                <w:sz w:val="20"/>
                <w:szCs w:val="20"/>
                <w:color w:val="auto"/>
              </w:rPr>
            </w:pPr>
            <w:r>
              <w:rPr>
                <w:rFonts w:ascii="Courier New" w:cs="Courier New" w:eastAsia="Courier New" w:hAnsi="Courier New"/>
                <w:sz w:val="12"/>
                <w:szCs w:val="12"/>
                <w:color w:val="auto"/>
              </w:rPr>
              <w:t>OF CUSTOMERS' ADVANCES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11A</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59,621</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64,428</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OTHER LONG-TERM LIABILITIES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w:t>
            </w:r>
          </w:p>
        </w:tc>
        <w:tc>
          <w:tcPr>
            <w:tcW w:w="240" w:type="dxa"/>
            <w:vAlign w:val="bottom"/>
          </w:tcPr>
          <w:p>
            <w:pPr>
              <w:spacing w:after="0"/>
              <w:rPr>
                <w:sz w:val="23"/>
                <w:szCs w:val="23"/>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11,012</w:t>
            </w:r>
          </w:p>
        </w:tc>
        <w:tc>
          <w:tcPr>
            <w:tcW w:w="2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15,445</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COMMITMENTS AND CONTINGENCIES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ind w:left="840"/>
              <w:spacing w:after="0"/>
              <w:rPr>
                <w:sz w:val="20"/>
                <w:szCs w:val="20"/>
                <w:color w:val="auto"/>
              </w:rPr>
            </w:pPr>
            <w:r>
              <w:rPr>
                <w:rFonts w:ascii="Courier New" w:cs="Courier New" w:eastAsia="Courier New" w:hAnsi="Courier New"/>
                <w:sz w:val="12"/>
                <w:szCs w:val="12"/>
                <w:color w:val="auto"/>
              </w:rPr>
              <w:t>TOTAL LIABILITIES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683,260</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679,528</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CONVERTIBLE DEBENTURES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w:t>
            </w:r>
          </w:p>
        </w:tc>
        <w:tc>
          <w:tcPr>
            <w:tcW w:w="240" w:type="dxa"/>
            <w:vAlign w:val="bottom"/>
          </w:tcPr>
          <w:p>
            <w:pPr>
              <w:spacing w:after="0"/>
              <w:rPr>
                <w:sz w:val="23"/>
                <w:szCs w:val="23"/>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25,493</w:t>
            </w:r>
          </w:p>
        </w:tc>
        <w:tc>
          <w:tcPr>
            <w:tcW w:w="2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340" w:type="dxa"/>
            <w:vAlign w:val="bottom"/>
          </w:tcPr>
          <w:p>
            <w:pPr>
              <w:ind w:left="280"/>
              <w:spacing w:after="0"/>
              <w:rPr>
                <w:sz w:val="20"/>
                <w:szCs w:val="20"/>
                <w:color w:val="auto"/>
              </w:rPr>
            </w:pPr>
            <w:r>
              <w:rPr>
                <w:rFonts w:ascii="Courier New" w:cs="Courier New" w:eastAsia="Courier New" w:hAnsi="Courier New"/>
                <w:sz w:val="12"/>
                <w:szCs w:val="12"/>
                <w:color w:val="auto"/>
              </w:rPr>
              <w:t>SHAREHOLDERS' EQUITY (DEFICIT)</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ORDINARY SHARES, NIS 1.00 PAR VALUE - AUTHORIZED</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5340" w:type="dxa"/>
            <w:vAlign w:val="bottom"/>
          </w:tcPr>
          <w:p>
            <w:pPr>
              <w:ind w:left="700"/>
              <w:spacing w:after="0"/>
              <w:rPr>
                <w:sz w:val="20"/>
                <w:szCs w:val="20"/>
                <w:color w:val="auto"/>
              </w:rPr>
            </w:pPr>
            <w:r>
              <w:rPr>
                <w:rFonts w:ascii="Courier New" w:cs="Courier New" w:eastAsia="Courier New" w:hAnsi="Courier New"/>
                <w:sz w:val="12"/>
                <w:szCs w:val="12"/>
                <w:color w:val="auto"/>
              </w:rPr>
              <w:t>500,000,000 AND 250,000,000 SHARES, RESPECTIVELY;</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5340" w:type="dxa"/>
            <w:vAlign w:val="bottom"/>
          </w:tcPr>
          <w:p>
            <w:pPr>
              <w:ind w:left="780"/>
              <w:spacing w:after="0"/>
              <w:rPr>
                <w:sz w:val="20"/>
                <w:szCs w:val="20"/>
                <w:color w:val="auto"/>
              </w:rPr>
            </w:pPr>
            <w:r>
              <w:rPr>
                <w:rFonts w:ascii="Courier New" w:cs="Courier New" w:eastAsia="Courier New" w:hAnsi="Courier New"/>
                <w:sz w:val="12"/>
                <w:szCs w:val="12"/>
                <w:color w:val="auto"/>
              </w:rPr>
              <w:t>ISSUED 68,232,056 AND 66,999,796 SHARES, RESPECTIVELY</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11A, 13</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16,548</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16,274</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ADDITIONAL PAID-IN CAPITAL</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11A</w:t>
            </w:r>
          </w:p>
        </w:tc>
        <w:tc>
          <w:tcPr>
            <w:tcW w:w="240" w:type="dxa"/>
            <w:vAlign w:val="bottom"/>
          </w:tcPr>
          <w:p>
            <w:pPr>
              <w:spacing w:after="0"/>
              <w:rPr>
                <w:sz w:val="11"/>
                <w:szCs w:val="11"/>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522,237</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517,476</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SHAREHOLDER RECEIVABLES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(26)</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(26)</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ACCUMULATED DEFICIT</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w w:val="98"/>
              </w:rPr>
              <w:t>(559,754)</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(356,672)</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(20,995)</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177,052</w:t>
            </w:r>
          </w:p>
        </w:tc>
      </w:tr>
      <w:tr>
        <w:trPr>
          <w:trHeight w:val="137"/>
        </w:trPr>
        <w:tc>
          <w:tcPr>
            <w:tcW w:w="5340" w:type="dxa"/>
            <w:vAlign w:val="bottom"/>
          </w:tcPr>
          <w:p>
            <w:pPr>
              <w:ind w:left="500"/>
              <w:spacing w:after="0"/>
              <w:rPr>
                <w:sz w:val="20"/>
                <w:szCs w:val="20"/>
                <w:color w:val="auto"/>
              </w:rPr>
            </w:pPr>
            <w:r>
              <w:rPr>
                <w:rFonts w:ascii="Courier New" w:cs="Courier New" w:eastAsia="Courier New" w:hAnsi="Courier New"/>
                <w:sz w:val="12"/>
                <w:szCs w:val="12"/>
                <w:color w:val="auto"/>
              </w:rPr>
              <w:t>TREASURY STOCK, AT COST - 1,300,000 SHARES</w:t>
            </w:r>
          </w:p>
        </w:tc>
        <w:tc>
          <w:tcPr>
            <w:tcW w:w="10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13C</w:t>
            </w:r>
          </w:p>
        </w:tc>
        <w:tc>
          <w:tcPr>
            <w:tcW w:w="240" w:type="dxa"/>
            <w:vAlign w:val="bottom"/>
          </w:tcPr>
          <w:p>
            <w:pPr>
              <w:spacing w:after="0"/>
              <w:rPr>
                <w:sz w:val="11"/>
                <w:szCs w:val="11"/>
                <w:color w:val="auto"/>
              </w:rPr>
            </w:pP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(9,072)</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340" w:type="dxa"/>
            <w:vAlign w:val="bottom"/>
          </w:tcPr>
          <w:p>
            <w:pPr>
              <w:ind w:left="840"/>
              <w:spacing w:after="0"/>
              <w:rPr>
                <w:sz w:val="20"/>
                <w:szCs w:val="20"/>
                <w:color w:val="auto"/>
              </w:rPr>
            </w:pPr>
            <w:r>
              <w:rPr>
                <w:rFonts w:ascii="Courier New" w:cs="Courier New" w:eastAsia="Courier New" w:hAnsi="Courier New"/>
                <w:sz w:val="12"/>
                <w:szCs w:val="12"/>
                <w:color w:val="auto"/>
              </w:rPr>
              <w:t>TOTAL SHAREHOLDERS' EQUITY (DEFICIT)</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1"/>
              <w:spacing w:after="0"/>
              <w:rPr>
                <w:sz w:val="20"/>
                <w:szCs w:val="20"/>
                <w:color w:val="auto"/>
              </w:rPr>
            </w:pPr>
            <w:r>
              <w:rPr>
                <w:rFonts w:ascii="Courier New" w:cs="Courier New" w:eastAsia="Courier New" w:hAnsi="Courier New"/>
                <w:sz w:val="12"/>
                <w:szCs w:val="12"/>
                <w:color w:val="auto"/>
              </w:rPr>
              <w:t>(30,067)</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167,980</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340" w:type="dxa"/>
            <w:vAlign w:val="bottom"/>
          </w:tcPr>
          <w:p>
            <w:pPr>
              <w:ind w:left="84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1040" w:type="dxa"/>
            <w:vAlign w:val="bottom"/>
          </w:tcPr>
          <w:p>
            <w:pPr>
              <w:spacing w:after="0"/>
              <w:rPr>
                <w:sz w:val="23"/>
                <w:szCs w:val="23"/>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$ 678,686</w:t>
            </w:r>
          </w:p>
        </w:tc>
        <w:tc>
          <w:tcPr>
            <w:tcW w:w="2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$ 847,508</w:t>
            </w:r>
          </w:p>
        </w:tc>
      </w:tr>
      <w:tr>
        <w:trPr>
          <w:trHeight w:val="137"/>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7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w:t>
      </w:r>
    </w:p>
    <w:p>
      <w:pPr>
        <w:spacing w:after="0" w:line="395" w:lineRule="exact"/>
        <w:rPr>
          <w:sz w:val="20"/>
          <w:szCs w:val="20"/>
          <w:color w:val="auto"/>
        </w:rPr>
      </w:pPr>
    </w:p>
    <w:p>
      <w:pPr>
        <w:ind w:left="114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2"/>
          <w:szCs w:val="12"/>
          <w:color w:val="auto"/>
        </w:rPr>
        <w:t>CONSOLIDATED STATEMENTS OF OPERATIONS</w:t>
      </w:r>
    </w:p>
    <w:p>
      <w:pPr>
        <w:spacing w:after="0" w:line="1"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ind w:left="6420"/>
        <w:spacing w:after="0"/>
        <w:rPr>
          <w:sz w:val="20"/>
          <w:szCs w:val="20"/>
          <w:color w:val="auto"/>
        </w:rPr>
      </w:pPr>
      <w:r>
        <w:rPr>
          <w:rFonts w:ascii="Courier New" w:cs="Courier New" w:eastAsia="Courier New" w:hAnsi="Courier New"/>
          <w:sz w:val="12"/>
          <w:szCs w:val="12"/>
          <w:color w:val="auto"/>
        </w:rPr>
        <w:t>Year ended December 31,</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1"/>
          <w:szCs w:val="11"/>
          <w:color w:val="auto"/>
        </w:rPr>
        <w:t>---------------------------------------</w:t>
      </w:r>
    </w:p>
    <w:p>
      <w:pPr>
        <w:sectPr>
          <w:pgSz w:w="11900" w:h="16897" w:orient="portrait"/>
          <w:cols w:equalWidth="0" w:num="1">
            <w:col w:w="10239"/>
          </w:cols>
          <w:pgMar w:left="220" w:top="141" w:right="1440" w:bottom="0" w:gutter="0" w:footer="0" w:header="0"/>
        </w:sectPr>
      </w:pPr>
    </w:p>
    <w:bookmarkStart w:id="51" w:name="page52"/>
    <w:bookmarkEnd w:id="51"/>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7"/>
              </w:rPr>
              <w:t>Note</w:t>
            </w:r>
          </w:p>
        </w:tc>
        <w:tc>
          <w:tcPr>
            <w:tcW w:w="240" w:type="dxa"/>
            <w:vAlign w:val="bottom"/>
          </w:tcPr>
          <w:p>
            <w:pPr>
              <w:spacing w:after="0"/>
              <w:rPr>
                <w:sz w:val="11"/>
                <w:szCs w:val="11"/>
                <w:color w:val="auto"/>
              </w:rPr>
            </w:pPr>
          </w:p>
        </w:tc>
        <w:tc>
          <w:tcPr>
            <w:tcW w:w="82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2005</w:t>
            </w:r>
          </w:p>
        </w:tc>
        <w:tc>
          <w:tcPr>
            <w:tcW w:w="320" w:type="dxa"/>
            <w:vAlign w:val="bottom"/>
          </w:tcPr>
          <w:p>
            <w:pPr>
              <w:spacing w:after="0"/>
              <w:rPr>
                <w:sz w:val="11"/>
                <w:szCs w:val="11"/>
                <w:color w:val="auto"/>
              </w:rPr>
            </w:pPr>
          </w:p>
        </w:tc>
        <w:tc>
          <w:tcPr>
            <w:tcW w:w="6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2004</w:t>
            </w:r>
          </w:p>
        </w:tc>
        <w:tc>
          <w:tcPr>
            <w:tcW w:w="380" w:type="dxa"/>
            <w:vAlign w:val="bottom"/>
          </w:tcPr>
          <w:p>
            <w:pPr>
              <w:spacing w:after="0"/>
              <w:rPr>
                <w:sz w:val="11"/>
                <w:szCs w:val="11"/>
                <w:color w:val="auto"/>
              </w:rPr>
            </w:pPr>
          </w:p>
        </w:tc>
        <w:tc>
          <w:tcPr>
            <w:tcW w:w="6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2003</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4"/>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1100" w:type="dxa"/>
            <w:vAlign w:val="bottom"/>
          </w:tcPr>
          <w:p>
            <w:pPr>
              <w:spacing w:after="0"/>
              <w:rPr>
                <w:sz w:val="11"/>
                <w:szCs w:val="11"/>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SALES</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93,991</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$ 124,111</w:t>
            </w:r>
          </w:p>
        </w:tc>
        <w:tc>
          <w:tcPr>
            <w:tcW w:w="380" w:type="dxa"/>
            <w:vAlign w:val="bottom"/>
          </w:tcPr>
          <w:p>
            <w:pPr>
              <w:ind w:left="320"/>
              <w:spacing w:after="0"/>
              <w:rPr>
                <w:sz w:val="20"/>
                <w:szCs w:val="20"/>
                <w:color w:val="auto"/>
              </w:rPr>
            </w:pPr>
            <w:r>
              <w:rPr>
                <w:rFonts w:ascii="Courier New" w:cs="Courier New" w:eastAsia="Courier New" w:hAnsi="Courier New"/>
                <w:sz w:val="8"/>
                <w:szCs w:val="8"/>
                <w:color w:val="auto"/>
                <w:w w:val="82"/>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61,368</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w w:val="99"/>
              </w:rPr>
              <w:t>REVENUES RELATED TO A JOINT DEVELOPMENT AGREEMENT</w:t>
            </w:r>
          </w:p>
        </w:tc>
        <w:tc>
          <w:tcPr>
            <w:tcW w:w="1100" w:type="dxa"/>
            <w:vAlign w:val="bottom"/>
          </w:tcPr>
          <w:p>
            <w:pPr>
              <w:spacing w:after="0"/>
              <w:rPr>
                <w:sz w:val="11"/>
                <w:szCs w:val="11"/>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7"/>
              </w:rPr>
              <w:t>11B(3)</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8,000</w:t>
            </w:r>
          </w:p>
        </w:tc>
        <w:tc>
          <w:tcPr>
            <w:tcW w:w="320" w:type="dxa"/>
            <w:vAlign w:val="bottom"/>
          </w:tcPr>
          <w:p>
            <w:pPr>
              <w:spacing w:after="0"/>
              <w:rPr>
                <w:sz w:val="11"/>
                <w:szCs w:val="11"/>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1,944</w:t>
            </w:r>
          </w:p>
        </w:tc>
        <w:tc>
          <w:tcPr>
            <w:tcW w:w="38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101,991</w:t>
            </w:r>
          </w:p>
        </w:tc>
        <w:tc>
          <w:tcPr>
            <w:tcW w:w="320" w:type="dxa"/>
            <w:vAlign w:val="bottom"/>
          </w:tcPr>
          <w:p>
            <w:pPr>
              <w:spacing w:after="0"/>
              <w:rPr>
                <w:sz w:val="11"/>
                <w:szCs w:val="11"/>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5"/>
              </w:rPr>
              <w:t>126,055</w:t>
            </w:r>
          </w:p>
        </w:tc>
        <w:tc>
          <w:tcPr>
            <w:tcW w:w="38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61,368</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1100" w:type="dxa"/>
            <w:vAlign w:val="bottom"/>
          </w:tcPr>
          <w:p>
            <w:pPr>
              <w:spacing w:after="0"/>
              <w:rPr>
                <w:sz w:val="23"/>
                <w:szCs w:val="23"/>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7"/>
              </w:rPr>
              <w:t>11A(1)</w:t>
            </w: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238,358</w:t>
            </w:r>
          </w:p>
        </w:tc>
        <w:tc>
          <w:tcPr>
            <w:tcW w:w="320" w:type="dxa"/>
            <w:vAlign w:val="bottom"/>
          </w:tcPr>
          <w:p>
            <w:pPr>
              <w:spacing w:after="0"/>
              <w:rPr>
                <w:sz w:val="23"/>
                <w:szCs w:val="23"/>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w w:val="95"/>
              </w:rPr>
              <w:t>228,410</w:t>
            </w:r>
          </w:p>
        </w:tc>
        <w:tc>
          <w:tcPr>
            <w:tcW w:w="38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122,395</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ind w:left="560"/>
              <w:spacing w:after="0"/>
              <w:rPr>
                <w:sz w:val="20"/>
                <w:szCs w:val="20"/>
                <w:color w:val="auto"/>
              </w:rPr>
            </w:pPr>
            <w:r>
              <w:rPr>
                <w:rFonts w:ascii="Courier New" w:cs="Courier New" w:eastAsia="Courier New" w:hAnsi="Courier New"/>
                <w:sz w:val="12"/>
                <w:szCs w:val="12"/>
                <w:color w:val="auto"/>
              </w:rPr>
              <w:t>GROSS LOSS</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(136,367)</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(102,355)</w:t>
            </w: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(61,027)</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RESEARCH AND DEVELOPMENT</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16,029</w:t>
            </w:r>
          </w:p>
        </w:tc>
        <w:tc>
          <w:tcPr>
            <w:tcW w:w="320" w:type="dxa"/>
            <w:vAlign w:val="bottom"/>
          </w:tcPr>
          <w:p>
            <w:pPr>
              <w:spacing w:after="0"/>
              <w:rPr>
                <w:sz w:val="23"/>
                <w:szCs w:val="23"/>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17,053</w:t>
            </w:r>
          </w:p>
        </w:tc>
        <w:tc>
          <w:tcPr>
            <w:tcW w:w="38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20,709</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MARKETING, GENERAL AND ADMINISTRATIVE</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17,418</w:t>
            </w:r>
          </w:p>
        </w:tc>
        <w:tc>
          <w:tcPr>
            <w:tcW w:w="320" w:type="dxa"/>
            <w:vAlign w:val="bottom"/>
          </w:tcPr>
          <w:p>
            <w:pPr>
              <w:spacing w:after="0"/>
              <w:rPr>
                <w:sz w:val="11"/>
                <w:szCs w:val="11"/>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21,297</w:t>
            </w:r>
          </w:p>
        </w:tc>
        <w:tc>
          <w:tcPr>
            <w:tcW w:w="38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22,615</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33,447</w:t>
            </w:r>
          </w:p>
        </w:tc>
        <w:tc>
          <w:tcPr>
            <w:tcW w:w="320" w:type="dxa"/>
            <w:vAlign w:val="bottom"/>
          </w:tcPr>
          <w:p>
            <w:pPr>
              <w:spacing w:after="0"/>
              <w:rPr>
                <w:sz w:val="23"/>
                <w:szCs w:val="23"/>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38,350</w:t>
            </w:r>
          </w:p>
        </w:tc>
        <w:tc>
          <w:tcPr>
            <w:tcW w:w="38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43,324</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ind w:left="560"/>
              <w:spacing w:after="0"/>
              <w:rPr>
                <w:sz w:val="20"/>
                <w:szCs w:val="20"/>
                <w:color w:val="auto"/>
              </w:rPr>
            </w:pPr>
            <w:r>
              <w:rPr>
                <w:rFonts w:ascii="Courier New" w:cs="Courier New" w:eastAsia="Courier New" w:hAnsi="Courier New"/>
                <w:sz w:val="12"/>
                <w:szCs w:val="12"/>
                <w:color w:val="auto"/>
              </w:rPr>
              <w:t>OPERATING LOSS</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(169,814)</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(140,705)</w:t>
            </w: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(104,351)</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100" w:type="dxa"/>
            <w:vAlign w:val="bottom"/>
          </w:tcPr>
          <w:p>
            <w:pPr>
              <w:spacing w:after="0"/>
              <w:rPr>
                <w:sz w:val="23"/>
                <w:szCs w:val="23"/>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w:t>
            </w:r>
          </w:p>
        </w:tc>
        <w:tc>
          <w:tcPr>
            <w:tcW w:w="240" w:type="dxa"/>
            <w:vAlign w:val="bottom"/>
          </w:tcPr>
          <w:p>
            <w:pPr>
              <w:spacing w:after="0"/>
              <w:rPr>
                <w:sz w:val="23"/>
                <w:szCs w:val="23"/>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(35,651)</w:t>
            </w: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(29,745)</w:t>
            </w: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(9,826)</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OTHER INCOME (EXPENSE), NET</w:t>
            </w:r>
          </w:p>
        </w:tc>
        <w:tc>
          <w:tcPr>
            <w:tcW w:w="1100" w:type="dxa"/>
            <w:vAlign w:val="bottom"/>
          </w:tcPr>
          <w:p>
            <w:pPr>
              <w:spacing w:after="0"/>
              <w:rPr>
                <w:sz w:val="23"/>
                <w:szCs w:val="23"/>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16</w:t>
            </w: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2,383</w:t>
            </w:r>
          </w:p>
        </w:tc>
        <w:tc>
          <w:tcPr>
            <w:tcW w:w="320" w:type="dxa"/>
            <w:vAlign w:val="bottom"/>
          </w:tcPr>
          <w:p>
            <w:pPr>
              <w:spacing w:after="0"/>
              <w:rPr>
                <w:sz w:val="23"/>
                <w:szCs w:val="23"/>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32,682</w:t>
            </w: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(84)</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ind w:left="1000"/>
              <w:spacing w:after="0"/>
              <w:rPr>
                <w:sz w:val="20"/>
                <w:szCs w:val="20"/>
                <w:color w:val="auto"/>
              </w:rPr>
            </w:pPr>
            <w:r>
              <w:rPr>
                <w:rFonts w:ascii="Courier New" w:cs="Courier New" w:eastAsia="Courier New" w:hAnsi="Courier New"/>
                <w:sz w:val="12"/>
                <w:szCs w:val="12"/>
                <w:color w:val="auto"/>
              </w:rPr>
              <w:t>LOSS FOR THE YEAR</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$(137,768)</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$(114,261)</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BASIC LOSS PER ORDINARY SHARE</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LOSS PER SHARE</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(2.55)</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(1.79)</w:t>
            </w:r>
          </w:p>
        </w:tc>
        <w:tc>
          <w:tcPr>
            <w:tcW w:w="380" w:type="dxa"/>
            <w:vAlign w:val="bottom"/>
          </w:tcPr>
          <w:p>
            <w:pPr>
              <w:ind w:left="320"/>
              <w:spacing w:after="0"/>
              <w:rPr>
                <w:sz w:val="20"/>
                <w:szCs w:val="20"/>
                <w:color w:val="auto"/>
              </w:rPr>
            </w:pPr>
            <w:r>
              <w:rPr>
                <w:rFonts w:ascii="Courier New" w:cs="Courier New" w:eastAsia="Courier New" w:hAnsi="Courier New"/>
                <w:sz w:val="8"/>
                <w:szCs w:val="8"/>
                <w:color w:val="auto"/>
                <w:w w:val="82"/>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(2.01)</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LOSS USED TO COMPUTE</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ind w:left="640"/>
              <w:spacing w:after="0"/>
              <w:rPr>
                <w:sz w:val="20"/>
                <w:szCs w:val="20"/>
                <w:color w:val="auto"/>
              </w:rPr>
            </w:pPr>
            <w:r>
              <w:rPr>
                <w:rFonts w:ascii="Courier New" w:cs="Courier New" w:eastAsia="Courier New" w:hAnsi="Courier New"/>
                <w:sz w:val="12"/>
                <w:szCs w:val="12"/>
                <w:color w:val="auto"/>
              </w:rPr>
              <w:t>BASIC LOSS PER SHARE</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$(137,768)</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$(114,114)</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WEIGHTED AVERAGE NUMBER OF ORDINARY</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ind w:left="560"/>
              <w:spacing w:after="0"/>
              <w:rPr>
                <w:sz w:val="20"/>
                <w:szCs w:val="20"/>
                <w:color w:val="auto"/>
              </w:rPr>
            </w:pPr>
            <w:r>
              <w:rPr>
                <w:rFonts w:ascii="Courier New" w:cs="Courier New" w:eastAsia="Courier New" w:hAnsi="Courier New"/>
                <w:sz w:val="12"/>
                <w:szCs w:val="12"/>
                <w:color w:val="auto"/>
              </w:rPr>
              <w:t>SHARES OUTSTANDING - IN THOUSANDS</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79,675</w:t>
            </w:r>
          </w:p>
        </w:tc>
        <w:tc>
          <w:tcPr>
            <w:tcW w:w="320" w:type="dxa"/>
            <w:vAlign w:val="bottom"/>
          </w:tcPr>
          <w:p>
            <w:pPr>
              <w:spacing w:after="0"/>
              <w:rPr>
                <w:sz w:val="11"/>
                <w:szCs w:val="11"/>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77,071</w:t>
            </w:r>
          </w:p>
        </w:tc>
        <w:tc>
          <w:tcPr>
            <w:tcW w:w="38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56,696</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412"/>
        </w:trPr>
        <w:tc>
          <w:tcPr>
            <w:tcW w:w="388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3880" w:type="dxa"/>
            <w:vAlign w:val="bottom"/>
          </w:tcPr>
          <w:p>
            <w:pPr>
              <w:ind w:left="2640"/>
              <w:spacing w:after="0"/>
              <w:rPr>
                <w:sz w:val="20"/>
                <w:szCs w:val="20"/>
                <w:color w:val="auto"/>
              </w:rPr>
            </w:pPr>
            <w:r>
              <w:rPr>
                <w:rFonts w:ascii="Courier New" w:cs="Courier New" w:eastAsia="Courier New" w:hAnsi="Courier New"/>
                <w:sz w:val="12"/>
                <w:szCs w:val="12"/>
                <w:color w:val="auto"/>
              </w:rPr>
              <w:t>F - 3</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31"/>
        </w:trPr>
        <w:tc>
          <w:tcPr>
            <w:tcW w:w="3880" w:type="dxa"/>
            <w:vAlign w:val="bottom"/>
          </w:tcPr>
          <w:p>
            <w:pPr>
              <w:ind w:left="2000"/>
              <w:spacing w:after="0"/>
              <w:rPr>
                <w:sz w:val="20"/>
                <w:szCs w:val="20"/>
                <w:color w:val="auto"/>
              </w:rPr>
            </w:pPr>
            <w:r>
              <w:rPr>
                <w:rFonts w:ascii="Courier New" w:cs="Courier New" w:eastAsia="Courier New" w:hAnsi="Courier New"/>
                <w:sz w:val="12"/>
                <w:szCs w:val="12"/>
                <w:color w:val="auto"/>
              </w:rPr>
              <w:t>TOWER SEMICONDUCTOR LTD.</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7"/>
        </w:trPr>
        <w:tc>
          <w:tcPr>
            <w:tcW w:w="4980" w:type="dxa"/>
            <w:vAlign w:val="bottom"/>
            <w:gridSpan w:val="2"/>
          </w:tcPr>
          <w:p>
            <w:pPr>
              <w:jc w:val="center"/>
              <w:ind w:left="721"/>
              <w:spacing w:after="0"/>
              <w:rPr>
                <w:sz w:val="20"/>
                <w:szCs w:val="20"/>
                <w:color w:val="auto"/>
              </w:rPr>
            </w:pPr>
            <w:r>
              <w:rPr>
                <w:rFonts w:ascii="Courier New" w:cs="Courier New" w:eastAsia="Courier New" w:hAnsi="Courier New"/>
                <w:sz w:val="12"/>
                <w:szCs w:val="12"/>
                <w:color w:val="auto"/>
                <w:w w:val="98"/>
              </w:rPr>
              <w:t>STATEMENTS OF CHANGES IN SHAREHOLDERS' EQUITY (DEFICIT)</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4980" w:type="dxa"/>
            <w:vAlign w:val="bottom"/>
            <w:gridSpan w:val="2"/>
          </w:tcPr>
          <w:p>
            <w:pPr>
              <w:ind w:left="700"/>
              <w:spacing w:after="0"/>
              <w:rPr>
                <w:sz w:val="20"/>
                <w:szCs w:val="20"/>
                <w:color w:val="auto"/>
              </w:rPr>
            </w:pPr>
            <w:r>
              <w:rPr>
                <w:rFonts w:ascii="Courier New" w:cs="Courier New" w:eastAsia="Courier New" w:hAnsi="Courier New"/>
                <w:sz w:val="12"/>
                <w:szCs w:val="12"/>
                <w:color w:val="auto"/>
                <w:w w:val="98"/>
              </w:rPr>
              <w:t>(dollars in thousands, except share data and per share data)</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SHAREHOLDER</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260"/>
              <w:spacing w:after="0"/>
              <w:rPr>
                <w:sz w:val="20"/>
                <w:szCs w:val="20"/>
                <w:color w:val="auto"/>
              </w:rPr>
            </w:pPr>
            <w:r>
              <w:rPr>
                <w:rFonts w:ascii="Courier New" w:cs="Courier New" w:eastAsia="Courier New" w:hAnsi="Courier New"/>
                <w:sz w:val="12"/>
                <w:szCs w:val="12"/>
                <w:color w:val="auto"/>
              </w:rPr>
              <w:t>PROCEEDS</w:t>
            </w:r>
          </w:p>
        </w:tc>
        <w:tc>
          <w:tcPr>
            <w:tcW w:w="10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RECEIVABLES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72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ORDINARY SHARES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ON ACCOUNT</w:t>
            </w:r>
          </w:p>
        </w:tc>
        <w:tc>
          <w:tcPr>
            <w:tcW w:w="102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AND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PAID-IN</w:t>
            </w:r>
          </w:p>
        </w:tc>
        <w:tc>
          <w:tcPr>
            <w:tcW w:w="940" w:type="dxa"/>
            <w:vAlign w:val="bottom"/>
            <w:gridSpan w:val="2"/>
          </w:tcPr>
          <w:p>
            <w:pPr>
              <w:ind w:left="260"/>
              <w:spacing w:after="0"/>
              <w:rPr>
                <w:sz w:val="20"/>
                <w:szCs w:val="20"/>
                <w:color w:val="auto"/>
              </w:rPr>
            </w:pPr>
            <w:r>
              <w:rPr>
                <w:rFonts w:ascii="Courier New" w:cs="Courier New" w:eastAsia="Courier New" w:hAnsi="Courier New"/>
                <w:sz w:val="12"/>
                <w:szCs w:val="12"/>
                <w:color w:val="auto"/>
              </w:rPr>
              <w:t>OF SHARE</w:t>
            </w:r>
          </w:p>
        </w:tc>
        <w:tc>
          <w:tcPr>
            <w:tcW w:w="10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UNEARNED</w:t>
            </w:r>
          </w:p>
        </w:tc>
        <w:tc>
          <w:tcPr>
            <w:tcW w:w="1000" w:type="dxa"/>
            <w:vAlign w:val="bottom"/>
            <w:gridSpan w:val="2"/>
          </w:tcPr>
          <w:p>
            <w:pPr>
              <w:spacing w:after="0"/>
              <w:rPr>
                <w:sz w:val="20"/>
                <w:szCs w:val="20"/>
                <w:color w:val="auto"/>
              </w:rPr>
            </w:pPr>
            <w:r>
              <w:rPr>
                <w:rFonts w:ascii="Courier New" w:cs="Courier New" w:eastAsia="Courier New" w:hAnsi="Courier New"/>
                <w:sz w:val="12"/>
                <w:szCs w:val="12"/>
                <w:color w:val="auto"/>
              </w:rPr>
              <w:t>ACCUMULATED</w:t>
            </w:r>
          </w:p>
        </w:tc>
        <w:tc>
          <w:tcPr>
            <w:tcW w:w="1040" w:type="dxa"/>
            <w:vAlign w:val="bottom"/>
          </w:tcPr>
          <w:p>
            <w:pPr>
              <w:ind w:left="140"/>
              <w:spacing w:after="0"/>
              <w:rPr>
                <w:sz w:val="20"/>
                <w:szCs w:val="20"/>
                <w:color w:val="auto"/>
              </w:rPr>
            </w:pPr>
            <w:r>
              <w:rPr>
                <w:rFonts w:ascii="Courier New" w:cs="Courier New" w:eastAsia="Courier New" w:hAnsi="Courier New"/>
                <w:sz w:val="12"/>
                <w:szCs w:val="12"/>
                <w:color w:val="auto"/>
              </w:rPr>
              <w:t>TREASURY</w:t>
            </w: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SHARES</w:t>
            </w: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AMOUNT</w:t>
            </w:r>
          </w:p>
        </w:tc>
        <w:tc>
          <w:tcPr>
            <w:tcW w:w="24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CAPITAL</w:t>
            </w:r>
          </w:p>
        </w:tc>
        <w:tc>
          <w:tcPr>
            <w:tcW w:w="940" w:type="dxa"/>
            <w:vAlign w:val="bottom"/>
            <w:gridSpan w:val="2"/>
          </w:tcPr>
          <w:p>
            <w:pPr>
              <w:ind w:left="260"/>
              <w:spacing w:after="0"/>
              <w:rPr>
                <w:sz w:val="20"/>
                <w:szCs w:val="20"/>
                <w:color w:val="auto"/>
              </w:rPr>
            </w:pPr>
            <w:r>
              <w:rPr>
                <w:rFonts w:ascii="Courier New" w:cs="Courier New" w:eastAsia="Courier New" w:hAnsi="Courier New"/>
                <w:sz w:val="12"/>
                <w:szCs w:val="12"/>
                <w:color w:val="auto"/>
              </w:rPr>
              <w:t>CAPITAL</w:t>
            </w:r>
          </w:p>
        </w:tc>
        <w:tc>
          <w:tcPr>
            <w:tcW w:w="10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COMPENSATION</w:t>
            </w:r>
          </w:p>
        </w:tc>
        <w:tc>
          <w:tcPr>
            <w:tcW w:w="120" w:type="dxa"/>
            <w:vAlign w:val="bottom"/>
          </w:tcPr>
          <w:p>
            <w:pPr>
              <w:spacing w:after="0"/>
              <w:rPr>
                <w:sz w:val="11"/>
                <w:szCs w:val="11"/>
                <w:color w:val="auto"/>
              </w:rPr>
            </w:pPr>
          </w:p>
        </w:tc>
        <w:tc>
          <w:tcPr>
            <w:tcW w:w="8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DEFICIT</w:t>
            </w:r>
          </w:p>
        </w:tc>
        <w:tc>
          <w:tcPr>
            <w:tcW w:w="1040" w:type="dxa"/>
            <w:vAlign w:val="bottom"/>
          </w:tcPr>
          <w:p>
            <w:pPr>
              <w:ind w:left="300"/>
              <w:spacing w:after="0"/>
              <w:rPr>
                <w:sz w:val="20"/>
                <w:szCs w:val="20"/>
                <w:color w:val="auto"/>
              </w:rPr>
            </w:pPr>
            <w:r>
              <w:rPr>
                <w:rFonts w:ascii="Courier New" w:cs="Courier New" w:eastAsia="Courier New" w:hAnsi="Courier New"/>
                <w:sz w:val="12"/>
                <w:szCs w:val="12"/>
                <w:color w:val="auto"/>
              </w:rPr>
              <w:t>STOCK</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TOTAL</w:t>
            </w:r>
          </w:p>
        </w:tc>
      </w:tr>
      <w:tr>
        <w:trPr>
          <w:trHeight w:val="137"/>
        </w:trPr>
        <w:tc>
          <w:tcPr>
            <w:tcW w:w="3880" w:type="dxa"/>
            <w:vAlign w:val="bottom"/>
          </w:tcPr>
          <w:p>
            <w:pPr>
              <w:spacing w:after="0"/>
              <w:rPr>
                <w:sz w:val="11"/>
                <w:szCs w:val="11"/>
                <w:color w:val="auto"/>
              </w:rPr>
            </w:pP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BALANCE - JANUARY 1, 2003</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44,735,532</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$ 11,294</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$ 400,808</w:t>
            </w:r>
          </w:p>
        </w:tc>
        <w:tc>
          <w:tcPr>
            <w:tcW w:w="320" w:type="dxa"/>
            <w:vAlign w:val="bottom"/>
          </w:tcPr>
          <w:p>
            <w:pPr>
              <w:ind w:left="260"/>
              <w:spacing w:after="0"/>
              <w:rPr>
                <w:sz w:val="20"/>
                <w:szCs w:val="20"/>
                <w:color w:val="auto"/>
              </w:rPr>
            </w:pPr>
            <w:r>
              <w:rPr>
                <w:rFonts w:ascii="Courier New" w:cs="Courier New" w:eastAsia="Courier New" w:hAnsi="Courier New"/>
                <w:sz w:val="8"/>
                <w:szCs w:val="8"/>
                <w:color w:val="auto"/>
                <w:w w:val="82"/>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(53)</w:t>
            </w:r>
          </w:p>
        </w:tc>
        <w:tc>
          <w:tcPr>
            <w:tcW w:w="1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(104,643)</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 (9,072)</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$ 298,334</w:t>
            </w: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ind w:left="200"/>
              <w:spacing w:after="0"/>
              <w:rPr>
                <w:sz w:val="20"/>
                <w:szCs w:val="20"/>
                <w:color w:val="auto"/>
              </w:rPr>
            </w:pPr>
            <w:r>
              <w:rPr>
                <w:rFonts w:ascii="Courier New" w:cs="Courier New" w:eastAsia="Courier New" w:hAnsi="Courier New"/>
                <w:sz w:val="12"/>
                <w:szCs w:val="12"/>
                <w:color w:val="auto"/>
              </w:rPr>
              <w:t>THE FAB 2 CONSTRUCTOR</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145</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145</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THE</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200"/>
              <w:spacing w:after="0"/>
              <w:rPr>
                <w:sz w:val="20"/>
                <w:szCs w:val="20"/>
                <w:color w:val="auto"/>
              </w:rPr>
            </w:pPr>
            <w:r>
              <w:rPr>
                <w:rFonts w:ascii="Courier New" w:cs="Courier New" w:eastAsia="Courier New" w:hAnsi="Courier New"/>
                <w:sz w:val="12"/>
                <w:szCs w:val="12"/>
                <w:color w:val="auto"/>
              </w:rPr>
              <w:t>FACILITY AGREEMENT WITH THE BANKS, NOTE 13B(5)</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4,205</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4,205</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ISSUANCE OF SHARES, NET OF RELATED COSTS</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8,260,565</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1,856</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22,723</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24,579</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PROCEEDS ON ACCOUNT OF SHARE CAPITAL</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16,428</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16,428</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AMORTIZATION OF UNEARNED COMPENSATION</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27</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27</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(114,261)</w:t>
            </w:r>
          </w:p>
        </w:tc>
        <w:tc>
          <w:tcPr>
            <w:tcW w:w="10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(114,261)</w:t>
            </w:r>
          </w:p>
        </w:tc>
      </w:tr>
      <w:tr>
        <w:trPr>
          <w:trHeight w:val="137"/>
        </w:trPr>
        <w:tc>
          <w:tcPr>
            <w:tcW w:w="3880" w:type="dxa"/>
            <w:vAlign w:val="bottom"/>
          </w:tcPr>
          <w:p>
            <w:pPr>
              <w:spacing w:after="0"/>
              <w:rPr>
                <w:sz w:val="11"/>
                <w:szCs w:val="11"/>
                <w:color w:val="auto"/>
              </w:rPr>
            </w:pP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BALANCE - DECEMBER 31, 2003</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52,996,097</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$ 13,150</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$ 427,881</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$ 16,428</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(26)</w:t>
            </w:r>
          </w:p>
        </w:tc>
        <w:tc>
          <w:tcPr>
            <w:tcW w:w="1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(218,904)</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 (9,072)</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$ 229,457</w:t>
            </w: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2,463,949</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553</w:t>
            </w:r>
          </w:p>
        </w:tc>
        <w:tc>
          <w:tcPr>
            <w:tcW w:w="240" w:type="dxa"/>
            <w:vAlign w:val="bottom"/>
          </w:tcPr>
          <w:p>
            <w:pPr>
              <w:spacing w:after="0"/>
              <w:rPr>
                <w:sz w:val="23"/>
                <w:szCs w:val="23"/>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16,414</w:t>
            </w: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(16,428)</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539</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ISSUANCE OF SHARES, NET OF RELATED COSTS -</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200"/>
              <w:spacing w:after="0"/>
              <w:rPr>
                <w:sz w:val="20"/>
                <w:szCs w:val="20"/>
                <w:color w:val="auto"/>
              </w:rPr>
            </w:pPr>
            <w:r>
              <w:rPr>
                <w:rFonts w:ascii="Courier New" w:cs="Courier New" w:eastAsia="Courier New" w:hAnsi="Courier New"/>
                <w:sz w:val="12"/>
                <w:szCs w:val="12"/>
                <w:color w:val="auto"/>
              </w:rPr>
              <w:t>PUBLIC OFFERING</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11,444,500</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2,550</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72,536</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75,086</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EXERCISE OF SHARE OPTIONS</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95,250</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21</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645</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666</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(137,768)</w:t>
            </w:r>
          </w:p>
        </w:tc>
        <w:tc>
          <w:tcPr>
            <w:tcW w:w="10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(137,768)</w:t>
            </w:r>
          </w:p>
        </w:tc>
      </w:tr>
      <w:tr>
        <w:trPr>
          <w:trHeight w:val="137"/>
        </w:trPr>
        <w:tc>
          <w:tcPr>
            <w:tcW w:w="3880" w:type="dxa"/>
            <w:vAlign w:val="bottom"/>
          </w:tcPr>
          <w:p>
            <w:pPr>
              <w:spacing w:after="0"/>
              <w:rPr>
                <w:sz w:val="11"/>
                <w:szCs w:val="11"/>
                <w:color w:val="auto"/>
              </w:rPr>
            </w:pP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BALANCE - DECEMBER 31, 2004</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66,999,796</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$ 16,274</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$ 517,476</w:t>
            </w:r>
          </w:p>
        </w:tc>
        <w:tc>
          <w:tcPr>
            <w:tcW w:w="320" w:type="dxa"/>
            <w:vAlign w:val="bottom"/>
          </w:tcPr>
          <w:p>
            <w:pPr>
              <w:ind w:left="260"/>
              <w:spacing w:after="0"/>
              <w:rPr>
                <w:sz w:val="20"/>
                <w:szCs w:val="20"/>
                <w:color w:val="auto"/>
              </w:rPr>
            </w:pPr>
            <w:r>
              <w:rPr>
                <w:rFonts w:ascii="Courier New" w:cs="Courier New" w:eastAsia="Courier New" w:hAnsi="Courier New"/>
                <w:sz w:val="8"/>
                <w:szCs w:val="8"/>
                <w:color w:val="auto"/>
                <w:w w:val="82"/>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(26)</w:t>
            </w:r>
          </w:p>
        </w:tc>
        <w:tc>
          <w:tcPr>
            <w:tcW w:w="1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(356,672)</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 (9,072)</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$ 167,980</w:t>
            </w: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1,232,260</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274</w:t>
            </w:r>
          </w:p>
        </w:tc>
        <w:tc>
          <w:tcPr>
            <w:tcW w:w="240" w:type="dxa"/>
            <w:vAlign w:val="bottom"/>
          </w:tcPr>
          <w:p>
            <w:pPr>
              <w:spacing w:after="0"/>
              <w:rPr>
                <w:sz w:val="23"/>
                <w:szCs w:val="23"/>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1,520</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1,794</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THE</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200"/>
              <w:spacing w:after="0"/>
              <w:rPr>
                <w:sz w:val="20"/>
                <w:szCs w:val="20"/>
                <w:color w:val="auto"/>
              </w:rPr>
            </w:pPr>
            <w:r>
              <w:rPr>
                <w:rFonts w:ascii="Courier New" w:cs="Courier New" w:eastAsia="Courier New" w:hAnsi="Courier New"/>
                <w:sz w:val="12"/>
                <w:szCs w:val="12"/>
                <w:color w:val="auto"/>
              </w:rPr>
              <w:t>FACILITY AGREEMENT WITH THE BANKS, NOTE 13B(5)</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2,793</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2,793</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200"/>
              <w:spacing w:after="0"/>
              <w:rPr>
                <w:sz w:val="20"/>
                <w:szCs w:val="20"/>
                <w:color w:val="auto"/>
              </w:rPr>
            </w:pPr>
            <w:r>
              <w:rPr>
                <w:rFonts w:ascii="Courier New" w:cs="Courier New" w:eastAsia="Courier New" w:hAnsi="Courier New"/>
                <w:sz w:val="12"/>
                <w:szCs w:val="12"/>
                <w:color w:val="auto"/>
              </w:rPr>
              <w:t>TO EMPLOYEES, NOTE 13H</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448</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448</w:t>
            </w: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(203,082)</w:t>
            </w:r>
          </w:p>
        </w:tc>
        <w:tc>
          <w:tcPr>
            <w:tcW w:w="10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(203,082)</w:t>
            </w:r>
          </w:p>
        </w:tc>
      </w:tr>
      <w:tr>
        <w:trPr>
          <w:trHeight w:val="137"/>
        </w:trPr>
        <w:tc>
          <w:tcPr>
            <w:tcW w:w="3880" w:type="dxa"/>
            <w:vAlign w:val="bottom"/>
          </w:tcPr>
          <w:p>
            <w:pPr>
              <w:spacing w:after="0"/>
              <w:rPr>
                <w:sz w:val="11"/>
                <w:szCs w:val="11"/>
                <w:color w:val="auto"/>
              </w:rPr>
            </w:pP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BALANCE - DECEMBER 31, 2005</w:t>
            </w: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68,232,056</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$ 16,548</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$ 522,237</w:t>
            </w:r>
          </w:p>
        </w:tc>
        <w:tc>
          <w:tcPr>
            <w:tcW w:w="320" w:type="dxa"/>
            <w:vAlign w:val="bottom"/>
          </w:tcPr>
          <w:p>
            <w:pPr>
              <w:ind w:left="260"/>
              <w:spacing w:after="0"/>
              <w:rPr>
                <w:sz w:val="20"/>
                <w:szCs w:val="20"/>
                <w:color w:val="auto"/>
              </w:rPr>
            </w:pPr>
            <w:r>
              <w:rPr>
                <w:rFonts w:ascii="Courier New" w:cs="Courier New" w:eastAsia="Courier New" w:hAnsi="Courier New"/>
                <w:sz w:val="8"/>
                <w:szCs w:val="8"/>
                <w:color w:val="auto"/>
                <w:w w:val="82"/>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 (26)</w:t>
            </w:r>
          </w:p>
        </w:tc>
        <w:tc>
          <w:tcPr>
            <w:tcW w:w="12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(559,754)</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 (9,072)</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 (30,067)</w:t>
            </w:r>
          </w:p>
        </w:tc>
      </w:tr>
      <w:tr>
        <w:trPr>
          <w:trHeight w:val="137"/>
        </w:trPr>
        <w:tc>
          <w:tcPr>
            <w:tcW w:w="3880" w:type="dxa"/>
            <w:vAlign w:val="bottom"/>
          </w:tcPr>
          <w:p>
            <w:pPr>
              <w:spacing w:after="0"/>
              <w:rPr>
                <w:sz w:val="11"/>
                <w:szCs w:val="11"/>
                <w:color w:val="auto"/>
              </w:rPr>
            </w:pPr>
          </w:p>
        </w:tc>
        <w:tc>
          <w:tcPr>
            <w:tcW w:w="11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240" w:type="dxa"/>
            <w:vAlign w:val="bottom"/>
          </w:tcPr>
          <w:p>
            <w:pPr>
              <w:spacing w:after="0"/>
              <w:rPr>
                <w:sz w:val="11"/>
                <w:szCs w:val="11"/>
                <w:color w:val="auto"/>
              </w:rPr>
            </w:pPr>
          </w:p>
        </w:tc>
        <w:tc>
          <w:tcPr>
            <w:tcW w:w="82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w w:val="98"/>
              </w:rPr>
              <w:t>===========</w:t>
            </w:r>
          </w:p>
        </w:tc>
        <w:tc>
          <w:tcPr>
            <w:tcW w:w="104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388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12"/>
        </w:trPr>
        <w:tc>
          <w:tcPr>
            <w:tcW w:w="3880" w:type="dxa"/>
            <w:vAlign w:val="bottom"/>
          </w:tcPr>
          <w:p>
            <w:pPr>
              <w:ind w:left="2640"/>
              <w:spacing w:after="0"/>
              <w:rPr>
                <w:sz w:val="20"/>
                <w:szCs w:val="20"/>
                <w:color w:val="auto"/>
              </w:rPr>
            </w:pPr>
            <w:r>
              <w:rPr>
                <w:rFonts w:ascii="Courier New" w:cs="Courier New" w:eastAsia="Courier New" w:hAnsi="Courier New"/>
                <w:sz w:val="12"/>
                <w:szCs w:val="12"/>
                <w:color w:val="auto"/>
              </w:rPr>
              <w:t>F - 4</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31"/>
        </w:trPr>
        <w:tc>
          <w:tcPr>
            <w:tcW w:w="4980" w:type="dxa"/>
            <w:vAlign w:val="bottom"/>
            <w:gridSpan w:val="2"/>
          </w:tcPr>
          <w:p>
            <w:pPr>
              <w:jc w:val="center"/>
              <w:ind w:left="741"/>
              <w:spacing w:after="0"/>
              <w:rPr>
                <w:sz w:val="20"/>
                <w:szCs w:val="20"/>
                <w:color w:val="auto"/>
              </w:rPr>
            </w:pPr>
            <w:r>
              <w:rPr>
                <w:rFonts w:ascii="Courier New" w:cs="Courier New" w:eastAsia="Courier New" w:hAnsi="Courier New"/>
                <w:sz w:val="12"/>
                <w:szCs w:val="12"/>
                <w:color w:val="auto"/>
                <w:w w:val="98"/>
              </w:rPr>
              <w:t>TOWER SEMICONDUCTOR LTD. AND SUBSIDIARY</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7"/>
        </w:trPr>
        <w:tc>
          <w:tcPr>
            <w:tcW w:w="4980" w:type="dxa"/>
            <w:vAlign w:val="bottom"/>
            <w:gridSpan w:val="2"/>
          </w:tcPr>
          <w:p>
            <w:pPr>
              <w:jc w:val="center"/>
              <w:ind w:left="721"/>
              <w:spacing w:after="0"/>
              <w:rPr>
                <w:sz w:val="20"/>
                <w:szCs w:val="20"/>
                <w:color w:val="auto"/>
              </w:rPr>
            </w:pPr>
            <w:r>
              <w:rPr>
                <w:rFonts w:ascii="Courier New" w:cs="Courier New" w:eastAsia="Courier New" w:hAnsi="Courier New"/>
                <w:sz w:val="12"/>
                <w:szCs w:val="12"/>
                <w:color w:val="auto"/>
                <w:w w:val="99"/>
              </w:rPr>
              <w:t>CONSOLIDATED STATEMENTS OF CASH FLOWS</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4980" w:type="dxa"/>
            <w:vAlign w:val="bottom"/>
            <w:gridSpan w:val="2"/>
          </w:tcPr>
          <w:p>
            <w:pPr>
              <w:ind w:left="700"/>
              <w:spacing w:after="0"/>
              <w:rPr>
                <w:sz w:val="20"/>
                <w:szCs w:val="20"/>
                <w:color w:val="auto"/>
              </w:rPr>
            </w:pPr>
            <w:r>
              <w:rPr>
                <w:rFonts w:ascii="Courier New" w:cs="Courier New" w:eastAsia="Courier New" w:hAnsi="Courier New"/>
                <w:sz w:val="12"/>
                <w:szCs w:val="12"/>
                <w:color w:val="auto"/>
                <w:w w:val="98"/>
              </w:rPr>
              <w:t>(dollars in thousands, except share data and per share data)</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ind w:left="360"/>
              <w:spacing w:after="0"/>
              <w:rPr>
                <w:sz w:val="20"/>
                <w:szCs w:val="20"/>
                <w:color w:val="auto"/>
              </w:rPr>
            </w:pPr>
            <w:r>
              <w:rPr>
                <w:rFonts w:ascii="Courier New" w:cs="Courier New" w:eastAsia="Courier New" w:hAnsi="Courier New"/>
                <w:sz w:val="12"/>
                <w:szCs w:val="12"/>
                <w:color w:val="auto"/>
              </w:rPr>
              <w:t>YEAR ENDED DECEMBER 31,</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20" w:type="dxa"/>
            <w:vAlign w:val="bottom"/>
            <w:gridSpan w:val="6"/>
          </w:tcPr>
          <w:p>
            <w:pPr>
              <w:jc w:val="right"/>
              <w:ind w:right="141"/>
              <w:spacing w:after="0"/>
              <w:rPr>
                <w:sz w:val="20"/>
                <w:szCs w:val="20"/>
                <w:color w:val="auto"/>
              </w:rPr>
            </w:pPr>
            <w:r>
              <w:rPr>
                <w:rFonts w:ascii="Courier New" w:cs="Courier New" w:eastAsia="Courier New" w:hAnsi="Courier New"/>
                <w:sz w:val="12"/>
                <w:szCs w:val="12"/>
                <w:color w:val="auto"/>
                <w:w w:val="99"/>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461"/>
              <w:spacing w:after="0"/>
              <w:rPr>
                <w:sz w:val="20"/>
                <w:szCs w:val="20"/>
                <w:color w:val="auto"/>
              </w:rPr>
            </w:pPr>
            <w:r>
              <w:rPr>
                <w:rFonts w:ascii="Courier New" w:cs="Courier New" w:eastAsia="Courier New" w:hAnsi="Courier New"/>
                <w:sz w:val="12"/>
                <w:szCs w:val="12"/>
                <w:color w:val="auto"/>
                <w:w w:val="97"/>
              </w:rPr>
              <w:t>2005</w:t>
            </w: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2004</w:t>
            </w:r>
          </w:p>
        </w:tc>
        <w:tc>
          <w:tcPr>
            <w:tcW w:w="102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2003</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4"/>
        </w:trPr>
        <w:tc>
          <w:tcPr>
            <w:tcW w:w="3880" w:type="dxa"/>
            <w:vAlign w:val="bottom"/>
          </w:tcPr>
          <w:p>
            <w:pPr>
              <w:ind w:left="200"/>
              <w:spacing w:after="0"/>
              <w:rPr>
                <w:sz w:val="20"/>
                <w:szCs w:val="20"/>
                <w:color w:val="auto"/>
              </w:rPr>
            </w:pPr>
            <w:r>
              <w:rPr>
                <w:rFonts w:ascii="Courier New" w:cs="Courier New" w:eastAsia="Courier New" w:hAnsi="Courier New"/>
                <w:sz w:val="12"/>
                <w:szCs w:val="12"/>
                <w:color w:val="auto"/>
              </w:rPr>
              <w:t>LOSS FOR THE YEAR</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w w:val="99"/>
              </w:rPr>
              <w:t>$(203,082)</w:t>
            </w: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$(137,768)</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$(114,261)</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7"/>
        </w:trPr>
        <w:tc>
          <w:tcPr>
            <w:tcW w:w="3880" w:type="dxa"/>
            <w:vAlign w:val="bottom"/>
          </w:tcPr>
          <w:p>
            <w:pPr>
              <w:ind w:left="200"/>
              <w:spacing w:after="0"/>
              <w:rPr>
                <w:sz w:val="20"/>
                <w:szCs w:val="20"/>
                <w:color w:val="auto"/>
              </w:rPr>
            </w:pPr>
            <w:r>
              <w:rPr>
                <w:rFonts w:ascii="Courier New" w:cs="Courier New" w:eastAsia="Courier New" w:hAnsi="Courier New"/>
                <w:sz w:val="12"/>
                <w:szCs w:val="12"/>
                <w:color w:val="auto"/>
              </w:rPr>
              <w:t>ADJUSTMENTS TO RECONCILE LOSS FOR THE YEAR</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360"/>
              <w:spacing w:after="0"/>
              <w:rPr>
                <w:sz w:val="20"/>
                <w:szCs w:val="20"/>
                <w:color w:val="auto"/>
              </w:rPr>
            </w:pPr>
            <w:r>
              <w:rPr>
                <w:rFonts w:ascii="Courier New" w:cs="Courier New" w:eastAsia="Courier New" w:hAnsi="Courier New"/>
                <w:sz w:val="12"/>
                <w:szCs w:val="12"/>
                <w:color w:val="auto"/>
              </w:rPr>
              <w:t>TO NET CASH USED IN OPERATING ACTIVITIES:</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498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640"/>
              <w:spacing w:after="0"/>
              <w:rPr>
                <w:sz w:val="20"/>
                <w:szCs w:val="20"/>
                <w:color w:val="auto"/>
              </w:rPr>
            </w:pPr>
            <w:r>
              <w:rPr>
                <w:rFonts w:ascii="Courier New" w:cs="Courier New" w:eastAsia="Courier New" w:hAnsi="Courier New"/>
                <w:sz w:val="12"/>
                <w:szCs w:val="12"/>
                <w:color w:val="auto"/>
              </w:rPr>
              <w:t>DEPRECIATION AND AMORTIZATION</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144,852</w:t>
            </w: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121,067</w:t>
            </w:r>
          </w:p>
        </w:tc>
        <w:tc>
          <w:tcPr>
            <w:tcW w:w="380" w:type="dxa"/>
            <w:vAlign w:val="bottom"/>
          </w:tcPr>
          <w:p>
            <w:pPr>
              <w:spacing w:after="0"/>
              <w:rPr>
                <w:sz w:val="11"/>
                <w:szCs w:val="11"/>
                <w:color w:val="auto"/>
              </w:rPr>
            </w:pPr>
          </w:p>
        </w:tc>
        <w:tc>
          <w:tcPr>
            <w:tcW w:w="6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7"/>
              </w:rPr>
              <w:t>54,611</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640"/>
              <w:spacing w:after="0"/>
              <w:rPr>
                <w:sz w:val="20"/>
                <w:szCs w:val="20"/>
                <w:color w:val="auto"/>
              </w:rPr>
            </w:pPr>
            <w:r>
              <w:rPr>
                <w:rFonts w:ascii="Courier New" w:cs="Courier New" w:eastAsia="Courier New" w:hAnsi="Courier New"/>
                <w:sz w:val="12"/>
                <w:szCs w:val="12"/>
                <w:color w:val="auto"/>
              </w:rPr>
              <w:t>EFFECT OF INDEXATION AND TRANSLATION ON</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1000"/>
              <w:spacing w:after="0"/>
              <w:rPr>
                <w:sz w:val="20"/>
                <w:szCs w:val="20"/>
                <w:color w:val="auto"/>
              </w:rPr>
            </w:pPr>
            <w:r>
              <w:rPr>
                <w:rFonts w:ascii="Courier New" w:cs="Courier New" w:eastAsia="Courier New" w:hAnsi="Courier New"/>
                <w:sz w:val="12"/>
                <w:szCs w:val="12"/>
                <w:color w:val="auto"/>
              </w:rPr>
              <w:t>CONVERTIBLE DEBENTURES</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5"/>
              </w:rPr>
              <w:t>(1,031)</w:t>
            </w:r>
          </w:p>
        </w:tc>
        <w:tc>
          <w:tcPr>
            <w:tcW w:w="320" w:type="dxa"/>
            <w:vAlign w:val="bottom"/>
          </w:tcPr>
          <w:p>
            <w:pPr>
              <w:spacing w:after="0"/>
              <w:rPr>
                <w:sz w:val="11"/>
                <w:szCs w:val="11"/>
                <w:color w:val="auto"/>
              </w:rPr>
            </w:pPr>
          </w:p>
        </w:tc>
        <w:tc>
          <w:tcPr>
            <w:tcW w:w="6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676</w:t>
            </w:r>
          </w:p>
        </w:tc>
        <w:tc>
          <w:tcPr>
            <w:tcW w:w="38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(878)</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7"/>
        </w:trPr>
        <w:tc>
          <w:tcPr>
            <w:tcW w:w="3880" w:type="dxa"/>
            <w:vAlign w:val="bottom"/>
          </w:tcPr>
          <w:p>
            <w:pPr>
              <w:ind w:left="640"/>
              <w:spacing w:after="0"/>
              <w:rPr>
                <w:sz w:val="20"/>
                <w:szCs w:val="20"/>
                <w:color w:val="auto"/>
              </w:rPr>
            </w:pPr>
            <w:r>
              <w:rPr>
                <w:rFonts w:ascii="Courier New" w:cs="Courier New" w:eastAsia="Courier New" w:hAnsi="Courier New"/>
                <w:sz w:val="12"/>
                <w:szCs w:val="12"/>
                <w:color w:val="auto"/>
              </w:rPr>
              <w:t>OTHER EXPENSE (INCOME), NET</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5"/>
              </w:rPr>
              <w:t>(2,383)</w:t>
            </w: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(32,682)</w:t>
            </w:r>
          </w:p>
        </w:tc>
        <w:tc>
          <w:tcPr>
            <w:tcW w:w="380" w:type="dxa"/>
            <w:vAlign w:val="bottom"/>
          </w:tcPr>
          <w:p>
            <w:pPr>
              <w:spacing w:after="0"/>
              <w:rPr>
                <w:sz w:val="11"/>
                <w:szCs w:val="11"/>
                <w:color w:val="auto"/>
              </w:rPr>
            </w:pPr>
          </w:p>
        </w:tc>
        <w:tc>
          <w:tcPr>
            <w:tcW w:w="6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84</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ectPr>
          <w:pgSz w:w="11900" w:h="16906" w:orient="portrait"/>
          <w:cols w:equalWidth="0" w:num="1">
            <w:col w:w="11540"/>
          </w:cols>
          <w:pgMar w:left="220" w:top="138" w:right="13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460" w:type="dxa"/>
            <w:vAlign w:val="bottom"/>
          </w:tcPr>
          <w:p>
            <w:pPr>
              <w:ind w:left="500"/>
              <w:spacing w:after="0"/>
              <w:rPr>
                <w:sz w:val="20"/>
                <w:szCs w:val="20"/>
                <w:color w:val="auto"/>
              </w:rPr>
            </w:pPr>
            <w:r>
              <w:rPr>
                <w:rFonts w:ascii="Courier New" w:cs="Courier New" w:eastAsia="Courier New" w:hAnsi="Courier New"/>
                <w:sz w:val="12"/>
                <w:szCs w:val="12"/>
                <w:color w:val="auto"/>
              </w:rPr>
              <w:t>CHANGES IN ASSETS AND LIABILITIES:</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5460" w:type="dxa"/>
            <w:vAlign w:val="bottom"/>
          </w:tcPr>
          <w:p>
            <w:pPr>
              <w:ind w:left="640"/>
              <w:spacing w:after="0"/>
              <w:rPr>
                <w:sz w:val="20"/>
                <w:szCs w:val="20"/>
                <w:color w:val="auto"/>
              </w:rPr>
            </w:pPr>
            <w:r>
              <w:rPr>
                <w:rFonts w:ascii="Courier New" w:cs="Courier New" w:eastAsia="Courier New" w:hAnsi="Courier New"/>
                <w:sz w:val="12"/>
                <w:szCs w:val="12"/>
                <w:color w:val="auto"/>
              </w:rPr>
              <w:t>DECREASE (INCREASE) IN TRADE ACCOUNTS RECEIVABLE</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2,510</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(7,655)</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(4,175)</w:t>
            </w:r>
          </w:p>
        </w:tc>
      </w:tr>
      <w:tr>
        <w:trPr>
          <w:trHeight w:val="137"/>
        </w:trPr>
        <w:tc>
          <w:tcPr>
            <w:tcW w:w="5460" w:type="dxa"/>
            <w:vAlign w:val="bottom"/>
          </w:tcPr>
          <w:p>
            <w:pPr>
              <w:ind w:left="640"/>
              <w:spacing w:after="0"/>
              <w:rPr>
                <w:sz w:val="20"/>
                <w:szCs w:val="20"/>
                <w:color w:val="auto"/>
              </w:rPr>
            </w:pPr>
            <w:r>
              <w:rPr>
                <w:rFonts w:ascii="Courier New" w:cs="Courier New" w:eastAsia="Courier New" w:hAnsi="Courier New"/>
                <w:sz w:val="12"/>
                <w:szCs w:val="12"/>
                <w:color w:val="auto"/>
              </w:rPr>
              <w:t>DECREASE (INCREASE) IN OTHER RECEIVABLES AND OTHER CURRENT ASSETS</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1,988</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(413)</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1,264</w:t>
            </w:r>
          </w:p>
        </w:tc>
      </w:tr>
      <w:tr>
        <w:trPr>
          <w:trHeight w:val="137"/>
        </w:trPr>
        <w:tc>
          <w:tcPr>
            <w:tcW w:w="5460" w:type="dxa"/>
            <w:vAlign w:val="bottom"/>
          </w:tcPr>
          <w:p>
            <w:pPr>
              <w:ind w:left="640"/>
              <w:spacing w:after="0"/>
              <w:rPr>
                <w:sz w:val="20"/>
                <w:szCs w:val="20"/>
                <w:color w:val="auto"/>
              </w:rPr>
            </w:pPr>
            <w:r>
              <w:rPr>
                <w:rFonts w:ascii="Courier New" w:cs="Courier New" w:eastAsia="Courier New" w:hAnsi="Courier New"/>
                <w:sz w:val="12"/>
                <w:szCs w:val="12"/>
                <w:color w:val="auto"/>
              </w:rPr>
              <w:t>DECREASE (INCREASE) IN INVENTORIES</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1,293</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(6,287)</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(6,221)</w:t>
            </w:r>
          </w:p>
        </w:tc>
      </w:tr>
      <w:tr>
        <w:trPr>
          <w:trHeight w:val="137"/>
        </w:trPr>
        <w:tc>
          <w:tcPr>
            <w:tcW w:w="5460" w:type="dxa"/>
            <w:vAlign w:val="bottom"/>
          </w:tcPr>
          <w:p>
            <w:pPr>
              <w:ind w:left="640"/>
              <w:spacing w:after="0"/>
              <w:rPr>
                <w:sz w:val="20"/>
                <w:szCs w:val="20"/>
                <w:color w:val="auto"/>
              </w:rPr>
            </w:pPr>
            <w:r>
              <w:rPr>
                <w:rFonts w:ascii="Courier New" w:cs="Courier New" w:eastAsia="Courier New" w:hAnsi="Courier New"/>
                <w:sz w:val="12"/>
                <w:szCs w:val="12"/>
                <w:color w:val="auto"/>
              </w:rPr>
              <w:t>INCREASE IN TRADE ACCOUNTS PAYABLE</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3,082</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404</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801</w:t>
            </w:r>
          </w:p>
        </w:tc>
      </w:tr>
      <w:tr>
        <w:trPr>
          <w:trHeight w:val="137"/>
        </w:trPr>
        <w:tc>
          <w:tcPr>
            <w:tcW w:w="5460" w:type="dxa"/>
            <w:vAlign w:val="bottom"/>
          </w:tcPr>
          <w:p>
            <w:pPr>
              <w:ind w:left="64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2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(1,839)</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(970)</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1,467</w:t>
            </w:r>
          </w:p>
        </w:tc>
      </w:tr>
      <w:tr>
        <w:trPr>
          <w:trHeight w:val="137"/>
        </w:trPr>
        <w:tc>
          <w:tcPr>
            <w:tcW w:w="5460" w:type="dxa"/>
            <w:vAlign w:val="bottom"/>
          </w:tcPr>
          <w:p>
            <w:pPr>
              <w:ind w:left="640"/>
              <w:spacing w:after="0"/>
              <w:rPr>
                <w:sz w:val="20"/>
                <w:szCs w:val="20"/>
                <w:color w:val="auto"/>
              </w:rPr>
            </w:pPr>
            <w:r>
              <w:rPr>
                <w:rFonts w:ascii="Courier New" w:cs="Courier New" w:eastAsia="Courier New" w:hAnsi="Courier New"/>
                <w:sz w:val="12"/>
                <w:szCs w:val="12"/>
                <w:color w:val="auto"/>
              </w:rPr>
              <w:t>INCREASE (DECREASE) IN OTHER LONG-TERM LIABILITIES</w:t>
            </w:r>
          </w:p>
        </w:tc>
        <w:tc>
          <w:tcPr>
            <w:tcW w:w="2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(5,368)</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9,344</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529</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(59,978)</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(54,284)</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(66,779)</w:t>
            </w:r>
          </w:p>
        </w:tc>
      </w:tr>
      <w:tr>
        <w:trPr>
          <w:trHeight w:val="137"/>
        </w:trPr>
        <w:tc>
          <w:tcPr>
            <w:tcW w:w="5460" w:type="dxa"/>
            <w:vAlign w:val="bottom"/>
          </w:tcPr>
          <w:p>
            <w:pPr>
              <w:ind w:left="640"/>
              <w:spacing w:after="0"/>
              <w:rPr>
                <w:sz w:val="20"/>
                <w:szCs w:val="20"/>
                <w:color w:val="auto"/>
              </w:rPr>
            </w:pPr>
            <w:r>
              <w:rPr>
                <w:rFonts w:ascii="Courier New" w:cs="Courier New" w:eastAsia="Courier New" w:hAnsi="Courier New"/>
                <w:sz w:val="12"/>
                <w:szCs w:val="12"/>
                <w:color w:val="auto"/>
              </w:rPr>
              <w:t>INCREASE (DECREASE) IN LONG-TERM LIABILITY</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5460" w:type="dxa"/>
            <w:vAlign w:val="bottom"/>
          </w:tcPr>
          <w:p>
            <w:pPr>
              <w:ind w:left="780"/>
              <w:spacing w:after="0"/>
              <w:rPr>
                <w:sz w:val="20"/>
                <w:szCs w:val="20"/>
                <w:color w:val="auto"/>
              </w:rPr>
            </w:pPr>
            <w:r>
              <w:rPr>
                <w:rFonts w:ascii="Courier New" w:cs="Courier New" w:eastAsia="Courier New" w:hAnsi="Courier New"/>
                <w:sz w:val="12"/>
                <w:szCs w:val="12"/>
                <w:color w:val="auto"/>
              </w:rPr>
              <w:t>IN RESPECT OF CUSTOMERS' ADVANCES, NET</w:t>
            </w:r>
          </w:p>
        </w:tc>
        <w:tc>
          <w:tcPr>
            <w:tcW w:w="2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(760)</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19,384</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(899)</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780"/>
              <w:spacing w:after="0"/>
              <w:rPr>
                <w:sz w:val="20"/>
                <w:szCs w:val="20"/>
                <w:color w:val="auto"/>
              </w:rPr>
            </w:pPr>
            <w:r>
              <w:rPr>
                <w:rFonts w:ascii="Courier New" w:cs="Courier New" w:eastAsia="Courier New" w:hAnsi="Courier New"/>
                <w:sz w:val="12"/>
                <w:szCs w:val="12"/>
                <w:color w:val="auto"/>
              </w:rPr>
              <w:t>NET CASH USED IN OPERATING ACTIVITIES</w:t>
            </w:r>
          </w:p>
        </w:tc>
        <w:tc>
          <w:tcPr>
            <w:tcW w:w="2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(60,738)</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(34,900)</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(67,678)</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46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4"/>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DECREASE (INCREASE) IN DESIGNATED CASH, SHORT-TERM AND LONG-TERM</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546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 NET</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27,266</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(10,037)</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14,341</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2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(38,878)</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(154,975)</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(179,310)</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INVESTMENT GRANTS RECEIVED</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7,496</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32,636</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33,811</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PROCEEDS RELATED TO SALE AND DISPOSAL OF PROPERTY AND EQUIPMENT</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2,179</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2,626</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222</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2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(3,841)</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(702)</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(22,098)</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DECREASE IN DEPOSITS, NET</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10,500</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SALE OF LONG-TERM INVESTMENT</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38,677</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780"/>
              <w:spacing w:after="0"/>
              <w:rPr>
                <w:sz w:val="20"/>
                <w:szCs w:val="20"/>
                <w:color w:val="auto"/>
              </w:rPr>
            </w:pPr>
            <w:r>
              <w:rPr>
                <w:rFonts w:ascii="Courier New" w:cs="Courier New" w:eastAsia="Courier New" w:hAnsi="Courier New"/>
                <w:sz w:val="12"/>
                <w:szCs w:val="12"/>
                <w:color w:val="auto"/>
              </w:rPr>
              <w:t>NET CASH USED IN INVESTING ACTIVITIES</w:t>
            </w:r>
          </w:p>
        </w:tc>
        <w:tc>
          <w:tcPr>
            <w:tcW w:w="28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(5,778)</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(91,775)</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(142,534)</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46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4"/>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CONVERTIBLE DEBENTURES, NET</w:t>
            </w:r>
          </w:p>
        </w:tc>
        <w:tc>
          <w:tcPr>
            <w:tcW w:w="280" w:type="dxa"/>
            <w:vAlign w:val="bottom"/>
          </w:tcPr>
          <w:p>
            <w:pPr>
              <w:spacing w:after="0"/>
              <w:rPr>
                <w:sz w:val="23"/>
                <w:szCs w:val="23"/>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25,086</w:t>
            </w:r>
          </w:p>
        </w:tc>
        <w:tc>
          <w:tcPr>
            <w:tcW w:w="26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LONG-TERM DEBT</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21,103</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66,000</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SHARES, NET</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75,225</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24,375</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SHARE OPTIONS</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666</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SHARE CAPITAL</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16,428</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REPAYMENT OF LONG-TERM DEBT</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(13,000)</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LONG-TERM DEBT, NET IN CONNECTION WITH</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5460" w:type="dxa"/>
            <w:vAlign w:val="bottom"/>
          </w:tcPr>
          <w:p>
            <w:pPr>
              <w:ind w:left="360"/>
              <w:spacing w:after="0"/>
              <w:rPr>
                <w:sz w:val="20"/>
                <w:szCs w:val="20"/>
                <w:color w:val="auto"/>
              </w:rPr>
            </w:pPr>
            <w:r>
              <w:rPr>
                <w:rFonts w:ascii="Courier New" w:cs="Courier New" w:eastAsia="Courier New" w:hAnsi="Courier New"/>
                <w:sz w:val="12"/>
                <w:szCs w:val="12"/>
                <w:color w:val="auto"/>
              </w:rPr>
              <w:t>RE-BORROWING, NOTE 11A(6)</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187,000</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780"/>
              <w:spacing w:after="0"/>
              <w:rPr>
                <w:sz w:val="20"/>
                <w:szCs w:val="20"/>
                <w:color w:val="auto"/>
              </w:rPr>
            </w:pPr>
            <w:r>
              <w:rPr>
                <w:rFonts w:ascii="Courier New" w:cs="Courier New" w:eastAsia="Courier New" w:hAnsi="Courier New"/>
                <w:sz w:val="12"/>
                <w:szCs w:val="12"/>
                <w:color w:val="auto"/>
              </w:rPr>
              <w:t>NET CASH PROVIDED BY FINANCING ACTIVITIES</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46,189</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141,891</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214,803</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460" w:type="dxa"/>
            <w:vAlign w:val="bottom"/>
          </w:tcPr>
          <w:p>
            <w:pPr>
              <w:ind w:left="500"/>
              <w:spacing w:after="0"/>
              <w:rPr>
                <w:sz w:val="20"/>
                <w:szCs w:val="20"/>
                <w:color w:val="auto"/>
              </w:rPr>
            </w:pPr>
            <w:r>
              <w:rPr>
                <w:rFonts w:ascii="Courier New" w:cs="Courier New" w:eastAsia="Courier New" w:hAnsi="Courier New"/>
                <w:sz w:val="12"/>
                <w:szCs w:val="12"/>
                <w:color w:val="auto"/>
              </w:rPr>
              <w:t>INCREASE (DECREASE) IN CASH AND CASH EQUIVALENTS</w:t>
            </w:r>
          </w:p>
        </w:tc>
        <w:tc>
          <w:tcPr>
            <w:tcW w:w="280" w:type="dxa"/>
            <w:vAlign w:val="bottom"/>
          </w:tcPr>
          <w:p>
            <w:pPr>
              <w:spacing w:after="0"/>
              <w:rPr>
                <w:sz w:val="23"/>
                <w:szCs w:val="23"/>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(20,327)</w:t>
            </w:r>
          </w:p>
        </w:tc>
        <w:tc>
          <w:tcPr>
            <w:tcW w:w="26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15,216</w:t>
            </w:r>
          </w:p>
        </w:tc>
        <w:tc>
          <w:tcPr>
            <w:tcW w:w="24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4,591</w:t>
            </w:r>
          </w:p>
        </w:tc>
      </w:tr>
      <w:tr>
        <w:trPr>
          <w:trHeight w:val="137"/>
        </w:trPr>
        <w:tc>
          <w:tcPr>
            <w:tcW w:w="546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YEAR</w:t>
            </w:r>
          </w:p>
        </w:tc>
        <w:tc>
          <w:tcPr>
            <w:tcW w:w="280" w:type="dxa"/>
            <w:vAlign w:val="bottom"/>
          </w:tcPr>
          <w:p>
            <w:pPr>
              <w:spacing w:after="0"/>
              <w:rPr>
                <w:sz w:val="11"/>
                <w:szCs w:val="11"/>
                <w:color w:val="auto"/>
              </w:rPr>
            </w:pP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27,664</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12,448</w:t>
            </w:r>
          </w:p>
        </w:tc>
        <w:tc>
          <w:tcPr>
            <w:tcW w:w="24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7,857</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460" w:type="dxa"/>
            <w:vAlign w:val="bottom"/>
          </w:tcPr>
          <w:p>
            <w:pPr>
              <w:ind w:left="500"/>
              <w:spacing w:after="0"/>
              <w:rPr>
                <w:sz w:val="20"/>
                <w:szCs w:val="20"/>
                <w:color w:val="auto"/>
              </w:rPr>
            </w:pPr>
            <w:r>
              <w:rPr>
                <w:rFonts w:ascii="Courier New" w:cs="Courier New" w:eastAsia="Courier New" w:hAnsi="Courier New"/>
                <w:sz w:val="12"/>
                <w:szCs w:val="12"/>
                <w:color w:val="auto"/>
              </w:rPr>
              <w:t>CASH AND CASH EQUIVALENTS - END OF YEAR</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7,337</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27,664</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12,448</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46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4"/>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12,999</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47,675</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17,160</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5460" w:type="dxa"/>
            <w:vAlign w:val="bottom"/>
          </w:tcPr>
          <w:p>
            <w:pPr>
              <w:ind w:left="360"/>
              <w:spacing w:after="0"/>
              <w:rPr>
                <w:sz w:val="20"/>
                <w:szCs w:val="20"/>
                <w:color w:val="auto"/>
              </w:rPr>
            </w:pPr>
            <w:r>
              <w:rPr>
                <w:rFonts w:ascii="Courier New" w:cs="Courier New" w:eastAsia="Courier New" w:hAnsi="Courier New"/>
                <w:sz w:val="12"/>
                <w:szCs w:val="12"/>
                <w:color w:val="auto"/>
              </w:rPr>
              <w:t>THE FACILITY AGREEMENT WITH THE BANKS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2,793</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4,205</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5460" w:type="dxa"/>
            <w:vAlign w:val="bottom"/>
          </w:tcPr>
          <w:p>
            <w:pPr>
              <w:ind w:left="360"/>
              <w:spacing w:after="0"/>
              <w:rPr>
                <w:sz w:val="20"/>
                <w:szCs w:val="20"/>
                <w:color w:val="auto"/>
              </w:rPr>
            </w:pPr>
            <w:r>
              <w:rPr>
                <w:rFonts w:ascii="Courier New" w:cs="Courier New" w:eastAsia="Courier New" w:hAnsi="Courier New"/>
                <w:sz w:val="12"/>
                <w:szCs w:val="12"/>
                <w:color w:val="auto"/>
              </w:rPr>
              <w:t>TO EMPLOYEES, NOTE 13H</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448</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442</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3,153</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LONG-TERM LIABILITY IN RESPECT OF CUSTOMERS' ADVANCES</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5460" w:type="dxa"/>
            <w:vAlign w:val="bottom"/>
          </w:tcPr>
          <w:p>
            <w:pPr>
              <w:ind w:left="360"/>
              <w:spacing w:after="0"/>
              <w:rPr>
                <w:sz w:val="20"/>
                <w:szCs w:val="20"/>
                <w:color w:val="auto"/>
              </w:rPr>
            </w:pPr>
            <w:r>
              <w:rPr>
                <w:rFonts w:ascii="Courier New" w:cs="Courier New" w:eastAsia="Courier New" w:hAnsi="Courier New"/>
                <w:sz w:val="12"/>
                <w:szCs w:val="12"/>
                <w:color w:val="auto"/>
              </w:rPr>
              <w:t>TO SHARE CAPITAL</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1,794</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539</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546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4"/>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CAPITALIZED AND EXPENSED INTEREST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32,805</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25,205</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15,674</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546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INCOME TAXES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86</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130</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239</w:t>
            </w:r>
          </w:p>
        </w:tc>
      </w:tr>
      <w:tr>
        <w:trPr>
          <w:trHeight w:val="137"/>
        </w:trPr>
        <w:tc>
          <w:tcPr>
            <w:tcW w:w="5460" w:type="dxa"/>
            <w:vAlign w:val="bottom"/>
          </w:tcPr>
          <w:p>
            <w:pPr>
              <w:spacing w:after="0"/>
              <w:rPr>
                <w:sz w:val="11"/>
                <w:szCs w:val="11"/>
                <w:color w:val="auto"/>
              </w:rPr>
            </w:pP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- 5</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w:t>
      </w:r>
    </w:p>
    <w:p>
      <w:pPr>
        <w:spacing w:after="0" w:line="139" w:lineRule="exact"/>
        <w:rPr>
          <w:sz w:val="20"/>
          <w:szCs w:val="20"/>
          <w:color w:val="auto"/>
        </w:rPr>
      </w:pPr>
    </w:p>
    <w:p>
      <w:pPr>
        <w:ind w:left="700" w:hanging="350"/>
        <w:spacing w:after="0"/>
        <w:tabs>
          <w:tab w:leader="none" w:pos="700"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OF BUSINESS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("the Company"), incorporated in Israel, commenced operations in March 1993. The Company is an independent wafer foundry dedicated to the manufacture of semiconductor integrated circuits on silicon wafers. The Company manufactures integrated circuits in geometries from 1.0 to 0.35 microns at its 150-millimeter fabrication facility ("Fab 1"), and in 0.18 microns and below at its 200-millimeter fabrication facility ("Fab 2"). As a foundry, the Company manufactures wafers using its advanced technological capabilities and the proprietary integrated circuit designs of its customers.</w:t>
      </w:r>
    </w:p>
    <w:p>
      <w:pPr>
        <w:spacing w:after="0" w:line="144"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40" w:lineRule="exact"/>
        <w:rPr>
          <w:rFonts w:ascii="Courier New" w:cs="Courier New" w:eastAsia="Courier New" w:hAnsi="Courier New"/>
          <w:sz w:val="12"/>
          <w:szCs w:val="12"/>
          <w:color w:val="auto"/>
        </w:rPr>
      </w:pPr>
    </w:p>
    <w:p>
      <w:pPr>
        <w:ind w:left="700" w:right="453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Ordinary Shares are traded on the Nasdaq National Market and on the Tel-Aviv Stock Exchange.</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ESTABLISHMENT AND OPERATIONS OF NEW FABRICATION FACILITY (FAB 2)</w:t>
      </w:r>
    </w:p>
    <w:p>
      <w:pPr>
        <w:spacing w:after="0" w:line="141" w:lineRule="exact"/>
        <w:rPr>
          <w:rFonts w:ascii="Courier New" w:cs="Courier New" w:eastAsia="Courier New" w:hAnsi="Courier New"/>
          <w:sz w:val="12"/>
          <w:szCs w:val="12"/>
          <w:color w:val="auto"/>
        </w:rPr>
      </w:pPr>
    </w:p>
    <w:p>
      <w:pPr>
        <w:ind w:left="700" w:right="45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 200-millimeter wafers. The Company has entered into several related agreements and other arrangements and has completed public and private financing deals, which, as of the approval date of the financial statements, have provided an aggregate of approximately $1,260,000 of financing for Fab</w:t>
      </w:r>
    </w:p>
    <w:p>
      <w:pPr>
        <w:sectPr>
          <w:pgSz w:w="11900" w:h="16838" w:orient="portrait"/>
          <w:cols w:equalWidth="0" w:num="1">
            <w:col w:w="10239"/>
          </w:cols>
          <w:pgMar w:left="220" w:top="138" w:right="1440" w:bottom="0" w:gutter="0" w:footer="0" w:header="0"/>
        </w:sectPr>
      </w:pPr>
    </w:p>
    <w:bookmarkStart w:id="53" w:name="page54"/>
    <w:bookmarkEnd w:id="53"/>
    <w:p>
      <w:pPr>
        <w:spacing w:after="0" w:line="6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Fab 2 project is a complex undertaking, which entails substantial</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risks and uncertainties. For further details concerning the Fab 2</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project and related agreements, some of which were amended several</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times, see Note 11A.</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During the third quarter of 2003, in which Fab 2's construction was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substantially completed, the Company began commercial production and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shipment of wafers to its customers utilizing the 0.18 micron process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technology. With the commencement of Fab 2 operations, the Company</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began to depreciate and amortize Fab 2 assets, and to expense most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ongoing direct costs related to the construction and equipping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Fab 2 and to the transfer of the Fab 2 technology that had been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previously capitalized. For further details concerning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depreciation and amortization of Fab 2 assets, see Note 11A.</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- 6</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 (cont.)</w:t>
      </w:r>
    </w:p>
    <w:p>
      <w:pPr>
        <w:spacing w:after="0" w:line="139" w:lineRule="exact"/>
        <w:rPr>
          <w:sz w:val="20"/>
          <w:szCs w:val="20"/>
          <w:color w:val="auto"/>
        </w:rPr>
      </w:pPr>
    </w:p>
    <w:p>
      <w:pPr>
        <w:ind w:left="700" w:hanging="350"/>
        <w:spacing w:after="0"/>
        <w:tabs>
          <w:tab w:leader="none" w:pos="700"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w:t>
      </w:r>
    </w:p>
    <w:p>
      <w:pPr>
        <w:spacing w:after="0" w:line="141" w:lineRule="exact"/>
        <w:rPr>
          <w:rFonts w:ascii="Courier New" w:cs="Courier New" w:eastAsia="Courier New" w:hAnsi="Courier New"/>
          <w:sz w:val="12"/>
          <w:szCs w:val="12"/>
          <w:color w:val="auto"/>
        </w:rPr>
      </w:pPr>
    </w:p>
    <w:p>
      <w:pPr>
        <w:ind w:left="70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year ended December 31, 2005 and in recent years, the Company has experienced significant recurring losses from operations, recurring negative cash flows from operating activities, an increasing accumulated deficit and a deficit in shareholders equity. According to the Company's approved short-term working plan, based on the current prevailing semiconductor market conditions, the Company needs to raise funds in order to finance its short-term activities and liabilities in 2006, including repayment of long-term loans to the extent to be required (see the following paragraph). In addition, according to the Facility Agreement with the Banks, in the fourth quarter of 2006 and in 2007, the Company is to repay on account of long-term loans $21,103 and $160,257, respectively. For details concerning an amendment to the Company's financial ratios and covenants through the third quarter of 2006 under the amended Facility Agreement with the Banks, which was obtained subsequent to a waiver letter agreement signed between the Company and the Banks in January 2005 following non-compliance of the Company with certain of the financial ratios and covenants that were applicable as of December 31, 2004, see Note 11A(6).</w:t>
      </w:r>
    </w:p>
    <w:p>
      <w:pPr>
        <w:spacing w:after="0" w:line="130"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light of the described above, the Company has been taking comprehensive measures to obtain the needed funds for its near-term ongoing operations, as well as to reduce its short-term liabilities. The Company has also implemented cost reduction measures, including measures to reduce expenses, cost structure and cash burn, and in March 2005, the Company completed a workforce cutback, as part of an across-the-board savings plan focused on operational efficiencies. In this regard, the Company has held discussions with its Equity Investors, Wafer Partners and its Banks to provide additional funding for the Company of an aggregate amount of approximately $60,000. Following an amendment to the Facility Agreement signed between the Company and its Banks in July 2005, and the completion of a rights offering in which in December 2005 and January 2006 the Company raised $48,169 (of which $27,811 was received from certain of the Company's Equity Investors and Wafer Partners), the Company was provided with additional $29,693 from the Banks.</w:t>
      </w:r>
    </w:p>
    <w:p>
      <w:pPr>
        <w:spacing w:after="0" w:line="148"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Further, the Company is currently examining alternatives for additional funding sources, including raising funds in the capital markets, private placements and other sources. In addition, as provided in the July 2005 amendment, subsequent to the balance sheet date the Company and the Banks commenced and are holding discussions for rescheduling of the repayment dates of the $29,693 provided by the Banks under this amendment, currently to be repaid through March 31, 2007 ($21,103 of which in the fourth quarter of 2006 and the reminder in March 31, 2007). Management also intends to discuss with the Banks the rescheduling of the repayment dates of all the remaining loans obtained from the Banks.</w:t>
      </w:r>
    </w:p>
    <w:p>
      <w:pPr>
        <w:spacing w:after="0" w:line="145"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management estimates that it is probable that additional funds the Company will need in 2006 from the additional funding sources the Company is currently examining, as described above, will be achieved. Management also estimates, based on the discussions held with the Banks subsequent to the balance sheet date, that reaching satisfactory agreement with the Banks regarding the rescheduling of the repayment dates of the $29,693 obtained under the July 2005 amendment is probable. Management further estimates that obtaining satisfactory agreement with the Banks regarding the rescheduling of all the remaining loans obtained from them is achievable, subject that the discussions management intends to hold with the Banks are concluded.</w:t>
      </w:r>
    </w:p>
    <w:p>
      <w:pPr>
        <w:spacing w:after="0" w:line="280"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- 7</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 (cont.)</w:t>
      </w:r>
    </w:p>
    <w:p>
      <w:pPr>
        <w:spacing w:after="0" w:line="139" w:lineRule="exact"/>
        <w:rPr>
          <w:sz w:val="20"/>
          <w:szCs w:val="20"/>
          <w:color w:val="auto"/>
        </w:rPr>
      </w:pPr>
    </w:p>
    <w:p>
      <w:pPr>
        <w:ind w:left="700" w:hanging="350"/>
        <w:spacing w:after="0"/>
        <w:tabs>
          <w:tab w:leader="none" w:pos="700" w:val="left"/>
        </w:tabs>
        <w:numPr>
          <w:ilvl w:val="0"/>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OF ESTIMATES IN PREPARATION OF FINANCIAL STATEMENTS</w:t>
      </w:r>
    </w:p>
    <w:p>
      <w:pPr>
        <w:spacing w:after="0" w:line="141"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w:t>
      </w:r>
    </w:p>
    <w:p>
      <w:pPr>
        <w:spacing w:after="0" w:line="141" w:lineRule="exact"/>
        <w:rPr>
          <w:sz w:val="20"/>
          <w:szCs w:val="20"/>
          <w:color w:val="auto"/>
        </w:rPr>
      </w:pPr>
    </w:p>
    <w:p>
      <w:pPr>
        <w:ind w:left="360" w:right="4539"/>
        <w:spacing w:after="0"/>
        <w:rPr>
          <w:sz w:val="20"/>
          <w:szCs w:val="20"/>
          <w:color w:val="auto"/>
        </w:rPr>
      </w:pPr>
      <w:r>
        <w:rPr>
          <w:rFonts w:ascii="Courier New" w:cs="Courier New" w:eastAsia="Courier New" w:hAnsi="Courier New"/>
          <w:sz w:val="12"/>
          <w:szCs w:val="12"/>
          <w:color w:val="auto"/>
        </w:rPr>
        <w:t>The Company's consolidated financial statements are presented in accordance with generally accepted accounting principles ("GAAP") in Israel. See Note 20 for the reconciliation of material differences between GAAP in Israel and in the United States of America.</w:t>
      </w:r>
    </w:p>
    <w:p>
      <w:pPr>
        <w:sectPr>
          <w:pgSz w:w="11900" w:h="16905" w:orient="portrait"/>
          <w:cols w:equalWidth="0" w:num="1">
            <w:col w:w="10239"/>
          </w:cols>
          <w:pgMar w:left="220" w:top="138" w:right="1440" w:bottom="0" w:gutter="0" w:footer="0" w:header="0"/>
        </w:sectPr>
      </w:pPr>
    </w:p>
    <w:bookmarkStart w:id="54" w:name="page55"/>
    <w:bookmarkEnd w:id="54"/>
    <w:p>
      <w:pPr>
        <w:ind w:left="700" w:hanging="350"/>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PRINCIPLES OF CONSOLIDATION</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consolidated financial statements include the financial statements of the Company and its wholly-owned marketing subsidiary in the United States, after elimination of material inter-company transactions and balances. The effect of the subsidiary's operations on the Company's revenues, net loss and total assets was immaterial for the dates and periods presented.</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w:t>
      </w:r>
    </w:p>
    <w:p>
      <w:pPr>
        <w:spacing w:after="0" w:line="141" w:lineRule="exact"/>
        <w:rPr>
          <w:rFonts w:ascii="Courier New" w:cs="Courier New" w:eastAsia="Courier New" w:hAnsi="Courier New"/>
          <w:sz w:val="12"/>
          <w:szCs w:val="12"/>
          <w:color w:val="auto"/>
        </w:rPr>
      </w:pPr>
    </w:p>
    <w:p>
      <w:pPr>
        <w:ind w:left="700" w:right="453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 consist of deposits in banks and short-term investments (primarily time deposits and certificates of deposit) with original maturities of three months or less.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ALLOWANCE FOR DOUBTFUL ACCOUNTS</w:t>
      </w:r>
    </w:p>
    <w:p>
      <w:pPr>
        <w:spacing w:after="0" w:line="141" w:lineRule="exact"/>
        <w:rPr>
          <w:rFonts w:ascii="Courier New" w:cs="Courier New" w:eastAsia="Courier New" w:hAnsi="Courier New"/>
          <w:sz w:val="12"/>
          <w:szCs w:val="12"/>
          <w:color w:val="auto"/>
        </w:rPr>
      </w:pPr>
    </w:p>
    <w:p>
      <w:pPr>
        <w:ind w:left="700" w:right="503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allowance for doubtful accounts is computed on the specific identification basis for accounts whose collectibility, in management's estimation, is uncertain.</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INVENTORIES</w:t>
      </w:r>
    </w:p>
    <w:p>
      <w:pPr>
        <w:spacing w:after="0" w:line="141" w:lineRule="exact"/>
        <w:rPr>
          <w:rFonts w:ascii="Courier New" w:cs="Courier New" w:eastAsia="Courier New" w:hAnsi="Courier New"/>
          <w:sz w:val="12"/>
          <w:szCs w:val="12"/>
          <w:color w:val="auto"/>
        </w:rPr>
      </w:pPr>
    </w:p>
    <w:p>
      <w:pPr>
        <w:ind w:left="700" w:right="4539"/>
        <w:spacing w:after="0" w:line="269"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Inventories are stated at the lower of cost or market. Cost is determined for raw materials, spare parts and supplies on the basis of the weighted moving average cost per unit. Cost is determined for work in process and finished goods on the basis of actual production costs.</w:t>
      </w:r>
    </w:p>
    <w:p>
      <w:pPr>
        <w:spacing w:after="0" w:line="124"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w:t>
      </w:r>
    </w:p>
    <w:p>
      <w:pPr>
        <w:spacing w:after="0" w:line="141" w:lineRule="exact"/>
        <w:rPr>
          <w:rFonts w:ascii="Courier New" w:cs="Courier New" w:eastAsia="Courier New" w:hAnsi="Courier New"/>
          <w:sz w:val="12"/>
          <w:szCs w:val="12"/>
          <w:color w:val="auto"/>
        </w:rPr>
      </w:pPr>
    </w:p>
    <w:p>
      <w:pPr>
        <w:ind w:left="1060" w:right="4539" w:hanging="353"/>
        <w:spacing w:after="0" w:line="241" w:lineRule="auto"/>
        <w:tabs>
          <w:tab w:leader="none" w:pos="1060" w:val="left"/>
        </w:tabs>
        <w:numPr>
          <w:ilvl w:val="1"/>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Identifiable incremental direct costs include costs associated with acquiring, constructing, establishing and installing property and equipment (whether performed by others or by the Company), and costs directly related to preproduction test runs of property and equipment that are necessary to get it ready for its intended use. Those costs include payroll and payroll-related costs of employees who devote time and are dedicated solely to the acquiring, constructing, establishing and installing property and equipment. Allocation, when appropriate, of capitalizable incremental direct costs is based on management's estimates and methodologies including time sheet inputs.</w:t>
      </w:r>
    </w:p>
    <w:p>
      <w:pPr>
        <w:spacing w:after="0" w:line="283"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- 8</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hanging="350"/>
        <w:spacing w:after="0"/>
        <w:tabs>
          <w:tab w:leader="none" w:pos="700"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w:t>
      </w:r>
    </w:p>
    <w:p>
      <w:pPr>
        <w:spacing w:after="0" w:line="141" w:lineRule="exact"/>
        <w:rPr>
          <w:rFonts w:ascii="Courier New" w:cs="Courier New" w:eastAsia="Courier New" w:hAnsi="Courier New"/>
          <w:sz w:val="12"/>
          <w:szCs w:val="12"/>
          <w:color w:val="auto"/>
        </w:rPr>
      </w:pPr>
    </w:p>
    <w:p>
      <w:pPr>
        <w:ind w:left="1060" w:right="4599"/>
        <w:spacing w:after="0" w:line="268"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Cost is presented net of investment grants received or receivable, and less accumulated depreciation and amortization. The accrual for grants receivable is determined based on qualified investments made during the reporting period, provided that the primary criteria for entitlement have been met.</w:t>
      </w:r>
    </w:p>
    <w:p>
      <w:pPr>
        <w:spacing w:after="0" w:line="127" w:lineRule="exact"/>
        <w:rPr>
          <w:rFonts w:ascii="Courier New" w:cs="Courier New" w:eastAsia="Courier New" w:hAnsi="Courier New"/>
          <w:sz w:val="12"/>
          <w:szCs w:val="12"/>
          <w:color w:val="auto"/>
        </w:rPr>
      </w:pPr>
    </w:p>
    <w:p>
      <w:pPr>
        <w:ind w:left="1060" w:right="453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Depreciation is calculated based on the straight-line method over the estimated economic lives of the assets or terms of the related leases, as follows:</w:t>
      </w:r>
    </w:p>
    <w:p>
      <w:pPr>
        <w:spacing w:after="0" w:line="140" w:lineRule="exact"/>
        <w:rPr>
          <w:sz w:val="20"/>
          <w:szCs w:val="20"/>
          <w:color w:val="auto"/>
        </w:rPr>
      </w:pPr>
    </w:p>
    <w:tbl>
      <w:tblPr>
        <w:tblLayout w:type="fixed"/>
        <w:tblInd w:w="1060" w:type="dxa"/>
        <w:tblCellMar>
          <w:top w:w="0" w:type="dxa"/>
          <w:left w:w="0" w:type="dxa"/>
          <w:bottom w:w="0" w:type="dxa"/>
          <w:right w:w="0" w:type="dxa"/>
        </w:tblCellMar>
      </w:tblPr>
      <w:tr>
        <w:trPr>
          <w:trHeight w:val="136"/>
        </w:trPr>
        <w:tc>
          <w:tcPr>
            <w:tcW w:w="4000" w:type="dxa"/>
            <w:vAlign w:val="bottom"/>
          </w:tcPr>
          <w:p>
            <w:pPr>
              <w:spacing w:after="0"/>
              <w:rPr>
                <w:sz w:val="20"/>
                <w:szCs w:val="20"/>
                <w:color w:val="auto"/>
              </w:rPr>
            </w:pPr>
            <w:r>
              <w:rPr>
                <w:rFonts w:ascii="Courier New" w:cs="Courier New" w:eastAsia="Courier New" w:hAnsi="Courier New"/>
                <w:sz w:val="12"/>
                <w:szCs w:val="12"/>
                <w:color w:val="auto"/>
              </w:rPr>
              <w:t>Prepaid long-term land lease and buildings (including</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7"/>
        </w:trPr>
        <w:tc>
          <w:tcPr>
            <w:tcW w:w="4000" w:type="dxa"/>
            <w:vAlign w:val="bottom"/>
          </w:tcPr>
          <w:p>
            <w:pPr>
              <w:spacing w:after="0"/>
              <w:rPr>
                <w:sz w:val="20"/>
                <w:szCs w:val="20"/>
                <w:color w:val="auto"/>
              </w:rPr>
            </w:pPr>
            <w:r>
              <w:rPr>
                <w:rFonts w:ascii="Courier New" w:cs="Courier New" w:eastAsia="Courier New" w:hAnsi="Courier New"/>
                <w:sz w:val="12"/>
                <w:szCs w:val="12"/>
                <w:color w:val="auto"/>
              </w:rPr>
              <w:t>facility infrastructure)</w:t>
            </w:r>
          </w:p>
        </w:tc>
        <w:tc>
          <w:tcPr>
            <w:tcW w:w="100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5"/>
              </w:rPr>
              <w:t>14-25 years</w:t>
            </w:r>
          </w:p>
        </w:tc>
      </w:tr>
      <w:tr>
        <w:trPr>
          <w:trHeight w:val="137"/>
        </w:trPr>
        <w:tc>
          <w:tcPr>
            <w:tcW w:w="400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5</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years</w:t>
            </w:r>
          </w:p>
        </w:tc>
      </w:tr>
      <w:tr>
        <w:trPr>
          <w:trHeight w:val="137"/>
        </w:trPr>
        <w:tc>
          <w:tcPr>
            <w:tcW w:w="400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7</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years</w:t>
            </w:r>
          </w:p>
        </w:tc>
      </w:tr>
    </w:tbl>
    <w:p>
      <w:pPr>
        <w:spacing w:after="0" w:line="141" w:lineRule="exact"/>
        <w:rPr>
          <w:sz w:val="20"/>
          <w:szCs w:val="20"/>
          <w:color w:val="auto"/>
        </w:rPr>
      </w:pPr>
    </w:p>
    <w:p>
      <w:pPr>
        <w:ind w:left="1060" w:right="4759" w:hanging="353"/>
        <w:spacing w:after="0" w:line="280" w:lineRule="auto"/>
        <w:tabs>
          <w:tab w:leader="none" w:pos="1060" w:val="left"/>
        </w:tabs>
        <w:numPr>
          <w:ilvl w:val="1"/>
          <w:numId w:val="71"/>
        </w:numPr>
        <w:rPr>
          <w:rFonts w:ascii="Courier New" w:cs="Courier New" w:eastAsia="Courier New" w:hAnsi="Courier New"/>
          <w:sz w:val="11"/>
          <w:szCs w:val="11"/>
          <w:color w:val="auto"/>
        </w:rPr>
      </w:pPr>
      <w:r>
        <w:rPr>
          <w:rFonts w:ascii="Courier New" w:cs="Courier New" w:eastAsia="Courier New" w:hAnsi="Courier New"/>
          <w:sz w:val="11"/>
          <w:szCs w:val="11"/>
          <w:color w:val="auto"/>
        </w:rPr>
        <w:t>Impairment examinations and recognition are performed and determined based on the accounting policy outlined in O below.</w:t>
      </w:r>
    </w:p>
    <w:p>
      <w:pPr>
        <w:spacing w:after="0" w:line="118" w:lineRule="exact"/>
        <w:rPr>
          <w:rFonts w:ascii="Courier New" w:cs="Courier New" w:eastAsia="Courier New" w:hAnsi="Courier New"/>
          <w:sz w:val="11"/>
          <w:szCs w:val="11"/>
          <w:color w:val="auto"/>
        </w:rPr>
      </w:pPr>
    </w:p>
    <w:p>
      <w:pPr>
        <w:ind w:left="700" w:hanging="350"/>
        <w:spacing w:after="0"/>
        <w:tabs>
          <w:tab w:leader="none" w:pos="70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ASSETS</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TECHNOLOGY</w:t>
      </w:r>
    </w:p>
    <w:p>
      <w:pPr>
        <w:spacing w:after="0" w:line="141"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cost of Fab 2 technologies includes the technology process cost, internal incremental direct costs, mainly payroll-related costs of employees designated for integrating the technologies in the Company's facilities, and incremental direct costs associated with implementing the technologies until the technologies are ready for their intended use. The costs in relation to Fab 2 technologies are amortized over the expected estimated economic life of the technologies. Amortization phases in commencing on the dates on which each of the Fab 2 manufacturing lines is ready for its intended use, and is based on the straight-line method over a four-year period.</w:t>
      </w:r>
    </w:p>
    <w:p>
      <w:pPr>
        <w:spacing w:after="0" w:line="145" w:lineRule="exact"/>
        <w:rPr>
          <w:rFonts w:ascii="Courier New" w:cs="Courier New" w:eastAsia="Courier New" w:hAnsi="Courier New"/>
          <w:sz w:val="12"/>
          <w:szCs w:val="12"/>
          <w:color w:val="auto"/>
        </w:rPr>
      </w:pPr>
    </w:p>
    <w:p>
      <w:pPr>
        <w:ind w:left="1060" w:right="4759"/>
        <w:spacing w:after="0" w:line="28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Impairment examinations and recognition are performed and determined based on the accounting policy outlined in O below.</w:t>
      </w:r>
    </w:p>
    <w:p>
      <w:pPr>
        <w:spacing w:after="0" w:line="11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FINANCING CHARGES</w:t>
      </w:r>
    </w:p>
    <w:p>
      <w:pPr>
        <w:spacing w:after="0" w:line="141"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financing charges included in other assets in relation to funding the establishment of Fab 2 are being amortized over the lives of the borrowings based on the repayment schedule of such funding (in general, 6 years). During the establishment period of Fab 2, amortized deferred financing charges were capitalized to property and equipment. Commencing the third quarter of 2003, in which the building and infrastructures of Fab 2 were substantially completed and became ready for their intended use, and in which the initial ramp-up commenced, the deferred financing charges are being amortized to financing expenses, net.</w:t>
      </w:r>
    </w:p>
    <w:p>
      <w:pPr>
        <w:spacing w:after="0" w:line="280"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- 9</w:t>
      </w:r>
    </w:p>
    <w:p>
      <w:pPr>
        <w:sectPr>
          <w:pgSz w:w="11900" w:h="16838" w:orient="portrait"/>
          <w:cols w:equalWidth="0" w:num="1">
            <w:col w:w="10239"/>
          </w:cols>
          <w:pgMar w:left="220" w:top="275" w:right="1440" w:bottom="99" w:gutter="0" w:footer="0" w:header="0"/>
        </w:sectPr>
      </w:pPr>
    </w:p>
    <w:bookmarkStart w:id="55" w:name="page56"/>
    <w:bookmarkEnd w:id="55"/>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hanging="350"/>
        <w:spacing w:after="0"/>
        <w:tabs>
          <w:tab w:leader="none" w:pos="700"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w:t>
      </w:r>
    </w:p>
    <w:p>
      <w:pPr>
        <w:spacing w:after="0" w:line="141" w:lineRule="exact"/>
        <w:rPr>
          <w:rFonts w:ascii="Courier New" w:cs="Courier New" w:eastAsia="Courier New" w:hAnsi="Courier New"/>
          <w:sz w:val="12"/>
          <w:szCs w:val="12"/>
          <w:color w:val="auto"/>
        </w:rPr>
      </w:pPr>
    </w:p>
    <w:p>
      <w:pPr>
        <w:ind w:left="700" w:right="453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 the future conversion of which is not probable as of the balance-sheet date are presented as long-term liabilities and current liabilities (with respect to the current maturities) based on their terms as of such date, net of discount.</w:t>
      </w:r>
    </w:p>
    <w:p>
      <w:pPr>
        <w:spacing w:after="0" w:line="142" w:lineRule="exact"/>
        <w:rPr>
          <w:rFonts w:ascii="Courier New" w:cs="Courier New" w:eastAsia="Courier New" w:hAnsi="Courier New"/>
          <w:sz w:val="12"/>
          <w:szCs w:val="12"/>
          <w:color w:val="auto"/>
        </w:rPr>
      </w:pPr>
    </w:p>
    <w:p>
      <w:pPr>
        <w:ind w:left="700" w:right="459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Convertible debentures denominated in dollar the future conversion of which is probable as of the balance-sheet date, are presented as a separate line-item between total liabilities and shareholders equity.</w:t>
      </w:r>
    </w:p>
    <w:p>
      <w:pPr>
        <w:spacing w:after="0" w:line="122"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See P(1) below for the effect of the initial adoption of Standard No.</w:t>
      </w:r>
    </w:p>
    <w:p>
      <w:pPr>
        <w:spacing w:after="0" w:line="4" w:lineRule="exact"/>
        <w:rPr>
          <w:rFonts w:ascii="Courier New" w:cs="Courier New" w:eastAsia="Courier New" w:hAnsi="Courier New"/>
          <w:sz w:val="12"/>
          <w:szCs w:val="12"/>
          <w:color w:val="auto"/>
        </w:rPr>
      </w:pPr>
    </w:p>
    <w:p>
      <w:pPr>
        <w:jc w:val="both"/>
        <w:ind w:left="700" w:right="467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22 of the Israeli Accounting Standards Board "FINANCIAL INSTRUMENTS: DISCLOSURE AND PRESENTATION". See Notes 20F and 20G for presentation of convertible debentures in accordance with U.S. GAAP.</w:t>
      </w:r>
    </w:p>
    <w:p>
      <w:pPr>
        <w:spacing w:after="0" w:line="122"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INCOME TAXES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records deferred income taxes in accordance with Standard No. 19 "INCOME TAXES" of the Israeli Accounting Standards Board, to reflect the net tax effects of temporary differences between the carrying amounts of assets and liabilities for financial reporting purposes and for tax purposes. Deferred taxes are computed based on the tax rates anticipated (under applicable law as of the balance sheet date) to be in effect when the deferred taxes are expected to be paid or realized.</w:t>
      </w:r>
    </w:p>
    <w:p>
      <w:pPr>
        <w:spacing w:after="0" w:line="143" w:lineRule="exact"/>
        <w:rPr>
          <w:rFonts w:ascii="Courier New" w:cs="Courier New" w:eastAsia="Courier New" w:hAnsi="Courier New"/>
          <w:sz w:val="12"/>
          <w:szCs w:val="12"/>
          <w:color w:val="auto"/>
        </w:rPr>
      </w:pPr>
    </w:p>
    <w:p>
      <w:pPr>
        <w:ind w:left="70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for temporary differences, which will result in deductible amounts in future years and for carryforwards. An allowance against such deferred tax asset is recognized if it is probable that some portion or all of the deferred tax assets will not be realized. Due to the material loss carryforward of the Company as of December 31, 2005 and uncertainties with regard to its utilization in the future, no deferred taxes were recorded in the Company's results of operations.</w:t>
      </w:r>
    </w:p>
    <w:p>
      <w:pPr>
        <w:spacing w:after="0" w:line="266"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 RECOGNITION</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280"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- 10</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hanging="350"/>
        <w:spacing w:after="0"/>
        <w:tabs>
          <w:tab w:leader="none" w:pos="700"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w:t>
      </w:r>
    </w:p>
    <w:p>
      <w:pPr>
        <w:spacing w:after="0" w:line="141" w:lineRule="exact"/>
        <w:rPr>
          <w:rFonts w:ascii="Courier New" w:cs="Courier New" w:eastAsia="Courier New" w:hAnsi="Courier New"/>
          <w:sz w:val="12"/>
          <w:szCs w:val="12"/>
          <w:color w:val="auto"/>
        </w:rPr>
      </w:pPr>
    </w:p>
    <w:p>
      <w:pPr>
        <w:ind w:left="700" w:right="4599"/>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25"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ORDINARY SHARE</w:t>
      </w:r>
    </w:p>
    <w:p>
      <w:pPr>
        <w:spacing w:after="0" w:line="141" w:lineRule="exact"/>
        <w:rPr>
          <w:rFonts w:ascii="Courier New" w:cs="Courier New" w:eastAsia="Courier New" w:hAnsi="Courier New"/>
          <w:sz w:val="12"/>
          <w:szCs w:val="12"/>
          <w:color w:val="auto"/>
        </w:rPr>
      </w:pPr>
    </w:p>
    <w:p>
      <w:pPr>
        <w:ind w:left="70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Basic loss per ordinary share is calculated based on the weighted average number of ordinary shares outstanding during each year presented, adjusted retroactively to include the beneficial feature contemplated in a rights offering. The calculation includes retroactive effect from the beginning of each year (or the issuance date, which is the earlier) of shares issued upon exercise of options and warrants and upon conversion of convertible debentures outstanding at the beginning of each year (or that were issued during the year). The calculation further includes shares issuable from probable exercise and from probable conversion. Basic loss per ordinary share is calculated based on loss for the period with the inclusion of imputed interest income on the exercise price of options and warrants exercised or whose exercise is probable, and of financing expenses in relation to conversion of convertible debentures or probable conversion, as required under Israeli GAAP. See Note 20K for disclosure of loss per share data in accordance with U.S. GAAP.</w:t>
      </w:r>
    </w:p>
    <w:p>
      <w:pPr>
        <w:spacing w:after="0" w:line="266"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DERIVATIVE FINANCIAL INSTRUMENTS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enters into foreign exchange agreements (primarily forward contracts and options) to hedge non-dollar equipment purchase and other firm commitments. Gains and losses on such agreements through the date that the equipment is received or the commitment is realized are deferred and capitalized to the cost of equipment or the commitment, while gains and losses subsequent thereto, through the date of expiration of the foreign exchange agreement, are included in financing expense, net.</w:t>
      </w:r>
    </w:p>
    <w:p>
      <w:pPr>
        <w:spacing w:after="0" w:line="143"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in the same manner as the corresponding interest costs.</w:t>
      </w:r>
    </w:p>
    <w:p>
      <w:pPr>
        <w:spacing w:after="0" w:line="140"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See Note 20D for disclosure of the derivative financial instruments in</w:t>
      </w:r>
    </w:p>
    <w:p>
      <w:pPr>
        <w:sectPr>
          <w:pgSz w:w="11900" w:h="16838" w:orient="portrait"/>
          <w:cols w:equalWidth="0" w:num="1">
            <w:col w:w="10239"/>
          </w:cols>
          <w:pgMar w:left="220" w:top="138" w:right="1440" w:bottom="0" w:gutter="0" w:footer="0" w:header="0"/>
        </w:sectPr>
      </w:pPr>
    </w:p>
    <w:bookmarkStart w:id="56" w:name="page57"/>
    <w:bookmarkEnd w:id="56"/>
    <w:p>
      <w:pPr>
        <w:spacing w:after="0" w:line="8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accordance with U.S. GAAP.</w:t>
      </w:r>
    </w:p>
    <w:p>
      <w:pPr>
        <w:spacing w:after="0" w:line="139" w:lineRule="exact"/>
        <w:rPr>
          <w:sz w:val="20"/>
          <w:szCs w:val="20"/>
          <w:color w:val="auto"/>
        </w:rPr>
      </w:pPr>
    </w:p>
    <w:p>
      <w:pPr>
        <w:ind w:left="700" w:hanging="350"/>
        <w:spacing w:after="0"/>
        <w:tabs>
          <w:tab w:leader="none" w:pos="700"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FUNCTIONAL CURRENCY AND TRANSACTION GAINS AND LOSSES</w:t>
      </w:r>
    </w:p>
    <w:p>
      <w:pPr>
        <w:spacing w:after="0" w:line="141"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currency of the primary economic environment in which the Company conducts its operations is the U.S. dollar ("dollar"). Accordingly, the Company uses the dollar as its functional and reporting currency. Financing expenses, net in 2005 include net foreign currency transaction gains of $1,398. Financing expenses, net in 2004 and 2003 include net foreign currency transaction losses of $760 and $232, respectively.</w:t>
      </w:r>
    </w:p>
    <w:p>
      <w:pPr>
        <w:spacing w:after="0" w:line="27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- 11</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9" w:lineRule="exact"/>
        <w:rPr>
          <w:sz w:val="20"/>
          <w:szCs w:val="20"/>
          <w:color w:val="auto"/>
        </w:rPr>
      </w:pPr>
    </w:p>
    <w:p>
      <w:pPr>
        <w:ind w:left="700" w:hanging="350"/>
        <w:spacing w:after="0"/>
        <w:tabs>
          <w:tab w:leader="none" w:pos="70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STOCK-BASED COMPENSATION</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accounts for employee and director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P(2) below for the effect of the initial adoption of Standard No. 24 of the Israeli Accounting Standards Board "SHARE-BASED PAYMENTS". See Note 13B(6) for pro forma disclosures required by SFAS 123 and SFAS 148.</w:t>
      </w:r>
    </w:p>
    <w:p>
      <w:pPr>
        <w:spacing w:after="0" w:line="149"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warrants granted in connection with bank financing is amortized as deferred financing charges over the terms of the loans, in a manner described in paragraph F(2) above. The award cost of warrants granted in connection with the construction of Fab 2, is recorded as depreciation expense over the life of the prepaid perpetual land lease and buildings. The award cost of warrants granted to consultants and a related party in connection with equity transactions is offset against paid-in-capital.</w:t>
      </w:r>
    </w:p>
    <w:p>
      <w:pPr>
        <w:spacing w:after="0" w:line="144"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OF LONG-LIVED ASSETS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Management reviews long-lived assets on a periodic basis, as well as when such a review is required based upon relevant circumstances, to determine whether events or changes in circumstances indicate that the carrying amount of such assets may not be recoverable. According to the Israeli Accounting Standards Board No.15, "IMPAIRMENT OF ASSETS", an asset's recoverable value is the higher of the asset's net selling price and the asset's value in use, the latter being equal to the asset's discounted expected cash flows. Prior to issuing Standard No. 15 in January 2003, the Company tested the recoverability of its assets based on undiscounted expected cash flows, as applicable by U.S. GAAP, a method that under Standard No. 15 is no longer acceptable.</w:t>
      </w:r>
    </w:p>
    <w:p>
      <w:pPr>
        <w:spacing w:after="0" w:line="280"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- 12</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41" w:lineRule="exact"/>
        <w:rPr>
          <w:sz w:val="20"/>
          <w:szCs w:val="20"/>
          <w:color w:val="auto"/>
        </w:rPr>
      </w:pPr>
    </w:p>
    <w:p>
      <w:pPr>
        <w:ind w:left="700" w:right="4679" w:hanging="350"/>
        <w:spacing w:after="0" w:line="238" w:lineRule="auto"/>
        <w:tabs>
          <w:tab w:leader="none" w:pos="700"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w:t>
      </w:r>
    </w:p>
    <w:p>
      <w:pPr>
        <w:spacing w:after="0" w:line="142" w:lineRule="exact"/>
        <w:rPr>
          <w:rFonts w:ascii="Courier New" w:cs="Courier New" w:eastAsia="Courier New" w:hAnsi="Courier New"/>
          <w:sz w:val="12"/>
          <w:szCs w:val="12"/>
          <w:color w:val="auto"/>
        </w:rPr>
      </w:pPr>
    </w:p>
    <w:p>
      <w:pPr>
        <w:ind w:left="1060" w:right="4539" w:hanging="353"/>
        <w:spacing w:after="0" w:line="242" w:lineRule="auto"/>
        <w:tabs>
          <w:tab w:leader="none" w:pos="1060" w:val="left"/>
        </w:tabs>
        <w:numPr>
          <w:ilvl w:val="1"/>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22 "FINANCIAL INSTRUMENTS: DISCLOSURE AND PRESENTATION" - In July 2005, the Israeli Accounting Standards Board approved for publication Accounting Standard No. 22 "FINANCIAL INSTRUMENTS: DISCLOSURE AND PRESENTATION" (the "Standard"). A FINANCIAL INSTRUMENT under this Standard is defined, in general, as any contract that establishes a financial asset of an entity, or a financial liability or equity instrument of another entity. This Standard establishes the requirements for presentation of financial instruments in the financial statements and indicates the information that should be disclosed in relation thereto, and, in certain cases, the method to measure their impact on the entity's financial statements. The presentation requirements relate to the classification of financial instruments as financial assets, financial liabilities or equity instruments. It also deals with the classification of related interest, dividends, losses and gains and to the circumstances under which financial assets and financial liabilities derived from financial instruments are to be offset. The Standard establishes requirements for disclosure of information relating to factors affecting the amount, timing and certainty of the entity's future cash flows relating to financial instruments and accounting policy implemented in respect of these instruments. The Standard also establishes requirements for disclosure of information about the nature and the extent of an entity's use of financial instruments, the business purposes they serve, the risks associated with them and management's policies for the oversight of those risks.</w:t>
      </w:r>
    </w:p>
    <w:p>
      <w:pPr>
        <w:spacing w:after="0" w:line="141" w:lineRule="exact"/>
        <w:rPr>
          <w:rFonts w:ascii="Courier New" w:cs="Courier New" w:eastAsia="Courier New" w:hAnsi="Courier New"/>
          <w:sz w:val="12"/>
          <w:szCs w:val="12"/>
          <w:color w:val="auto"/>
        </w:rPr>
      </w:pPr>
    </w:p>
    <w:p>
      <w:pPr>
        <w:ind w:left="1060" w:right="4539"/>
        <w:spacing w:after="0" w:line="269"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is effective for financial statements for periods commencing January 1, 2006 or thereafter. The initial adoption of the Standard will be accounted for by the "prospective method", i.e. financial instruments issued before the effective date of</w:t>
      </w:r>
    </w:p>
    <w:p>
      <w:pPr>
        <w:sectPr>
          <w:pgSz w:w="11900" w:h="16920" w:orient="portrait"/>
          <w:cols w:equalWidth="0" w:num="1">
            <w:col w:w="10239"/>
          </w:cols>
          <w:pgMar w:left="220" w:top="138" w:right="1440" w:bottom="0" w:gutter="0" w:footer="0" w:header="0"/>
        </w:sectPr>
      </w:pPr>
    </w:p>
    <w:bookmarkStart w:id="57" w:name="page58"/>
    <w:bookmarkEnd w:id="57"/>
    <w:p>
      <w:pPr>
        <w:spacing w:after="0" w:line="67"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Standard will be classified and presented in accordance with</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its provisions commencing from the effective date. Comparative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financial statements for prior periods are not to be adjusted.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new Standard supersedes Opinion No.53 "ACCOUNTING FOR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CONVERTIBLE LIABILITIES" and Opinion No.48 "ACCOUNTING FOR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OPTIONS".</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initial adoption of the Standard is expected to affect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primarily the presentation of the Company's convertible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debentures (the bifurcation of the convertible debentures into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debt component and equity component, as these terms are defined</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by the Standard). Consequently, on January 1, 2006, the Company's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shareholders equity will be recorded with a one-time increase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approximately $17,000, while its total convertible debentures</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will be decreased by same amount. Commencing from that date, said</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amount will be amortized as financing expenses through 2011.</w:t>
      </w:r>
    </w:p>
    <w:p>
      <w:pPr>
        <w:spacing w:after="0" w:line="141" w:lineRule="exact"/>
        <w:rPr>
          <w:sz w:val="20"/>
          <w:szCs w:val="20"/>
          <w:color w:val="auto"/>
        </w:rPr>
      </w:pPr>
    </w:p>
    <w:p>
      <w:pPr>
        <w:ind w:left="1060" w:right="4539" w:hanging="353"/>
        <w:spacing w:after="0" w:line="241" w:lineRule="auto"/>
        <w:tabs>
          <w:tab w:leader="none" w:pos="1060"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24 "SHARE-BASED PAYMENTS" - In September 2005, the Israeli Accounting Standards Board published Accounting Standard No. 24 "SHARE-BASED COMPENSATION" (the "Standard"), which calls for the recognition in the financial statements of share-based payments, including transactions with employees, which are to be settled by the payment of cash, by other assets, or by equity instruments. Under Standard No. 24, amongst other matters, costs associated with grants of shares and options to employees will be expensed over the vesting period of each grant. Said costs will be determined based on the fair value of the grants at each grant date. The Standard establishes guidelines for measuring the fair value of each grant based on the settlement terms (either by cash or equity instrument), and disclosure provisions.</w:t>
      </w:r>
    </w:p>
    <w:p>
      <w:pPr>
        <w:spacing w:after="0" w:line="282"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- 13</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41" w:lineRule="exact"/>
        <w:rPr>
          <w:sz w:val="20"/>
          <w:szCs w:val="20"/>
          <w:color w:val="auto"/>
        </w:rPr>
      </w:pPr>
    </w:p>
    <w:p>
      <w:pPr>
        <w:ind w:left="700" w:right="4679" w:hanging="350"/>
        <w:spacing w:after="0" w:line="238" w:lineRule="auto"/>
        <w:tabs>
          <w:tab w:leader="none" w:pos="700"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24 "SHARE-BASED PAYMENTS" (cont.)</w:t>
      </w:r>
    </w:p>
    <w:p>
      <w:pPr>
        <w:spacing w:after="0" w:line="141"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Standard is effective for financial statements for periods commencing January 1, 2006 or thereafter. The Standard provides that with respect to Share-based payments to be settled by equity instruments, its provisions should be applied to all grants made after March 15, 2005, that are unvested as of December 31, 2005. The Standard further provides that its provisions should be applied to modifications that were made after March 15, 2005, even if the underlying grants are not in the scope of the Standard.</w:t>
      </w:r>
    </w:p>
    <w:p>
      <w:pPr>
        <w:spacing w:after="0" w:line="143" w:lineRule="exact"/>
        <w:rPr>
          <w:rFonts w:ascii="Courier New" w:cs="Courier New" w:eastAsia="Courier New" w:hAnsi="Courier New"/>
          <w:sz w:val="12"/>
          <w:szCs w:val="12"/>
          <w:color w:val="auto"/>
        </w:rPr>
      </w:pPr>
    </w:p>
    <w:p>
      <w:pPr>
        <w:ind w:left="1060" w:right="459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2005, the award cost with respect to outstanding employee and director options on which the Standard will be applied amounts to approximately $2,000, to be amortized over 2006-2009.</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RECLASSIFICATION</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Certain amounts in prior years financial statements have been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reclassified in order to conform to the 2005 presentation.</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OTHER RECEIVABLES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Other receivables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20" w:type="dxa"/>
            <w:vAlign w:val="bottom"/>
          </w:tcPr>
          <w:p>
            <w:pPr>
              <w:spacing w:after="0"/>
              <w:rPr>
                <w:sz w:val="11"/>
                <w:szCs w:val="11"/>
                <w:color w:val="auto"/>
              </w:rPr>
            </w:pP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3820" w:type="dxa"/>
            <w:vAlign w:val="bottom"/>
          </w:tcPr>
          <w:p>
            <w:pPr>
              <w:spacing w:after="0"/>
              <w:rPr>
                <w:sz w:val="11"/>
                <w:szCs w:val="11"/>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820" w:type="dxa"/>
            <w:vAlign w:val="bottom"/>
          </w:tcPr>
          <w:p>
            <w:pPr>
              <w:spacing w:after="0"/>
              <w:rPr>
                <w:sz w:val="11"/>
                <w:szCs w:val="11"/>
                <w:color w:val="auto"/>
              </w:rPr>
            </w:pPr>
          </w:p>
        </w:tc>
        <w:tc>
          <w:tcPr>
            <w:tcW w:w="8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2005</w:t>
            </w:r>
          </w:p>
        </w:tc>
        <w:tc>
          <w:tcPr>
            <w:tcW w:w="6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3820" w:type="dxa"/>
            <w:vAlign w:val="bottom"/>
          </w:tcPr>
          <w:p>
            <w:pPr>
              <w:spacing w:after="0"/>
              <w:rPr>
                <w:sz w:val="11"/>
                <w:szCs w:val="11"/>
                <w:color w:val="auto"/>
              </w:rPr>
            </w:pP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Government of Israel - investment grants receivable</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$ 7,276</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$ 8,400</w:t>
            </w:r>
          </w:p>
        </w:tc>
      </w:t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Other government agencies</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1,706</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2,382</w:t>
            </w:r>
          </w:p>
        </w:tc>
      </w:t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Others</w:t>
            </w: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61</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583</w:t>
            </w:r>
          </w:p>
        </w:tc>
      </w:tr>
      <w:tr>
        <w:trPr>
          <w:trHeight w:val="137"/>
        </w:trPr>
        <w:tc>
          <w:tcPr>
            <w:tcW w:w="3820" w:type="dxa"/>
            <w:vAlign w:val="bottom"/>
          </w:tcPr>
          <w:p>
            <w:pPr>
              <w:spacing w:after="0"/>
              <w:rPr>
                <w:sz w:val="11"/>
                <w:szCs w:val="11"/>
                <w:color w:val="auto"/>
              </w:rPr>
            </w:pP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820" w:type="dxa"/>
            <w:vAlign w:val="bottom"/>
          </w:tcPr>
          <w:p>
            <w:pPr>
              <w:spacing w:after="0"/>
              <w:rPr>
                <w:sz w:val="11"/>
                <w:szCs w:val="11"/>
                <w:color w:val="auto"/>
              </w:rPr>
            </w:pP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$ 9,043</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$11,365</w:t>
            </w:r>
          </w:p>
        </w:tc>
      </w:tr>
      <w:tr>
        <w:trPr>
          <w:trHeight w:val="137"/>
        </w:trPr>
        <w:tc>
          <w:tcPr>
            <w:tcW w:w="3820" w:type="dxa"/>
            <w:vAlign w:val="bottom"/>
          </w:tcPr>
          <w:p>
            <w:pPr>
              <w:spacing w:after="0"/>
              <w:rPr>
                <w:sz w:val="11"/>
                <w:szCs w:val="11"/>
                <w:color w:val="auto"/>
              </w:rPr>
            </w:pPr>
          </w:p>
        </w:tc>
        <w:tc>
          <w:tcPr>
            <w:tcW w:w="8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INVENTORIES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Inventories consist of the following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80" w:type="dxa"/>
            <w:vAlign w:val="bottom"/>
          </w:tcPr>
          <w:p>
            <w:pPr>
              <w:spacing w:after="0"/>
              <w:rPr>
                <w:sz w:val="11"/>
                <w:szCs w:val="11"/>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188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188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2005</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188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$ 6,777</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$ 9,260</w:t>
            </w: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color w:val="auto"/>
              </w:rPr>
              <w:t>Spare parts and supplies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3,738</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3,950</w:t>
            </w: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11,502</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10,085</w:t>
            </w: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2,359</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2,374</w:t>
            </w:r>
          </w:p>
        </w:tc>
      </w:tr>
      <w:tr>
        <w:trPr>
          <w:trHeight w:val="137"/>
        </w:trPr>
        <w:tc>
          <w:tcPr>
            <w:tcW w:w="188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188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$24,376</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$25,669</w:t>
            </w:r>
          </w:p>
        </w:tc>
      </w:tr>
      <w:tr>
        <w:trPr>
          <w:trHeight w:val="137"/>
        </w:trPr>
        <w:tc>
          <w:tcPr>
            <w:tcW w:w="188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41" w:lineRule="exact"/>
        <w:rPr>
          <w:sz w:val="20"/>
          <w:szCs w:val="20"/>
          <w:color w:val="auto"/>
        </w:rPr>
      </w:pPr>
    </w:p>
    <w:p>
      <w:pPr>
        <w:ind w:left="700" w:right="4819" w:hanging="350"/>
        <w:spacing w:after="0" w:line="238" w:lineRule="auto"/>
        <w:tabs>
          <w:tab w:leader="none" w:pos="700"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write-downs to net realizable value of $3,259 and $2,665 as of December 31, 2005 and 2004, respectively.</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- 14</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PROPERTY AND EQUIPMENT, NET</w:t>
      </w:r>
    </w:p>
    <w:p>
      <w:pPr>
        <w:spacing w:after="0" w:line="139" w:lineRule="exact"/>
        <w:rPr>
          <w:sz w:val="20"/>
          <w:szCs w:val="20"/>
          <w:color w:val="auto"/>
        </w:rPr>
      </w:pPr>
    </w:p>
    <w:p>
      <w:pPr>
        <w:ind w:left="700" w:hanging="350"/>
        <w:spacing w:after="0"/>
        <w:tabs>
          <w:tab w:leader="none" w:pos="700"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w:t>
      </w: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As of December 31,</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3480"/>
        <w:spacing w:after="0"/>
        <w:tabs>
          <w:tab w:leader="none" w:pos="4400" w:val="left"/>
        </w:tabs>
        <w:rPr>
          <w:sz w:val="20"/>
          <w:szCs w:val="20"/>
          <w:color w:val="auto"/>
        </w:rPr>
      </w:pPr>
      <w:r>
        <w:rPr>
          <w:rFonts w:ascii="Courier New" w:cs="Courier New" w:eastAsia="Courier New" w:hAnsi="Courier New"/>
          <w:sz w:val="12"/>
          <w:szCs w:val="12"/>
          <w:color w:val="auto"/>
        </w:rPr>
        <w:t>2005</w:t>
      </w:r>
      <w:r>
        <w:rPr>
          <w:sz w:val="20"/>
          <w:szCs w:val="20"/>
          <w:color w:val="auto"/>
        </w:rPr>
        <w:tab/>
      </w:r>
      <w:r>
        <w:rPr>
          <w:rFonts w:ascii="Courier New" w:cs="Courier New" w:eastAsia="Courier New" w:hAnsi="Courier New"/>
          <w:sz w:val="12"/>
          <w:szCs w:val="12"/>
          <w:color w:val="auto"/>
        </w:rPr>
        <w:t>2004</w:t>
      </w:r>
    </w:p>
    <w:p>
      <w:pPr>
        <w:spacing w:after="0" w:line="1" w:lineRule="exact"/>
        <w:rPr>
          <w:sz w:val="20"/>
          <w:szCs w:val="20"/>
          <w:color w:val="auto"/>
        </w:rPr>
      </w:pPr>
    </w:p>
    <w:p>
      <w:pPr>
        <w:ind w:left="3340"/>
        <w:spacing w:after="0"/>
        <w:tabs>
          <w:tab w:leader="none" w:pos="42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ectPr>
          <w:pgSz w:w="11900" w:h="16906" w:orient="portrait"/>
          <w:cols w:equalWidth="0" w:num="1">
            <w:col w:w="10239"/>
          </w:cols>
          <w:pgMar w:left="220" w:top="138" w:right="1440"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36"/>
        </w:trPr>
        <w:tc>
          <w:tcPr>
            <w:tcW w:w="3160" w:type="dxa"/>
            <w:vAlign w:val="bottom"/>
          </w:tcPr>
          <w:p>
            <w:pPr>
              <w:spacing w:after="0"/>
              <w:rPr>
                <w:sz w:val="20"/>
                <w:szCs w:val="20"/>
                <w:color w:val="auto"/>
              </w:rPr>
            </w:pPr>
            <w:r>
              <w:rPr>
                <w:rFonts w:ascii="Courier New" w:cs="Courier New" w:eastAsia="Courier New" w:hAnsi="Courier New"/>
                <w:sz w:val="12"/>
                <w:szCs w:val="12"/>
                <w:color w:val="auto"/>
              </w:rPr>
              <w:t>COST:</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Prepaid perpetual land lease and buildings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(including facility infrastructure)</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$237,401</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$235,632</w:t>
            </w: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709,862</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688,691</w:t>
            </w: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425</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2,989</w:t>
            </w:r>
          </w:p>
        </w:tc>
      </w:tr>
      <w:tr>
        <w:trPr>
          <w:trHeight w:val="137"/>
        </w:trPr>
        <w:tc>
          <w:tcPr>
            <w:tcW w:w="31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1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947,688</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927,312</w:t>
            </w:r>
          </w:p>
        </w:tc>
      </w:tr>
      <w:tr>
        <w:trPr>
          <w:trHeight w:val="137"/>
        </w:trPr>
        <w:tc>
          <w:tcPr>
            <w:tcW w:w="31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ACCUMULATED DEPRECIATION AND AMORTIZATION:</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Prepaid perpetual land lease and buildings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(including facility infrastructure)</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47,841</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33,960</w:t>
            </w: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388,867</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282,092</w:t>
            </w:r>
          </w:p>
        </w:tc>
      </w:tr>
      <w:tr>
        <w:trPr>
          <w:trHeight w:val="137"/>
        </w:trPr>
        <w:tc>
          <w:tcPr>
            <w:tcW w:w="316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335</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1,964</w:t>
            </w:r>
          </w:p>
        </w:tc>
      </w:tr>
      <w:tr>
        <w:trPr>
          <w:trHeight w:val="137"/>
        </w:trPr>
        <w:tc>
          <w:tcPr>
            <w:tcW w:w="31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1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437,043</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318,016</w:t>
            </w:r>
          </w:p>
        </w:tc>
      </w:tr>
      <w:tr>
        <w:trPr>
          <w:trHeight w:val="137"/>
        </w:trPr>
        <w:tc>
          <w:tcPr>
            <w:tcW w:w="31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1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$510,645</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$609,296</w:t>
            </w:r>
          </w:p>
        </w:tc>
      </w:tr>
      <w:tr>
        <w:trPr>
          <w:trHeight w:val="137"/>
        </w:trPr>
        <w:tc>
          <w:tcPr>
            <w:tcW w:w="316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SUPPLEMENTAL DISCLOSURE RELATING TO COST OF PROPERTY AND EQUIPMENT:</w:t>
      </w:r>
    </w:p>
    <w:p>
      <w:pPr>
        <w:spacing w:after="0" w:line="141" w:lineRule="exact"/>
        <w:rPr>
          <w:sz w:val="20"/>
          <w:szCs w:val="20"/>
          <w:color w:val="auto"/>
        </w:rPr>
      </w:pPr>
    </w:p>
    <w:p>
      <w:pPr>
        <w:ind w:left="1060" w:right="4899" w:hanging="353"/>
        <w:spacing w:after="0" w:line="269" w:lineRule="auto"/>
        <w:tabs>
          <w:tab w:leader="none" w:pos="1060"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of December 31, 2005 and 2004, the cost of property and equipment included costs relating to Fab 2 in the amount of $713,837 and $701,982, respectively. Said amounts are net of investment grants of $165,222 and $158,830, respectively.</w:t>
      </w:r>
    </w:p>
    <w:p>
      <w:pPr>
        <w:spacing w:after="0" w:line="127" w:lineRule="exact"/>
        <w:rPr>
          <w:rFonts w:ascii="Courier New" w:cs="Courier New" w:eastAsia="Courier New" w:hAnsi="Courier New"/>
          <w:sz w:val="11"/>
          <w:szCs w:val="11"/>
          <w:color w:val="auto"/>
        </w:rPr>
      </w:pPr>
    </w:p>
    <w:p>
      <w:pPr>
        <w:ind w:left="1060" w:right="4539" w:hanging="353"/>
        <w:spacing w:after="0" w:line="239" w:lineRule="auto"/>
        <w:tabs>
          <w:tab w:leader="none" w:pos="1060"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2005, the cost of buildings, machinery and equipment was reflected net of investment grants in the aggregate of $268,688 (as of December 31, 2004 - $262,320).</w:t>
      </w:r>
    </w:p>
    <w:p>
      <w:pPr>
        <w:spacing w:after="0" w:line="142" w:lineRule="exact"/>
        <w:rPr>
          <w:rFonts w:ascii="Courier New" w:cs="Courier New" w:eastAsia="Courier New" w:hAnsi="Courier New"/>
          <w:sz w:val="12"/>
          <w:szCs w:val="12"/>
          <w:color w:val="auto"/>
        </w:rPr>
      </w:pPr>
    </w:p>
    <w:p>
      <w:pPr>
        <w:ind w:left="1060" w:right="4599" w:hanging="353"/>
        <w:spacing w:after="0" w:line="280" w:lineRule="auto"/>
        <w:tabs>
          <w:tab w:leader="none" w:pos="1060"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Cost of property and equipment as of December 31, 2005 and 2004 includes capitalized interest costs in the aggregate of $18,480.</w:t>
      </w:r>
    </w:p>
    <w:p>
      <w:pPr>
        <w:spacing w:after="0" w:line="120" w:lineRule="exact"/>
        <w:rPr>
          <w:rFonts w:ascii="Courier New" w:cs="Courier New" w:eastAsia="Courier New" w:hAnsi="Courier New"/>
          <w:sz w:val="11"/>
          <w:szCs w:val="11"/>
          <w:color w:val="auto"/>
        </w:rPr>
      </w:pPr>
    </w:p>
    <w:p>
      <w:pPr>
        <w:ind w:left="1060" w:right="4539" w:hanging="353"/>
        <w:spacing w:after="0" w:line="241" w:lineRule="auto"/>
        <w:tabs>
          <w:tab w:leader="none" w:pos="1060"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commencement of Fab 2 operations in the third quarter of 2003, in which the building and infrastructures of Fab 2 were substantially completed and became ready for their intended use, the Company began to depreciate Fab 2 property and equipment, resulting in depreciation expenses of $109,283, $93,457 and $35,582 in 2005, 2004 and 2003, respectively.</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- 15</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PROPERTY AND EQUIPMENT, NET (cont.)</w:t>
      </w:r>
    </w:p>
    <w:p>
      <w:pPr>
        <w:spacing w:after="0" w:line="139" w:lineRule="exact"/>
        <w:rPr>
          <w:sz w:val="20"/>
          <w:szCs w:val="20"/>
          <w:color w:val="auto"/>
        </w:rPr>
      </w:pPr>
    </w:p>
    <w:p>
      <w:pPr>
        <w:ind w:left="700" w:hanging="350"/>
        <w:spacing w:after="0"/>
        <w:tabs>
          <w:tab w:leader="none" w:pos="70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GRANTS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Fab 1 in the aggregate amount (as amended) of approximately $96,850. The Company completed its investments under this program, and received final approval from the Investment Center in November 1997.</w:t>
      </w:r>
    </w:p>
    <w:p>
      <w:pPr>
        <w:spacing w:after="0" w:line="143"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1996, an investment program ("1996 program") for expansion of Fab 1 in the aggregate amount (as amended in December 1999 and 2001) of $228,680, entitling the Company to investment grants, was approved by the Investment Center. The Company completed its investments under the 1996 program in December 2001 and invested through such date approximately $207,000. In May 2002, the Company submitted the final report in relation to the 1996 program. As of December 31, 2005, the report has not yet received final approval from the Investment Center.</w:t>
      </w:r>
    </w:p>
    <w:p>
      <w:pPr>
        <w:spacing w:after="0" w:line="143" w:lineRule="exact"/>
        <w:rPr>
          <w:rFonts w:ascii="Courier New" w:cs="Courier New" w:eastAsia="Courier New" w:hAnsi="Courier New"/>
          <w:sz w:val="12"/>
          <w:szCs w:val="12"/>
          <w:color w:val="auto"/>
        </w:rPr>
      </w:pPr>
    </w:p>
    <w:p>
      <w:pPr>
        <w:ind w:left="700" w:right="489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11A(8) with respect to the Fab 2 program approved by the Investment Center in December 2000.</w:t>
      </w:r>
    </w:p>
    <w:p>
      <w:pPr>
        <w:spacing w:after="0" w:line="142"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the Company's assets. See also Note 17A.</w:t>
      </w:r>
    </w:p>
    <w:p>
      <w:pPr>
        <w:spacing w:after="0" w:line="142"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liens see Note 11A(6).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660" w:type="dxa"/>
            <w:vAlign w:val="bottom"/>
          </w:tcPr>
          <w:p>
            <w:pPr>
              <w:spacing w:after="0"/>
              <w:rPr>
                <w:sz w:val="20"/>
                <w:szCs w:val="20"/>
                <w:color w:val="auto"/>
              </w:rPr>
            </w:pPr>
            <w:r>
              <w:rPr>
                <w:rFonts w:ascii="Courier New" w:cs="Courier New" w:eastAsia="Courier New" w:hAnsi="Courier New"/>
                <w:sz w:val="12"/>
                <w:szCs w:val="12"/>
                <w:color w:val="auto"/>
              </w:rPr>
              <w:t>NOTE 6 - OTHER ASSETS, NET</w:t>
            </w: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74"/>
        </w:trPr>
        <w:tc>
          <w:tcPr>
            <w:tcW w:w="3660" w:type="dxa"/>
            <w:vAlign w:val="bottom"/>
          </w:tcPr>
          <w:p>
            <w:pPr>
              <w:ind w:left="360"/>
              <w:spacing w:after="0"/>
              <w:rPr>
                <w:sz w:val="20"/>
                <w:szCs w:val="20"/>
                <w:color w:val="auto"/>
              </w:rPr>
            </w:pPr>
            <w:r>
              <w:rPr>
                <w:rFonts w:ascii="Courier New" w:cs="Courier New" w:eastAsia="Courier New" w:hAnsi="Courier New"/>
                <w:sz w:val="12"/>
                <w:szCs w:val="12"/>
                <w:color w:val="auto"/>
              </w:rPr>
              <w:t>Other assets, net consist of the following:</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4"/>
        </w:trPr>
        <w:tc>
          <w:tcPr>
            <w:tcW w:w="3660" w:type="dxa"/>
            <w:vAlign w:val="bottom"/>
          </w:tcPr>
          <w:p>
            <w:pPr>
              <w:spacing w:after="0"/>
              <w:rPr>
                <w:sz w:val="23"/>
                <w:szCs w:val="23"/>
                <w:color w:val="auto"/>
              </w:rPr>
            </w:pPr>
          </w:p>
        </w:tc>
        <w:tc>
          <w:tcPr>
            <w:tcW w:w="15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366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2005</w:t>
            </w:r>
          </w:p>
        </w:tc>
        <w:tc>
          <w:tcPr>
            <w:tcW w:w="6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660" w:type="dxa"/>
            <w:vAlign w:val="bottom"/>
          </w:tcPr>
          <w:p>
            <w:pPr>
              <w:spacing w:after="0"/>
              <w:rPr>
                <w:sz w:val="20"/>
                <w:szCs w:val="20"/>
                <w:color w:val="auto"/>
              </w:rPr>
            </w:pPr>
            <w:r>
              <w:rPr>
                <w:rFonts w:ascii="Courier New" w:cs="Courier New" w:eastAsia="Courier New" w:hAnsi="Courier New"/>
                <w:sz w:val="12"/>
                <w:szCs w:val="12"/>
                <w:color w:val="auto"/>
              </w:rPr>
              <w:t>TECHNOLOGIES (in relation to Fab 2) - Note 11A(2)</w:t>
            </w: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7"/>
        </w:trPr>
        <w:tc>
          <w:tcPr>
            <w:tcW w:w="3660" w:type="dxa"/>
            <w:vAlign w:val="bottom"/>
          </w:tcPr>
          <w:p>
            <w:pPr>
              <w:ind w:left="280"/>
              <w:spacing w:after="0"/>
              <w:rPr>
                <w:sz w:val="20"/>
                <w:szCs w:val="20"/>
                <w:color w:val="auto"/>
              </w:rPr>
            </w:pPr>
            <w:r>
              <w:rPr>
                <w:rFonts w:ascii="Courier New" w:cs="Courier New" w:eastAsia="Courier New" w:hAnsi="Courier New"/>
                <w:sz w:val="12"/>
                <w:szCs w:val="12"/>
                <w:color w:val="auto"/>
              </w:rPr>
              <w:t>Cost</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$94,247</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$90,747</w:t>
            </w:r>
          </w:p>
        </w:tc>
      </w:tr>
      <w:tr>
        <w:trPr>
          <w:trHeight w:val="137"/>
        </w:trPr>
        <w:tc>
          <w:tcPr>
            <w:tcW w:w="3660" w:type="dxa"/>
            <w:vAlign w:val="bottom"/>
          </w:tcPr>
          <w:p>
            <w:pPr>
              <w:ind w:left="280"/>
              <w:spacing w:after="0"/>
              <w:rPr>
                <w:sz w:val="20"/>
                <w:szCs w:val="20"/>
                <w:color w:val="auto"/>
              </w:rPr>
            </w:pPr>
            <w:r>
              <w:rPr>
                <w:rFonts w:ascii="Courier New" w:cs="Courier New" w:eastAsia="Courier New" w:hAnsi="Courier New"/>
                <w:sz w:val="12"/>
                <w:szCs w:val="12"/>
                <w:color w:val="auto"/>
              </w:rPr>
              <w:t>Accumulated amortization (*)</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32,806</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13,797</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$61,441</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$76,950</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660" w:type="dxa"/>
            <w:vAlign w:val="bottom"/>
          </w:tcPr>
          <w:p>
            <w:pPr>
              <w:spacing w:after="0"/>
              <w:rPr>
                <w:sz w:val="20"/>
                <w:szCs w:val="20"/>
                <w:color w:val="auto"/>
              </w:rPr>
            </w:pPr>
            <w:r>
              <w:rPr>
                <w:rFonts w:ascii="Courier New" w:cs="Courier New" w:eastAsia="Courier New" w:hAnsi="Courier New"/>
                <w:sz w:val="12"/>
                <w:szCs w:val="12"/>
                <w:color w:val="auto"/>
              </w:rPr>
              <w:t>OTHER ASSETS (in relation to Fab 2)</w:t>
            </w: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7"/>
        </w:trPr>
        <w:tc>
          <w:tcPr>
            <w:tcW w:w="3660" w:type="dxa"/>
            <w:vAlign w:val="bottom"/>
          </w:tcPr>
          <w:p>
            <w:pPr>
              <w:ind w:left="280"/>
              <w:spacing w:after="0"/>
              <w:rPr>
                <w:sz w:val="20"/>
                <w:szCs w:val="20"/>
                <w:color w:val="auto"/>
              </w:rPr>
            </w:pPr>
            <w:r>
              <w:rPr>
                <w:rFonts w:ascii="Courier New" w:cs="Courier New" w:eastAsia="Courier New" w:hAnsi="Courier New"/>
                <w:sz w:val="12"/>
                <w:szCs w:val="12"/>
                <w:color w:val="auto"/>
              </w:rPr>
              <w:t>COST - Deferred financing charges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$24,049</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$20,915</w:t>
            </w:r>
          </w:p>
        </w:tc>
      </w:tr>
      <w:tr>
        <w:trPr>
          <w:trHeight w:val="137"/>
        </w:trPr>
        <w:tc>
          <w:tcPr>
            <w:tcW w:w="3660" w:type="dxa"/>
            <w:vAlign w:val="bottom"/>
          </w:tcPr>
          <w:p>
            <w:pPr>
              <w:ind w:left="780"/>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4,448</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3,217</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28,497</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24,132</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660" w:type="dxa"/>
            <w:vAlign w:val="bottom"/>
          </w:tcPr>
          <w:p>
            <w:pPr>
              <w:ind w:left="280"/>
              <w:spacing w:after="0"/>
              <w:rPr>
                <w:sz w:val="20"/>
                <w:szCs w:val="20"/>
                <w:color w:val="auto"/>
              </w:rPr>
            </w:pPr>
            <w:r>
              <w:rPr>
                <w:rFonts w:ascii="Courier New" w:cs="Courier New" w:eastAsia="Courier New" w:hAnsi="Courier New"/>
                <w:sz w:val="12"/>
                <w:szCs w:val="12"/>
                <w:color w:val="auto"/>
              </w:rPr>
              <w:t>ACCUMULATED AMORTIZATION (**):</w:t>
            </w: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7"/>
        </w:trPr>
        <w:tc>
          <w:tcPr>
            <w:tcW w:w="3660" w:type="dxa"/>
            <w:vAlign w:val="bottom"/>
          </w:tcPr>
          <w:p>
            <w:pPr>
              <w:ind w:left="920"/>
              <w:spacing w:after="0"/>
              <w:rPr>
                <w:sz w:val="20"/>
                <w:szCs w:val="20"/>
                <w:color w:val="auto"/>
              </w:rPr>
            </w:pPr>
            <w:r>
              <w:rPr>
                <w:rFonts w:ascii="Courier New" w:cs="Courier New" w:eastAsia="Courier New" w:hAnsi="Courier New"/>
                <w:sz w:val="12"/>
                <w:szCs w:val="12"/>
                <w:color w:val="auto"/>
              </w:rPr>
              <w:t>Deferred financing charges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10,812</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6,606</w:t>
            </w:r>
          </w:p>
        </w:tc>
      </w:tr>
      <w:tr>
        <w:trPr>
          <w:trHeight w:val="137"/>
        </w:trPr>
        <w:tc>
          <w:tcPr>
            <w:tcW w:w="3660" w:type="dxa"/>
            <w:vAlign w:val="bottom"/>
          </w:tcPr>
          <w:p>
            <w:pPr>
              <w:ind w:left="920"/>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1,326</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993</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12,138</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7,599</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$16,359</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$16,533</w:t>
            </w:r>
          </w:p>
        </w:tc>
      </w:tr>
      <w:tr>
        <w:trPr>
          <w:trHeight w:val="137"/>
        </w:trPr>
        <w:tc>
          <w:tcPr>
            <w:tcW w:w="366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360"/>
        <w:spacing w:after="0"/>
        <w:tabs>
          <w:tab w:leader="none" w:pos="680" w:val="left"/>
        </w:tabs>
        <w:rPr>
          <w:sz w:val="20"/>
          <w:szCs w:val="20"/>
          <w:color w:val="auto"/>
        </w:rPr>
      </w:pPr>
      <w:r>
        <w:rPr>
          <w:rFonts w:ascii="Courier New" w:cs="Courier New" w:eastAsia="Courier New" w:hAnsi="Courier New"/>
          <w:sz w:val="12"/>
          <w:szCs w:val="12"/>
          <w:color w:val="auto"/>
        </w:rPr>
        <w:t>(*)</w:t>
        <w:tab/>
        <w:t>For amortization policy, see Note 2F(1).</w:t>
      </w:r>
    </w:p>
    <w:p>
      <w:pPr>
        <w:sectPr>
          <w:pgSz w:w="11900" w:h="16838" w:orient="portrait"/>
          <w:cols w:equalWidth="0" w:num="1">
            <w:col w:w="10239"/>
          </w:cols>
          <w:pgMar w:left="220" w:top="138" w:right="1440" w:bottom="0" w:gutter="0" w:footer="0" w:header="0"/>
        </w:sectPr>
      </w:pPr>
    </w:p>
    <w:bookmarkStart w:id="59" w:name="page60"/>
    <w:bookmarkEnd w:id="59"/>
    <w:p>
      <w:pPr>
        <w:spacing w:after="0" w:line="79" w:lineRule="exact"/>
        <w:rPr>
          <w:sz w:val="20"/>
          <w:szCs w:val="20"/>
          <w:color w:val="auto"/>
        </w:rPr>
      </w:pPr>
    </w:p>
    <w:p>
      <w:pPr>
        <w:ind w:left="2640" w:right="6679" w:hanging="2290"/>
        <w:spacing w:after="0" w:line="809" w:lineRule="auto"/>
        <w:tabs>
          <w:tab w:leader="none" w:pos="713"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For amortization policy, see Note 2F(2). F - 16</w:t>
      </w:r>
    </w:p>
    <w:p>
      <w:pPr>
        <w:spacing w:after="0" w:line="237"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7 - OTHER CURRENT LIABILITIES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Other current liabilities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880" w:type="dxa"/>
            <w:vAlign w:val="bottom"/>
          </w:tcPr>
          <w:p>
            <w:pPr>
              <w:spacing w:after="0"/>
              <w:rPr>
                <w:sz w:val="11"/>
                <w:szCs w:val="11"/>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488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4880" w:type="dxa"/>
            <w:vAlign w:val="bottom"/>
          </w:tcPr>
          <w:p>
            <w:pPr>
              <w:spacing w:after="0"/>
              <w:rPr>
                <w:sz w:val="11"/>
                <w:szCs w:val="11"/>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2005</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488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4880" w:type="dxa"/>
            <w:vAlign w:val="bottom"/>
          </w:tcPr>
          <w:p>
            <w:pPr>
              <w:spacing w:after="0"/>
              <w:rPr>
                <w:sz w:val="20"/>
                <w:szCs w:val="20"/>
                <w:color w:val="auto"/>
              </w:rPr>
            </w:pPr>
            <w:r>
              <w:rPr>
                <w:rFonts w:ascii="Courier New" w:cs="Courier New" w:eastAsia="Courier New" w:hAnsi="Courier New"/>
                <w:sz w:val="12"/>
                <w:szCs w:val="12"/>
                <w:color w:val="auto"/>
              </w:rPr>
              <w:t>Accrued salaries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$ 3,162</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$ 3,902</w:t>
            </w:r>
          </w:p>
        </w:tc>
      </w:tr>
      <w:tr>
        <w:trPr>
          <w:trHeight w:val="137"/>
        </w:trPr>
        <w:tc>
          <w:tcPr>
            <w:tcW w:w="4880" w:type="dxa"/>
            <w:vAlign w:val="bottom"/>
          </w:tcPr>
          <w:p>
            <w:pPr>
              <w:spacing w:after="0"/>
              <w:rPr>
                <w:sz w:val="20"/>
                <w:szCs w:val="20"/>
                <w:color w:val="auto"/>
              </w:rPr>
            </w:pPr>
            <w:r>
              <w:rPr>
                <w:rFonts w:ascii="Courier New" w:cs="Courier New" w:eastAsia="Courier New" w:hAnsi="Courier New"/>
                <w:sz w:val="12"/>
                <w:szCs w:val="12"/>
                <w:color w:val="auto"/>
              </w:rPr>
              <w:t>Vacation accrual</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2,322</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3,509</w:t>
            </w:r>
          </w:p>
        </w:tc>
      </w:tr>
      <w:tr>
        <w:trPr>
          <w:trHeight w:val="137"/>
        </w:trPr>
        <w:tc>
          <w:tcPr>
            <w:tcW w:w="4880" w:type="dxa"/>
            <w:vAlign w:val="bottom"/>
          </w:tcPr>
          <w:p>
            <w:pPr>
              <w:spacing w:after="0"/>
              <w:rPr>
                <w:sz w:val="20"/>
                <w:szCs w:val="20"/>
                <w:color w:val="auto"/>
              </w:rPr>
            </w:pPr>
            <w:r>
              <w:rPr>
                <w:rFonts w:ascii="Courier New" w:cs="Courier New" w:eastAsia="Courier New" w:hAnsi="Courier New"/>
                <w:sz w:val="12"/>
                <w:szCs w:val="12"/>
                <w:color w:val="auto"/>
              </w:rPr>
              <w:t>Interest payable (primarily in relation to convertible debentures)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1,263</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1,208</w:t>
            </w:r>
          </w:p>
        </w:tc>
      </w:tr>
      <w:tr>
        <w:trPr>
          <w:trHeight w:val="137"/>
        </w:trPr>
        <w:tc>
          <w:tcPr>
            <w:tcW w:w="488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2,225</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2,059</w:t>
            </w:r>
          </w:p>
        </w:tc>
      </w:tr>
      <w:tr>
        <w:trPr>
          <w:trHeight w:val="137"/>
        </w:trPr>
        <w:tc>
          <w:tcPr>
            <w:tcW w:w="488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488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$ 8,972</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$10,678</w:t>
            </w:r>
          </w:p>
        </w:tc>
      </w:tr>
      <w:tr>
        <w:trPr>
          <w:trHeight w:val="137"/>
        </w:trPr>
        <w:tc>
          <w:tcPr>
            <w:tcW w:w="488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00" w:type="dxa"/>
            <w:vAlign w:val="bottom"/>
          </w:tcPr>
          <w:p>
            <w:pPr>
              <w:spacing w:after="0"/>
              <w:rPr>
                <w:sz w:val="20"/>
                <w:szCs w:val="20"/>
                <w:color w:val="auto"/>
              </w:rPr>
            </w:pPr>
            <w:r>
              <w:rPr>
                <w:rFonts w:ascii="Courier New" w:cs="Courier New" w:eastAsia="Courier New" w:hAnsi="Courier New"/>
                <w:sz w:val="12"/>
                <w:szCs w:val="12"/>
                <w:color w:val="auto"/>
              </w:rPr>
              <w:t>NOTE 8 - LONG-TERM DEBT</w:t>
            </w:r>
          </w:p>
        </w:tc>
        <w:tc>
          <w:tcPr>
            <w:tcW w:w="1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4"/>
        </w:trPr>
        <w:tc>
          <w:tcPr>
            <w:tcW w:w="2000" w:type="dxa"/>
            <w:vAlign w:val="bottom"/>
          </w:tcPr>
          <w:p>
            <w:pPr>
              <w:ind w:left="360"/>
              <w:spacing w:after="0"/>
              <w:rPr>
                <w:sz w:val="20"/>
                <w:szCs w:val="20"/>
                <w:color w:val="auto"/>
              </w:rPr>
            </w:pPr>
            <w:r>
              <w:rPr>
                <w:rFonts w:ascii="Courier New" w:cs="Courier New" w:eastAsia="Courier New" w:hAnsi="Courier New"/>
                <w:sz w:val="12"/>
                <w:szCs w:val="12"/>
                <w:color w:val="auto"/>
              </w:rPr>
              <w:t>A.   COMPOSITION:</w:t>
            </w:r>
          </w:p>
        </w:tc>
        <w:tc>
          <w:tcPr>
            <w:tcW w:w="18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4"/>
        </w:trPr>
        <w:tc>
          <w:tcPr>
            <w:tcW w:w="20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6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3880" w:type="dxa"/>
            <w:vAlign w:val="bottom"/>
            <w:gridSpan w:val="2"/>
          </w:tcPr>
          <w:p>
            <w:pPr>
              <w:ind w:left="1700"/>
              <w:spacing w:after="0"/>
              <w:rPr>
                <w:sz w:val="20"/>
                <w:szCs w:val="20"/>
                <w:color w:val="auto"/>
              </w:rPr>
            </w:pPr>
            <w:r>
              <w:rPr>
                <w:rFonts w:ascii="Courier New" w:cs="Courier New" w:eastAsia="Courier New" w:hAnsi="Courier New"/>
                <w:sz w:val="12"/>
                <w:szCs w:val="12"/>
                <w:color w:val="auto"/>
              </w:rPr>
              <w:t>Effective interest rate as of</w:t>
            </w:r>
          </w:p>
        </w:tc>
        <w:tc>
          <w:tcPr>
            <w:tcW w:w="16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2000" w:type="dxa"/>
            <w:vAlign w:val="bottom"/>
          </w:tcPr>
          <w:p>
            <w:pPr>
              <w:spacing w:after="0"/>
              <w:rPr>
                <w:sz w:val="11"/>
                <w:szCs w:val="11"/>
                <w:color w:val="auto"/>
              </w:rPr>
            </w:pPr>
          </w:p>
        </w:tc>
        <w:tc>
          <w:tcPr>
            <w:tcW w:w="18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December 31, 2005</w:t>
            </w:r>
          </w:p>
        </w:tc>
        <w:tc>
          <w:tcPr>
            <w:tcW w:w="10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2005</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2000" w:type="dxa"/>
            <w:vAlign w:val="bottom"/>
          </w:tcPr>
          <w:p>
            <w:pPr>
              <w:spacing w:after="0"/>
              <w:rPr>
                <w:sz w:val="11"/>
                <w:szCs w:val="11"/>
                <w:color w:val="auto"/>
              </w:rPr>
            </w:pPr>
          </w:p>
        </w:tc>
        <w:tc>
          <w:tcPr>
            <w:tcW w:w="188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r>
        <w:trPr>
          <w:trHeight w:val="274"/>
        </w:trPr>
        <w:tc>
          <w:tcPr>
            <w:tcW w:w="2000" w:type="dxa"/>
            <w:vAlign w:val="bottom"/>
          </w:tcPr>
          <w:p>
            <w:pPr>
              <w:spacing w:after="0"/>
              <w:rPr>
                <w:sz w:val="20"/>
                <w:szCs w:val="20"/>
                <w:color w:val="auto"/>
              </w:rPr>
            </w:pPr>
            <w:r>
              <w:rPr>
                <w:rFonts w:ascii="Courier New" w:cs="Courier New" w:eastAsia="Courier New" w:hAnsi="Courier New"/>
                <w:sz w:val="12"/>
                <w:szCs w:val="12"/>
                <w:color w:val="auto"/>
              </w:rPr>
              <w:t>In U.S. Dollar</w:t>
            </w:r>
          </w:p>
        </w:tc>
        <w:tc>
          <w:tcPr>
            <w:tcW w:w="188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7.06%</w:t>
            </w: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$438,103</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$417,000</w:t>
            </w:r>
          </w:p>
        </w:tc>
      </w:tr>
      <w:tr>
        <w:trPr>
          <w:trHeight w:val="137"/>
        </w:trPr>
        <w:tc>
          <w:tcPr>
            <w:tcW w:w="2000" w:type="dxa"/>
            <w:vAlign w:val="bottom"/>
          </w:tcPr>
          <w:p>
            <w:pPr>
              <w:spacing w:after="0"/>
              <w:rPr>
                <w:sz w:val="20"/>
                <w:szCs w:val="20"/>
                <w:color w:val="auto"/>
              </w:rPr>
            </w:pPr>
            <w:r>
              <w:rPr>
                <w:rFonts w:ascii="Courier New" w:cs="Courier New" w:eastAsia="Courier New" w:hAnsi="Courier New"/>
                <w:sz w:val="12"/>
                <w:szCs w:val="12"/>
                <w:color w:val="auto"/>
              </w:rPr>
              <w:t>In U.S. Dollar</w:t>
            </w:r>
          </w:p>
        </w:tc>
        <w:tc>
          <w:tcPr>
            <w:tcW w:w="188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6.5%</w:t>
            </w: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80,000</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80,000</w:t>
            </w:r>
          </w:p>
        </w:tc>
      </w:tr>
      <w:tr>
        <w:trPr>
          <w:trHeight w:val="137"/>
        </w:trPr>
        <w:tc>
          <w:tcPr>
            <w:tcW w:w="2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r>
        <w:trPr>
          <w:trHeight w:val="137"/>
        </w:trPr>
        <w:tc>
          <w:tcPr>
            <w:tcW w:w="2000" w:type="dxa"/>
            <w:vAlign w:val="bottom"/>
          </w:tcPr>
          <w:p>
            <w:pPr>
              <w:spacing w:after="0"/>
              <w:rPr>
                <w:sz w:val="20"/>
                <w:szCs w:val="20"/>
                <w:color w:val="auto"/>
              </w:rPr>
            </w:pPr>
            <w:r>
              <w:rPr>
                <w:rFonts w:ascii="Courier New" w:cs="Courier New" w:eastAsia="Courier New" w:hAnsi="Courier New"/>
                <w:sz w:val="12"/>
                <w:szCs w:val="12"/>
                <w:color w:val="auto"/>
              </w:rPr>
              <w:t>Total long-term debt</w:t>
            </w:r>
          </w:p>
        </w:tc>
        <w:tc>
          <w:tcPr>
            <w:tcW w:w="1880" w:type="dxa"/>
            <w:vAlign w:val="bottom"/>
          </w:tcPr>
          <w:p>
            <w:pPr>
              <w:spacing w:after="0"/>
              <w:rPr>
                <w:sz w:val="11"/>
                <w:szCs w:val="11"/>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518,103</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497,000</w:t>
            </w:r>
          </w:p>
        </w:tc>
      </w:tr>
      <w:tr>
        <w:trPr>
          <w:trHeight w:val="137"/>
        </w:trPr>
        <w:tc>
          <w:tcPr>
            <w:tcW w:w="2000" w:type="dxa"/>
            <w:vAlign w:val="bottom"/>
          </w:tcPr>
          <w:p>
            <w:pPr>
              <w:spacing w:after="0"/>
              <w:rPr>
                <w:sz w:val="20"/>
                <w:szCs w:val="20"/>
                <w:color w:val="auto"/>
              </w:rPr>
            </w:pPr>
            <w:r>
              <w:rPr>
                <w:rFonts w:ascii="Courier New" w:cs="Courier New" w:eastAsia="Courier New" w:hAnsi="Courier New"/>
                <w:sz w:val="12"/>
                <w:szCs w:val="12"/>
                <w:color w:val="auto"/>
              </w:rPr>
              <w:t>Less - current maturities</w:t>
            </w:r>
          </w:p>
        </w:tc>
        <w:tc>
          <w:tcPr>
            <w:tcW w:w="188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7.06%</w:t>
            </w: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21,103</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2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r>
        <w:trPr>
          <w:trHeight w:val="137"/>
        </w:trPr>
        <w:tc>
          <w:tcPr>
            <w:tcW w:w="2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$497,000</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$497,000</w:t>
            </w:r>
          </w:p>
        </w:tc>
      </w:tr>
      <w:tr>
        <w:trPr>
          <w:trHeight w:val="137"/>
        </w:trPr>
        <w:tc>
          <w:tcPr>
            <w:tcW w:w="2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w:t>
            </w:r>
          </w:p>
        </w:tc>
      </w:tr>
    </w:tbl>
    <w:p>
      <w:pPr>
        <w:spacing w:after="0" w:line="141" w:lineRule="exact"/>
        <w:rPr>
          <w:sz w:val="20"/>
          <w:szCs w:val="20"/>
          <w:color w:val="auto"/>
        </w:rPr>
      </w:pPr>
    </w:p>
    <w:p>
      <w:pPr>
        <w:ind w:left="700" w:right="4539" w:hanging="350"/>
        <w:spacing w:after="0" w:line="241" w:lineRule="auto"/>
        <w:tabs>
          <w:tab w:leader="none" w:pos="700"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loans received under the Facility Agreement bear interest based on the three-month USD Libor rate plus 2.5%, as revised under the amendment to the Facility Agreement described in detail in Note 11A(6). Prior to the closing of this amendment in December 2003, the loans bore interest based on the three-month USD Libor rate plus</w:t>
      </w:r>
    </w:p>
    <w:p>
      <w:pPr>
        <w:spacing w:after="0" w:line="3" w:lineRule="exact"/>
        <w:rPr>
          <w:rFonts w:ascii="Courier New" w:cs="Courier New" w:eastAsia="Courier New" w:hAnsi="Courier New"/>
          <w:sz w:val="12"/>
          <w:szCs w:val="12"/>
          <w:color w:val="auto"/>
        </w:rPr>
      </w:pPr>
    </w:p>
    <w:p>
      <w:pPr>
        <w:ind w:left="700" w:right="453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1.55%. The effective interest rate as of December 31, 2005 of loans, the amount of which as of such date was $292,000, includes the terms of collar agreements with knock-out and knock-in features described in Note 18A. Interest is payable at the end of each quarter.</w:t>
      </w:r>
    </w:p>
    <w:p>
      <w:pPr>
        <w:spacing w:after="0" w:line="142" w:lineRule="exact"/>
        <w:rPr>
          <w:rFonts w:ascii="Courier New" w:cs="Courier New" w:eastAsia="Courier New" w:hAnsi="Courier New"/>
          <w:sz w:val="12"/>
          <w:szCs w:val="12"/>
          <w:color w:val="auto"/>
        </w:rPr>
      </w:pPr>
    </w:p>
    <w:p>
      <w:pPr>
        <w:ind w:left="700" w:right="4599" w:hanging="350"/>
        <w:spacing w:after="0" w:line="241" w:lineRule="auto"/>
        <w:tabs>
          <w:tab w:leader="none" w:pos="700"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additional information regarding the Facility Agreement, as amended, between the Company and the Banks for financing the construction and equipping of Fab 2, including re-borrowing terms and including loans withdrawn under the July 2005 amendment to the Facility Agreement, see Note 11A(6).</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 SCHEDULE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balance of the long-term debt as of December 31, 2005 is repayable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follows:</w:t>
      </w:r>
    </w:p>
    <w:p>
      <w:pPr>
        <w:spacing w:after="0" w:line="139" w:lineRule="exact"/>
        <w:rPr>
          <w:sz w:val="20"/>
          <w:szCs w:val="20"/>
          <w:color w:val="auto"/>
        </w:rPr>
      </w:pPr>
    </w:p>
    <w:tbl>
      <w:tblPr>
        <w:tblLayout w:type="fixed"/>
        <w:tblInd w:w="700" w:type="dxa"/>
        <w:tblCellMar>
          <w:top w:w="0" w:type="dxa"/>
          <w:left w:w="0" w:type="dxa"/>
          <w:bottom w:w="0" w:type="dxa"/>
          <w:right w:w="0" w:type="dxa"/>
        </w:tblCellMar>
      </w:tblPr>
      <w:tr>
        <w:trPr>
          <w:trHeight w:val="136"/>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7"/>
              </w:rPr>
              <w:t>2006</w:t>
            </w:r>
          </w:p>
        </w:tc>
        <w:tc>
          <w:tcPr>
            <w:tcW w:w="1680" w:type="dxa"/>
            <w:vAlign w:val="bottom"/>
          </w:tcPr>
          <w:p>
            <w:pPr>
              <w:ind w:left="40"/>
              <w:spacing w:after="0"/>
              <w:rPr>
                <w:sz w:val="20"/>
                <w:szCs w:val="20"/>
                <w:color w:val="auto"/>
              </w:rPr>
            </w:pPr>
            <w:r>
              <w:rPr>
                <w:rFonts w:ascii="Courier New" w:cs="Courier New" w:eastAsia="Courier New" w:hAnsi="Courier New"/>
                <w:sz w:val="12"/>
                <w:szCs w:val="12"/>
                <w:color w:val="auto"/>
              </w:rPr>
              <w:t>- current maturities</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$ 21,103</w:t>
            </w:r>
          </w:p>
        </w:tc>
      </w:tr>
      <w:tr>
        <w:trPr>
          <w:trHeight w:val="137"/>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7"/>
              </w:rPr>
              <w:t>2007</w:t>
            </w:r>
          </w:p>
        </w:tc>
        <w:tc>
          <w:tcPr>
            <w:tcW w:w="1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151,667</w:t>
            </w:r>
          </w:p>
        </w:tc>
      </w:tr>
      <w:tr>
        <w:trPr>
          <w:trHeight w:val="137"/>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7"/>
              </w:rPr>
              <w:t>2008</w:t>
            </w:r>
          </w:p>
        </w:tc>
        <w:tc>
          <w:tcPr>
            <w:tcW w:w="1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165,667</w:t>
            </w:r>
          </w:p>
        </w:tc>
      </w:tr>
      <w:tr>
        <w:trPr>
          <w:trHeight w:val="137"/>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7"/>
              </w:rPr>
              <w:t>2009</w:t>
            </w:r>
          </w:p>
        </w:tc>
        <w:tc>
          <w:tcPr>
            <w:tcW w:w="1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165,666</w:t>
            </w:r>
          </w:p>
        </w:tc>
      </w:tr>
      <w:tr>
        <w:trPr>
          <w:trHeight w:val="137"/>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7"/>
              </w:rPr>
              <w:t>2010</w:t>
            </w:r>
          </w:p>
        </w:tc>
        <w:tc>
          <w:tcPr>
            <w:tcW w:w="1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14,000</w:t>
            </w:r>
          </w:p>
        </w:tc>
      </w:tr>
      <w:tr>
        <w:trPr>
          <w:trHeight w:val="137"/>
        </w:trPr>
        <w:tc>
          <w:tcPr>
            <w:tcW w:w="3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$518,103</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- 17</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8 - LONG-TERM DEBT (cont.)</w:t>
      </w:r>
    </w:p>
    <w:p>
      <w:pPr>
        <w:spacing w:after="0" w:line="141" w:lineRule="exact"/>
        <w:rPr>
          <w:sz w:val="20"/>
          <w:szCs w:val="20"/>
          <w:color w:val="auto"/>
        </w:rPr>
      </w:pPr>
    </w:p>
    <w:p>
      <w:pPr>
        <w:ind w:left="700" w:right="4539" w:hanging="350"/>
        <w:spacing w:after="0" w:line="241" w:lineRule="auto"/>
        <w:tabs>
          <w:tab w:leader="none" w:pos="700" w:val="left"/>
        </w:tabs>
        <w:numPr>
          <w:ilvl w:val="0"/>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agreement with the Company's Banks restricts the Company's ability to place liens on its assets (other than to the State of Israel in respect of investment grants - see Note 11A(8), and to Siliconix - see Note 11E(3)) without the prior consent of the Banks. Furthermore, the agreements contain certain restrictive financial covenants (see also Note 11A(6)). For further details concerning amendments to the Facility Agreement for revised financial ratios and covenants for 2005 and 2006, see Note 11A(6).</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CONVERTIBLE DEBENTURES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A.   COMPOSITION:</w:t>
            </w: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74"/>
        </w:trPr>
        <w:tc>
          <w:tcPr>
            <w:tcW w:w="16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1640" w:type="dxa"/>
            <w:vAlign w:val="bottom"/>
          </w:tcPr>
          <w:p>
            <w:pPr>
              <w:spacing w:after="0"/>
              <w:rPr>
                <w:sz w:val="11"/>
                <w:szCs w:val="11"/>
                <w:color w:val="auto"/>
              </w:rPr>
            </w:pPr>
          </w:p>
        </w:tc>
        <w:tc>
          <w:tcPr>
            <w:tcW w:w="16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Interest rate as of</w:t>
            </w:r>
          </w:p>
        </w:tc>
        <w:tc>
          <w:tcPr>
            <w:tcW w:w="15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1640" w:type="dxa"/>
            <w:vAlign w:val="bottom"/>
          </w:tcPr>
          <w:p>
            <w:pPr>
              <w:spacing w:after="0"/>
              <w:rPr>
                <w:sz w:val="11"/>
                <w:szCs w:val="11"/>
                <w:color w:val="auto"/>
              </w:rPr>
            </w:pPr>
          </w:p>
        </w:tc>
        <w:tc>
          <w:tcPr>
            <w:tcW w:w="16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December 31, 2005</w:t>
            </w:r>
          </w:p>
        </w:tc>
        <w:tc>
          <w:tcPr>
            <w:tcW w:w="8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2005</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1640" w:type="dxa"/>
            <w:vAlign w:val="bottom"/>
          </w:tcPr>
          <w:p>
            <w:pPr>
              <w:spacing w:after="0"/>
              <w:rPr>
                <w:sz w:val="11"/>
                <w:szCs w:val="11"/>
                <w:color w:val="auto"/>
              </w:rPr>
            </w:pPr>
          </w:p>
        </w:tc>
        <w:tc>
          <w:tcPr>
            <w:tcW w:w="1600" w:type="dxa"/>
            <w:vAlign w:val="bottom"/>
          </w:tcPr>
          <w:p>
            <w:pPr>
              <w:jc w:val="right"/>
              <w:ind w:right="76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16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Convertible debentures</w:t>
            </w:r>
          </w:p>
        </w:tc>
        <w:tc>
          <w:tcPr>
            <w:tcW w:w="1600" w:type="dxa"/>
            <w:vAlign w:val="bottom"/>
          </w:tcPr>
          <w:p>
            <w:pPr>
              <w:jc w:val="right"/>
              <w:ind w:right="761"/>
              <w:spacing w:after="0"/>
              <w:rPr>
                <w:sz w:val="20"/>
                <w:szCs w:val="20"/>
                <w:color w:val="auto"/>
              </w:rPr>
            </w:pPr>
            <w:r>
              <w:rPr>
                <w:rFonts w:ascii="Courier New" w:cs="Courier New" w:eastAsia="Courier New" w:hAnsi="Courier New"/>
                <w:sz w:val="12"/>
                <w:szCs w:val="12"/>
                <w:color w:val="auto"/>
              </w:rPr>
              <w:t>4.7%</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$25,811</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$26,651</w:t>
            </w:r>
          </w:p>
        </w:tc>
      </w:tr>
      <w:tr>
        <w:trPr>
          <w:trHeight w:val="137"/>
        </w:trPr>
        <w:tc>
          <w:tcPr>
            <w:tcW w:w="3240" w:type="dxa"/>
            <w:vAlign w:val="bottom"/>
            <w:gridSpan w:val="2"/>
          </w:tcPr>
          <w:p>
            <w:pPr>
              <w:jc w:val="right"/>
              <w:ind w:right="1401"/>
              <w:spacing w:after="0"/>
              <w:rPr>
                <w:sz w:val="20"/>
                <w:szCs w:val="20"/>
                <w:color w:val="auto"/>
              </w:rPr>
            </w:pPr>
            <w:r>
              <w:rPr>
                <w:rFonts w:ascii="Courier New" w:cs="Courier New" w:eastAsia="Courier New" w:hAnsi="Courier New"/>
                <w:sz w:val="12"/>
                <w:szCs w:val="12"/>
                <w:color w:val="auto"/>
                <w:w w:val="97"/>
              </w:rPr>
              <w:t>Less - current maturities</w:t>
            </w: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6,453</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$19,358</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$26,651</w:t>
            </w:r>
          </w:p>
        </w:tc>
      </w:tr>
      <w:tr>
        <w:trPr>
          <w:trHeight w:val="137"/>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41" w:lineRule="exact"/>
        <w:rPr>
          <w:sz w:val="20"/>
          <w:szCs w:val="20"/>
          <w:color w:val="auto"/>
        </w:rPr>
      </w:pPr>
    </w:p>
    <w:p>
      <w:pPr>
        <w:ind w:left="700" w:right="4539" w:hanging="350"/>
        <w:spacing w:after="0" w:line="266" w:lineRule="auto"/>
        <w:tabs>
          <w:tab w:leader="none" w:pos="700"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January 2002, the Company issued on the Tel-Aviv Stock Exchange, NIS 110,579,800 principal amount of convertible debentures, linked to the Israeli Consumer Price Index ("CPI") (adjusted to the CPI as of December 31, 2005 - NIS 119,960,426, $26,061). The debentures were issued at 96% of their par value, and bear annual interest at the rate of 4.7%, payable in January of each year commencing in January 2003. The principal amount is payable in four equal installments in January of each year between 2006 and 2009. The debentures may be converted until December 31, 2008 into Ordinary Shares, at a conversion rate of</w:t>
      </w:r>
    </w:p>
    <w:p>
      <w:pPr>
        <w:sectPr>
          <w:pgSz w:w="11900" w:h="16918" w:orient="portrait"/>
          <w:cols w:equalWidth="0" w:num="1">
            <w:col w:w="10239"/>
          </w:cols>
          <w:pgMar w:left="220" w:top="278" w:right="1440" w:bottom="0" w:gutter="0" w:footer="0" w:header="0"/>
        </w:sectPr>
      </w:pPr>
    </w:p>
    <w:bookmarkStart w:id="60" w:name="page61"/>
    <w:bookmarkEnd w:id="60"/>
    <w:p>
      <w:pPr>
        <w:spacing w:after="0" w:line="8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one Ordinary Share per each NIS 41.00 principal amount of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debentures, linked to the CPI (subject to customary adjustments)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(adjusted to the CPI as of December 31, 2005 - NIS 44.48, $9.66).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effective rate of interest on the convertible debentures, taking into</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account the initial proceeds, net of the discount and the related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costs of issuance, is 7.26%. For U.S. GAAP purposes, which require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taking into account, in addition to the discount and the related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issuance costs, amounts attributed to the options described in Note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13E, the effective rate of interest on the convertible debentures is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9.88%.</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Subject to certain conditions and the Company's Facility Agreement,</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Company may announce the early redemption of the debentures or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part thereof, provided that the sum of the last payment on account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principal shall be no less than approximately $700.</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If on a payment date of the principal or interest on the debentures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there exists an infringement of certain covenants and conditions under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Facility Agreement, the dates for payment of interest and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principal on the debentures may be postponed, depending on various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scenarios under the Facility Agreement until such covenant or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condition is settled.</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debentures and interest thereon are unsecured and rank behind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Company's existing and future secured indebtedness, including</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indebtedness to the Banks under the Facility Agreement, as well as to</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government of Israel in connection with grants the Company</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received under its approved enterprise programs and to Siliconix.</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See Note 20F for disclosure of the accounting treatment of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convertible debentures in accordance with U.S. GAAP.</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- 18</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tabs>
          <w:tab w:leader="none" w:pos="900" w:val="left"/>
          <w:tab w:leader="none" w:pos="1120" w:val="left"/>
        </w:tabs>
        <w:rPr>
          <w:sz w:val="20"/>
          <w:szCs w:val="20"/>
          <w:color w:val="auto"/>
        </w:rPr>
      </w:pPr>
      <w:r>
        <w:rPr>
          <w:rFonts w:ascii="Courier New" w:cs="Courier New" w:eastAsia="Courier New" w:hAnsi="Courier New"/>
          <w:sz w:val="12"/>
          <w:szCs w:val="12"/>
          <w:color w:val="auto"/>
        </w:rPr>
        <w:t>NOTE 9</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CONVERTIBLE DEBENTURES (cont.)</w:t>
      </w:r>
    </w:p>
    <w:p>
      <w:pPr>
        <w:spacing w:after="0" w:line="141" w:lineRule="exact"/>
        <w:rPr>
          <w:sz w:val="20"/>
          <w:szCs w:val="20"/>
          <w:color w:val="auto"/>
        </w:rPr>
      </w:pPr>
    </w:p>
    <w:p>
      <w:pPr>
        <w:ind w:left="700" w:right="4679" w:hanging="350"/>
        <w:spacing w:after="0" w:line="241" w:lineRule="auto"/>
        <w:tabs>
          <w:tab w:leader="none" w:pos="700" w:val="left"/>
        </w:tabs>
        <w:numPr>
          <w:ilvl w:val="0"/>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initial adoption of Accounting Standard No. 22 "FINANCIAL INSTRUMENTS: DISCLOSURE AND PRESENTATION" of the Israeli Accounting Standards Board (see Note 2P(1)) in the first quarter of 2006, the Company's convertible debentures would be bifurcated in a manner by which the Company's shareholders' equity would increase by approximately $500 and the convertible debentures will be reduced by the same amount. Said amount will be expensed as financing expenses through 2009.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00" w:type="dxa"/>
            <w:vAlign w:val="bottom"/>
          </w:tcPr>
          <w:p>
            <w:pPr>
              <w:spacing w:after="0"/>
              <w:rPr>
                <w:sz w:val="20"/>
                <w:szCs w:val="20"/>
                <w:color w:val="auto"/>
              </w:rPr>
            </w:pPr>
            <w:r>
              <w:rPr>
                <w:rFonts w:ascii="Courier New" w:cs="Courier New" w:eastAsia="Courier New" w:hAnsi="Courier New"/>
                <w:sz w:val="12"/>
                <w:szCs w:val="12"/>
                <w:color w:val="auto"/>
              </w:rPr>
              <w:t>NOTE 10 - OTHER LONG-TERM LIABILITIES</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74"/>
        </w:trPr>
        <w:tc>
          <w:tcPr>
            <w:tcW w:w="4100" w:type="dxa"/>
            <w:vAlign w:val="bottom"/>
          </w:tcPr>
          <w:p>
            <w:pPr>
              <w:ind w:left="360"/>
              <w:spacing w:after="0"/>
              <w:rPr>
                <w:sz w:val="20"/>
                <w:szCs w:val="20"/>
                <w:color w:val="auto"/>
              </w:rPr>
            </w:pPr>
            <w:r>
              <w:rPr>
                <w:rFonts w:ascii="Courier New" w:cs="Courier New" w:eastAsia="Courier New" w:hAnsi="Courier New"/>
                <w:sz w:val="12"/>
                <w:szCs w:val="12"/>
                <w:color w:val="auto"/>
              </w:rPr>
              <w:t>A.   COMPOSITION</w:t>
            </w: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4"/>
        </w:trPr>
        <w:tc>
          <w:tcPr>
            <w:tcW w:w="4100" w:type="dxa"/>
            <w:vAlign w:val="bottom"/>
          </w:tcPr>
          <w:p>
            <w:pPr>
              <w:spacing w:after="0"/>
              <w:rPr>
                <w:sz w:val="23"/>
                <w:szCs w:val="23"/>
                <w:color w:val="auto"/>
              </w:rPr>
            </w:pPr>
          </w:p>
        </w:tc>
        <w:tc>
          <w:tcPr>
            <w:tcW w:w="18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4100" w:type="dxa"/>
            <w:vAlign w:val="bottom"/>
          </w:tcPr>
          <w:p>
            <w:pPr>
              <w:spacing w:after="0"/>
              <w:rPr>
                <w:sz w:val="11"/>
                <w:szCs w:val="11"/>
                <w:color w:val="auto"/>
              </w:rPr>
            </w:pPr>
          </w:p>
        </w:tc>
        <w:tc>
          <w:tcPr>
            <w:tcW w:w="18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4100" w:type="dxa"/>
            <w:vAlign w:val="bottom"/>
          </w:tcPr>
          <w:p>
            <w:pPr>
              <w:spacing w:after="0"/>
              <w:rPr>
                <w:sz w:val="11"/>
                <w:szCs w:val="11"/>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2005</w:t>
            </w:r>
          </w:p>
        </w:tc>
        <w:tc>
          <w:tcPr>
            <w:tcW w:w="8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410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4100" w:type="dxa"/>
            <w:vAlign w:val="bottom"/>
          </w:tcPr>
          <w:p>
            <w:pPr>
              <w:spacing w:after="0"/>
              <w:rPr>
                <w:sz w:val="20"/>
                <w:szCs w:val="20"/>
                <w:color w:val="auto"/>
              </w:rPr>
            </w:pPr>
            <w:r>
              <w:rPr>
                <w:rFonts w:ascii="Courier New" w:cs="Courier New" w:eastAsia="Courier New" w:hAnsi="Courier New"/>
                <w:sz w:val="12"/>
                <w:szCs w:val="12"/>
                <w:color w:val="auto"/>
              </w:rPr>
              <w:t>Net liability for employee</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4100" w:type="dxa"/>
            <w:vAlign w:val="bottom"/>
          </w:tcPr>
          <w:p>
            <w:pPr>
              <w:ind w:left="200"/>
              <w:spacing w:after="0"/>
              <w:rPr>
                <w:sz w:val="20"/>
                <w:szCs w:val="20"/>
                <w:color w:val="auto"/>
              </w:rPr>
            </w:pPr>
            <w:r>
              <w:rPr>
                <w:rFonts w:ascii="Courier New" w:cs="Courier New" w:eastAsia="Courier New" w:hAnsi="Courier New"/>
                <w:sz w:val="12"/>
                <w:szCs w:val="12"/>
                <w:color w:val="auto"/>
              </w:rPr>
              <w:t>termination benefits (see B below):</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4100" w:type="dxa"/>
            <w:vAlign w:val="bottom"/>
          </w:tcPr>
          <w:p>
            <w:pPr>
              <w:ind w:left="360"/>
              <w:spacing w:after="0"/>
              <w:rPr>
                <w:sz w:val="20"/>
                <w:szCs w:val="20"/>
                <w:color w:val="auto"/>
              </w:rPr>
            </w:pPr>
            <w:r>
              <w:rPr>
                <w:rFonts w:ascii="Courier New" w:cs="Courier New" w:eastAsia="Courier New" w:hAnsi="Courier New"/>
                <w:sz w:val="12"/>
                <w:szCs w:val="12"/>
                <w:color w:val="auto"/>
              </w:rPr>
              <w:t>Gross obligation</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$ 18,445</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$ 20,938</w:t>
            </w:r>
          </w:p>
        </w:tc>
      </w:tr>
      <w:tr>
        <w:trPr>
          <w:trHeight w:val="137"/>
        </w:trPr>
        <w:tc>
          <w:tcPr>
            <w:tcW w:w="4100" w:type="dxa"/>
            <w:vAlign w:val="bottom"/>
          </w:tcPr>
          <w:p>
            <w:pPr>
              <w:ind w:left="360"/>
              <w:spacing w:after="0"/>
              <w:rPr>
                <w:sz w:val="20"/>
                <w:szCs w:val="20"/>
                <w:color w:val="auto"/>
              </w:rPr>
            </w:pPr>
            <w:r>
              <w:rPr>
                <w:rFonts w:ascii="Courier New" w:cs="Courier New" w:eastAsia="Courier New" w:hAnsi="Courier New"/>
                <w:sz w:val="12"/>
                <w:szCs w:val="12"/>
                <w:color w:val="auto"/>
              </w:rPr>
              <w:t>Amounts funded through deposits to severance</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4100" w:type="dxa"/>
            <w:vAlign w:val="bottom"/>
          </w:tcPr>
          <w:p>
            <w:pPr>
              <w:ind w:left="640"/>
              <w:spacing w:after="0"/>
              <w:rPr>
                <w:sz w:val="20"/>
                <w:szCs w:val="20"/>
                <w:color w:val="auto"/>
              </w:rPr>
            </w:pPr>
            <w:r>
              <w:rPr>
                <w:rFonts w:ascii="Courier New" w:cs="Courier New" w:eastAsia="Courier New" w:hAnsi="Courier New"/>
                <w:sz w:val="12"/>
                <w:szCs w:val="12"/>
                <w:color w:val="auto"/>
              </w:rPr>
              <w:t>pay funds and purchase of insurance policies</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(13,658)</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(16,350)</w:t>
            </w:r>
          </w:p>
        </w:tc>
      </w:tr>
      <w:tr>
        <w:trPr>
          <w:trHeight w:val="137"/>
        </w:trPr>
        <w:tc>
          <w:tcPr>
            <w:tcW w:w="410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410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4,787</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4,588</w:t>
            </w:r>
          </w:p>
        </w:tc>
      </w:tr>
      <w:tr>
        <w:trPr>
          <w:trHeight w:val="137"/>
        </w:trPr>
        <w:tc>
          <w:tcPr>
            <w:tcW w:w="4100" w:type="dxa"/>
            <w:vAlign w:val="bottom"/>
          </w:tcPr>
          <w:p>
            <w:pPr>
              <w:ind w:left="60"/>
              <w:spacing w:after="0"/>
              <w:rPr>
                <w:sz w:val="20"/>
                <w:szCs w:val="20"/>
                <w:color w:val="auto"/>
              </w:rPr>
            </w:pPr>
            <w:r>
              <w:rPr>
                <w:rFonts w:ascii="Courier New" w:cs="Courier New" w:eastAsia="Courier New" w:hAnsi="Courier New"/>
                <w:sz w:val="12"/>
                <w:szCs w:val="12"/>
                <w:color w:val="auto"/>
              </w:rPr>
              <w:t>Long-term advances (see Note 11B(3))</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5,500</w:t>
            </w:r>
          </w:p>
        </w:tc>
      </w:tr>
      <w:tr>
        <w:trPr>
          <w:trHeight w:val="137"/>
        </w:trPr>
        <w:tc>
          <w:tcPr>
            <w:tcW w:w="4100" w:type="dxa"/>
            <w:vAlign w:val="bottom"/>
          </w:tcPr>
          <w:p>
            <w:pPr>
              <w:ind w:left="60"/>
              <w:spacing w:after="0"/>
              <w:rPr>
                <w:sz w:val="20"/>
                <w:szCs w:val="20"/>
                <w:color w:val="auto"/>
              </w:rPr>
            </w:pPr>
            <w:r>
              <w:rPr>
                <w:rFonts w:ascii="Courier New" w:cs="Courier New" w:eastAsia="Courier New" w:hAnsi="Courier New"/>
                <w:sz w:val="12"/>
                <w:szCs w:val="12"/>
                <w:color w:val="auto"/>
              </w:rPr>
              <w:t>Long-term liabilities in respect of license agreements</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5,123</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5,191</w:t>
            </w:r>
          </w:p>
        </w:tc>
      </w:tr>
      <w:tr>
        <w:trPr>
          <w:trHeight w:val="137"/>
        </w:trPr>
        <w:tc>
          <w:tcPr>
            <w:tcW w:w="4100" w:type="dxa"/>
            <w:vAlign w:val="bottom"/>
          </w:tcPr>
          <w:p>
            <w:pPr>
              <w:ind w:left="60"/>
              <w:spacing w:after="0"/>
              <w:rPr>
                <w:sz w:val="20"/>
                <w:szCs w:val="20"/>
                <w:color w:val="auto"/>
              </w:rPr>
            </w:pPr>
            <w:r>
              <w:rPr>
                <w:rFonts w:ascii="Courier New" w:cs="Courier New" w:eastAsia="Courier New" w:hAnsi="Courier New"/>
                <w:sz w:val="12"/>
                <w:szCs w:val="12"/>
                <w:color w:val="auto"/>
              </w:rPr>
              <w:t>Other</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1,102</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166</w:t>
            </w:r>
          </w:p>
        </w:tc>
      </w:tr>
      <w:tr>
        <w:trPr>
          <w:trHeight w:val="137"/>
        </w:trPr>
        <w:tc>
          <w:tcPr>
            <w:tcW w:w="410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410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$ 11,012</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$ 15,445</w:t>
            </w:r>
          </w:p>
        </w:tc>
      </w:tr>
      <w:tr>
        <w:trPr>
          <w:trHeight w:val="137"/>
        </w:trPr>
        <w:tc>
          <w:tcPr>
            <w:tcW w:w="410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hanging="350"/>
        <w:spacing w:after="0"/>
        <w:tabs>
          <w:tab w:leader="none" w:pos="7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TERMINATION BENEFITS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generally based upon length of service and the employee's monthly salary. This liability is primarily covered by regular deposits made each month by the Company into recognized severance and pension funds and by insurance policies purchased by the Company, based on the employee's salary for the relevant month. The amounts so funded are not reflected separately on the balance sheets, since they are controlled by the fund trustees and insurance companies and are not under the control and management of the Company. For presentation of employee termination benefits in accordance with U.S GAAP, see Note 20C.</w:t>
      </w:r>
    </w:p>
    <w:p>
      <w:pPr>
        <w:spacing w:after="0" w:line="147" w:lineRule="exact"/>
        <w:rPr>
          <w:rFonts w:ascii="Courier New" w:cs="Courier New" w:eastAsia="Courier New" w:hAnsi="Courier New"/>
          <w:sz w:val="12"/>
          <w:szCs w:val="12"/>
          <w:color w:val="auto"/>
        </w:rPr>
      </w:pPr>
    </w:p>
    <w:p>
      <w:pPr>
        <w:ind w:left="700" w:right="4819"/>
        <w:spacing w:after="0" w:line="28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Costs relating to employee termination benefits were approximately $2,631, $3,836 and $2,828 for 2005, 2004 and 2003, respectively.</w:t>
      </w:r>
    </w:p>
    <w:p>
      <w:pPr>
        <w:spacing w:after="0" w:line="255"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- 19</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w:t>
      </w:r>
    </w:p>
    <w:p>
      <w:pPr>
        <w:spacing w:after="0" w:line="139" w:lineRule="exact"/>
        <w:rPr>
          <w:sz w:val="20"/>
          <w:szCs w:val="20"/>
          <w:color w:val="auto"/>
        </w:rPr>
      </w:pPr>
    </w:p>
    <w:p>
      <w:pPr>
        <w:ind w:left="700" w:hanging="350"/>
        <w:spacing w:after="0"/>
        <w:tabs>
          <w:tab w:leader="none" w:pos="70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OVERVIEW</w:t>
      </w:r>
    </w:p>
    <w:p>
      <w:pPr>
        <w:spacing w:after="0" w:line="141"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w:t>
      </w:r>
    </w:p>
    <w:p>
      <w:pPr>
        <w:spacing w:after="0" w:line="3" w:lineRule="exact"/>
        <w:rPr>
          <w:rFonts w:ascii="Courier New" w:cs="Courier New" w:eastAsia="Courier New" w:hAnsi="Courier New"/>
          <w:sz w:val="12"/>
          <w:szCs w:val="12"/>
          <w:color w:val="auto"/>
        </w:rPr>
      </w:pPr>
    </w:p>
    <w:p>
      <w:pPr>
        <w:ind w:left="1060" w:right="4679"/>
        <w:spacing w:after="0" w:line="268"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200-millimeter wafers. The Company has entered into several related agreements and other arrangements, and has completed public and private financing transactions, to provide an aggregate, as of the approval date of the financial statements, of approximately $1,260,000 of financing for Fab 2. The</w:t>
      </w:r>
    </w:p>
    <w:p>
      <w:pPr>
        <w:sectPr>
          <w:pgSz w:w="11900" w:h="16919" w:orient="portrait"/>
          <w:cols w:equalWidth="0" w:num="1">
            <w:col w:w="10239"/>
          </w:cols>
          <w:pgMar w:left="220" w:top="138" w:right="1440" w:bottom="0" w:gutter="0" w:footer="0" w:header="0"/>
        </w:sectPr>
      </w:pPr>
    </w:p>
    <w:bookmarkStart w:id="61" w:name="page62"/>
    <w:bookmarkEnd w:id="61"/>
    <w:p>
      <w:pPr>
        <w:ind w:left="1060"/>
        <w:spacing w:after="0"/>
        <w:rPr>
          <w:sz w:val="20"/>
          <w:szCs w:val="20"/>
          <w:color w:val="auto"/>
        </w:rPr>
      </w:pPr>
      <w:r>
        <w:rPr>
          <w:rFonts w:ascii="Courier New" w:cs="Courier New" w:eastAsia="Courier New" w:hAnsi="Courier New"/>
          <w:sz w:val="12"/>
          <w:szCs w:val="12"/>
          <w:color w:val="auto"/>
        </w:rPr>
        <w:t>agreements and arrangements include those with technology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partners, Wafer Partners, Equity Investors, the Company's Banks,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Government of Israel through the Investment Center and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others. The agreements with the Banks and the Investment Center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are subject to certain conditions, including the achievement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performance and financing milestones, and the securing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additional required financing. The Company has also entered into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agreements for the design and construction of Fab 2, for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equipping Fab 2 and for the transfer to the Company of process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technologies to produce wafers in Fab 2.</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As of December 31, 2005, the Company had incurred costs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associated with the establishment of Fab 2 project of an</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aggregate of approximately $1,000,000. As of the approval date of</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financial statements, the major shareholders of the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have invested an aggregate of $323,730; the Banks have made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long-term loans in the aggregate of $526,693; the Investment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Center grants at an aggregate of $165,419; the Company has raised</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$243,370 from other financial sources.</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During the third quarter of 2003, in which Fab 2's construction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was substantially completed, the Company began commercial</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production and shipment of wafers to its customers utilizing the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0.18 micron process technology. With the commencement of Fab 2</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operations, the majority of the ongoing direct costs related 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construction and equipping of Fab 2 and to the transfer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Fab 2 technologies that previously had been capitalized, are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no longer capitalizable. Depreciation and amortization of Fab 2</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assets in 2005, 2004 and 2003 amounted to $133,021, $108,542 and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$39,625, respectively (see also Note 5A), the majority of which</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is included in cost of goods sold.</w:t>
      </w:r>
    </w:p>
    <w:p>
      <w:pPr>
        <w:spacing w:after="0" w:line="141"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The construction and equipping of Fab 2 is a substantial project,</w:t>
      </w:r>
    </w:p>
    <w:p>
      <w:pPr>
        <w:spacing w:after="0" w:line="13"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which requires extensive management involvement as well as timely</w:t>
      </w:r>
    </w:p>
    <w:p>
      <w:pPr>
        <w:spacing w:after="0" w:line="13"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coordination of the activities of many participants. In addition,</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this project is a complex undertaking which entails substantial</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risks and uncertainties, including but not limited to those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associated with the following: obtaining additional commitments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to finance the construction and equipping of Fab 2 and its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ongoing operations (see also Note 1C); achieving certain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operational milestones and complying with various significant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conditions and financial ratios and covenants provided by the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Facility Agreement with the Banks; compliance with the conditions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under the Approval Certificate for Fab 2 provided by the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Investment Center; and completing the complex processes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transferring from Freescale the manufacturing technologies to be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used at Fab 2 and development of new technologies.</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- 20</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OVERVIEW (cont.)</w:t>
      </w:r>
    </w:p>
    <w:p>
      <w:pPr>
        <w:spacing w:after="0" w:line="141" w:lineRule="exact"/>
        <w:rPr>
          <w:rFonts w:ascii="Courier New" w:cs="Courier New" w:eastAsia="Courier New" w:hAnsi="Courier New"/>
          <w:sz w:val="12"/>
          <w:szCs w:val="12"/>
          <w:color w:val="auto"/>
        </w:rPr>
      </w:pPr>
    </w:p>
    <w:p>
      <w:pPr>
        <w:ind w:left="1060" w:right="45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According to the Facility Agreement with the Banks, raising certain required additional funding by the dates specified, achieving the milestones as scheduled, as well as complying with all the conditions and financial ratios and covenants stipulated in that agreement and in the Approval Certificate from the Investment Center, are material provisions for financing provided and to be further obtained. For details concerning revising certain of the financial ratios and covenants under the Facility Agreement for 2005 and 2006, as were amended in the July 2005 amendment to the Facility Agreement, see paragraph A(6) below.</w:t>
      </w:r>
    </w:p>
    <w:p>
      <w:pPr>
        <w:spacing w:after="0" w:line="125"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TECHNOLOGY TRANSFER AGREEMENTS</w:t>
      </w:r>
    </w:p>
    <w:p>
      <w:pPr>
        <w:spacing w:after="0" w:line="141" w:lineRule="exact"/>
        <w:rPr>
          <w:rFonts w:ascii="Courier New" w:cs="Courier New" w:eastAsia="Courier New" w:hAnsi="Courier New"/>
          <w:sz w:val="12"/>
          <w:szCs w:val="12"/>
          <w:color w:val="auto"/>
        </w:rPr>
      </w:pPr>
    </w:p>
    <w:p>
      <w:pPr>
        <w:ind w:left="106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TOSHIBA - In April 2000, the Company entered into a technology transfer agreement with Toshiba Corporation ("Toshiba"), a Japanese corporation. This agreement provided for the transfer by Toshiba to the Company of advanced semiconductor manufacturing process technologies installed in Fab 2 including related technology transfer assistance in exchange for certain fees for patent licenses, technology transfer and technical assistance. The transfer of the technology was substantially completed during the first half of 2003. The Company's commitment under the Toshiba agreement to reserve for Toshiba a certain portion of Fab 2 wafer manufacturing capacity expired in December 2005.</w:t>
      </w:r>
    </w:p>
    <w:p>
      <w:pPr>
        <w:spacing w:after="0" w:line="133"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FREESCALE - In September 2002, the Company entered into a non-exclusive technology transfer, development and licensing agreement with Freescale. This agreement provides for the transfer by Freescale to the Company of existing and newly developed versions of advanced semiconductor manufacturing process technologies to be installed in Fab 2, and for the provision by Freescale of related technology transfer assistance, in exchange for certain fees for patent and other intellectual property licenses, technology transfer and development, technical assistance and ongoing royalties based on sales of products to be manufactured in Fab 2 with the transferred technology. Subject to prior termination for cause by Freescale, the licenses under the agreement are perpetual.</w:t>
      </w:r>
    </w:p>
    <w:p>
      <w:pPr>
        <w:spacing w:after="0" w:line="143"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WAFER PARTNER AGREEMENTS</w:t>
      </w:r>
    </w:p>
    <w:p>
      <w:pPr>
        <w:spacing w:after="0" w:line="141" w:lineRule="exact"/>
        <w:rPr>
          <w:rFonts w:ascii="Courier New" w:cs="Courier New" w:eastAsia="Courier New" w:hAnsi="Courier New"/>
          <w:sz w:val="12"/>
          <w:szCs w:val="12"/>
          <w:color w:val="auto"/>
        </w:rPr>
      </w:pPr>
    </w:p>
    <w:p>
      <w:pPr>
        <w:ind w:left="106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2000, the Company entered into various share purchase agreements ("Wafer Partner Agreements") with SanDisk Corporation, Alliance Semiconductor Corporation, Macronix International Co., Ltd. and QuickLogic Corporation (collectively, the "Wafer Partners"; excluding QuickLogic, the "primary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ectPr>
          <w:pgSz w:w="11900" w:h="16838" w:orient="portrait"/>
          <w:cols w:equalWidth="0" w:num="1">
            <w:col w:w="10239"/>
          </w:cols>
          <w:pgMar w:left="220" w:top="138" w:right="1440" w:bottom="90" w:gutter="0" w:footer="0" w:header="0"/>
        </w:sectPr>
      </w:pPr>
    </w:p>
    <w:bookmarkStart w:id="62" w:name="page63"/>
    <w:bookmarkEnd w:id="62"/>
    <w:p>
      <w:pPr>
        <w:spacing w:after="0" w:line="83"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- 21</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WAFER PARTNER AGREEMENTS (cont.)</w:t>
      </w:r>
    </w:p>
    <w:p>
      <w:pPr>
        <w:spacing w:after="0" w:line="141" w:lineRule="exact"/>
        <w:rPr>
          <w:rFonts w:ascii="Courier New" w:cs="Courier New" w:eastAsia="Courier New" w:hAnsi="Courier New"/>
          <w:sz w:val="12"/>
          <w:szCs w:val="12"/>
          <w:color w:val="auto"/>
        </w:rPr>
      </w:pPr>
    </w:p>
    <w:p>
      <w:pPr>
        <w:ind w:left="106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Through December 31, 2005, the Wafer Partners invested in the Company, based on the Wafer Partner Agreements, an aggregate of $246,823, of which as of such date $201,909, was credited as paid in capital and $44,914, was established as long-term customers' advances which may be, subject to the terms and conditions stipulated in the Wafer Partner Agreements utilized as credit against purchases to be made by the Wafer Partners, or converted into paid-in-capital. Through December 31, 2005, the Wafer Partners were issued an aggregate of 27,475,135 Ordinary Shares at an average price per share of $7.35, which was determined based on the average closing sale price of the Company's Ordinary Shares for the 15-30 trading days prior to making any investment.</w:t>
      </w:r>
    </w:p>
    <w:p>
      <w:pPr>
        <w:spacing w:after="0" w:line="132" w:lineRule="exact"/>
        <w:rPr>
          <w:rFonts w:ascii="Courier New" w:cs="Courier New" w:eastAsia="Courier New" w:hAnsi="Courier New"/>
          <w:sz w:val="12"/>
          <w:szCs w:val="12"/>
          <w:color w:val="auto"/>
        </w:rPr>
      </w:pPr>
    </w:p>
    <w:p>
      <w:pPr>
        <w:ind w:left="1060" w:right="459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For additional investments made by the primary Wafer Partners in the aggregate amount of $19,089 in connection with the 2002 and 2005 rights offerings, see Notes 13F and 13H, respectively, and paragraph (6) below.</w:t>
      </w:r>
    </w:p>
    <w:p>
      <w:pPr>
        <w:spacing w:after="0" w:line="139"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w:t>
      </w:r>
    </w:p>
    <w:p>
      <w:pPr>
        <w:spacing w:after="0" w:line="141"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2005, The Israel Corporation ("TIC"), the principal shareholder of the Company, and Challenge Fund-Edgar II LP, a Delaware limited partnership ("Challenge") (together, "Equity Investors") invested in the Company, an aggregate of $55,000 for the purchase of an aggregate of 7,419,835 Ordinary Shares of the Company at an average price per share of $7.41, which was determined based on the average closing sale price of the Company's Ordinary Shares for the 15-30 trading days prior to making any investment. The investments of TIC and Challenge were made in accordance with share purchase agreements the Company entered into with them in December 2000 and February 2001, respectively.</w:t>
      </w:r>
    </w:p>
    <w:p>
      <w:pPr>
        <w:spacing w:after="0" w:line="145" w:lineRule="exact"/>
        <w:rPr>
          <w:rFonts w:ascii="Courier New" w:cs="Courier New" w:eastAsia="Courier New" w:hAnsi="Courier New"/>
          <w:sz w:val="12"/>
          <w:szCs w:val="12"/>
          <w:color w:val="auto"/>
        </w:rPr>
      </w:pPr>
    </w:p>
    <w:p>
      <w:pPr>
        <w:ind w:left="1060" w:right="453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additional investments made by TIC in the aggregate amount of $29,152 in connection with the 2002 and 2005 rights offerings, see Notes 13F and 13H, respectively, and paragraph (6) below.</w:t>
      </w:r>
    </w:p>
    <w:p>
      <w:pPr>
        <w:spacing w:after="0" w:line="125"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2002, a Canadian pension fund invested in the Company's equity $15,000 in consideration for 3,000,000 Ordinary Shares of the Company for $5.00 per share, and a warrant to purchase an additional 1,350,000 Ordinary Shares of the Company. The warrant is exercisable for a four-year period ending in October 2006, at an exercise price of $7.50 per share (subject to customary adjustments).</w:t>
      </w:r>
    </w:p>
    <w:p>
      <w:pPr>
        <w:spacing w:after="0" w:line="142" w:lineRule="exact"/>
        <w:rPr>
          <w:rFonts w:ascii="Courier New" w:cs="Courier New" w:eastAsia="Courier New" w:hAnsi="Courier New"/>
          <w:sz w:val="12"/>
          <w:szCs w:val="12"/>
          <w:color w:val="auto"/>
        </w:rPr>
      </w:pPr>
    </w:p>
    <w:p>
      <w:pPr>
        <w:ind w:left="1060" w:right="4959" w:hanging="353"/>
        <w:spacing w:after="0" w:line="238" w:lineRule="auto"/>
        <w:tabs>
          <w:tab w:leader="none" w:pos="1060" w:val="left"/>
        </w:tabs>
        <w:numPr>
          <w:ilvl w:val="1"/>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THE PRIMARY WAFER PARTNER AND EQUITY INVESTOR AGREEMENTS</w:t>
      </w:r>
    </w:p>
    <w:p>
      <w:pPr>
        <w:spacing w:after="0" w:line="142"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the primary Wafer Partner Agreements, as amended, the primary Wafer Partners were entitled to convert an aggregate of up to $7,507 of the unutilized long-term customers' advances, which they had as of December 31, 2005, into fully-paid Ordinary Shares of the Company. In January 2006, one of the primary Wafer Partners notified the Company of its election to convert $3,880 of its advances into paid-in equity entitling it for 2,455,905 Ordinary Shares of the Company, constituting approximately 3.67% of the Company's outstanding Ordinary Shares as of December 31, 2005. The number of shares was determined based on $1.58 per share, which was the average closing sale price of the Company's Ordinary Shares for the 15 trading days prior to December 31, 2005.</w:t>
      </w:r>
    </w:p>
    <w:p>
      <w:pPr>
        <w:spacing w:after="0" w:line="281"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- 22</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41" w:lineRule="exact"/>
        <w:rPr>
          <w:rFonts w:ascii="Courier New" w:cs="Courier New" w:eastAsia="Courier New" w:hAnsi="Courier New"/>
          <w:sz w:val="12"/>
          <w:szCs w:val="12"/>
          <w:color w:val="auto"/>
        </w:rPr>
      </w:pPr>
    </w:p>
    <w:p>
      <w:pPr>
        <w:ind w:left="1060" w:right="4959" w:hanging="353"/>
        <w:spacing w:after="0" w:line="238" w:lineRule="auto"/>
        <w:tabs>
          <w:tab w:leader="none" w:pos="1060" w:val="left"/>
        </w:tabs>
        <w:numPr>
          <w:ilvl w:val="1"/>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THE PRIMARY WAFER PARTNER AND EQUITY INVESTOR AGREEMENTS (cont.)</w:t>
      </w:r>
    </w:p>
    <w:p>
      <w:pPr>
        <w:spacing w:after="0" w:line="142" w:lineRule="exact"/>
        <w:rPr>
          <w:rFonts w:ascii="Courier New" w:cs="Courier New" w:eastAsia="Courier New" w:hAnsi="Courier New"/>
          <w:sz w:val="12"/>
          <w:szCs w:val="12"/>
          <w:color w:val="auto"/>
        </w:rPr>
      </w:pPr>
    </w:p>
    <w:p>
      <w:pPr>
        <w:ind w:left="1060" w:right="459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the primary Wafer Partner Agreements, as amended, each of the primary Wafer Partners has an option to convert, at the end of each calendar quarter in 2004-2006, that portion of the long-term customers' advances which it is entitled to utilize, based upon payments made by such primary Wafer Partner during that quarter, into fully-paid Ordinary Shares of the Company. The number of shares is to be determined based on the average closing sale price of the Company's Ordinary Shares for the 15 trading days preceding the end of each quarter. Accordingly, through December 31, 2005, two of the primary Wafer Partners had converted an aggregate of $2,332 of long-term customer advances into 1,349,423 fully paid Ordinary Shares of the Company, at an average share price of $1.73 per share.</w:t>
      </w:r>
    </w:p>
    <w:p>
      <w:pPr>
        <w:spacing w:after="0" w:line="270" w:lineRule="exact"/>
        <w:rPr>
          <w:rFonts w:ascii="Courier New" w:cs="Courier New" w:eastAsia="Courier New" w:hAnsi="Courier New"/>
          <w:sz w:val="12"/>
          <w:szCs w:val="12"/>
          <w:color w:val="auto"/>
        </w:rPr>
      </w:pPr>
    </w:p>
    <w:p>
      <w:pPr>
        <w:ind w:left="1060" w:right="467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Any quarterly amount, which the primary Wafer Partners have elected not to so convert, will not be utilizable against purchases made subsequent to that quarter, and shall bear interest, payable at the end of each quarter, at an annual rate equal to three-month LIBOR plus 2.5% through December 31, 2007. The aggregate principal of the unconverted long-term customers' advances, which could have been utilized against purchases and which the primary Wafer Partners elected not to convert into fully-paid Ordinary Shares of the Company (as of December 31,</w:t>
      </w:r>
    </w:p>
    <w:p>
      <w:pPr>
        <w:spacing w:after="0" w:line="1" w:lineRule="exact"/>
        <w:rPr>
          <w:rFonts w:ascii="Courier New" w:cs="Courier New" w:eastAsia="Courier New" w:hAnsi="Courier New"/>
          <w:sz w:val="12"/>
          <w:szCs w:val="12"/>
          <w:color w:val="auto"/>
        </w:rPr>
      </w:pPr>
    </w:p>
    <w:p>
      <w:pPr>
        <w:ind w:left="1060" w:right="453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2005 - $1,102), shall be fully repaid on December 31, 2007. Other than as described above in this paragraph and the preceding paragraph, each of the primary Wafer Partners agreed that</w:t>
      </w:r>
    </w:p>
    <w:p>
      <w:pPr>
        <w:sectPr>
          <w:pgSz w:w="11900" w:h="16922" w:orient="portrait"/>
          <w:cols w:equalWidth="0" w:num="1">
            <w:col w:w="10239"/>
          </w:cols>
          <w:pgMar w:left="220" w:top="275" w:right="1440" w:bottom="0" w:gutter="0" w:footer="0" w:header="0"/>
        </w:sectPr>
      </w:pPr>
    </w:p>
    <w:bookmarkStart w:id="63" w:name="page64"/>
    <w:bookmarkEnd w:id="63"/>
    <w:p>
      <w:pPr>
        <w:spacing w:after="0" w:line="8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long-term customer's advances could not be utilized before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December 31, 2006. Following December 31, 2006, the remaining</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long-term customer advances may be utilized as credits against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purchases to be made.</w:t>
      </w:r>
    </w:p>
    <w:p>
      <w:pPr>
        <w:spacing w:after="0" w:line="139" w:lineRule="exact"/>
        <w:rPr>
          <w:sz w:val="20"/>
          <w:szCs w:val="20"/>
          <w:color w:val="auto"/>
        </w:rPr>
      </w:pPr>
    </w:p>
    <w:p>
      <w:pPr>
        <w:ind w:left="1060" w:hanging="353"/>
        <w:spacing w:after="0"/>
        <w:tabs>
          <w:tab w:leader="none" w:pos="1060"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41"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OVERVIEW - In January 2001, the Company entered into a credit facility agreement with two leading Israeli banks ("Banks") entitling the Company to borrow an aggregate, as amended in January 2002, of $500,000 to finance the construction and equipping of Fab 2 ("Facility Agreement"). Of that amount, as of December 31, 2005, the Company withdrew an aggregate of $497,000. These loans bear interest at a rate of Libor plus 2.5% per annum payable at the end of each quarter (prior to the November 2003 amendment, described below, the loans bore interest at a rate of Libor plus 1.55% per annum). The loans are subject to certain prepayment provisions. Unused amounts under the Facility Agreement were subject to a quarterly commitment fee of 0.25% per annum.</w:t>
      </w:r>
    </w:p>
    <w:p>
      <w:pPr>
        <w:spacing w:after="0" w:line="146"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July 2005, the Company and its Banks entered into a definitive amendment to the Facility Agreement. The amendment provides, among other things, for Bank financing of up to approximately $30,000, subject to the Company raising a similar amount by March 31, 2006. Through the approval date of the financial statements, the Banks provided the Company with the entire amount it was entitled to borrow under the July 2005 amendment following the consummation of a rights offering in January 2006 by the Company (for additional details, see below).</w:t>
      </w:r>
    </w:p>
    <w:p>
      <w:pPr>
        <w:spacing w:after="0" w:line="278"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- 23</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41" w:lineRule="exact"/>
        <w:rPr>
          <w:rFonts w:ascii="Courier New" w:cs="Courier New" w:eastAsia="Courier New" w:hAnsi="Courier New"/>
          <w:sz w:val="12"/>
          <w:szCs w:val="12"/>
          <w:color w:val="auto"/>
        </w:rPr>
      </w:pPr>
    </w:p>
    <w:p>
      <w:pPr>
        <w:ind w:left="106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 SCHEDULE - Loans in the amount of $431,000 received by the Company through December 31, 2003, were repaid on December 31, 2003 and, concurrently, an equivalent amount was drawn down on such date to be repaid in 12 equal consecutive quarterly installments commencing March 31, 2007 (the net amount of long-term loans the Company received in 2003 in connection with the abovementioned re-borrowing was $187,000). Loans in the amount of $66,000 drawn down during 2004 are repayable in 12 equal consecutive quarterly installments, commencing three years from the draw down date of each loan, which in no case shall be after the maturity date of the Facility Agreement. Loans drawn down under the July 2005 amendment are repayable in a period between twelve to fifteen months from each date any amount is received by the Company.</w:t>
      </w:r>
    </w:p>
    <w:p>
      <w:pPr>
        <w:spacing w:after="0" w:line="147"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July 2005 amendment further provides that a rescheduling of the repayment dates of the loans drawn down under it shall be discussed following the closing date of the amendment. Subsequent to the balance sheet date, the Company and the Banks commenced and are holding discussions for rescheduling of the repayment dates of the $29,693 provided by the Banks under this amendment. For further details regarding loans drawn down under the Facility Agreement see Note 8.</w:t>
      </w:r>
    </w:p>
    <w:p>
      <w:pPr>
        <w:spacing w:after="0" w:line="143" w:lineRule="exact"/>
        <w:rPr>
          <w:rFonts w:ascii="Courier New" w:cs="Courier New" w:eastAsia="Courier New" w:hAnsi="Courier New"/>
          <w:sz w:val="12"/>
          <w:szCs w:val="12"/>
          <w:color w:val="auto"/>
        </w:rPr>
      </w:pPr>
    </w:p>
    <w:p>
      <w:pPr>
        <w:ind w:left="106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NOVEMBER 2003 AMENDMENT - In November 2003, the Company and its Banks entered into an amendment to the Facility Agreement. The amendment was based, among other things, on an updated plan for the construction and equipping Fab 2 submitted to the Banks, and was approved by the Company's shareholders' meeting held in December 2003. Pursuant to the amendment, the Banks waived all noncompliance or breach of covenants by the Company prior to the date of amendment. The amendment further revised and updated the covenants under the Facility Agreement according to which the Company is obligated to comply with certain operational and financial ratios, primarily total shareholders' equity to total assets, quarterly and annual EBITDA, sales and production capacity milestones.</w:t>
      </w:r>
    </w:p>
    <w:p>
      <w:pPr>
        <w:spacing w:after="0" w:line="146" w:lineRule="exact"/>
        <w:rPr>
          <w:rFonts w:ascii="Courier New" w:cs="Courier New" w:eastAsia="Courier New" w:hAnsi="Courier New"/>
          <w:sz w:val="12"/>
          <w:szCs w:val="12"/>
          <w:color w:val="auto"/>
        </w:rPr>
      </w:pPr>
    </w:p>
    <w:p>
      <w:pPr>
        <w:ind w:left="1060" w:right="453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2005, the Company and the Banks entered into the following amendments to the Facility Agreement:</w:t>
      </w:r>
    </w:p>
    <w:p>
      <w:pPr>
        <w:spacing w:after="0" w:line="142" w:lineRule="exact"/>
        <w:rPr>
          <w:rFonts w:ascii="Courier New" w:cs="Courier New" w:eastAsia="Courier New" w:hAnsi="Courier New"/>
          <w:sz w:val="12"/>
          <w:szCs w:val="12"/>
          <w:color w:val="auto"/>
        </w:rPr>
      </w:pPr>
    </w:p>
    <w:p>
      <w:pPr>
        <w:ind w:left="1420" w:right="4539" w:hanging="357"/>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oJANUARY 2005 AMENDMENT - In January 2005, the Company and its Banks signed a waiver letter agreement according to which the Banks waived the Company's non-compliance with certain financial ratios and covenants for the fourth quarter of 2004. The agreement also amended certain of the financial ratios and covenants with which the Company was to comply with during 2005, and which were further revised in the framework of the July 2005 amendment to the Facility Agreement described below.</w:t>
      </w:r>
    </w:p>
    <w:p>
      <w:pPr>
        <w:spacing w:after="0" w:line="278"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- 24</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41" w:lineRule="exact"/>
        <w:rPr>
          <w:rFonts w:ascii="Courier New" w:cs="Courier New" w:eastAsia="Courier New" w:hAnsi="Courier New"/>
          <w:sz w:val="12"/>
          <w:szCs w:val="12"/>
          <w:color w:val="auto"/>
        </w:rPr>
      </w:pPr>
    </w:p>
    <w:p>
      <w:pPr>
        <w:ind w:left="1420" w:right="4539" w:hanging="357"/>
        <w:spacing w:after="0" w:line="26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w:t>
      </w:r>
      <w:r>
        <w:rPr>
          <w:rFonts w:ascii="Courier New" w:cs="Courier New" w:eastAsia="Courier New" w:hAnsi="Courier New"/>
          <w:sz w:val="11"/>
          <w:szCs w:val="11"/>
          <w:color w:val="auto"/>
        </w:rPr>
        <w:t>JULY 2005 AMENDMENT - In July 2005, the Company and its Banks entered into a definitive amendment to the Facility Agreement, which closed in August 2005. The amendment provides, among other things, for the Banks to provide additional financing of up to approximately $30,000, subject to the Company raising through the issuance of shares or convertible debentures $23,500 by October 31, 2005 (which</w:t>
      </w:r>
    </w:p>
    <w:p>
      <w:pPr>
        <w:sectPr>
          <w:pgSz w:w="11900" w:h="16920" w:orient="portrait"/>
          <w:cols w:equalWidth="0" w:num="1">
            <w:col w:w="10239"/>
          </w:cols>
          <w:pgMar w:left="220" w:top="138" w:right="1440" w:bottom="0" w:gutter="0" w:footer="0" w:header="0"/>
        </w:sectPr>
      </w:pPr>
    </w:p>
    <w:bookmarkStart w:id="64" w:name="page65"/>
    <w:bookmarkEnd w:id="64"/>
    <w:p>
      <w:pPr>
        <w:ind w:left="1420"/>
        <w:spacing w:after="0"/>
        <w:rPr>
          <w:sz w:val="20"/>
          <w:szCs w:val="20"/>
          <w:color w:val="auto"/>
        </w:rPr>
      </w:pPr>
      <w:r>
        <w:rPr>
          <w:rFonts w:ascii="Courier New" w:cs="Courier New" w:eastAsia="Courier New" w:hAnsi="Courier New"/>
          <w:sz w:val="12"/>
          <w:szCs w:val="12"/>
          <w:color w:val="auto"/>
        </w:rPr>
        <w:t>was subsequently extended to December 31, 2005) and an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additional $6,500 by March 31, 2006. In connection with the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amendment, certain of the Company's Equity Investors, Wafer</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Partners and other investors committed to invest an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aggregate of $23,500 towards such funding in the context of</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1"/>
          <w:szCs w:val="11"/>
          <w:color w:val="auto"/>
        </w:rPr>
        <w:t>a rights offering. Following the closing of the amendment to</w:t>
      </w:r>
    </w:p>
    <w:p>
      <w:pPr>
        <w:spacing w:after="0" w:line="10"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the Facility Agreement described above and complying with</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the above commitments, the Banks provided the Company with</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the full amount of loans to which it was entitled to borrow</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under the July 2005 amendment.</w:t>
      </w:r>
    </w:p>
    <w:p>
      <w:pPr>
        <w:spacing w:after="0" w:line="139"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Under the July 2005 amendment, the $29,693 provided by the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1"/>
          <w:szCs w:val="11"/>
          <w:color w:val="auto"/>
        </w:rPr>
        <w:t>Banks through January 2006 bear annual interest based on the</w:t>
      </w:r>
    </w:p>
    <w:p>
      <w:pPr>
        <w:spacing w:after="0" w:line="10"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three-month LIBOR plus 2.5% and are repayable in a period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between twelve to fifteen months from each date any amount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was received by the Company. The amendment further provides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that a rescheduling of said repayment dates shall be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discussed following the closing date of the amendment. Such</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discussions have been commenced subsequent to the balance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sheet date.</w:t>
      </w:r>
    </w:p>
    <w:p>
      <w:pPr>
        <w:spacing w:after="0" w:line="139"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The July 2005 amendment further provides that: (i) The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Israel Corp. ("TIC") undertaking, as detailed below, shall</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be extended from June 30, 2006 to December 31, 2006; (ii)</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such undertaking will be deemed to have been fulfilled if</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TIC invests at least $14,000 in the context of a rights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offering; (iii) any amounts raised in equity or in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convertible debentures through March 31, 2006, up to</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$30,000, shall not constitute financing from other sources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towards the $152,000 fundraising milestone, as detailed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below; and (iv) the last date in which the Company is to</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comply with the $152,000 fundraising milestone is postponed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from December 31, 2005 to June 30, 2006.</w:t>
      </w:r>
    </w:p>
    <w:p>
      <w:pPr>
        <w:spacing w:after="0" w:line="139"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The amendment also revised certain of the financial ratios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and covenants through the third quarter of 2006 (primarily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quarterly EBITDA and sales).</w:t>
      </w:r>
    </w:p>
    <w:p>
      <w:pPr>
        <w:spacing w:after="0" w:line="139"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As described in Note 13H, the Company raised $48,169 in the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form of a rights offering, thereby satisfying its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1"/>
          <w:szCs w:val="11"/>
          <w:color w:val="auto"/>
        </w:rPr>
        <w:t>obligations to raise $23,500 and $6,500 by December 31, 2005</w:t>
      </w:r>
    </w:p>
    <w:p>
      <w:pPr>
        <w:spacing w:after="0" w:line="10"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and March 31, 2006, respectively. In the context of such</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rights offering, TIC invested $20,000, thereby terminating</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its undertaking detailed below. In addition, the commitment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by one of the Company's Wafer Partners to invest an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aggregate of $3,500 in the rights offering was fulfilled.</w:t>
      </w:r>
    </w:p>
    <w:p>
      <w:pPr>
        <w:spacing w:after="0" w:line="139"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Following the satisfaction of all the Company's commitments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under the July 2005 amendment, as of December 31, 2005,</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$21,103 was drawn down in two installments and in January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2006, an additional $8,590 was drawn down.</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- 25</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41" w:lineRule="exact"/>
        <w:rPr>
          <w:rFonts w:ascii="Courier New" w:cs="Courier New" w:eastAsia="Courier New" w:hAnsi="Courier New"/>
          <w:sz w:val="12"/>
          <w:szCs w:val="12"/>
          <w:color w:val="auto"/>
        </w:rPr>
      </w:pPr>
    </w:p>
    <w:p>
      <w:pPr>
        <w:ind w:left="1060" w:right="4539"/>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FUNDRAISING MILESTONE - According to the amended Facility Agreement with the Banks, the Company is to raise from specified financial sources an aggregate of $152,000 by June 30, 2006. As of the approval date of the financial statements, the Company had raised $144,124 towards said amount. Accordingly, the Company's remaining obligation to raise financings from specified financial sources is $7,876 to be raised by June 30, 2006.</w:t>
      </w:r>
    </w:p>
    <w:p>
      <w:pPr>
        <w:spacing w:after="0" w:line="127"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Facility Agreement provided that should the Company fail to meet its fundraising obligation towards the aggregate of $152,000 by June 30, 2006, the Banks will have the option to demand that the Company consummate within three months from the failing raising date a rights offering of convertible debentures and warrants to purchase the Company's Ordinary Shares to raise the missing amount towards the required funding, all in accordance with the terms prescribed in the Facility Agreement.</w:t>
      </w:r>
    </w:p>
    <w:p>
      <w:pPr>
        <w:spacing w:after="0" w:line="143"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TIC'S UNDERTAKING - In connection with the November 2003 amendment to the Facility Agreement, TIC undertook to the Banks to exercise all of the rights it received in the above mentioned rights offering. In addition, as part of TIC's undertaking, it agreed to purchase from the Company additional securities in a private placement on the same terms as the rights offering, in an amount equal to 50/93 of the difference between the amount the Company was to raise in the rights offering and the amount raised from shareholders other than TIC, less any amounts actually invested in the rights offering by TIC in connection with the exercise of its own rights. Following TIC's investment in the Company of $20,000 in the context of the 2005 rights offering (see Note 13H), according to the July 2005 amendment, TIC's undertaking has been fulfilled.</w:t>
      </w:r>
    </w:p>
    <w:p>
      <w:pPr>
        <w:spacing w:after="0" w:line="147" w:lineRule="exact"/>
        <w:rPr>
          <w:rFonts w:ascii="Courier New" w:cs="Courier New" w:eastAsia="Courier New" w:hAnsi="Courier New"/>
          <w:sz w:val="12"/>
          <w:szCs w:val="12"/>
          <w:color w:val="auto"/>
        </w:rPr>
      </w:pPr>
    </w:p>
    <w:p>
      <w:pPr>
        <w:ind w:left="1060" w:right="475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further details regarding 58,906 warrants issued to TIC in connection with its undertaking described above, see Note 13B(5)(b).</w:t>
      </w:r>
    </w:p>
    <w:p>
      <w:pPr>
        <w:spacing w:after="0" w:line="142" w:lineRule="exact"/>
        <w:rPr>
          <w:rFonts w:ascii="Courier New" w:cs="Courier New" w:eastAsia="Courier New" w:hAnsi="Courier New"/>
          <w:sz w:val="12"/>
          <w:szCs w:val="12"/>
          <w:color w:val="auto"/>
        </w:rPr>
      </w:pPr>
    </w:p>
    <w:p>
      <w:pPr>
        <w:ind w:left="1060" w:right="475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has agreed to indemnify TIC for any liabilities it incurs with respect to these arrangements, up to a maximum of $100,000 as follows: up to $25,000 in cash and any amount exceeding such $25,000 limit will earn interest at LIBOR plus</w:t>
      </w:r>
    </w:p>
    <w:p>
      <w:pPr>
        <w:spacing w:after="0" w:line="5" w:lineRule="exact"/>
        <w:rPr>
          <w:rFonts w:ascii="Courier New" w:cs="Courier New" w:eastAsia="Courier New" w:hAnsi="Courier New"/>
          <w:sz w:val="12"/>
          <w:szCs w:val="12"/>
          <w:color w:val="auto"/>
        </w:rPr>
      </w:pPr>
    </w:p>
    <w:p>
      <w:pPr>
        <w:ind w:left="1060" w:right="467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2.5% and will be paid on the same terms that the Company repays its loans to the Banks.</w:t>
      </w:r>
    </w:p>
    <w:p>
      <w:pPr>
        <w:spacing w:after="0" w:line="142" w:lineRule="exact"/>
        <w:rPr>
          <w:rFonts w:ascii="Courier New" w:cs="Courier New" w:eastAsia="Courier New" w:hAnsi="Courier New"/>
          <w:sz w:val="12"/>
          <w:szCs w:val="12"/>
          <w:color w:val="auto"/>
        </w:rPr>
      </w:pPr>
    </w:p>
    <w:p>
      <w:pPr>
        <w:ind w:left="1060" w:right="481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ISSUED TO THE BANKS - For further details regarding 9,561,060 warrants issued to the Banks in connection with the Facility Agreement, see Note 13B(5)(a).</w:t>
      </w:r>
    </w:p>
    <w:p>
      <w:pPr>
        <w:spacing w:after="0" w:line="142" w:lineRule="exact"/>
        <w:rPr>
          <w:rFonts w:ascii="Courier New" w:cs="Courier New" w:eastAsia="Courier New" w:hAnsi="Courier New"/>
          <w:sz w:val="12"/>
          <w:szCs w:val="12"/>
          <w:color w:val="auto"/>
        </w:rPr>
      </w:pPr>
    </w:p>
    <w:p>
      <w:pPr>
        <w:ind w:left="1060" w:right="4599"/>
        <w:spacing w:after="0" w:line="268"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COMPLIANCE WITH FINANCIAL RATIOS AND COVENANTS - As of the balance sheet date, the Company was in full compliance with all of the financial ratios and covenants under the amended Facility Agreement. As of the approval date of the financial statements, the Company anticipates that it will not be in compliance with</w:t>
      </w:r>
    </w:p>
    <w:p>
      <w:pPr>
        <w:sectPr>
          <w:pgSz w:w="11900" w:h="16838" w:orient="portrait"/>
          <w:cols w:equalWidth="0" w:num="1">
            <w:col w:w="10239"/>
          </w:cols>
          <w:pgMar w:left="220" w:top="138" w:right="1440" w:bottom="0" w:gutter="0" w:footer="0" w:header="0"/>
        </w:sectPr>
      </w:pPr>
    </w:p>
    <w:bookmarkStart w:id="65" w:name="page66"/>
    <w:bookmarkEnd w:id="65"/>
    <w:p>
      <w:pPr>
        <w:spacing w:after="0" w:line="83"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all of the financial ratios and covenants under the amended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Facility Agreement applicable for the fourth quarter of 2006.</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According to the Facility Agreement, satisfying the financial</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ratios and covenants is a material provision.</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- 26</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41" w:lineRule="exact"/>
        <w:rPr>
          <w:rFonts w:ascii="Courier New" w:cs="Courier New" w:eastAsia="Courier New" w:hAnsi="Courier New"/>
          <w:sz w:val="12"/>
          <w:szCs w:val="12"/>
          <w:color w:val="auto"/>
        </w:rPr>
      </w:pPr>
    </w:p>
    <w:p>
      <w:pPr>
        <w:ind w:left="1060" w:right="45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LIENS - Under the Facility Agreement,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(which as of the approval date of the financial statements amounted to $526,693), plus penalties, and the Banks would be entitled to exercise the remedies available to them under the Facility Agreement, including enforcement of the liens against the Company's assets.</w:t>
      </w:r>
    </w:p>
    <w:p>
      <w:pPr>
        <w:spacing w:after="0" w:line="128" w:lineRule="exact"/>
        <w:rPr>
          <w:rFonts w:ascii="Courier New" w:cs="Courier New" w:eastAsia="Courier New" w:hAnsi="Courier New"/>
          <w:sz w:val="12"/>
          <w:szCs w:val="12"/>
          <w:color w:val="auto"/>
        </w:rPr>
      </w:pPr>
    </w:p>
    <w:p>
      <w:pPr>
        <w:ind w:left="106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OFFEROR BY THE BANKS - If one or more certain bankruptcy related events occur, the Banks are entitled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offeror offers a majority of the Company's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130"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FAB 2 CONSTRUCTION AGREEMENT</w:t>
      </w:r>
    </w:p>
    <w:p>
      <w:pPr>
        <w:spacing w:after="0" w:line="141" w:lineRule="exact"/>
        <w:rPr>
          <w:rFonts w:ascii="Courier New" w:cs="Courier New" w:eastAsia="Courier New" w:hAnsi="Courier New"/>
          <w:sz w:val="12"/>
          <w:szCs w:val="12"/>
          <w:color w:val="auto"/>
        </w:rPr>
      </w:pPr>
    </w:p>
    <w:p>
      <w:pPr>
        <w:ind w:left="1060" w:right="4679"/>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August 2000, the Company entered into a fixed price turn-key agreement with a contractor for the design and construction of Fab 2 in consideration of approximately $200,000 to be paid according to certain performance milestones stipulated in the agreement. As of December 31, 2005, approximately $192,000 of that amount had already been paid by the Company.</w:t>
      </w:r>
    </w:p>
    <w:p>
      <w:pPr>
        <w:spacing w:after="0" w:line="125"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41" w:lineRule="exact"/>
        <w:rPr>
          <w:rFonts w:ascii="Courier New" w:cs="Courier New" w:eastAsia="Courier New" w:hAnsi="Courier New"/>
          <w:sz w:val="12"/>
          <w:szCs w:val="12"/>
          <w:color w:val="auto"/>
        </w:rPr>
      </w:pPr>
    </w:p>
    <w:p>
      <w:pPr>
        <w:ind w:left="106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2000, the Investment Center approved an investment program in connection with Fab 2 for expansion of the Company's plant. The approval certificate for the program provided for a benefit track entitling the Company to investment grants at a rate of 20% of qualified investments of up to $1,250,000, or an aggregate of up to $250,000, of which as of the balance sheet date, an aggregate of $158,143 has been received from the Investment Center. Since the Company's eligibility to receive grants is with respect to investments in Fab 2 plant and equipment made by December 31, 2005, five years from the date the approval certificate was obtained, the Company is not to receive grants under this program for investments made after that date.</w:t>
      </w:r>
    </w:p>
    <w:p>
      <w:pPr>
        <w:spacing w:after="0" w:line="132" w:lineRule="exact"/>
        <w:rPr>
          <w:rFonts w:ascii="Courier New" w:cs="Courier New" w:eastAsia="Courier New" w:hAnsi="Courier New"/>
          <w:sz w:val="12"/>
          <w:szCs w:val="12"/>
          <w:color w:val="auto"/>
        </w:rPr>
      </w:pPr>
    </w:p>
    <w:p>
      <w:pPr>
        <w:ind w:left="1060" w:right="4539"/>
        <w:spacing w:after="0" w:line="268"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Due to the later than planned commencement of construction of Fab 2, prevailing market conditions and slower than planned ramp-up, as of December 31, 2005, the Company did not complete the program and made investments constituting approximately 72% of the eligible investments under the approved enterprise program.</w:t>
      </w:r>
    </w:p>
    <w:p>
      <w:pPr>
        <w:spacing w:after="0" w:line="262"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- 27</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 (cont.)</w:t>
      </w:r>
    </w:p>
    <w:p>
      <w:pPr>
        <w:spacing w:after="0" w:line="141" w:lineRule="exact"/>
        <w:rPr>
          <w:rFonts w:ascii="Courier New" w:cs="Courier New" w:eastAsia="Courier New" w:hAnsi="Courier New"/>
          <w:sz w:val="12"/>
          <w:szCs w:val="12"/>
          <w:color w:val="auto"/>
        </w:rPr>
      </w:pPr>
    </w:p>
    <w:p>
      <w:pPr>
        <w:ind w:left="1060" w:right="45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a result of the Company's actual investments lagging behind the original terms of the program, the Company notified the Investment Center of its revised investment schedule contemplated in an updated plan for the construction and equipping Fab 2. Such plan includes, among other matters, a reduced rate of annual investments and lower than projected expectations for Fab 2 sales. In July 2004, the Company received from the Investment Center an approval to the revised investment schedule.</w:t>
      </w:r>
    </w:p>
    <w:p>
      <w:pPr>
        <w:spacing w:after="0" w:line="130"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Since the approved investment period of five years ended on December 31, 2005, the Company has been holding discussions with the Investment Center to achieve satisfactory arrangements to approve a new expansion program to commence on January 1, 2006. During the first half of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 plan to the Investment Center for the period commencing on January 1, 2006. As of the approval date of the financial statements, although the Investment Center has concluded its review of the revised business plan, the Company has not received, and the Company's management cannot estimate when the Company will receive, a formal response to its request for a new expansion program to commence on January 1, 2006, or if the Investment Center will approve the Company's request.</w:t>
      </w:r>
    </w:p>
    <w:p>
      <w:pPr>
        <w:spacing w:after="0" w:line="149" w:lineRule="exact"/>
        <w:rPr>
          <w:rFonts w:ascii="Courier New" w:cs="Courier New" w:eastAsia="Courier New" w:hAnsi="Courier New"/>
          <w:sz w:val="12"/>
          <w:szCs w:val="12"/>
          <w:color w:val="auto"/>
        </w:rPr>
      </w:pPr>
    </w:p>
    <w:p>
      <w:pPr>
        <w:ind w:left="1060" w:right="459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Any failure by the Company to meet the conditions of the 2000 approval certificate may result in the cancellation of all or a portion of the grants to be received and tax benefits and in the</w:t>
      </w:r>
    </w:p>
    <w:p>
      <w:pPr>
        <w:sectPr>
          <w:pgSz w:w="11900" w:h="16922" w:orient="portrait"/>
          <w:cols w:equalWidth="0" w:num="1">
            <w:col w:w="10239"/>
          </w:cols>
          <w:pgMar w:left="220" w:top="138" w:right="1440" w:bottom="0" w:gutter="0" w:footer="0" w:header="0"/>
        </w:sectPr>
      </w:pPr>
    </w:p>
    <w:bookmarkStart w:id="66" w:name="page67"/>
    <w:bookmarkEnd w:id="66"/>
    <w:p>
      <w:pPr>
        <w:spacing w:after="0" w:line="67"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Investment Center requiring the Company to repay all or a portion</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of grants already received. Under Israeli law, the Company's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non-completion of investments in an amount of $1,250,000 by</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December 31, 2005 may permit the Investment Center to require the</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Company to repay all or a portion of grants already received.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Management believes that it is improbable that the Investment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Center would demand the Company to repay all or a portion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grants already received, or deny investment grants receivable as</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of December 31, 2005, due to its non-completion of investments in</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amount of $1,250,000 by December 31, 2005 - see also Note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17A.</w:t>
      </w:r>
    </w:p>
    <w:p>
      <w:pPr>
        <w:spacing w:after="0" w:line="139" w:lineRule="exact"/>
        <w:rPr>
          <w:sz w:val="20"/>
          <w:szCs w:val="20"/>
          <w:color w:val="auto"/>
        </w:rPr>
      </w:pPr>
    </w:p>
    <w:p>
      <w:pPr>
        <w:ind w:left="1060" w:hanging="353"/>
        <w:spacing w:after="0"/>
        <w:tabs>
          <w:tab w:leader="none" w:pos="1060"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WITH THE ILA</w:t>
      </w:r>
    </w:p>
    <w:p>
      <w:pPr>
        <w:spacing w:after="0" w:line="141" w:lineRule="exact"/>
        <w:rPr>
          <w:rFonts w:ascii="Courier New" w:cs="Courier New" w:eastAsia="Courier New" w:hAnsi="Courier New"/>
          <w:sz w:val="12"/>
          <w:szCs w:val="12"/>
          <w:color w:val="auto"/>
        </w:rPr>
      </w:pPr>
    </w:p>
    <w:p>
      <w:pPr>
        <w:ind w:left="1060" w:right="475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w:t>
      </w:r>
    </w:p>
    <w:p>
      <w:pPr>
        <w:spacing w:after="0" w:line="140" w:lineRule="exact"/>
        <w:rPr>
          <w:rFonts w:ascii="Courier New" w:cs="Courier New" w:eastAsia="Courier New" w:hAnsi="Courier New"/>
          <w:sz w:val="12"/>
          <w:szCs w:val="12"/>
          <w:color w:val="auto"/>
        </w:rPr>
      </w:pPr>
    </w:p>
    <w:p>
      <w:pPr>
        <w:ind w:left="1060" w:hanging="353"/>
        <w:spacing w:after="0"/>
        <w:tabs>
          <w:tab w:leader="none" w:pos="1060"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41" w:lineRule="exact"/>
        <w:rPr>
          <w:rFonts w:ascii="Courier New" w:cs="Courier New" w:eastAsia="Courier New" w:hAnsi="Courier New"/>
          <w:sz w:val="12"/>
          <w:szCs w:val="12"/>
          <w:color w:val="auto"/>
        </w:rPr>
      </w:pPr>
    </w:p>
    <w:p>
      <w:pPr>
        <w:ind w:left="1060" w:right="467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hedging transactions and agreements the Company has entered into, see Note 18C.</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- 28</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AGREEMENTS</w:t>
      </w:r>
    </w:p>
    <w:p>
      <w:pPr>
        <w:spacing w:after="0" w:line="141" w:lineRule="exact"/>
        <w:rPr>
          <w:rFonts w:ascii="Courier New" w:cs="Courier New" w:eastAsia="Courier New" w:hAnsi="Courier New"/>
          <w:sz w:val="12"/>
          <w:szCs w:val="12"/>
          <w:color w:val="auto"/>
        </w:rPr>
      </w:pPr>
    </w:p>
    <w:p>
      <w:pPr>
        <w:ind w:left="106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2005, the Company had entered into several additional agreements related mainly to the construction, equipping and transfer of technology for Fab 2. The Company's aggregate commitment in connection with these agreements which were not supplied or rendered as of such date, including the Fab 2 construction agreement described in paragraph (7) above, amounted to $14,715.</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w:t>
      </w:r>
    </w:p>
    <w:p>
      <w:pPr>
        <w:spacing w:after="0" w:line="141" w:lineRule="exact"/>
        <w:rPr>
          <w:rFonts w:ascii="Courier New" w:cs="Courier New" w:eastAsia="Courier New" w:hAnsi="Courier New"/>
          <w:sz w:val="12"/>
          <w:szCs w:val="12"/>
          <w:color w:val="auto"/>
        </w:rPr>
      </w:pPr>
    </w:p>
    <w:p>
      <w:pPr>
        <w:ind w:left="1060" w:right="4539" w:hanging="353"/>
        <w:spacing w:after="0" w:line="267" w:lineRule="auto"/>
        <w:tabs>
          <w:tab w:leader="none" w:pos="1060" w:val="left"/>
        </w:tabs>
        <w:numPr>
          <w:ilvl w:val="1"/>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June 2000, the Company entered into a cross license agreement with a major technology company. According to the agreement, each party acquired a non-exclusive license to certain of the other's patents. The Company agreed to pay an annual royalty through July 2005. Though the licenses terminated on December 31, 2005, the parties are currently negotiating the renewal of said agreement.</w:t>
      </w:r>
    </w:p>
    <w:p>
      <w:pPr>
        <w:spacing w:after="0" w:line="128" w:lineRule="exact"/>
        <w:rPr>
          <w:rFonts w:ascii="Courier New" w:cs="Courier New" w:eastAsia="Courier New" w:hAnsi="Courier New"/>
          <w:sz w:val="11"/>
          <w:szCs w:val="11"/>
          <w:color w:val="auto"/>
        </w:rPr>
      </w:pPr>
    </w:p>
    <w:p>
      <w:pPr>
        <w:ind w:left="1060" w:right="4539" w:hanging="353"/>
        <w:spacing w:after="0" w:line="241" w:lineRule="auto"/>
        <w:tabs>
          <w:tab w:leader="none" w:pos="1060" w:val="left"/>
        </w:tabs>
        <w:numPr>
          <w:ilvl w:val="1"/>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43" w:lineRule="exact"/>
        <w:rPr>
          <w:rFonts w:ascii="Courier New" w:cs="Courier New" w:eastAsia="Courier New" w:hAnsi="Courier New"/>
          <w:sz w:val="12"/>
          <w:szCs w:val="12"/>
          <w:color w:val="auto"/>
        </w:rPr>
      </w:pPr>
    </w:p>
    <w:p>
      <w:pPr>
        <w:ind w:left="1060" w:right="4539" w:hanging="353"/>
        <w:spacing w:after="0" w:line="265" w:lineRule="auto"/>
        <w:tabs>
          <w:tab w:leader="none" w:pos="1060" w:val="left"/>
        </w:tabs>
        <w:numPr>
          <w:ilvl w:val="1"/>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In April 2005, the Japanese semiconductor manufacturer corporation elected, and the Company agreed, to cease the joint development of certain technology and to terminate the agreement. However, the license rights granted to the parties continue pursuant to the terms of the May 2002 original agreement. According to the terms of the termination agreement, the Japanese manufacturer paid the Company an amount of $2,500 in April 2005. In addition, each party expressly released the other party from any obligations or liabilities of any nature in connection with the original agreement. Revenues for 2005 and 2004 include $8,000 and $1,944, respectively, in relation to this agreement, with the $8,000 of 2005 received subsequent to the termination of the agreement, and as a result of its termination. See also Note 10A.</w:t>
      </w:r>
    </w:p>
    <w:p>
      <w:pPr>
        <w:spacing w:after="0" w:line="268" w:lineRule="exact"/>
        <w:rPr>
          <w:rFonts w:ascii="Courier New" w:cs="Courier New" w:eastAsia="Courier New" w:hAnsi="Courier New"/>
          <w:sz w:val="11"/>
          <w:szCs w:val="11"/>
          <w:color w:val="auto"/>
        </w:rPr>
      </w:pPr>
    </w:p>
    <w:p>
      <w:pPr>
        <w:ind w:left="1060" w:right="4599" w:hanging="353"/>
        <w:spacing w:after="0" w:line="241" w:lineRule="auto"/>
        <w:tabs>
          <w:tab w:leader="none" w:pos="1060" w:val="left"/>
        </w:tabs>
        <w:numPr>
          <w:ilvl w:val="1"/>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Note 10A and paragraph E(2) below.</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- 29</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LEASES</w:t>
      </w:r>
    </w:p>
    <w:p>
      <w:pPr>
        <w:spacing w:after="0" w:line="141" w:lineRule="exact"/>
        <w:rPr>
          <w:rFonts w:ascii="Courier New" w:cs="Courier New" w:eastAsia="Courier New" w:hAnsi="Courier New"/>
          <w:sz w:val="12"/>
          <w:szCs w:val="12"/>
          <w:color w:val="auto"/>
        </w:rPr>
      </w:pPr>
    </w:p>
    <w:p>
      <w:pPr>
        <w:ind w:left="1060" w:right="4539" w:hanging="353"/>
        <w:spacing w:after="0" w:line="241" w:lineRule="auto"/>
        <w:tabs>
          <w:tab w:leader="none" w:pos="1060" w:val="left"/>
        </w:tabs>
        <w:numPr>
          <w:ilvl w:val="1"/>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42" w:lineRule="exact"/>
        <w:rPr>
          <w:rFonts w:ascii="Courier New" w:cs="Courier New" w:eastAsia="Courier New" w:hAnsi="Courier New"/>
          <w:sz w:val="12"/>
          <w:szCs w:val="12"/>
          <w:color w:val="auto"/>
        </w:rPr>
      </w:pPr>
    </w:p>
    <w:p>
      <w:pPr>
        <w:ind w:left="1060" w:right="4599" w:hanging="353"/>
        <w:spacing w:after="0" w:line="238" w:lineRule="auto"/>
        <w:tabs>
          <w:tab w:leader="none" w:pos="1060" w:val="left"/>
        </w:tabs>
        <w:numPr>
          <w:ilvl w:val="1"/>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 long-term lease agreement of land on which Fab 2 was constructed, see paragraph A(9) above.</w:t>
      </w:r>
    </w:p>
    <w:p>
      <w:pPr>
        <w:sectPr>
          <w:pgSz w:w="11900" w:h="16905" w:orient="portrait"/>
          <w:cols w:equalWidth="0" w:num="1">
            <w:col w:w="10239"/>
          </w:cols>
          <w:pgMar w:left="220" w:top="141" w:right="1440" w:bottom="0" w:gutter="0" w:footer="0" w:header="0"/>
        </w:sectPr>
      </w:pPr>
    </w:p>
    <w:bookmarkStart w:id="67" w:name="page68"/>
    <w:bookmarkEnd w:id="67"/>
    <w:p>
      <w:pPr>
        <w:ind w:left="1060" w:right="4899" w:hanging="353"/>
        <w:spacing w:after="0" w:line="239" w:lineRule="auto"/>
        <w:tabs>
          <w:tab w:leader="none" w:pos="1060" w:val="left"/>
        </w:tabs>
        <w:numPr>
          <w:ilvl w:val="1"/>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occupies certain other premises under various operating leases. The obligations under such leases were not material as of December 31, 2005.</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PROFIT SHARING PLAN</w:t>
      </w:r>
    </w:p>
    <w:p>
      <w:pPr>
        <w:spacing w:after="0" w:line="141" w:lineRule="exact"/>
        <w:rPr>
          <w:rFonts w:ascii="Courier New" w:cs="Courier New" w:eastAsia="Courier New" w:hAnsi="Courier New"/>
          <w:sz w:val="12"/>
          <w:szCs w:val="12"/>
          <w:color w:val="auto"/>
        </w:rPr>
      </w:pPr>
    </w:p>
    <w:p>
      <w:pPr>
        <w:ind w:left="700" w:right="453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maintains an employee profit sharing plan. No amounts were provided for under this plan for periods presented in these financial statements, since the Company did not record profits for these periods.</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PRINCIPAL AGREEMENTS</w:t>
      </w:r>
    </w:p>
    <w:p>
      <w:pPr>
        <w:spacing w:after="0" w:line="141" w:lineRule="exact"/>
        <w:rPr>
          <w:rFonts w:ascii="Courier New" w:cs="Courier New" w:eastAsia="Courier New" w:hAnsi="Courier New"/>
          <w:sz w:val="12"/>
          <w:szCs w:val="12"/>
          <w:color w:val="auto"/>
        </w:rPr>
      </w:pPr>
    </w:p>
    <w:p>
      <w:pPr>
        <w:ind w:left="1060" w:right="4599" w:hanging="353"/>
        <w:spacing w:after="0"/>
        <w:tabs>
          <w:tab w:leader="none" w:pos="1060" w:val="left"/>
        </w:tabs>
        <w:numPr>
          <w:ilvl w:val="1"/>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MACRONIX - In December 2000, the Company and Macronix entered into an agreement according to which the Company waived in favor of Macronix certain exclusive semiconductor manufacturing rights it received from Saifun.</w:t>
      </w:r>
    </w:p>
    <w:p>
      <w:pPr>
        <w:spacing w:after="0" w:line="142" w:lineRule="exact"/>
        <w:rPr>
          <w:rFonts w:ascii="Courier New" w:cs="Courier New" w:eastAsia="Courier New" w:hAnsi="Courier New"/>
          <w:sz w:val="12"/>
          <w:szCs w:val="12"/>
          <w:color w:val="auto"/>
        </w:rPr>
      </w:pPr>
    </w:p>
    <w:p>
      <w:pPr>
        <w:ind w:left="1060" w:right="4539" w:hanging="353"/>
        <w:spacing w:after="0" w:line="266" w:lineRule="auto"/>
        <w:tabs>
          <w:tab w:leader="none" w:pos="1060" w:val="left"/>
        </w:tabs>
        <w:numPr>
          <w:ilvl w:val="1"/>
          <w:numId w:val="105"/>
        </w:numPr>
        <w:rPr>
          <w:rFonts w:ascii="Courier New" w:cs="Courier New" w:eastAsia="Courier New" w:hAnsi="Courier New"/>
          <w:sz w:val="11"/>
          <w:szCs w:val="11"/>
          <w:color w:val="auto"/>
        </w:rPr>
      </w:pPr>
      <w:r>
        <w:rPr>
          <w:rFonts w:ascii="Courier New" w:cs="Courier New" w:eastAsia="Courier New" w:hAnsi="Courier New"/>
          <w:sz w:val="11"/>
          <w:szCs w:val="11"/>
          <w:color w:val="auto"/>
        </w:rPr>
        <w:t>SAIFUN - 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19B. The agreement terminates in October 2007, unless terminated earlier for cause.</w:t>
      </w:r>
    </w:p>
    <w:p>
      <w:pPr>
        <w:spacing w:after="0" w:line="128" w:lineRule="exact"/>
        <w:rPr>
          <w:rFonts w:ascii="Courier New" w:cs="Courier New" w:eastAsia="Courier New" w:hAnsi="Courier New"/>
          <w:sz w:val="11"/>
          <w:szCs w:val="11"/>
          <w:color w:val="auto"/>
        </w:rPr>
      </w:pPr>
    </w:p>
    <w:p>
      <w:pPr>
        <w:ind w:left="1060" w:right="4539" w:hanging="353"/>
        <w:spacing w:after="0" w:line="265" w:lineRule="auto"/>
        <w:tabs>
          <w:tab w:leader="none" w:pos="1060" w:val="left"/>
        </w:tabs>
        <w:numPr>
          <w:ilvl w:val="1"/>
          <w:numId w:val="105"/>
        </w:numPr>
        <w:rPr>
          <w:rFonts w:ascii="Courier New" w:cs="Courier New" w:eastAsia="Courier New" w:hAnsi="Courier New"/>
          <w:sz w:val="11"/>
          <w:szCs w:val="11"/>
          <w:color w:val="auto"/>
        </w:rPr>
      </w:pPr>
      <w:r>
        <w:rPr>
          <w:rFonts w:ascii="Courier New" w:cs="Courier New" w:eastAsia="Courier New" w:hAnsi="Courier New"/>
          <w:sz w:val="11"/>
          <w:szCs w:val="11"/>
          <w:color w:val="auto"/>
        </w:rPr>
        <w:t>SILICONIX - In May 2004, the Company and chip maker Siliconix incorporated ("Siliconix"), a wholly-owned subsidiary of Vishay Intertechnology Inc., entered into a definitive long-term foundry agreement for semiconductor manufacturing. Pursuant to the agreement, Siliconix will place with the Company orders valued at approximately $200,000 for the purchase of wafers to be manufactured in the Company's Fab 1 over a seven to ten year period. Approximately $53,000 of that amount will be delivered over an initial three-year period commencing the second quarter of 2005 (the date in which the transfer of Siliconix's technology to Fab 1 was completed). According to the agreement, in August 2004 Siliconix advanced the Company $20,000 to be used primarily for the purchase of additional equipment required to satisfy Siliconix's orders. The advanced amount is credited towards the purchase price of wafers. The unused remaining balance of the $20,000 ($9,631 as of December 31, 2005) is included in designated cash and short-term interest-bearing deposits in the balance sheet. The Company registered liens in favor of Siliconix on the bank account in which the $20,000 was deposited and over the equipment purchased in connection with the transaction.</w:t>
      </w:r>
    </w:p>
    <w:p>
      <w:pPr>
        <w:spacing w:after="0" w:line="200" w:lineRule="exact"/>
        <w:rPr>
          <w:sz w:val="20"/>
          <w:szCs w:val="20"/>
          <w:color w:val="auto"/>
        </w:rPr>
      </w:pP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- 30</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COMMITMENTS AND CONTINGENCIES (cont.)</w:t>
      </w:r>
    </w:p>
    <w:p>
      <w:pPr>
        <w:spacing w:after="0" w:line="139" w:lineRule="exact"/>
        <w:rPr>
          <w:sz w:val="20"/>
          <w:szCs w:val="20"/>
          <w:color w:val="auto"/>
        </w:rPr>
      </w:pPr>
    </w:p>
    <w:p>
      <w:pPr>
        <w:ind w:left="700" w:hanging="350"/>
        <w:spacing w:after="0"/>
        <w:tabs>
          <w:tab w:leader="none" w:pos="70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PRINCIPAL AGREEMENTS (cont.)</w:t>
      </w:r>
    </w:p>
    <w:p>
      <w:pPr>
        <w:spacing w:after="0" w:line="141" w:lineRule="exact"/>
        <w:rPr>
          <w:rFonts w:ascii="Courier New" w:cs="Courier New" w:eastAsia="Courier New" w:hAnsi="Courier New"/>
          <w:sz w:val="12"/>
          <w:szCs w:val="12"/>
          <w:color w:val="auto"/>
        </w:rPr>
      </w:pPr>
    </w:p>
    <w:p>
      <w:pPr>
        <w:ind w:left="1060" w:right="4599" w:hanging="353"/>
        <w:spacing w:after="0" w:line="269" w:lineRule="auto"/>
        <w:tabs>
          <w:tab w:leader="none" w:pos="1060" w:val="left"/>
        </w:tabs>
        <w:numPr>
          <w:ilvl w:val="1"/>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OTHER - The Company, from time to time in the ordinary course of business, enters into long-term agreements with various entities for the joint development of products and processes utilizing technologies owned by both the other entities and the Company.</w:t>
      </w:r>
    </w:p>
    <w:p>
      <w:pPr>
        <w:spacing w:after="0" w:line="124" w:lineRule="exact"/>
        <w:rPr>
          <w:rFonts w:ascii="Courier New" w:cs="Courier New" w:eastAsia="Courier New" w:hAnsi="Courier New"/>
          <w:sz w:val="11"/>
          <w:szCs w:val="11"/>
          <w:color w:val="auto"/>
        </w:rPr>
      </w:pPr>
    </w:p>
    <w:p>
      <w:pPr>
        <w:ind w:left="700" w:hanging="350"/>
        <w:spacing w:after="0"/>
        <w:tabs>
          <w:tab w:leader="none" w:pos="70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AFFAIRS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the permits and licenses.</w:t>
      </w:r>
    </w:p>
    <w:p>
      <w:pPr>
        <w:spacing w:after="0" w:line="141"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CLASS ACTION</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143"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TO ISRAELI BANKING REGULATIONS</w:t>
      </w:r>
    </w:p>
    <w:p>
      <w:pPr>
        <w:spacing w:after="0" w:line="141" w:lineRule="exact"/>
        <w:rPr>
          <w:rFonts w:ascii="Courier New" w:cs="Courier New" w:eastAsia="Courier New" w:hAnsi="Courier New"/>
          <w:sz w:val="12"/>
          <w:szCs w:val="12"/>
          <w:color w:val="auto"/>
        </w:rPr>
      </w:pPr>
    </w:p>
    <w:p>
      <w:pPr>
        <w:ind w:left="70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an amendment to a directive published by the Israel Supervisor of Banks, effective March 31, 2004, the Company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the Company's Banks exceed these limitations, they may limit the Company's ability to borrow other money in the future and may require the Company to return some or all of the outstanding borrowings (which were $526,693 as of the approval date of the financial statements). As of the approval date of the financial statements, the Company had received no such request.</w:t>
      </w:r>
    </w:p>
    <w:p>
      <w:pPr>
        <w:spacing w:after="0" w:line="267"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COMMITMENTS</w:t>
      </w:r>
    </w:p>
    <w:p>
      <w:pPr>
        <w:spacing w:after="0" w:line="141" w:lineRule="exact"/>
        <w:rPr>
          <w:rFonts w:ascii="Courier New" w:cs="Courier New" w:eastAsia="Courier New" w:hAnsi="Courier New"/>
          <w:sz w:val="12"/>
          <w:szCs w:val="12"/>
          <w:color w:val="auto"/>
        </w:rPr>
      </w:pPr>
    </w:p>
    <w:p>
      <w:pPr>
        <w:ind w:left="700" w:right="4539"/>
        <w:spacing w:after="0" w:line="269"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w:t>
      </w:r>
    </w:p>
    <w:p>
      <w:pPr>
        <w:sectPr>
          <w:pgSz w:w="11900" w:h="16838" w:orient="portrait"/>
          <w:cols w:equalWidth="0" w:num="1">
            <w:col w:w="10239"/>
          </w:cols>
          <w:pgMar w:left="220" w:top="278" w:right="1440" w:bottom="0" w:gutter="0" w:footer="0" w:header="0"/>
        </w:sectPr>
      </w:pPr>
    </w:p>
    <w:bookmarkStart w:id="68" w:name="page69"/>
    <w:bookmarkEnd w:id="68"/>
    <w:p>
      <w:pPr>
        <w:spacing w:after="0" w:line="67"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opinion, the Company has been in full compliance with the conditions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through December 31, 2005.</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- 31</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CONVERTIBLE DEBENTURE</w:t>
      </w:r>
    </w:p>
    <w:p>
      <w:pPr>
        <w:spacing w:after="0" w:line="141" w:lineRule="exact"/>
        <w:rPr>
          <w:sz w:val="20"/>
          <w:szCs w:val="20"/>
          <w:color w:val="auto"/>
        </w:rPr>
      </w:pPr>
    </w:p>
    <w:p>
      <w:pPr>
        <w:ind w:left="700" w:right="4539" w:hanging="350"/>
        <w:spacing w:after="0" w:line="241" w:lineRule="auto"/>
        <w:tabs>
          <w:tab w:leader="none" w:pos="700"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the rights offering described in Note 13H, the Company issued $48,169 principal amount of convertible debentures of which $25,493 was fully paid as of December 31, 2005. The rights were distributed to the Company's shareholders and eligible employees holding options to purchase Ordinary Shares of the Company under share option plans that entitle option holders to participate in a rights offering. The debentures are listed for trade on the Tel-Aviv Stock Exchange and on the NASDAQ Capital Market. The debentures bear annual interest at the rate of 5% and are convertible into up to 43,790,272 of the Company's Ordinary Shares. The principal of the debentures, together with accrued interest, will be payable in one installment on January 12, 2012. The effective interest rate on the convertible debentures, taking into account the proceeds and related costs of issuance of approximately $1,300, is 5.48%.</w:t>
      </w:r>
    </w:p>
    <w:p>
      <w:pPr>
        <w:spacing w:after="0" w:line="147"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are convertible into the Company's Ordinary Shares at a conversion price of $1.10 per share. The conversion price is subject to downward adjustment under certain circumstances in which the Company sells securities in future financings at a price per share which is lower than the conversion price, provided that such financings close through December 2006 (or under certain conditions, through June 2007).</w:t>
      </w:r>
    </w:p>
    <w:p>
      <w:pPr>
        <w:spacing w:after="0" w:line="142" w:lineRule="exact"/>
        <w:rPr>
          <w:rFonts w:ascii="Courier New" w:cs="Courier New" w:eastAsia="Courier New" w:hAnsi="Courier New"/>
          <w:sz w:val="12"/>
          <w:szCs w:val="12"/>
          <w:color w:val="auto"/>
        </w:rPr>
      </w:pPr>
    </w:p>
    <w:p>
      <w:pPr>
        <w:ind w:left="700" w:right="481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Facility Agreement, the Company may at its option announce the early redemption of the debentures, provided that the outstanding aggregate balance of principal on account of the debentures is equal to or less than $500.</w:t>
      </w:r>
    </w:p>
    <w:p>
      <w:pPr>
        <w:spacing w:after="0" w:line="142" w:lineRule="exact"/>
        <w:rPr>
          <w:rFonts w:ascii="Courier New" w:cs="Courier New" w:eastAsia="Courier New" w:hAnsi="Courier New"/>
          <w:sz w:val="12"/>
          <w:szCs w:val="12"/>
          <w:color w:val="auto"/>
        </w:rPr>
      </w:pPr>
    </w:p>
    <w:p>
      <w:pPr>
        <w:ind w:left="700" w:right="459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Certain of the Company's Equity Investors and Wafer Partners invested $27,811 in the framework of the rights offering.</w:t>
      </w:r>
    </w:p>
    <w:p>
      <w:pPr>
        <w:spacing w:after="0" w:line="142"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and interest thereon are unsecured and rank behind the Company's existing and future secured indebtedness, including indebtedness to the Banks under the Facility Agreement, as well as to the government of Israel in connection with grants the Company received under its approved enterprise programs and to Siliconix.</w:t>
      </w:r>
    </w:p>
    <w:p>
      <w:pPr>
        <w:spacing w:after="0" w:line="140" w:lineRule="exact"/>
        <w:rPr>
          <w:rFonts w:ascii="Courier New" w:cs="Courier New" w:eastAsia="Courier New" w:hAnsi="Courier New"/>
          <w:sz w:val="12"/>
          <w:szCs w:val="12"/>
          <w:color w:val="auto"/>
        </w:rPr>
      </w:pPr>
    </w:p>
    <w:p>
      <w:pPr>
        <w:ind w:left="700" w:right="4539" w:hanging="350"/>
        <w:spacing w:after="0" w:line="241" w:lineRule="auto"/>
        <w:tabs>
          <w:tab w:leader="none" w:pos="700"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Subsequent to the balance sheet date and through the approval date of the financial statements the nominee company acting on behalf of the Tel Aviv Stock Exchange Clearing House has requested to convert, 3,351,854 of the convertible debentures, issued in connection with the Company's recent rights offering, into 3,047,140 Ordinary Shares of the Company.</w:t>
      </w:r>
    </w:p>
    <w:p>
      <w:pPr>
        <w:spacing w:after="0" w:line="141" w:lineRule="exact"/>
        <w:rPr>
          <w:rFonts w:ascii="Courier New" w:cs="Courier New" w:eastAsia="Courier New" w:hAnsi="Courier New"/>
          <w:sz w:val="12"/>
          <w:szCs w:val="12"/>
          <w:color w:val="auto"/>
        </w:rPr>
      </w:pPr>
    </w:p>
    <w:p>
      <w:pPr>
        <w:ind w:left="700" w:right="4539" w:hanging="350"/>
        <w:spacing w:after="0" w:line="241" w:lineRule="auto"/>
        <w:tabs>
          <w:tab w:leader="none" w:pos="700"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beneficial feature according to the provisions of Opinion No. 55 "EARNINGS PER SHARE" of the Institute of Certified Public Accountants in Israel, determined based on the theoretical ex-price derived from the Company's share price immediately prior to the issuance date of the rights, was 19 %. According to Opinion No. 55, the number of shares used in the computation of loss per share for the periods presented has been adjusted retroactively according to that beneficial feature.</w:t>
      </w:r>
    </w:p>
    <w:p>
      <w:pPr>
        <w:spacing w:after="0" w:line="143" w:lineRule="exact"/>
        <w:rPr>
          <w:rFonts w:ascii="Courier New" w:cs="Courier New" w:eastAsia="Courier New" w:hAnsi="Courier New"/>
          <w:sz w:val="12"/>
          <w:szCs w:val="12"/>
          <w:color w:val="auto"/>
        </w:rPr>
      </w:pPr>
    </w:p>
    <w:p>
      <w:pPr>
        <w:ind w:left="700" w:right="4539" w:hanging="350"/>
        <w:spacing w:after="0" w:line="241" w:lineRule="auto"/>
        <w:tabs>
          <w:tab w:leader="none" w:pos="700"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initial adoption of Accounting Standard No. 22 "FINANCIAL INSTRUMENTS: DISCLOSURE AND PRESENTATION" of the Israeli Accounting Standards Board (see Note 2P(1)) in the first quarter of 2006, the Company's convertible debentures would be bifurcated in a manner by which the Company's shareholders' equity would increase by approximately $16,500 and the convertible debentures will be reduced by the same amount. Said amount will be expensed as financing expenses through 2011.</w:t>
      </w:r>
    </w:p>
    <w:p>
      <w:pPr>
        <w:spacing w:after="0" w:line="27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- 32</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w:t>
      </w:r>
    </w:p>
    <w:p>
      <w:pPr>
        <w:spacing w:after="0" w:line="139" w:lineRule="exact"/>
        <w:rPr>
          <w:sz w:val="20"/>
          <w:szCs w:val="20"/>
          <w:color w:val="auto"/>
        </w:rPr>
      </w:pPr>
    </w:p>
    <w:p>
      <w:pPr>
        <w:ind w:left="700" w:hanging="350"/>
        <w:spacing w:after="0"/>
        <w:tabs>
          <w:tab w:leader="none" w:pos="700" w:val="left"/>
        </w:tabs>
        <w:numPr>
          <w:ilvl w:val="0"/>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OF ORDINARY SHARES</w:t>
      </w:r>
    </w:p>
    <w:p>
      <w:pPr>
        <w:spacing w:after="0" w:line="141" w:lineRule="exact"/>
        <w:rPr>
          <w:rFonts w:ascii="Courier New" w:cs="Courier New" w:eastAsia="Courier New" w:hAnsi="Courier New"/>
          <w:sz w:val="12"/>
          <w:szCs w:val="12"/>
          <w:color w:val="auto"/>
        </w:rPr>
      </w:pPr>
    </w:p>
    <w:p>
      <w:pPr>
        <w:ind w:left="70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of December 31, 2005 and 2004, the Company had 500,000,000 and 250,000,000 authorized Ordinary Shares, respectively, par value NIS 1.00 each, of which 66,932,056 and 65,699,796, respectively, were issued and outstanding (net of 1,300,000 Ordinary Shares held by the Company as of such dates). As of the approval date of the financial statements, there were 67,189,547 Ordinary Shares issued and outstanding and 58,627,109 Ordinary Shares of the Company contingently issuable. This amount includes Ordinary Shares to be issued under various agreements according to their provisions related to Fab 2 Wafer Partners and Equity Investors warrants, the exercise of all options granted and issued to non-employees and the conversion of all convertible debentures. Subsequent to the balance sheet date and through the approval date of the financial statements, the nominee company acting on behalf of the Tel Aviv Stock Exchange Clearing House has requested to convert 3,351,854 of convertible debentures, issued in connection with the Company's recent rights offering, into</w:t>
      </w:r>
    </w:p>
    <w:p>
      <w:pPr>
        <w:spacing w:after="0" w:line="131"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3,047,140 Ordinary Shares of the Company, which as of the approval date of the financial statements have not yet been issued. 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140"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CHIEF EXECUTIVE OFFICER AND DIRECTOR SHARE OPTIONS</w:t>
      </w:r>
    </w:p>
    <w:p>
      <w:pPr>
        <w:spacing w:after="0" w:line="138" w:lineRule="exact"/>
        <w:rPr>
          <w:rFonts w:ascii="Courier New" w:cs="Courier New" w:eastAsia="Courier New" w:hAnsi="Courier New"/>
          <w:sz w:val="12"/>
          <w:szCs w:val="12"/>
          <w:color w:val="auto"/>
        </w:rPr>
      </w:pPr>
    </w:p>
    <w:p>
      <w:pPr>
        <w:ind w:left="1420" w:hanging="356"/>
        <w:spacing w:after="0"/>
        <w:tabs>
          <w:tab w:leader="none" w:pos="1420" w:val="left"/>
        </w:tabs>
        <w:numPr>
          <w:ilvl w:val="2"/>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 The Company has granted to its employees options</w:t>
      </w:r>
    </w:p>
    <w:p>
      <w:pPr>
        <w:sectPr>
          <w:pgSz w:w="11900" w:h="16906" w:orient="portrait"/>
          <w:cols w:equalWidth="0" w:num="1">
            <w:col w:w="10239"/>
          </w:cols>
          <w:pgMar w:left="220" w:top="138" w:right="1440" w:bottom="0" w:gutter="0" w:footer="0" w:header="0"/>
        </w:sectPr>
      </w:pPr>
    </w:p>
    <w:bookmarkStart w:id="69" w:name="page70"/>
    <w:bookmarkEnd w:id="69"/>
    <w:p>
      <w:pPr>
        <w:spacing w:after="0" w:line="76"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to purchase its Ordinary Shares under several option plans</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1"/>
          <w:szCs w:val="11"/>
          <w:color w:val="auto"/>
        </w:rPr>
        <w:t>adopted by the Company since 1995. The particular provisions</w:t>
      </w:r>
    </w:p>
    <w:p>
      <w:pPr>
        <w:spacing w:after="0" w:line="10"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of each plan and grant vary as to vesting period, exercise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price, exercise period and other terms. Generally, the</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1"/>
          <w:szCs w:val="11"/>
          <w:color w:val="auto"/>
        </w:rPr>
        <w:t>options are granted at an exercise price which equals to not</w:t>
      </w:r>
    </w:p>
    <w:p>
      <w:pPr>
        <w:spacing w:after="0" w:line="10"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less than 85% of the market value of the Ordinary Shares at</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1"/>
          <w:szCs w:val="11"/>
          <w:color w:val="auto"/>
        </w:rPr>
        <w:t>the date of grant (in mostly all cases, at an exercise price</w:t>
      </w:r>
    </w:p>
    <w:p>
      <w:pPr>
        <w:spacing w:after="0" w:line="10"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equal to the market value of the underlying shares at the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date of grant); vest over a three to four-year period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according to various vesting schedules; and are not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exercisable beyond ten years from the grant date under each</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plan.</w:t>
      </w:r>
    </w:p>
    <w:p>
      <w:pPr>
        <w:spacing w:after="0" w:line="141" w:lineRule="exact"/>
        <w:rPr>
          <w:sz w:val="20"/>
          <w:szCs w:val="20"/>
          <w:color w:val="auto"/>
        </w:rPr>
      </w:pPr>
    </w:p>
    <w:p>
      <w:pPr>
        <w:ind w:left="1420" w:right="4539" w:hanging="356"/>
        <w:spacing w:after="0" w:line="241" w:lineRule="auto"/>
        <w:tabs>
          <w:tab w:leader="none" w:pos="1420"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TO THE COMPANY'S NEW CHIEF EXECUTIVE OFFICER AND DIRECTOR - In April 2005, the Company's Board of Directors approved the grant of options to purchase up to 1,325,724 Ordinary Shares to the Company's new appointed Chief Executive Officer ("CEO"), who was also appointed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281"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- 33</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 (cont.)</w:t>
      </w:r>
    </w:p>
    <w:p>
      <w:pPr>
        <w:spacing w:after="0" w:line="139" w:lineRule="exact"/>
        <w:rPr>
          <w:sz w:val="20"/>
          <w:szCs w:val="20"/>
          <w:color w:val="auto"/>
        </w:rPr>
      </w:pPr>
    </w:p>
    <w:p>
      <w:pPr>
        <w:ind w:left="700" w:hanging="350"/>
        <w:spacing w:after="0"/>
        <w:tabs>
          <w:tab w:leader="none" w:pos="700" w:val="left"/>
        </w:tabs>
        <w:numPr>
          <w:ilvl w:val="0"/>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41" w:lineRule="exact"/>
        <w:rPr>
          <w:rFonts w:ascii="Courier New" w:cs="Courier New" w:eastAsia="Courier New" w:hAnsi="Courier New"/>
          <w:sz w:val="12"/>
          <w:szCs w:val="12"/>
          <w:color w:val="auto"/>
        </w:rPr>
      </w:pPr>
    </w:p>
    <w:p>
      <w:pPr>
        <w:ind w:left="1060" w:right="4899" w:hanging="353"/>
        <w:spacing w:after="0" w:line="238" w:lineRule="auto"/>
        <w:tabs>
          <w:tab w:leader="none" w:pos="1060" w:val="left"/>
        </w:tabs>
        <w:numPr>
          <w:ilvl w:val="1"/>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CHIEF EXECUTIVE OFFICER AND DIRECTOR SHARE OPTIONS (cont.)</w:t>
      </w:r>
    </w:p>
    <w:p>
      <w:pPr>
        <w:spacing w:after="0" w:line="142" w:lineRule="exact"/>
        <w:rPr>
          <w:rFonts w:ascii="Courier New" w:cs="Courier New" w:eastAsia="Courier New" w:hAnsi="Courier New"/>
          <w:sz w:val="12"/>
          <w:szCs w:val="12"/>
          <w:color w:val="auto"/>
        </w:rPr>
      </w:pPr>
    </w:p>
    <w:p>
      <w:pPr>
        <w:ind w:left="1420" w:right="4819" w:hanging="356"/>
        <w:spacing w:after="0" w:line="238" w:lineRule="auto"/>
        <w:tabs>
          <w:tab w:leader="none" w:pos="1420" w:val="left"/>
        </w:tabs>
        <w:numPr>
          <w:ilvl w:val="2"/>
          <w:numId w:val="1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TO THE COMPANY'S NEW CHIEF EXECUTIVE OFFICER AND DIRECTOR (CONT.)</w:t>
      </w:r>
    </w:p>
    <w:p>
      <w:pPr>
        <w:spacing w:after="0" w:line="142" w:lineRule="exact"/>
        <w:rPr>
          <w:rFonts w:ascii="Courier New" w:cs="Courier New" w:eastAsia="Courier New" w:hAnsi="Courier New"/>
          <w:sz w:val="12"/>
          <w:szCs w:val="12"/>
          <w:color w:val="auto"/>
        </w:rPr>
      </w:pPr>
    </w:p>
    <w:p>
      <w:pPr>
        <w:ind w:left="1420" w:right="45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If as a result of equity financings consummated after April 30, 2005 (excluding the exercise or conversion of warrants, options, convertible debentures or other rights to acquire the Company's securities outstanding on such date), the CEO's total number of options granted to him through April 30, 2007 would represent less than 1.2% of the total number of issued and outstanding shares of the Company as of April 30, 2007, additional options will be granted to the CEO to result in a 1.2% holding of the total number of issued and outstanding shares of the Company as of April 30, 2007.</w:t>
      </w:r>
    </w:p>
    <w:p>
      <w:pPr>
        <w:spacing w:after="0" w:line="128" w:lineRule="exact"/>
        <w:rPr>
          <w:rFonts w:ascii="Courier New" w:cs="Courier New" w:eastAsia="Courier New" w:hAnsi="Courier New"/>
          <w:sz w:val="12"/>
          <w:szCs w:val="12"/>
          <w:color w:val="auto"/>
        </w:rPr>
      </w:pPr>
    </w:p>
    <w:p>
      <w:pPr>
        <w:ind w:left="1420" w:right="4599" w:hanging="356"/>
        <w:spacing w:after="0" w:line="265" w:lineRule="auto"/>
        <w:tabs>
          <w:tab w:leader="none" w:pos="1420" w:val="left"/>
        </w:tabs>
        <w:numPr>
          <w:ilvl w:val="2"/>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GRANTED TO DIRECTORS - During 2001, the Audit Committee, the Board of Directors of the Company and the general meeting of the Company's shareholders approved a stock option plan pursuant to which the Company's directors will be granted options to purchase up to 400,000 Ordinary Shares of the Company (40,000 to each eligible director appointed to the Board of Directors) at an exercise price equal to the market price of the Company's shares on the grant dates. In accordance with this option plan, 120,000 options were granted in 2005 to three directors who were appointed in 2005 (40,000 options each) at exercise prices of $1.87, $1.87 and $1.26, which equal the market price of the Company's shares on the grant dates. As of December 31, 2005 and 2004, 280,000 and 240,000 options were outstanding under the plan, respectively, with a weighted average exercise price of $5.39 and $8.41, respectively.</w:t>
      </w:r>
    </w:p>
    <w:p>
      <w:pPr>
        <w:spacing w:after="0" w:line="269" w:lineRule="exact"/>
        <w:rPr>
          <w:rFonts w:ascii="Courier New" w:cs="Courier New" w:eastAsia="Courier New" w:hAnsi="Courier New"/>
          <w:sz w:val="11"/>
          <w:szCs w:val="11"/>
          <w:color w:val="auto"/>
        </w:rPr>
      </w:pPr>
    </w:p>
    <w:p>
      <w:pPr>
        <w:ind w:left="1420" w:right="4599"/>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Options granted under the plan vest over a four-year period according to various vesting schedules, and generally may not be exercised beyond five years from the date they first become exercisable.</w:t>
      </w:r>
    </w:p>
    <w:p>
      <w:pPr>
        <w:spacing w:after="0" w:line="142" w:lineRule="exact"/>
        <w:rPr>
          <w:rFonts w:ascii="Courier New" w:cs="Courier New" w:eastAsia="Courier New" w:hAnsi="Courier New"/>
          <w:sz w:val="11"/>
          <w:szCs w:val="11"/>
          <w:color w:val="auto"/>
        </w:rPr>
      </w:pPr>
    </w:p>
    <w:p>
      <w:pPr>
        <w:ind w:left="1420" w:right="4539"/>
        <w:spacing w:after="0" w:line="241"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addition, during 2000 and 2001, the Audit Committee, the Board of Directors of the Company and the general meeting of the Company's shareholders approved the grant to a director of the Company options to purchase up to 50,000 and 21,500 Ordinary Shares, respectively, of the Company at an exercise price of $20.00 and $10.75, respectively, per share, the market price of the Company's shares on the dates of grant. The options may be exercised for a period of three years from the date on which they have become vested. As of December 31, 2005, 16,666 and 14,334 options, respectively, were expired.</w:t>
      </w:r>
    </w:p>
    <w:p>
      <w:pPr>
        <w:spacing w:after="0" w:line="280"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- 34</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 (cont.)</w:t>
      </w:r>
    </w:p>
    <w:p>
      <w:pPr>
        <w:spacing w:after="0" w:line="139" w:lineRule="exact"/>
        <w:rPr>
          <w:sz w:val="20"/>
          <w:szCs w:val="20"/>
          <w:color w:val="auto"/>
        </w:rPr>
      </w:pPr>
    </w:p>
    <w:p>
      <w:pPr>
        <w:ind w:left="700" w:hanging="350"/>
        <w:spacing w:after="0"/>
        <w:tabs>
          <w:tab w:leader="none" w:pos="700"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41" w:lineRule="exact"/>
        <w:rPr>
          <w:rFonts w:ascii="Courier New" w:cs="Courier New" w:eastAsia="Courier New" w:hAnsi="Courier New"/>
          <w:sz w:val="12"/>
          <w:szCs w:val="12"/>
          <w:color w:val="auto"/>
        </w:rPr>
      </w:pPr>
    </w:p>
    <w:p>
      <w:pPr>
        <w:ind w:left="1060" w:right="4899" w:hanging="353"/>
        <w:spacing w:after="0" w:line="238" w:lineRule="auto"/>
        <w:tabs>
          <w:tab w:leader="none" w:pos="1060" w:val="left"/>
        </w:tabs>
        <w:numPr>
          <w:ilvl w:val="1"/>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CHIEF EXECUTIVE OFFICER AND DIRECTOR SHARE OPTIONS (cont.)</w:t>
      </w:r>
    </w:p>
    <w:p>
      <w:pPr>
        <w:spacing w:after="0" w:line="142" w:lineRule="exact"/>
        <w:rPr>
          <w:rFonts w:ascii="Courier New" w:cs="Courier New" w:eastAsia="Courier New" w:hAnsi="Courier New"/>
          <w:sz w:val="12"/>
          <w:szCs w:val="12"/>
          <w:color w:val="auto"/>
        </w:rPr>
      </w:pPr>
    </w:p>
    <w:p>
      <w:pPr>
        <w:ind w:left="1420" w:right="4539" w:hanging="356"/>
        <w:spacing w:after="0" w:line="265" w:lineRule="auto"/>
        <w:tabs>
          <w:tab w:leader="none" w:pos="1420" w:val="left"/>
        </w:tabs>
        <w:numPr>
          <w:ilvl w:val="2"/>
          <w:numId w:val="1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EXPIRATION OF OPTIONS GRANTED TO THE COMPANY'S FORMER CHAIRMAN OF THE BOARD OF DIRECTORS AND CHIEF EXECUTIVE OFFICER - In March 2003, the Board of Directors of the Company approved a share option plan, which was approved by the Company's shareholders in May 2003, pursuant to which the Company's former Chairman of the Board of Directors and CEO was granted options to purchase up to 1,043,000 Ordinary Shares of the Company at an exercise price of $2.983, an exercise price which is higher than the Company's share price at the date of the approval by the Board of Directors, and is equivalent to the average closing trading price for the Company's Ordinary Shares during the 30 consecutive</w:t>
      </w:r>
    </w:p>
    <w:p>
      <w:pPr>
        <w:sectPr>
          <w:pgSz w:w="11900" w:h="16914" w:orient="portrait"/>
          <w:cols w:equalWidth="0" w:num="1">
            <w:col w:w="10239"/>
          </w:cols>
          <w:pgMar w:left="220" w:top="138" w:right="1440" w:bottom="0" w:gutter="0" w:footer="0" w:header="0"/>
        </w:sectPr>
      </w:pPr>
    </w:p>
    <w:bookmarkStart w:id="70" w:name="page71"/>
    <w:bookmarkEnd w:id="70"/>
    <w:p>
      <w:pPr>
        <w:spacing w:after="0" w:line="67"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trading days preceding the date of board approval of an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amendment to the Fab 2 investment agreements. Options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granted under the plan vest over a five-year period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according to various vesting schedules. Due to the</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resignation of the Company's former Chairman of the Board of</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Directors and Chief Executive Officer in May 2005, 625,800</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options granted to him were fully forfeited and 417,200</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2"/>
          <w:szCs w:val="12"/>
          <w:color w:val="auto"/>
        </w:rPr>
        <w:t>options were exercisable until May 2006.</w:t>
      </w:r>
    </w:p>
    <w:p>
      <w:pPr>
        <w:spacing w:after="0" w:line="141" w:lineRule="exact"/>
        <w:rPr>
          <w:sz w:val="20"/>
          <w:szCs w:val="20"/>
          <w:color w:val="auto"/>
        </w:rPr>
      </w:pPr>
    </w:p>
    <w:p>
      <w:pPr>
        <w:ind w:left="1420" w:right="4539" w:hanging="356"/>
        <w:spacing w:after="0" w:line="241" w:lineRule="auto"/>
        <w:tabs>
          <w:tab w:leader="none" w:pos="1420" w:val="left"/>
        </w:tabs>
        <w:numPr>
          <w:ilvl w:val="0"/>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GRANTED TO FORMER CO-CEOS IN OCTOBER 1998 AND MAY 2001 - In October 1998 and May 2001, the Board of Directors of the Company approved share option plans pursuant to which each of the Company's two former Co-Chief Executive Officers was granted options to purchase up to 300,000 and 100,000 Ordinary Shares of the Company, respectively, at an exercise price of $7.00 and $11.81, respectively, the market price of the Company's shares on the dates of grant. In the framework of the retirement of the former Co-Chief Executive Officers in May 2003, based on their retirement provisions as stipulated in the agreements, the 300,000 options are available for exercise through April 2007. As of December 31, 2005, there were 705,000 options exercisable by the former Co-Chief Executive Officers.</w:t>
      </w:r>
    </w:p>
    <w:p>
      <w:pPr>
        <w:spacing w:after="0" w:line="147" w:lineRule="exact"/>
        <w:rPr>
          <w:rFonts w:ascii="Courier New" w:cs="Courier New" w:eastAsia="Courier New" w:hAnsi="Courier New"/>
          <w:sz w:val="12"/>
          <w:szCs w:val="12"/>
          <w:color w:val="auto"/>
        </w:rPr>
      </w:pPr>
    </w:p>
    <w:p>
      <w:pPr>
        <w:ind w:left="1420" w:right="4539" w:hanging="356"/>
        <w:spacing w:after="0" w:line="242" w:lineRule="auto"/>
        <w:tabs>
          <w:tab w:leader="none" w:pos="1420" w:val="left"/>
        </w:tabs>
        <w:numPr>
          <w:ilvl w:val="0"/>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AVAILABLE FOR GRANT - Under a provision approved in September 2000, as amended in December 2003, by the Company's Board of Directors, on January 1 of each year commencing 2001 and ending 2003 and on each year commencing November 1, 2003 and November 1, 2004, the total number of options available for grant under all the Company's employee share option plans is to be increased by an amount equal to a certain percentage of the outstanding Ordinary Shares of the Company on each such dates,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The percentage of the outstanding Ordinary Shares of the Company added for the years 2001, 2002 and 2003 was 4%, and for the years 2004 and 2005 - 3.6%. As of December 31, 2005, an aggregate of 1,973,025 options had not yet been granted, and are accordingly available for grant under the general terms described in paragraph (a) above.</w:t>
      </w:r>
    </w:p>
    <w:p>
      <w:pPr>
        <w:spacing w:after="0" w:line="275"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- 35</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 (cont.)</w:t>
      </w:r>
    </w:p>
    <w:p>
      <w:pPr>
        <w:spacing w:after="0" w:line="139" w:lineRule="exact"/>
        <w:rPr>
          <w:sz w:val="20"/>
          <w:szCs w:val="20"/>
          <w:color w:val="auto"/>
        </w:rPr>
      </w:pPr>
    </w:p>
    <w:p>
      <w:pPr>
        <w:ind w:left="700" w:hanging="350"/>
        <w:spacing w:after="0"/>
        <w:tabs>
          <w:tab w:leader="none" w:pos="700" w:val="left"/>
        </w:tabs>
        <w:numPr>
          <w:ilvl w:val="0"/>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41" w:lineRule="exact"/>
        <w:rPr>
          <w:rFonts w:ascii="Courier New" w:cs="Courier New" w:eastAsia="Courier New" w:hAnsi="Courier New"/>
          <w:sz w:val="12"/>
          <w:szCs w:val="12"/>
          <w:color w:val="auto"/>
        </w:rPr>
      </w:pPr>
    </w:p>
    <w:p>
      <w:pPr>
        <w:ind w:left="1060" w:right="4599" w:hanging="353"/>
        <w:spacing w:after="0" w:line="238" w:lineRule="auto"/>
        <w:tabs>
          <w:tab w:leader="none" w:pos="1060" w:val="left"/>
        </w:tabs>
        <w:numPr>
          <w:ilvl w:val="1"/>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THE STATUS OF ALL THE COMPANY'S EMPLOYEE AND DIRECTOR SHARE OPTIONS</w:t>
      </w:r>
    </w:p>
    <w:p>
      <w:pPr>
        <w:spacing w:after="0" w:line="142" w:lineRule="exact"/>
        <w:rPr>
          <w:rFonts w:ascii="Courier New" w:cs="Courier New" w:eastAsia="Courier New" w:hAnsi="Courier New"/>
          <w:sz w:val="12"/>
          <w:szCs w:val="12"/>
          <w:color w:val="auto"/>
        </w:rPr>
      </w:pPr>
    </w:p>
    <w:p>
      <w:pPr>
        <w:ind w:left="106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 summary of the status of all the Company's employee and director share option plans as of December 31, 2005, 2004 and 2003, as well as changes during each of the years then ended, is presented below (for options granted to the Banks, a related party and a consultant, see paragraph B(5)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13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2005</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2004</w:t>
            </w:r>
          </w:p>
        </w:tc>
        <w:tc>
          <w:tcPr>
            <w:tcW w:w="780" w:type="dxa"/>
            <w:vAlign w:val="bottom"/>
          </w:tcPr>
          <w:p>
            <w:pPr>
              <w:spacing w:after="0"/>
              <w:rPr>
                <w:sz w:val="11"/>
                <w:szCs w:val="11"/>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2003</w:t>
            </w:r>
          </w:p>
        </w:tc>
        <w:tc>
          <w:tcPr>
            <w:tcW w:w="680" w:type="dxa"/>
            <w:vAlign w:val="bottom"/>
          </w:tcPr>
          <w:p>
            <w:pPr>
              <w:spacing w:after="0"/>
              <w:rPr>
                <w:sz w:val="11"/>
                <w:szCs w:val="11"/>
                <w:color w:val="auto"/>
              </w:rPr>
            </w:pPr>
          </w:p>
        </w:tc>
      </w:tr>
      <w:tr>
        <w:trPr>
          <w:trHeight w:val="137"/>
        </w:trPr>
        <w:tc>
          <w:tcPr>
            <w:tcW w:w="1680" w:type="dxa"/>
            <w:vAlign w:val="bottom"/>
          </w:tcPr>
          <w:p>
            <w:pPr>
              <w:spacing w:after="0"/>
              <w:rPr>
                <w:sz w:val="11"/>
                <w:szCs w:val="11"/>
                <w:color w:val="auto"/>
              </w:rPr>
            </w:pPr>
          </w:p>
        </w:tc>
        <w:tc>
          <w:tcPr>
            <w:tcW w:w="2300" w:type="dxa"/>
            <w:vAlign w:val="bottom"/>
            <w:gridSpan w:val="3"/>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0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Weighted</w:t>
            </w:r>
          </w:p>
        </w:tc>
        <w:tc>
          <w:tcPr>
            <w:tcW w:w="13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Courier New" w:cs="Courier New" w:eastAsia="Courier New" w:hAnsi="Courier New"/>
                <w:sz w:val="12"/>
                <w:szCs w:val="12"/>
                <w:color w:val="auto"/>
              </w:rPr>
              <w:t>Weighted</w:t>
            </w:r>
          </w:p>
        </w:tc>
        <w:tc>
          <w:tcPr>
            <w:tcW w:w="11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2"/>
                <w:szCs w:val="12"/>
                <w:color w:val="auto"/>
              </w:rPr>
              <w:t>eighted</w:t>
            </w:r>
          </w:p>
        </w:tc>
      </w:tr>
      <w:tr>
        <w:trPr>
          <w:trHeight w:val="137"/>
        </w:trPr>
        <w:tc>
          <w:tcPr>
            <w:tcW w:w="1680" w:type="dxa"/>
            <w:vAlign w:val="bottom"/>
          </w:tcPr>
          <w:p>
            <w:pPr>
              <w:spacing w:after="0"/>
              <w:rPr>
                <w:sz w:val="11"/>
                <w:szCs w:val="11"/>
                <w:color w:val="auto"/>
              </w:rPr>
            </w:pPr>
          </w:p>
        </w:tc>
        <w:tc>
          <w:tcPr>
            <w:tcW w:w="1380" w:type="dxa"/>
            <w:vAlign w:val="bottom"/>
          </w:tcPr>
          <w:p>
            <w:pPr>
              <w:jc w:val="center"/>
              <w:ind w:right="201"/>
              <w:spacing w:after="0"/>
              <w:rPr>
                <w:sz w:val="20"/>
                <w:szCs w:val="20"/>
                <w:color w:val="auto"/>
              </w:rPr>
            </w:pPr>
            <w:r>
              <w:rPr>
                <w:rFonts w:ascii="Courier New" w:cs="Courier New" w:eastAsia="Courier New" w:hAnsi="Courier New"/>
                <w:sz w:val="12"/>
                <w:szCs w:val="12"/>
                <w:color w:val="auto"/>
                <w:w w:val="98"/>
              </w:rPr>
              <w:t>Number of</w:t>
            </w:r>
          </w:p>
        </w:tc>
        <w:tc>
          <w:tcPr>
            <w:tcW w:w="8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average</w:t>
            </w:r>
          </w:p>
        </w:tc>
        <w:tc>
          <w:tcPr>
            <w:tcW w:w="13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Number</w:t>
            </w:r>
          </w:p>
        </w:tc>
        <w:tc>
          <w:tcPr>
            <w:tcW w:w="780" w:type="dxa"/>
            <w:vAlign w:val="bottom"/>
          </w:tcPr>
          <w:p>
            <w:pPr>
              <w:ind w:left="60"/>
              <w:spacing w:after="0"/>
              <w:rPr>
                <w:sz w:val="20"/>
                <w:szCs w:val="20"/>
                <w:color w:val="auto"/>
              </w:rPr>
            </w:pPr>
            <w:r>
              <w:rPr>
                <w:rFonts w:ascii="Courier New" w:cs="Courier New" w:eastAsia="Courier New" w:hAnsi="Courier New"/>
                <w:sz w:val="12"/>
                <w:szCs w:val="12"/>
                <w:color w:val="auto"/>
              </w:rPr>
              <w:t>average</w:t>
            </w:r>
          </w:p>
        </w:tc>
        <w:tc>
          <w:tcPr>
            <w:tcW w:w="118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Number</w:t>
            </w:r>
          </w:p>
        </w:tc>
        <w:tc>
          <w:tcPr>
            <w:tcW w:w="680" w:type="dxa"/>
            <w:vAlign w:val="bottom"/>
          </w:tcPr>
          <w:p>
            <w:pPr>
              <w:ind w:left="100"/>
              <w:spacing w:after="0"/>
              <w:rPr>
                <w:sz w:val="20"/>
                <w:szCs w:val="20"/>
                <w:color w:val="auto"/>
              </w:rPr>
            </w:pPr>
            <w:r>
              <w:rPr>
                <w:rFonts w:ascii="Courier New" w:cs="Courier New" w:eastAsia="Courier New" w:hAnsi="Courier New"/>
                <w:sz w:val="12"/>
                <w:szCs w:val="12"/>
                <w:color w:val="auto"/>
              </w:rPr>
              <w:t>average</w:t>
            </w:r>
          </w:p>
        </w:tc>
      </w:tr>
      <w:tr>
        <w:trPr>
          <w:trHeight w:val="137"/>
        </w:trPr>
        <w:tc>
          <w:tcPr>
            <w:tcW w:w="1680" w:type="dxa"/>
            <w:vAlign w:val="bottom"/>
          </w:tcPr>
          <w:p>
            <w:pPr>
              <w:spacing w:after="0"/>
              <w:rPr>
                <w:sz w:val="11"/>
                <w:szCs w:val="11"/>
                <w:color w:val="auto"/>
              </w:rPr>
            </w:pPr>
          </w:p>
        </w:tc>
        <w:tc>
          <w:tcPr>
            <w:tcW w:w="1380" w:type="dxa"/>
            <w:vAlign w:val="bottom"/>
          </w:tcPr>
          <w:p>
            <w:pPr>
              <w:jc w:val="center"/>
              <w:ind w:right="201"/>
              <w:spacing w:after="0"/>
              <w:rPr>
                <w:sz w:val="20"/>
                <w:szCs w:val="20"/>
                <w:color w:val="auto"/>
              </w:rPr>
            </w:pPr>
            <w:r>
              <w:rPr>
                <w:rFonts w:ascii="Courier New" w:cs="Courier New" w:eastAsia="Courier New" w:hAnsi="Courier New"/>
                <w:sz w:val="12"/>
                <w:szCs w:val="12"/>
                <w:color w:val="auto"/>
                <w:w w:val="99"/>
              </w:rPr>
              <w:t>share</w:t>
            </w:r>
          </w:p>
        </w:tc>
        <w:tc>
          <w:tcPr>
            <w:tcW w:w="8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exercise</w:t>
            </w:r>
          </w:p>
        </w:tc>
        <w:tc>
          <w:tcPr>
            <w:tcW w:w="13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of share</w:t>
            </w:r>
          </w:p>
        </w:tc>
        <w:tc>
          <w:tcPr>
            <w:tcW w:w="780" w:type="dxa"/>
            <w:vAlign w:val="bottom"/>
          </w:tcPr>
          <w:p>
            <w:pPr>
              <w:ind w:left="60"/>
              <w:spacing w:after="0"/>
              <w:rPr>
                <w:sz w:val="20"/>
                <w:szCs w:val="20"/>
                <w:color w:val="auto"/>
              </w:rPr>
            </w:pPr>
            <w:r>
              <w:rPr>
                <w:rFonts w:ascii="Courier New" w:cs="Courier New" w:eastAsia="Courier New" w:hAnsi="Courier New"/>
                <w:sz w:val="12"/>
                <w:szCs w:val="12"/>
                <w:color w:val="auto"/>
              </w:rPr>
              <w:t>exercise</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of share</w:t>
            </w:r>
          </w:p>
        </w:tc>
        <w:tc>
          <w:tcPr>
            <w:tcW w:w="680" w:type="dxa"/>
            <w:vAlign w:val="bottom"/>
          </w:tcPr>
          <w:p>
            <w:pPr>
              <w:ind w:left="100"/>
              <w:spacing w:after="0"/>
              <w:rPr>
                <w:sz w:val="20"/>
                <w:szCs w:val="20"/>
                <w:color w:val="auto"/>
              </w:rPr>
            </w:pPr>
            <w:r>
              <w:rPr>
                <w:rFonts w:ascii="Courier New" w:cs="Courier New" w:eastAsia="Courier New" w:hAnsi="Courier New"/>
                <w:sz w:val="12"/>
                <w:szCs w:val="12"/>
                <w:color w:val="auto"/>
                <w:w w:val="97"/>
              </w:rPr>
              <w:t>exercise</w:t>
            </w:r>
          </w:p>
        </w:tc>
      </w:tr>
      <w:tr>
        <w:trPr>
          <w:trHeight w:val="137"/>
        </w:trPr>
        <w:tc>
          <w:tcPr>
            <w:tcW w:w="1680" w:type="dxa"/>
            <w:vAlign w:val="bottom"/>
          </w:tcPr>
          <w:p>
            <w:pPr>
              <w:spacing w:after="0"/>
              <w:rPr>
                <w:sz w:val="11"/>
                <w:szCs w:val="11"/>
                <w:color w:val="auto"/>
              </w:rPr>
            </w:pPr>
          </w:p>
        </w:tc>
        <w:tc>
          <w:tcPr>
            <w:tcW w:w="1380" w:type="dxa"/>
            <w:vAlign w:val="bottom"/>
          </w:tcPr>
          <w:p>
            <w:pPr>
              <w:jc w:val="center"/>
              <w:ind w:right="181"/>
              <w:spacing w:after="0"/>
              <w:rPr>
                <w:sz w:val="20"/>
                <w:szCs w:val="20"/>
                <w:color w:val="auto"/>
              </w:rPr>
            </w:pPr>
            <w:r>
              <w:rPr>
                <w:rFonts w:ascii="Courier New" w:cs="Courier New" w:eastAsia="Courier New" w:hAnsi="Courier New"/>
                <w:sz w:val="12"/>
                <w:szCs w:val="12"/>
                <w:color w:val="auto"/>
                <w:w w:val="99"/>
              </w:rPr>
              <w:t>options</w:t>
            </w:r>
          </w:p>
        </w:tc>
        <w:tc>
          <w:tcPr>
            <w:tcW w:w="80" w:type="dxa"/>
            <w:vAlign w:val="bottom"/>
          </w:tcPr>
          <w:p>
            <w:pPr>
              <w:spacing w:after="0"/>
              <w:rPr>
                <w:sz w:val="11"/>
                <w:szCs w:val="11"/>
                <w:color w:val="auto"/>
              </w:rPr>
            </w:pP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price</w:t>
            </w:r>
          </w:p>
        </w:tc>
        <w:tc>
          <w:tcPr>
            <w:tcW w:w="13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options</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price</w:t>
            </w:r>
          </w:p>
        </w:tc>
        <w:tc>
          <w:tcPr>
            <w:tcW w:w="11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options</w:t>
            </w:r>
          </w:p>
        </w:tc>
        <w:tc>
          <w:tcPr>
            <w:tcW w:w="6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price</w:t>
            </w:r>
          </w:p>
        </w:tc>
      </w:tr>
      <w:tr>
        <w:trPr>
          <w:trHeight w:val="137"/>
        </w:trPr>
        <w:tc>
          <w:tcPr>
            <w:tcW w:w="1680" w:type="dxa"/>
            <w:vAlign w:val="bottom"/>
          </w:tcPr>
          <w:p>
            <w:pPr>
              <w:spacing w:after="0"/>
              <w:rPr>
                <w:sz w:val="11"/>
                <w:szCs w:val="11"/>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w w:val="97"/>
              </w:rPr>
              <w:t>----------</w:t>
            </w: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Outstanding as of</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7"/>
        </w:trPr>
        <w:tc>
          <w:tcPr>
            <w:tcW w:w="1680" w:type="dxa"/>
            <w:vAlign w:val="bottom"/>
          </w:tcPr>
          <w:p>
            <w:pPr>
              <w:ind w:left="280"/>
              <w:spacing w:after="0"/>
              <w:rPr>
                <w:sz w:val="20"/>
                <w:szCs w:val="20"/>
                <w:color w:val="auto"/>
              </w:rPr>
            </w:pPr>
            <w:r>
              <w:rPr>
                <w:rFonts w:ascii="Courier New" w:cs="Courier New" w:eastAsia="Courier New" w:hAnsi="Courier New"/>
                <w:sz w:val="12"/>
                <w:szCs w:val="12"/>
                <w:color w:val="auto"/>
              </w:rPr>
              <w:t>beginning of year</w:t>
            </w: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10,212,920</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5.71</w:t>
            </w: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6,842,442</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$ 7.93</w:t>
            </w: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4,247,898</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$10.79</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Granted</w:t>
            </w: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5,000,224</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1.54</w:t>
            </w: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4,364,954</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2.69</w:t>
            </w: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3,118,742</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4.10</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Exercised</w:t>
            </w: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(95,250)</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7.00</w:t>
            </w: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spacing w:after="0"/>
              <w:rPr>
                <w:sz w:val="11"/>
                <w:szCs w:val="11"/>
                <w:color w:val="auto"/>
              </w:rPr>
            </w:pP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Terminated</w:t>
            </w:r>
          </w:p>
        </w:tc>
        <w:tc>
          <w:tcPr>
            <w:tcW w:w="13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(77,214)</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12.45</w:t>
            </w: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spacing w:after="0"/>
              <w:rPr>
                <w:sz w:val="11"/>
                <w:szCs w:val="11"/>
                <w:color w:val="auto"/>
              </w:rPr>
            </w:pP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Forfeited</w:t>
            </w:r>
          </w:p>
        </w:tc>
        <w:tc>
          <w:tcPr>
            <w:tcW w:w="13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(2,124,355)</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4.99</w:t>
            </w:r>
          </w:p>
        </w:tc>
        <w:tc>
          <w:tcPr>
            <w:tcW w:w="13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(899,226)</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7.89</w:t>
            </w:r>
          </w:p>
        </w:tc>
        <w:tc>
          <w:tcPr>
            <w:tcW w:w="11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(524,199)</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8.25</w:t>
            </w:r>
          </w:p>
        </w:tc>
      </w:tr>
      <w:tr>
        <w:trPr>
          <w:trHeight w:val="137"/>
        </w:trPr>
        <w:tc>
          <w:tcPr>
            <w:tcW w:w="1680" w:type="dxa"/>
            <w:vAlign w:val="bottom"/>
          </w:tcPr>
          <w:p>
            <w:pPr>
              <w:spacing w:after="0"/>
              <w:rPr>
                <w:sz w:val="11"/>
                <w:szCs w:val="11"/>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spacing w:after="0"/>
              <w:rPr>
                <w:sz w:val="11"/>
                <w:szCs w:val="11"/>
                <w:color w:val="auto"/>
              </w:rPr>
            </w:pP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Outstanding as of</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end of year</w:t>
            </w: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13,011,575</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4.19</w:t>
            </w: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10,212,920</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5.71</w:t>
            </w: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6,842,441</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7.93</w:t>
            </w:r>
          </w:p>
        </w:tc>
      </w:tr>
      <w:tr>
        <w:trPr>
          <w:trHeight w:val="137"/>
        </w:trPr>
        <w:tc>
          <w:tcPr>
            <w:tcW w:w="1680" w:type="dxa"/>
            <w:vAlign w:val="bottom"/>
          </w:tcPr>
          <w:p>
            <w:pPr>
              <w:spacing w:after="0"/>
              <w:rPr>
                <w:sz w:val="11"/>
                <w:szCs w:val="11"/>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spacing w:after="0"/>
              <w:rPr>
                <w:sz w:val="11"/>
                <w:szCs w:val="11"/>
                <w:color w:val="auto"/>
              </w:rPr>
            </w:pP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Options exercisable</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7"/>
        </w:trPr>
        <w:tc>
          <w:tcPr>
            <w:tcW w:w="1680" w:type="dxa"/>
            <w:vAlign w:val="bottom"/>
          </w:tcPr>
          <w:p>
            <w:pPr>
              <w:ind w:left="200"/>
              <w:spacing w:after="0"/>
              <w:rPr>
                <w:sz w:val="20"/>
                <w:szCs w:val="20"/>
                <w:color w:val="auto"/>
              </w:rPr>
            </w:pPr>
            <w:r>
              <w:rPr>
                <w:rFonts w:ascii="Courier New" w:cs="Courier New" w:eastAsia="Courier New" w:hAnsi="Courier New"/>
                <w:sz w:val="12"/>
                <w:szCs w:val="12"/>
                <w:color w:val="auto"/>
              </w:rPr>
              <w:t>as of end of year</w:t>
            </w: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4,602,447</w:t>
            </w:r>
          </w:p>
        </w:tc>
        <w:tc>
          <w:tcPr>
            <w:tcW w:w="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7.77</w:t>
            </w: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3,010,870</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10.78</w:t>
            </w: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2,008,674</w:t>
            </w:r>
          </w:p>
        </w:tc>
        <w:tc>
          <w:tcPr>
            <w:tcW w:w="6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11.60</w:t>
            </w:r>
          </w:p>
        </w:tc>
      </w:tr>
      <w:tr>
        <w:trPr>
          <w:trHeight w:val="137"/>
        </w:trPr>
        <w:tc>
          <w:tcPr>
            <w:tcW w:w="1680" w:type="dxa"/>
            <w:vAlign w:val="bottom"/>
          </w:tcPr>
          <w:p>
            <w:pPr>
              <w:spacing w:after="0"/>
              <w:rPr>
                <w:sz w:val="11"/>
                <w:szCs w:val="11"/>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spacing w:after="0"/>
              <w:rPr>
                <w:sz w:val="11"/>
                <w:szCs w:val="11"/>
                <w:color w:val="auto"/>
              </w:rPr>
            </w:pPr>
          </w:p>
        </w:tc>
      </w:tr>
      <w:tr>
        <w:trPr>
          <w:trHeight w:val="412"/>
        </w:trPr>
        <w:tc>
          <w:tcPr>
            <w:tcW w:w="16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rPr>
              <w:t>F - 36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 (cont.)</w:t>
      </w:r>
    </w:p>
    <w:p>
      <w:pPr>
        <w:spacing w:after="0" w:line="139" w:lineRule="exact"/>
        <w:rPr>
          <w:sz w:val="20"/>
          <w:szCs w:val="20"/>
          <w:color w:val="auto"/>
        </w:rPr>
      </w:pPr>
    </w:p>
    <w:p>
      <w:pPr>
        <w:ind w:left="700" w:hanging="350"/>
        <w:spacing w:after="0"/>
        <w:tabs>
          <w:tab w:leader="none" w:pos="700"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INFORMATION ABOUT EMPLOYEE SHARE OPTIONS OUTSTANDING</w:t>
      </w:r>
    </w:p>
    <w:p>
      <w:pPr>
        <w:spacing w:after="0" w:line="141" w:lineRule="exact"/>
        <w:rPr>
          <w:rFonts w:ascii="Courier New" w:cs="Courier New" w:eastAsia="Courier New" w:hAnsi="Courier New"/>
          <w:sz w:val="12"/>
          <w:szCs w:val="12"/>
          <w:color w:val="auto"/>
        </w:rPr>
      </w:pPr>
    </w:p>
    <w:p>
      <w:pPr>
        <w:ind w:left="1060" w:right="467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table summarizes information about employee share options outstanding as of December 31, 2005:</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36"/>
        </w:trPr>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50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Exercisable as of</w:t>
            </w:r>
          </w:p>
        </w:tc>
      </w:tr>
      <w:tr>
        <w:trPr>
          <w:trHeight w:val="137"/>
        </w:trPr>
        <w:tc>
          <w:tcPr>
            <w:tcW w:w="1060" w:type="dxa"/>
            <w:vAlign w:val="bottom"/>
          </w:tcPr>
          <w:p>
            <w:pPr>
              <w:spacing w:after="0"/>
              <w:rPr>
                <w:sz w:val="11"/>
                <w:szCs w:val="11"/>
                <w:color w:val="auto"/>
              </w:rPr>
            </w:pPr>
          </w:p>
        </w:tc>
        <w:tc>
          <w:tcPr>
            <w:tcW w:w="294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w w:val="98"/>
              </w:rPr>
              <w:t>Outstanding as of December 31, 2005</w:t>
            </w:r>
          </w:p>
        </w:tc>
        <w:tc>
          <w:tcPr>
            <w:tcW w:w="1340" w:type="dxa"/>
            <w:vAlign w:val="bottom"/>
          </w:tcPr>
          <w:p>
            <w:pPr>
              <w:spacing w:after="0"/>
              <w:rPr>
                <w:sz w:val="11"/>
                <w:szCs w:val="11"/>
                <w:color w:val="auto"/>
              </w:rPr>
            </w:pPr>
          </w:p>
        </w:tc>
        <w:tc>
          <w:tcPr>
            <w:tcW w:w="2500" w:type="dxa"/>
            <w:vAlign w:val="bottom"/>
            <w:gridSpan w:val="2"/>
          </w:tcPr>
          <w:p>
            <w:pPr>
              <w:jc w:val="right"/>
              <w:ind w:right="501"/>
              <w:spacing w:after="0"/>
              <w:rPr>
                <w:sz w:val="20"/>
                <w:szCs w:val="20"/>
                <w:color w:val="auto"/>
              </w:rPr>
            </w:pPr>
            <w:r>
              <w:rPr>
                <w:rFonts w:ascii="Courier New" w:cs="Courier New" w:eastAsia="Courier New" w:hAnsi="Courier New"/>
                <w:sz w:val="12"/>
                <w:szCs w:val="12"/>
                <w:color w:val="auto"/>
              </w:rPr>
              <w:t>December 31, 2005</w:t>
            </w:r>
          </w:p>
        </w:tc>
      </w:tr>
      <w:tr>
        <w:trPr>
          <w:trHeight w:val="137"/>
        </w:trPr>
        <w:tc>
          <w:tcPr>
            <w:tcW w:w="25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0"/>
              </w:rPr>
              <w:t>-----------------------------------------------------------------</w:t>
            </w:r>
          </w:p>
        </w:tc>
        <w:tc>
          <w:tcPr>
            <w:tcW w:w="1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5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7"/>
        </w:trPr>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2"/>
                <w:szCs w:val="12"/>
                <w:color w:val="auto"/>
                <w:w w:val="97"/>
              </w:rPr>
              <w:t>Weighted</w:t>
            </w:r>
          </w:p>
        </w:tc>
        <w:tc>
          <w:tcPr>
            <w:tcW w:w="1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7"/>
        </w:trPr>
        <w:tc>
          <w:tcPr>
            <w:tcW w:w="1060" w:type="dxa"/>
            <w:vAlign w:val="bottom"/>
          </w:tcPr>
          <w:p>
            <w:pPr>
              <w:jc w:val="center"/>
              <w:ind w:right="163"/>
              <w:spacing w:after="0"/>
              <w:rPr>
                <w:sz w:val="20"/>
                <w:szCs w:val="20"/>
                <w:color w:val="auto"/>
              </w:rPr>
            </w:pPr>
            <w:r>
              <w:rPr>
                <w:rFonts w:ascii="Courier New" w:cs="Courier New" w:eastAsia="Courier New" w:hAnsi="Courier New"/>
                <w:sz w:val="12"/>
                <w:szCs w:val="12"/>
                <w:color w:val="auto"/>
                <w:w w:val="97"/>
              </w:rPr>
              <w:t>Range of</w:t>
            </w:r>
          </w:p>
        </w:tc>
        <w:tc>
          <w:tcPr>
            <w:tcW w:w="1460" w:type="dxa"/>
            <w:vAlign w:val="bottom"/>
          </w:tcPr>
          <w:p>
            <w:pPr>
              <w:spacing w:after="0"/>
              <w:rPr>
                <w:sz w:val="11"/>
                <w:szCs w:val="11"/>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average</w:t>
            </w:r>
          </w:p>
        </w:tc>
        <w:tc>
          <w:tcPr>
            <w:tcW w:w="1340" w:type="dxa"/>
            <w:vAlign w:val="bottom"/>
          </w:tcPr>
          <w:p>
            <w:pPr>
              <w:ind w:left="200"/>
              <w:spacing w:after="0"/>
              <w:rPr>
                <w:sz w:val="20"/>
                <w:szCs w:val="20"/>
                <w:color w:val="auto"/>
              </w:rPr>
            </w:pPr>
            <w:r>
              <w:rPr>
                <w:rFonts w:ascii="Courier New" w:cs="Courier New" w:eastAsia="Courier New" w:hAnsi="Courier New"/>
                <w:sz w:val="12"/>
                <w:szCs w:val="12"/>
                <w:color w:val="auto"/>
              </w:rPr>
              <w:t>Weighted</w:t>
            </w:r>
          </w:p>
        </w:tc>
        <w:tc>
          <w:tcPr>
            <w:tcW w:w="1300" w:type="dxa"/>
            <w:vAlign w:val="bottom"/>
          </w:tcPr>
          <w:p>
            <w:pPr>
              <w:spacing w:after="0"/>
              <w:rPr>
                <w:sz w:val="11"/>
                <w:szCs w:val="11"/>
                <w:color w:val="auto"/>
              </w:rPr>
            </w:pP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Weighted</w:t>
            </w:r>
          </w:p>
        </w:tc>
      </w:tr>
      <w:tr>
        <w:trPr>
          <w:trHeight w:val="137"/>
        </w:trPr>
        <w:tc>
          <w:tcPr>
            <w:tcW w:w="1060" w:type="dxa"/>
            <w:vAlign w:val="bottom"/>
          </w:tcPr>
          <w:p>
            <w:pPr>
              <w:jc w:val="center"/>
              <w:ind w:right="163"/>
              <w:spacing w:after="0"/>
              <w:rPr>
                <w:sz w:val="20"/>
                <w:szCs w:val="20"/>
                <w:color w:val="auto"/>
              </w:rPr>
            </w:pPr>
            <w:r>
              <w:rPr>
                <w:rFonts w:ascii="Courier New" w:cs="Courier New" w:eastAsia="Courier New" w:hAnsi="Courier New"/>
                <w:sz w:val="12"/>
                <w:szCs w:val="12"/>
                <w:color w:val="auto"/>
                <w:w w:val="97"/>
              </w:rPr>
              <w:t>exercise</w:t>
            </w:r>
          </w:p>
        </w:tc>
        <w:tc>
          <w:tcPr>
            <w:tcW w:w="146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Number</w:t>
            </w:r>
          </w:p>
        </w:tc>
        <w:tc>
          <w:tcPr>
            <w:tcW w:w="148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remaining</w:t>
            </w:r>
          </w:p>
        </w:tc>
        <w:tc>
          <w:tcPr>
            <w:tcW w:w="1340" w:type="dxa"/>
            <w:vAlign w:val="bottom"/>
          </w:tcPr>
          <w:p>
            <w:pPr>
              <w:ind w:left="200"/>
              <w:spacing w:after="0"/>
              <w:rPr>
                <w:sz w:val="20"/>
                <w:szCs w:val="20"/>
                <w:color w:val="auto"/>
              </w:rPr>
            </w:pPr>
            <w:r>
              <w:rPr>
                <w:rFonts w:ascii="Courier New" w:cs="Courier New" w:eastAsia="Courier New" w:hAnsi="Courier New"/>
                <w:sz w:val="12"/>
                <w:szCs w:val="12"/>
                <w:color w:val="auto"/>
              </w:rPr>
              <w:t>average</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Number</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average</w:t>
            </w:r>
          </w:p>
        </w:tc>
      </w:tr>
      <w:tr>
        <w:trPr>
          <w:trHeight w:val="137"/>
        </w:trPr>
        <w:tc>
          <w:tcPr>
            <w:tcW w:w="1060" w:type="dxa"/>
            <w:vAlign w:val="bottom"/>
          </w:tcPr>
          <w:p>
            <w:pPr>
              <w:jc w:val="center"/>
              <w:ind w:right="143"/>
              <w:spacing w:after="0"/>
              <w:rPr>
                <w:sz w:val="20"/>
                <w:szCs w:val="20"/>
                <w:color w:val="auto"/>
              </w:rPr>
            </w:pPr>
            <w:r>
              <w:rPr>
                <w:rFonts w:ascii="Courier New" w:cs="Courier New" w:eastAsia="Courier New" w:hAnsi="Courier New"/>
                <w:sz w:val="12"/>
                <w:szCs w:val="12"/>
                <w:color w:val="auto"/>
                <w:w w:val="97"/>
              </w:rPr>
              <w:t>prices</w:t>
            </w:r>
          </w:p>
        </w:tc>
        <w:tc>
          <w:tcPr>
            <w:tcW w:w="14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outstanding</w:t>
            </w:r>
          </w:p>
        </w:tc>
        <w:tc>
          <w:tcPr>
            <w:tcW w:w="14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contractual life</w:t>
            </w:r>
          </w:p>
        </w:tc>
        <w:tc>
          <w:tcPr>
            <w:tcW w:w="13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exercise price</w:t>
            </w:r>
          </w:p>
        </w:tc>
        <w:tc>
          <w:tcPr>
            <w:tcW w:w="13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exercisable</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exercise price</w:t>
            </w:r>
          </w:p>
        </w:tc>
      </w:tr>
      <w:tr>
        <w:trPr>
          <w:trHeight w:val="137"/>
        </w:trPr>
        <w:tc>
          <w:tcPr>
            <w:tcW w:w="1060" w:type="dxa"/>
            <w:vAlign w:val="bottom"/>
          </w:tcPr>
          <w:p>
            <w:pPr>
              <w:jc w:val="center"/>
              <w:ind w:right="223"/>
              <w:spacing w:after="0"/>
              <w:rPr>
                <w:sz w:val="20"/>
                <w:szCs w:val="20"/>
                <w:color w:val="auto"/>
              </w:rPr>
            </w:pPr>
            <w:r>
              <w:rPr>
                <w:rFonts w:ascii="Courier New" w:cs="Courier New" w:eastAsia="Courier New" w:hAnsi="Courier New"/>
                <w:sz w:val="12"/>
                <w:szCs w:val="12"/>
                <w:color w:val="auto"/>
                <w:w w:val="98"/>
              </w:rPr>
              <w:t>-----------</w:t>
            </w:r>
          </w:p>
        </w:tc>
        <w:tc>
          <w:tcPr>
            <w:tcW w:w="146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34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7"/>
        </w:trPr>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2"/>
                <w:szCs w:val="12"/>
                <w:color w:val="auto"/>
                <w:w w:val="99"/>
              </w:rPr>
              <w:t>(in years)</w:t>
            </w:r>
          </w:p>
        </w:tc>
        <w:tc>
          <w:tcPr>
            <w:tcW w:w="1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7"/>
        </w:trPr>
        <w:tc>
          <w:tcPr>
            <w:tcW w:w="1060" w:type="dxa"/>
            <w:vAlign w:val="bottom"/>
          </w:tcPr>
          <w:p>
            <w:pPr>
              <w:jc w:val="center"/>
              <w:ind w:right="243"/>
              <w:spacing w:after="0"/>
              <w:rPr>
                <w:sz w:val="20"/>
                <w:szCs w:val="20"/>
                <w:color w:val="auto"/>
              </w:rPr>
            </w:pPr>
            <w:r>
              <w:rPr>
                <w:rFonts w:ascii="Courier New" w:cs="Courier New" w:eastAsia="Courier New" w:hAnsi="Courier New"/>
                <w:sz w:val="12"/>
                <w:szCs w:val="12"/>
                <w:color w:val="auto"/>
                <w:w w:val="98"/>
              </w:rPr>
              <w:t>1.00-1.99</w:t>
            </w:r>
          </w:p>
        </w:tc>
        <w:tc>
          <w:tcPr>
            <w:tcW w:w="146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4,860,017</w:t>
            </w:r>
          </w:p>
        </w:tc>
        <w:tc>
          <w:tcPr>
            <w:tcW w:w="1480" w:type="dxa"/>
            <w:vAlign w:val="bottom"/>
          </w:tcPr>
          <w:p>
            <w:pPr>
              <w:jc w:val="center"/>
              <w:spacing w:after="0"/>
              <w:rPr>
                <w:sz w:val="20"/>
                <w:szCs w:val="20"/>
                <w:color w:val="auto"/>
              </w:rPr>
            </w:pPr>
            <w:r>
              <w:rPr>
                <w:rFonts w:ascii="Courier New" w:cs="Courier New" w:eastAsia="Courier New" w:hAnsi="Courier New"/>
                <w:sz w:val="12"/>
                <w:szCs w:val="12"/>
                <w:color w:val="auto"/>
                <w:w w:val="97"/>
              </w:rPr>
              <w:t>9.29</w:t>
            </w:r>
          </w:p>
        </w:tc>
        <w:tc>
          <w:tcPr>
            <w:tcW w:w="134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1.54</w:t>
            </w:r>
          </w:p>
        </w:tc>
        <w:tc>
          <w:tcPr>
            <w:tcW w:w="13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0.00</w:t>
            </w:r>
          </w:p>
        </w:tc>
      </w:tr>
      <w:tr>
        <w:trPr>
          <w:trHeight w:val="137"/>
        </w:trPr>
        <w:tc>
          <w:tcPr>
            <w:tcW w:w="1060" w:type="dxa"/>
            <w:vAlign w:val="bottom"/>
          </w:tcPr>
          <w:p>
            <w:pPr>
              <w:jc w:val="center"/>
              <w:ind w:right="243"/>
              <w:spacing w:after="0"/>
              <w:rPr>
                <w:sz w:val="20"/>
                <w:szCs w:val="20"/>
                <w:color w:val="auto"/>
              </w:rPr>
            </w:pPr>
            <w:r>
              <w:rPr>
                <w:rFonts w:ascii="Courier New" w:cs="Courier New" w:eastAsia="Courier New" w:hAnsi="Courier New"/>
                <w:sz w:val="12"/>
                <w:szCs w:val="12"/>
                <w:color w:val="auto"/>
                <w:w w:val="98"/>
              </w:rPr>
              <w:t>2.00-2.99</w:t>
            </w:r>
          </w:p>
        </w:tc>
        <w:tc>
          <w:tcPr>
            <w:tcW w:w="146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2,723,059</w:t>
            </w:r>
          </w:p>
        </w:tc>
        <w:tc>
          <w:tcPr>
            <w:tcW w:w="1480" w:type="dxa"/>
            <w:vAlign w:val="bottom"/>
          </w:tcPr>
          <w:p>
            <w:pPr>
              <w:jc w:val="center"/>
              <w:spacing w:after="0"/>
              <w:rPr>
                <w:sz w:val="20"/>
                <w:szCs w:val="20"/>
                <w:color w:val="auto"/>
              </w:rPr>
            </w:pPr>
            <w:r>
              <w:rPr>
                <w:rFonts w:ascii="Courier New" w:cs="Courier New" w:eastAsia="Courier New" w:hAnsi="Courier New"/>
                <w:sz w:val="12"/>
                <w:szCs w:val="12"/>
                <w:color w:val="auto"/>
                <w:w w:val="97"/>
              </w:rPr>
              <w:t>7.64</w:t>
            </w:r>
          </w:p>
        </w:tc>
        <w:tc>
          <w:tcPr>
            <w:tcW w:w="134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2.33</w:t>
            </w:r>
          </w:p>
        </w:tc>
        <w:tc>
          <w:tcPr>
            <w:tcW w:w="13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991,621</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2.54</w:t>
            </w:r>
          </w:p>
        </w:tc>
      </w:tr>
      <w:tr>
        <w:trPr>
          <w:trHeight w:val="137"/>
        </w:trPr>
        <w:tc>
          <w:tcPr>
            <w:tcW w:w="1060" w:type="dxa"/>
            <w:vAlign w:val="bottom"/>
          </w:tcPr>
          <w:p>
            <w:pPr>
              <w:jc w:val="center"/>
              <w:ind w:right="243"/>
              <w:spacing w:after="0"/>
              <w:rPr>
                <w:sz w:val="20"/>
                <w:szCs w:val="20"/>
                <w:color w:val="auto"/>
              </w:rPr>
            </w:pPr>
            <w:r>
              <w:rPr>
                <w:rFonts w:ascii="Courier New" w:cs="Courier New" w:eastAsia="Courier New" w:hAnsi="Courier New"/>
                <w:sz w:val="12"/>
                <w:szCs w:val="12"/>
                <w:color w:val="auto"/>
                <w:w w:val="98"/>
              </w:rPr>
              <w:t>3.00-3.99</w:t>
            </w:r>
          </w:p>
        </w:tc>
        <w:tc>
          <w:tcPr>
            <w:tcW w:w="146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1,317,600</w:t>
            </w:r>
          </w:p>
        </w:tc>
        <w:tc>
          <w:tcPr>
            <w:tcW w:w="1480" w:type="dxa"/>
            <w:vAlign w:val="bottom"/>
          </w:tcPr>
          <w:p>
            <w:pPr>
              <w:jc w:val="center"/>
              <w:spacing w:after="0"/>
              <w:rPr>
                <w:sz w:val="20"/>
                <w:szCs w:val="20"/>
                <w:color w:val="auto"/>
              </w:rPr>
            </w:pPr>
            <w:r>
              <w:rPr>
                <w:rFonts w:ascii="Courier New" w:cs="Courier New" w:eastAsia="Courier New" w:hAnsi="Courier New"/>
                <w:sz w:val="12"/>
                <w:szCs w:val="12"/>
                <w:color w:val="auto"/>
                <w:w w:val="97"/>
              </w:rPr>
              <w:t>8.59</w:t>
            </w:r>
          </w:p>
        </w:tc>
        <w:tc>
          <w:tcPr>
            <w:tcW w:w="1340" w:type="dxa"/>
            <w:vAlign w:val="bottom"/>
          </w:tcPr>
          <w:p>
            <w:pPr>
              <w:jc w:val="right"/>
              <w:ind w:right="641"/>
              <w:spacing w:after="0"/>
              <w:rPr>
                <w:sz w:val="20"/>
                <w:szCs w:val="20"/>
                <w:color w:val="auto"/>
              </w:rPr>
            </w:pPr>
            <w:r>
              <w:rPr>
                <w:rFonts w:ascii="Courier New" w:cs="Courier New" w:eastAsia="Courier New" w:hAnsi="Courier New"/>
                <w:sz w:val="12"/>
                <w:szCs w:val="12"/>
                <w:color w:val="auto"/>
              </w:rPr>
              <w:t>3.26</w:t>
            </w:r>
          </w:p>
        </w:tc>
        <w:tc>
          <w:tcPr>
            <w:tcW w:w="13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344,220</w:t>
            </w:r>
          </w:p>
        </w:tc>
        <w:tc>
          <w:tcPr>
            <w:tcW w:w="12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3.26</w:t>
            </w:r>
          </w:p>
        </w:tc>
      </w:tr>
    </w:tbl>
    <w:p>
      <w:pPr>
        <w:sectPr>
          <w:pgSz w:w="11900" w:h="16906" w:orient="portrait"/>
          <w:cols w:equalWidth="0" w:num="1">
            <w:col w:w="10239"/>
          </w:cols>
          <w:pgMar w:left="220" w:top="138" w:right="1440" w:bottom="0" w:gutter="0" w:footer="0" w:header="0"/>
        </w:sectPr>
      </w:pPr>
    </w:p>
    <w:bookmarkStart w:id="71" w:name="page72"/>
    <w:bookmarkEnd w:id="71"/>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36"/>
        </w:trPr>
        <w:tc>
          <w:tcPr>
            <w:tcW w:w="1220" w:type="dxa"/>
            <w:vAlign w:val="bottom"/>
          </w:tcPr>
          <w:p>
            <w:pPr>
              <w:jc w:val="center"/>
              <w:ind w:right="241"/>
              <w:spacing w:after="0"/>
              <w:rPr>
                <w:sz w:val="20"/>
                <w:szCs w:val="20"/>
                <w:color w:val="auto"/>
              </w:rPr>
            </w:pPr>
            <w:r>
              <w:rPr>
                <w:rFonts w:ascii="Courier New" w:cs="Courier New" w:eastAsia="Courier New" w:hAnsi="Courier New"/>
                <w:sz w:val="12"/>
                <w:szCs w:val="12"/>
                <w:color w:val="auto"/>
                <w:w w:val="98"/>
              </w:rPr>
              <w:t>4.42-4.92</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1,051,350</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7.55</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4.43</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530,396</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4.43</w:t>
            </w:r>
          </w:p>
        </w:tc>
      </w:tr>
      <w:tr>
        <w:trPr>
          <w:trHeight w:val="137"/>
        </w:trPr>
        <w:tc>
          <w:tcPr>
            <w:tcW w:w="1220" w:type="dxa"/>
            <w:vAlign w:val="bottom"/>
          </w:tcPr>
          <w:p>
            <w:pPr>
              <w:jc w:val="center"/>
              <w:ind w:right="241"/>
              <w:spacing w:after="0"/>
              <w:rPr>
                <w:sz w:val="20"/>
                <w:szCs w:val="20"/>
                <w:color w:val="auto"/>
              </w:rPr>
            </w:pPr>
            <w:r>
              <w:rPr>
                <w:rFonts w:ascii="Courier New" w:cs="Courier New" w:eastAsia="Courier New" w:hAnsi="Courier New"/>
                <w:sz w:val="12"/>
                <w:szCs w:val="12"/>
                <w:color w:val="auto"/>
                <w:w w:val="98"/>
              </w:rPr>
              <w:t>5.00-5.96</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118,000</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7.11</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5.23</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72,412</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5.35</w:t>
            </w:r>
          </w:p>
        </w:tc>
      </w:tr>
      <w:tr>
        <w:trPr>
          <w:trHeight w:val="137"/>
        </w:trPr>
        <w:tc>
          <w:tcPr>
            <w:tcW w:w="1220" w:type="dxa"/>
            <w:vAlign w:val="bottom"/>
          </w:tcPr>
          <w:p>
            <w:pPr>
              <w:jc w:val="center"/>
              <w:ind w:right="241"/>
              <w:spacing w:after="0"/>
              <w:rPr>
                <w:sz w:val="20"/>
                <w:szCs w:val="20"/>
                <w:color w:val="auto"/>
              </w:rPr>
            </w:pPr>
            <w:r>
              <w:rPr>
                <w:rFonts w:ascii="Courier New" w:cs="Courier New" w:eastAsia="Courier New" w:hAnsi="Courier New"/>
                <w:sz w:val="12"/>
                <w:szCs w:val="12"/>
                <w:color w:val="auto"/>
                <w:w w:val="98"/>
              </w:rPr>
              <w:t>6.00-6.99</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714,889</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6.50</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6.13</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437,138</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6.09</w:t>
            </w:r>
          </w:p>
        </w:tc>
      </w:tr>
      <w:tr>
        <w:trPr>
          <w:trHeight w:val="137"/>
        </w:trPr>
        <w:tc>
          <w:tcPr>
            <w:tcW w:w="1220" w:type="dxa"/>
            <w:vAlign w:val="bottom"/>
          </w:tcPr>
          <w:p>
            <w:pPr>
              <w:jc w:val="center"/>
              <w:ind w:right="241"/>
              <w:spacing w:after="0"/>
              <w:rPr>
                <w:sz w:val="20"/>
                <w:szCs w:val="20"/>
                <w:color w:val="auto"/>
              </w:rPr>
            </w:pPr>
            <w:r>
              <w:rPr>
                <w:rFonts w:ascii="Courier New" w:cs="Courier New" w:eastAsia="Courier New" w:hAnsi="Courier New"/>
                <w:sz w:val="12"/>
                <w:szCs w:val="12"/>
                <w:color w:val="auto"/>
                <w:w w:val="98"/>
              </w:rPr>
              <w:t>7.00-7.99</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579,750</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1.17</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7.01</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579,750</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7.01</w:t>
            </w:r>
          </w:p>
        </w:tc>
      </w:tr>
      <w:tr>
        <w:trPr>
          <w:trHeight w:val="137"/>
        </w:trPr>
        <w:tc>
          <w:tcPr>
            <w:tcW w:w="1220" w:type="dxa"/>
            <w:vAlign w:val="bottom"/>
          </w:tcPr>
          <w:p>
            <w:pPr>
              <w:jc w:val="center"/>
              <w:ind w:right="241"/>
              <w:spacing w:after="0"/>
              <w:rPr>
                <w:sz w:val="20"/>
                <w:szCs w:val="20"/>
                <w:color w:val="auto"/>
              </w:rPr>
            </w:pPr>
            <w:r>
              <w:rPr>
                <w:rFonts w:ascii="Courier New" w:cs="Courier New" w:eastAsia="Courier New" w:hAnsi="Courier New"/>
                <w:sz w:val="12"/>
                <w:szCs w:val="12"/>
                <w:color w:val="auto"/>
                <w:w w:val="98"/>
              </w:rPr>
              <w:t>8.00-8.99</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344,887</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2.36</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8.51</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344,887</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8.51</w:t>
            </w:r>
          </w:p>
        </w:tc>
      </w:tr>
      <w:tr>
        <w:trPr>
          <w:trHeight w:val="137"/>
        </w:trPr>
        <w:tc>
          <w:tcPr>
            <w:tcW w:w="1220" w:type="dxa"/>
            <w:vAlign w:val="bottom"/>
          </w:tcPr>
          <w:p>
            <w:pPr>
              <w:jc w:val="center"/>
              <w:ind w:right="221"/>
              <w:spacing w:after="0"/>
              <w:rPr>
                <w:sz w:val="20"/>
                <w:szCs w:val="20"/>
                <w:color w:val="auto"/>
              </w:rPr>
            </w:pPr>
            <w:r>
              <w:rPr>
                <w:rFonts w:ascii="Courier New" w:cs="Courier New" w:eastAsia="Courier New" w:hAnsi="Courier New"/>
                <w:sz w:val="12"/>
                <w:szCs w:val="12"/>
                <w:color w:val="auto"/>
                <w:w w:val="98"/>
              </w:rPr>
              <w:t>9.063-9.812</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8,250</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1.09</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9.37</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8,250</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9.37</w:t>
            </w:r>
          </w:p>
        </w:tc>
      </w:tr>
      <w:tr>
        <w:trPr>
          <w:trHeight w:val="137"/>
        </w:trPr>
        <w:tc>
          <w:tcPr>
            <w:tcW w:w="1220" w:type="dxa"/>
            <w:vAlign w:val="bottom"/>
          </w:tcPr>
          <w:p>
            <w:pPr>
              <w:jc w:val="center"/>
              <w:ind w:right="221"/>
              <w:spacing w:after="0"/>
              <w:rPr>
                <w:sz w:val="20"/>
                <w:szCs w:val="20"/>
                <w:color w:val="auto"/>
              </w:rPr>
            </w:pPr>
            <w:r>
              <w:rPr>
                <w:rFonts w:ascii="Courier New" w:cs="Courier New" w:eastAsia="Courier New" w:hAnsi="Courier New"/>
                <w:sz w:val="12"/>
                <w:szCs w:val="12"/>
                <w:color w:val="auto"/>
                <w:w w:val="98"/>
              </w:rPr>
              <w:t>10.00-10.89</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612,109</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5.23</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10.41</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612,109</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10.41</w:t>
            </w:r>
          </w:p>
        </w:tc>
      </w:tr>
      <w:tr>
        <w:trPr>
          <w:trHeight w:val="137"/>
        </w:trPr>
        <w:tc>
          <w:tcPr>
            <w:tcW w:w="1220" w:type="dxa"/>
            <w:vAlign w:val="bottom"/>
          </w:tcPr>
          <w:p>
            <w:pPr>
              <w:jc w:val="center"/>
              <w:ind w:right="221"/>
              <w:spacing w:after="0"/>
              <w:rPr>
                <w:sz w:val="20"/>
                <w:szCs w:val="20"/>
                <w:color w:val="auto"/>
              </w:rPr>
            </w:pPr>
            <w:r>
              <w:rPr>
                <w:rFonts w:ascii="Courier New" w:cs="Courier New" w:eastAsia="Courier New" w:hAnsi="Courier New"/>
                <w:sz w:val="12"/>
                <w:szCs w:val="12"/>
                <w:color w:val="auto"/>
                <w:w w:val="98"/>
              </w:rPr>
              <w:t>11.81-11.81</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200,000</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5.41</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11.81</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200,000</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11.81</w:t>
            </w:r>
          </w:p>
        </w:tc>
      </w:tr>
      <w:tr>
        <w:trPr>
          <w:trHeight w:val="137"/>
        </w:trPr>
        <w:tc>
          <w:tcPr>
            <w:tcW w:w="1220" w:type="dxa"/>
            <w:vAlign w:val="bottom"/>
          </w:tcPr>
          <w:p>
            <w:pPr>
              <w:jc w:val="center"/>
              <w:ind w:right="221"/>
              <w:spacing w:after="0"/>
              <w:rPr>
                <w:sz w:val="20"/>
                <w:szCs w:val="20"/>
                <w:color w:val="auto"/>
              </w:rPr>
            </w:pPr>
            <w:r>
              <w:rPr>
                <w:rFonts w:ascii="Courier New" w:cs="Courier New" w:eastAsia="Courier New" w:hAnsi="Courier New"/>
                <w:sz w:val="12"/>
                <w:szCs w:val="12"/>
                <w:color w:val="auto"/>
                <w:w w:val="98"/>
              </w:rPr>
              <w:t>12.00-13.00</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38,350</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4.67</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12.40</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38,350</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12.40</w:t>
            </w:r>
          </w:p>
        </w:tc>
      </w:tr>
      <w:tr>
        <w:trPr>
          <w:trHeight w:val="137"/>
        </w:trPr>
        <w:tc>
          <w:tcPr>
            <w:tcW w:w="1220" w:type="dxa"/>
            <w:vAlign w:val="bottom"/>
          </w:tcPr>
          <w:p>
            <w:pPr>
              <w:jc w:val="center"/>
              <w:ind w:right="221"/>
              <w:spacing w:after="0"/>
              <w:rPr>
                <w:sz w:val="20"/>
                <w:szCs w:val="20"/>
                <w:color w:val="auto"/>
              </w:rPr>
            </w:pPr>
            <w:r>
              <w:rPr>
                <w:rFonts w:ascii="Courier New" w:cs="Courier New" w:eastAsia="Courier New" w:hAnsi="Courier New"/>
                <w:sz w:val="12"/>
                <w:szCs w:val="12"/>
                <w:color w:val="auto"/>
              </w:rPr>
              <w:t>14.25-17.1875</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18,500</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4.85</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16.16</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18,500</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16.16</w:t>
            </w:r>
          </w:p>
        </w:tc>
      </w:tr>
      <w:tr>
        <w:trPr>
          <w:trHeight w:val="137"/>
        </w:trPr>
        <w:tc>
          <w:tcPr>
            <w:tcW w:w="1220" w:type="dxa"/>
            <w:vAlign w:val="bottom"/>
          </w:tcPr>
          <w:p>
            <w:pPr>
              <w:jc w:val="center"/>
              <w:ind w:right="221"/>
              <w:spacing w:after="0"/>
              <w:rPr>
                <w:sz w:val="20"/>
                <w:szCs w:val="20"/>
                <w:color w:val="auto"/>
              </w:rPr>
            </w:pPr>
            <w:r>
              <w:rPr>
                <w:rFonts w:ascii="Courier New" w:cs="Courier New" w:eastAsia="Courier New" w:hAnsi="Courier New"/>
                <w:sz w:val="12"/>
                <w:szCs w:val="12"/>
                <w:color w:val="auto"/>
                <w:w w:val="98"/>
              </w:rPr>
              <w:t>18.75-18.75</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44,500</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4.26</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18.75</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44,500</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18.75</w:t>
            </w:r>
          </w:p>
        </w:tc>
      </w:tr>
      <w:tr>
        <w:trPr>
          <w:trHeight w:val="137"/>
        </w:trPr>
        <w:tc>
          <w:tcPr>
            <w:tcW w:w="1220" w:type="dxa"/>
            <w:vAlign w:val="bottom"/>
          </w:tcPr>
          <w:p>
            <w:pPr>
              <w:jc w:val="center"/>
              <w:ind w:right="221"/>
              <w:spacing w:after="0"/>
              <w:rPr>
                <w:sz w:val="20"/>
                <w:szCs w:val="20"/>
                <w:color w:val="auto"/>
              </w:rPr>
            </w:pPr>
            <w:r>
              <w:rPr>
                <w:rFonts w:ascii="Courier New" w:cs="Courier New" w:eastAsia="Courier New" w:hAnsi="Courier New"/>
                <w:sz w:val="12"/>
                <w:szCs w:val="12"/>
                <w:color w:val="auto"/>
                <w:w w:val="98"/>
              </w:rPr>
              <w:t>20.00-25.00</w:t>
            </w: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380,314</w:t>
            </w:r>
          </w:p>
        </w:tc>
        <w:tc>
          <w:tcPr>
            <w:tcW w:w="12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4.30</w:t>
            </w:r>
          </w:p>
        </w:tc>
        <w:tc>
          <w:tcPr>
            <w:tcW w:w="13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24.48</w:t>
            </w: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380,314</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24.48</w:t>
            </w:r>
          </w:p>
        </w:tc>
      </w:tr>
      <w:tr>
        <w:trPr>
          <w:trHeight w:val="137"/>
        </w:trPr>
        <w:tc>
          <w:tcPr>
            <w:tcW w:w="1220" w:type="dxa"/>
            <w:vAlign w:val="bottom"/>
          </w:tcPr>
          <w:p>
            <w:pPr>
              <w:spacing w:after="0"/>
              <w:rPr>
                <w:sz w:val="11"/>
                <w:szCs w:val="11"/>
                <w:color w:val="auto"/>
              </w:rPr>
            </w:pP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r>
        <w:trPr>
          <w:trHeight w:val="137"/>
        </w:trPr>
        <w:tc>
          <w:tcPr>
            <w:tcW w:w="1220" w:type="dxa"/>
            <w:vAlign w:val="bottom"/>
          </w:tcPr>
          <w:p>
            <w:pPr>
              <w:spacing w:after="0"/>
              <w:rPr>
                <w:sz w:val="11"/>
                <w:szCs w:val="11"/>
                <w:color w:val="auto"/>
              </w:rPr>
            </w:pP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13,011,575</w:t>
            </w:r>
          </w:p>
        </w:tc>
        <w:tc>
          <w:tcPr>
            <w:tcW w:w="1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4,602,447</w:t>
            </w:r>
          </w:p>
        </w:tc>
        <w:tc>
          <w:tcPr>
            <w:tcW w:w="820" w:type="dxa"/>
            <w:vAlign w:val="bottom"/>
          </w:tcPr>
          <w:p>
            <w:pPr>
              <w:spacing w:after="0"/>
              <w:rPr>
                <w:sz w:val="11"/>
                <w:szCs w:val="11"/>
                <w:color w:val="auto"/>
              </w:rPr>
            </w:pPr>
          </w:p>
        </w:tc>
      </w:tr>
      <w:tr>
        <w:trPr>
          <w:trHeight w:val="137"/>
        </w:trPr>
        <w:tc>
          <w:tcPr>
            <w:tcW w:w="1220" w:type="dxa"/>
            <w:vAlign w:val="bottom"/>
          </w:tcPr>
          <w:p>
            <w:pPr>
              <w:spacing w:after="0"/>
              <w:rPr>
                <w:sz w:val="11"/>
                <w:szCs w:val="11"/>
                <w:color w:val="auto"/>
              </w:rPr>
            </w:pPr>
          </w:p>
        </w:tc>
        <w:tc>
          <w:tcPr>
            <w:tcW w:w="15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spacing w:after="0"/>
              <w:rPr>
                <w:sz w:val="11"/>
                <w:szCs w:val="11"/>
                <w:color w:val="auto"/>
              </w:rPr>
            </w:pPr>
          </w:p>
        </w:tc>
      </w:tr>
    </w:tbl>
    <w:p>
      <w:pPr>
        <w:spacing w:after="0" w:line="141" w:lineRule="exact"/>
        <w:rPr>
          <w:sz w:val="20"/>
          <w:szCs w:val="20"/>
          <w:color w:val="auto"/>
        </w:rPr>
      </w:pPr>
    </w:p>
    <w:p>
      <w:pPr>
        <w:ind w:left="1060" w:right="4899" w:hanging="353"/>
        <w:spacing w:after="0" w:line="238" w:lineRule="auto"/>
        <w:tabs>
          <w:tab w:leader="none" w:pos="1060"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WEIGHTED AVERAGE GRANT-DATE FAIR VALUE OF OPTIONS GRANTED TO EMPLOYEES</w:t>
      </w:r>
    </w:p>
    <w:p>
      <w:pPr>
        <w:spacing w:after="0" w:line="142" w:lineRule="exact"/>
        <w:rPr>
          <w:rFonts w:ascii="Courier New" w:cs="Courier New" w:eastAsia="Courier New" w:hAnsi="Courier New"/>
          <w:sz w:val="12"/>
          <w:szCs w:val="12"/>
          <w:color w:val="auto"/>
        </w:rPr>
      </w:pPr>
    </w:p>
    <w:p>
      <w:pPr>
        <w:ind w:left="1060" w:right="453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weighted average grant-date fair value of the options granted during 2005, 2004 and 2003 to employees and directors amounted to $0.83, $1.53 and $2.18 per option, respectively. The Company utilized the Black-Scholes option-pricing model to estimate fair value, utilizing the following assumptions for the years 2005,</w:t>
      </w:r>
    </w:p>
    <w:p>
      <w:pPr>
        <w:ind w:left="106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2004 and 2003 (all in weighted averages):</w:t>
      </w:r>
    </w:p>
    <w:p>
      <w:pPr>
        <w:spacing w:after="0" w:line="139" w:lineRule="exact"/>
        <w:rPr>
          <w:sz w:val="20"/>
          <w:szCs w:val="20"/>
          <w:color w:val="auto"/>
        </w:rPr>
      </w:pPr>
    </w:p>
    <w:tbl>
      <w:tblPr>
        <w:tblLayout w:type="fixed"/>
        <w:tblInd w:w="1060" w:type="dxa"/>
        <w:tblCellMar>
          <w:top w:w="0" w:type="dxa"/>
          <w:left w:w="0" w:type="dxa"/>
          <w:bottom w:w="0" w:type="dxa"/>
          <w:right w:w="0" w:type="dxa"/>
        </w:tblCellMar>
      </w:tblPr>
      <w:tr>
        <w:trPr>
          <w:trHeight w:val="136"/>
        </w:trPr>
        <w:tc>
          <w:tcPr>
            <w:tcW w:w="2180" w:type="dxa"/>
            <w:vAlign w:val="bottom"/>
          </w:tcPr>
          <w:p>
            <w:pPr>
              <w:spacing w:after="0"/>
              <w:rPr>
                <w:sz w:val="11"/>
                <w:szCs w:val="11"/>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2005</w:t>
            </w:r>
          </w:p>
        </w:tc>
        <w:tc>
          <w:tcPr>
            <w:tcW w:w="11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2004</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2180" w:type="dxa"/>
            <w:vAlign w:val="bottom"/>
          </w:tcPr>
          <w:p>
            <w:pPr>
              <w:spacing w:after="0"/>
              <w:rPr>
                <w:sz w:val="11"/>
                <w:szCs w:val="11"/>
                <w:color w:val="auto"/>
              </w:rPr>
            </w:pPr>
          </w:p>
        </w:tc>
        <w:tc>
          <w:tcPr>
            <w:tcW w:w="11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180" w:type="dxa"/>
            <w:vAlign w:val="bottom"/>
          </w:tcPr>
          <w:p>
            <w:pPr>
              <w:spacing w:after="0"/>
              <w:rPr>
                <w:sz w:val="20"/>
                <w:szCs w:val="20"/>
                <w:color w:val="auto"/>
              </w:rPr>
            </w:pPr>
            <w:r>
              <w:rPr>
                <w:rFonts w:ascii="Courier New" w:cs="Courier New" w:eastAsia="Courier New" w:hAnsi="Courier New"/>
                <w:sz w:val="12"/>
                <w:szCs w:val="12"/>
                <w:color w:val="auto"/>
              </w:rPr>
              <w:t>Risk-free interest rate</w:t>
            </w:r>
          </w:p>
        </w:tc>
        <w:tc>
          <w:tcPr>
            <w:tcW w:w="11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3.69%-4.34%</w:t>
            </w:r>
          </w:p>
        </w:tc>
        <w:tc>
          <w:tcPr>
            <w:tcW w:w="11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2.84%-3.88%</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2.88%-3.22%</w:t>
            </w:r>
          </w:p>
        </w:tc>
      </w:tr>
      <w:tr>
        <w:trPr>
          <w:trHeight w:val="137"/>
        </w:trPr>
        <w:tc>
          <w:tcPr>
            <w:tcW w:w="2180" w:type="dxa"/>
            <w:vAlign w:val="bottom"/>
          </w:tcPr>
          <w:p>
            <w:pPr>
              <w:spacing w:after="0"/>
              <w:rPr>
                <w:sz w:val="20"/>
                <w:szCs w:val="20"/>
                <w:color w:val="auto"/>
              </w:rPr>
            </w:pPr>
            <w:r>
              <w:rPr>
                <w:rFonts w:ascii="Courier New" w:cs="Courier New" w:eastAsia="Courier New" w:hAnsi="Courier New"/>
                <w:sz w:val="12"/>
                <w:szCs w:val="12"/>
                <w:color w:val="auto"/>
              </w:rPr>
              <w:t>Expected life of options</w:t>
            </w:r>
          </w:p>
        </w:tc>
        <w:tc>
          <w:tcPr>
            <w:tcW w:w="11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4.49 years</w:t>
            </w:r>
          </w:p>
        </w:tc>
        <w:tc>
          <w:tcPr>
            <w:tcW w:w="11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4.5 years</w:t>
            </w:r>
          </w:p>
        </w:tc>
        <w:tc>
          <w:tcPr>
            <w:tcW w:w="9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4.75 years</w:t>
            </w:r>
          </w:p>
        </w:tc>
      </w:tr>
      <w:tr>
        <w:trPr>
          <w:trHeight w:val="137"/>
        </w:trPr>
        <w:tc>
          <w:tcPr>
            <w:tcW w:w="2180" w:type="dxa"/>
            <w:vAlign w:val="bottom"/>
          </w:tcPr>
          <w:p>
            <w:pPr>
              <w:spacing w:after="0"/>
              <w:rPr>
                <w:sz w:val="20"/>
                <w:szCs w:val="20"/>
                <w:color w:val="auto"/>
              </w:rPr>
            </w:pPr>
            <w:r>
              <w:rPr>
                <w:rFonts w:ascii="Courier New" w:cs="Courier New" w:eastAsia="Courier New" w:hAnsi="Courier New"/>
                <w:sz w:val="12"/>
                <w:szCs w:val="12"/>
                <w:color w:val="auto"/>
              </w:rPr>
              <w:t>Expected annual volatility</w:t>
            </w:r>
          </w:p>
        </w:tc>
        <w:tc>
          <w:tcPr>
            <w:tcW w:w="11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54%-69%</w:t>
            </w:r>
          </w:p>
        </w:tc>
        <w:tc>
          <w:tcPr>
            <w:tcW w:w="11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65%-82%</w:t>
            </w:r>
          </w:p>
        </w:tc>
        <w:tc>
          <w:tcPr>
            <w:tcW w:w="9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55%-74%</w:t>
            </w:r>
          </w:p>
        </w:tc>
      </w:tr>
      <w:tr>
        <w:trPr>
          <w:trHeight w:val="137"/>
        </w:trPr>
        <w:tc>
          <w:tcPr>
            <w:tcW w:w="2180" w:type="dxa"/>
            <w:vAlign w:val="bottom"/>
          </w:tcPr>
          <w:p>
            <w:pPr>
              <w:spacing w:after="0"/>
              <w:rPr>
                <w:sz w:val="20"/>
                <w:szCs w:val="20"/>
                <w:color w:val="auto"/>
              </w:rPr>
            </w:pPr>
            <w:r>
              <w:rPr>
                <w:rFonts w:ascii="Courier New" w:cs="Courier New" w:eastAsia="Courier New" w:hAnsi="Courier New"/>
                <w:sz w:val="12"/>
                <w:szCs w:val="12"/>
                <w:color w:val="auto"/>
              </w:rPr>
              <w:t>Expected dividend yield</w:t>
            </w:r>
          </w:p>
        </w:tc>
        <w:tc>
          <w:tcPr>
            <w:tcW w:w="114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None</w:t>
            </w:r>
          </w:p>
        </w:tc>
        <w:tc>
          <w:tcPr>
            <w:tcW w:w="110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None</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None</w:t>
            </w:r>
          </w:p>
        </w:tc>
      </w:tr>
      <w:tr>
        <w:trPr>
          <w:trHeight w:val="412"/>
        </w:trPr>
        <w:tc>
          <w:tcPr>
            <w:tcW w:w="2180" w:type="dxa"/>
            <w:vAlign w:val="bottom"/>
          </w:tcPr>
          <w:p>
            <w:pPr>
              <w:ind w:left="1580"/>
              <w:spacing w:after="0"/>
              <w:rPr>
                <w:sz w:val="20"/>
                <w:szCs w:val="20"/>
                <w:color w:val="auto"/>
              </w:rPr>
            </w:pPr>
            <w:r>
              <w:rPr>
                <w:rFonts w:ascii="Courier New" w:cs="Courier New" w:eastAsia="Courier New" w:hAnsi="Courier New"/>
                <w:sz w:val="12"/>
                <w:szCs w:val="12"/>
                <w:color w:val="auto"/>
              </w:rPr>
              <w:t>F - 37</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 (cont.)</w:t>
      </w:r>
    </w:p>
    <w:p>
      <w:pPr>
        <w:spacing w:after="0" w:line="139" w:lineRule="exact"/>
        <w:rPr>
          <w:sz w:val="20"/>
          <w:szCs w:val="20"/>
          <w:color w:val="auto"/>
        </w:rPr>
      </w:pPr>
    </w:p>
    <w:p>
      <w:pPr>
        <w:ind w:left="700" w:hanging="350"/>
        <w:spacing w:after="0"/>
        <w:tabs>
          <w:tab w:leader="none" w:pos="700"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w:t>
      </w:r>
    </w:p>
    <w:p>
      <w:pPr>
        <w:spacing w:after="0" w:line="141" w:lineRule="exact"/>
        <w:rPr>
          <w:rFonts w:ascii="Courier New" w:cs="Courier New" w:eastAsia="Courier New" w:hAnsi="Courier New"/>
          <w:sz w:val="12"/>
          <w:szCs w:val="12"/>
          <w:color w:val="auto"/>
        </w:rPr>
      </w:pPr>
    </w:p>
    <w:p>
      <w:pPr>
        <w:ind w:left="1420" w:right="4539" w:hanging="356"/>
        <w:spacing w:after="0" w:line="267" w:lineRule="auto"/>
        <w:tabs>
          <w:tab w:leader="none" w:pos="1420" w:val="left"/>
        </w:tabs>
        <w:numPr>
          <w:ilvl w:val="2"/>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BANKS - As of December 31, 2005, the Company had granted the Banks an aggregate of 9,561,060 warrants to purchase Ordinary Shares of the Company, at an average exercise price of $1.88 per share, at terms described below, of which 9,161,060 were outstanding and 5,028,828 were exercisable as of the approval date of the financial statements.</w:t>
      </w:r>
    </w:p>
    <w:p>
      <w:pPr>
        <w:spacing w:after="0" w:line="128" w:lineRule="exact"/>
        <w:rPr>
          <w:rFonts w:ascii="Courier New" w:cs="Courier New" w:eastAsia="Courier New" w:hAnsi="Courier New"/>
          <w:sz w:val="11"/>
          <w:szCs w:val="11"/>
          <w:color w:val="auto"/>
        </w:rPr>
      </w:pPr>
    </w:p>
    <w:p>
      <w:pPr>
        <w:ind w:left="1420" w:right="4539"/>
        <w:spacing w:after="0" w:line="241"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WARRANTS ISSUED IN JANUARY 2001 - In January 2001, as part of the Facility Agreement described in Note 11A(6), the Banks received an aggregate of 400,000 warrants to purchase Ordinary Shares of the Company (200,000 each) at an exercise price, as amended in December 2001, of $6.20 per share. As of December 31, 2005, all of these warrants were fully vested. The warrants expired in January 2006.</w:t>
      </w:r>
    </w:p>
    <w:p>
      <w:pPr>
        <w:spacing w:after="0" w:line="142" w:lineRule="exact"/>
        <w:rPr>
          <w:rFonts w:ascii="Courier New" w:cs="Courier New" w:eastAsia="Courier New" w:hAnsi="Courier New"/>
          <w:sz w:val="11"/>
          <w:szCs w:val="11"/>
          <w:color w:val="auto"/>
        </w:rPr>
      </w:pPr>
    </w:p>
    <w:p>
      <w:pPr>
        <w:ind w:left="1420" w:right="4599"/>
        <w:spacing w:after="0" w:line="268"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The cost of the warrants issued to the Banks, determined based on the fair value at the grant and amendment dates in accordance with SFAS 123, amounted to a total of $5,466. Such amount is amortized as deferred financing charges over the terms of the loans under the Facility Agreement.</w:t>
      </w:r>
    </w:p>
    <w:p>
      <w:pPr>
        <w:spacing w:after="0" w:line="127" w:lineRule="exact"/>
        <w:rPr>
          <w:rFonts w:ascii="Courier New" w:cs="Courier New" w:eastAsia="Courier New" w:hAnsi="Courier New"/>
          <w:sz w:val="11"/>
          <w:szCs w:val="11"/>
          <w:color w:val="auto"/>
        </w:rPr>
      </w:pPr>
    </w:p>
    <w:p>
      <w:pPr>
        <w:ind w:left="1420" w:right="4539"/>
        <w:spacing w:after="0" w:line="266"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WARRANTS GRANTED IN DECEMBER 2003 - In December 2003, as part of an amendment to the Facility Agreement, the Banks received an aggregate of 896,596 warrants to purchase Ordinary Shares of the Company (448,298 each) at an exercise price of $6.17 per share, the 15 day average closing price of the Company's Ordinary Shares prior to the date the amendment with the Banks was signed. As of December 31, 2005, all of the warrants are fully vested. The warrants are exercisable for a five-year period ending December 2008.</w:t>
      </w:r>
    </w:p>
    <w:p>
      <w:pPr>
        <w:spacing w:after="0" w:line="129" w:lineRule="exact"/>
        <w:rPr>
          <w:rFonts w:ascii="Courier New" w:cs="Courier New" w:eastAsia="Courier New" w:hAnsi="Courier New"/>
          <w:sz w:val="11"/>
          <w:szCs w:val="11"/>
          <w:color w:val="auto"/>
        </w:rPr>
      </w:pPr>
    </w:p>
    <w:p>
      <w:pPr>
        <w:ind w:left="1420" w:right="4599"/>
        <w:spacing w:after="0" w:line="268"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The cost of the warrants issued to the Banks, determined based on the fair value at the grant and amendment dates in accordance with SFAS 123, amounted to a total of $3,946. Such amount is amortized as deferred financing charges over the terms of the loans under the Facility Agreement.</w:t>
      </w:r>
    </w:p>
    <w:p>
      <w:pPr>
        <w:spacing w:after="0" w:line="127" w:lineRule="exact"/>
        <w:rPr>
          <w:rFonts w:ascii="Courier New" w:cs="Courier New" w:eastAsia="Courier New" w:hAnsi="Courier New"/>
          <w:sz w:val="11"/>
          <w:szCs w:val="11"/>
          <w:color w:val="auto"/>
        </w:rPr>
      </w:pPr>
    </w:p>
    <w:p>
      <w:pPr>
        <w:ind w:left="1420" w:right="4539"/>
        <w:spacing w:after="0" w:line="241"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WARRANTS ISSUED IN JULY 2005 - In connection with the July 2005 amendment to the Facility Agreement detailed in Note 11A(6) above, the Company agreed to issue warrants to the Banks exercisable into an aggregate of 8,264,464 ordinary shares of the Company, with an exercise price of $1.21. One-half, or 4,132,232, of the warrants are exercisable for five years ending in August 2010, and one-half, or 4,132,232, of the warrants shall be exercisable for a five-year period commencing on the date on which the Company and its Banks will agree, if at all, upon the rescheduled repayment dates of the new loans of $29,693, as described in Note 11A(6) above.</w:t>
      </w:r>
    </w:p>
    <w:p>
      <w:pPr>
        <w:spacing w:after="0" w:line="145" w:lineRule="exact"/>
        <w:rPr>
          <w:rFonts w:ascii="Courier New" w:cs="Courier New" w:eastAsia="Courier New" w:hAnsi="Courier New"/>
          <w:sz w:val="11"/>
          <w:szCs w:val="11"/>
          <w:color w:val="auto"/>
        </w:rPr>
      </w:pPr>
    </w:p>
    <w:p>
      <w:pPr>
        <w:ind w:left="1420" w:right="4599"/>
        <w:spacing w:after="0" w:line="241"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cost of the currently exercisable 4,132,232 warrants, determined based on the fair value at the grant date in accordance with SFAS 123, amounted to a total of $2,793. Such amount is amortized as deferred financing charges over the term of the new loans of $29,693.</w:t>
      </w:r>
    </w:p>
    <w:p>
      <w:pPr>
        <w:spacing w:after="0" w:line="275"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- 38</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 (cont.)</w:t>
      </w:r>
    </w:p>
    <w:p>
      <w:pPr>
        <w:spacing w:after="0" w:line="139" w:lineRule="exact"/>
        <w:rPr>
          <w:sz w:val="20"/>
          <w:szCs w:val="20"/>
          <w:color w:val="auto"/>
        </w:rPr>
      </w:pPr>
    </w:p>
    <w:p>
      <w:pPr>
        <w:ind w:left="700" w:hanging="350"/>
        <w:spacing w:after="0"/>
        <w:tabs>
          <w:tab w:leader="none" w:pos="700"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 (cont.)</w:t>
      </w:r>
    </w:p>
    <w:p>
      <w:pPr>
        <w:sectPr>
          <w:pgSz w:w="11900" w:h="16838" w:orient="portrait"/>
          <w:cols w:equalWidth="0" w:num="1">
            <w:col w:w="10239"/>
          </w:cols>
          <w:pgMar w:left="220" w:top="138" w:right="1440" w:bottom="0" w:gutter="0" w:footer="0" w:header="0"/>
        </w:sectPr>
      </w:pPr>
    </w:p>
    <w:bookmarkStart w:id="72" w:name="page73"/>
    <w:bookmarkEnd w:id="72"/>
    <w:p>
      <w:pPr>
        <w:ind w:left="1420" w:hanging="356"/>
        <w:spacing w:after="0"/>
        <w:tabs>
          <w:tab w:leader="none" w:pos="142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(cont.)</w:t>
      </w:r>
    </w:p>
    <w:p>
      <w:pPr>
        <w:spacing w:after="0" w:line="141" w:lineRule="exact"/>
        <w:rPr>
          <w:rFonts w:ascii="Courier New" w:cs="Courier New" w:eastAsia="Courier New" w:hAnsi="Courier New"/>
          <w:sz w:val="12"/>
          <w:szCs w:val="12"/>
          <w:color w:val="auto"/>
        </w:rPr>
      </w:pPr>
    </w:p>
    <w:p>
      <w:pPr>
        <w:ind w:left="142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lieu of paying the exercise price in cash, the Banks are entitled to exercise all their warrants on a "cashless" basis, i.e. by forfeiting part of the warrants in exchange for ordinary shares equal to the aggregate fair market value of the shares underlying the warrants forfeited less the aggregate exercise price.</w:t>
      </w:r>
    </w:p>
    <w:p>
      <w:pPr>
        <w:spacing w:after="0" w:line="141" w:lineRule="exact"/>
        <w:rPr>
          <w:rFonts w:ascii="Courier New" w:cs="Courier New" w:eastAsia="Courier New" w:hAnsi="Courier New"/>
          <w:sz w:val="12"/>
          <w:szCs w:val="12"/>
          <w:color w:val="auto"/>
        </w:rPr>
      </w:pPr>
    </w:p>
    <w:p>
      <w:pPr>
        <w:ind w:left="1420" w:right="4539" w:hanging="356"/>
        <w:spacing w:after="0" w:line="241" w:lineRule="auto"/>
        <w:tabs>
          <w:tab w:leader="none" w:pos="142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GRANTED TO A RELATED PARTY - In consideration for TIC's undertaking described in Note 11A(6), the Company issued TIC warrants for the purchase of 58,906 of the Company's Ordinary Shares. The exercise price for the warrants is $6.17 per share, the 15-day average closing price of the Company's Ordinary Shares prior to the date the November 2003 amendment with the Banks described in Note 11A(6) was signed. As of December 31, 2005, all of the warrants are fully vested and none of them was exercised. The warrants are exercisable for a five-year period ending December 2008.</w:t>
      </w:r>
    </w:p>
    <w:p>
      <w:pPr>
        <w:spacing w:after="0" w:line="145" w:lineRule="exact"/>
        <w:rPr>
          <w:rFonts w:ascii="Courier New" w:cs="Courier New" w:eastAsia="Courier New" w:hAnsi="Courier New"/>
          <w:sz w:val="12"/>
          <w:szCs w:val="12"/>
          <w:color w:val="auto"/>
        </w:rPr>
      </w:pPr>
    </w:p>
    <w:p>
      <w:pPr>
        <w:ind w:left="142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cost of the warrants award granted to TIC, determined based on the fair value at the grant date in accordance with SFAS 123, amounted to a total of $259. Such amount was allocated to other assets as deferred financing charges and is amortized as financing expense over the terms of the loans under the Facility Agreement with the Banks.</w:t>
      </w:r>
    </w:p>
    <w:p>
      <w:pPr>
        <w:spacing w:after="0" w:line="141" w:lineRule="exact"/>
        <w:rPr>
          <w:rFonts w:ascii="Courier New" w:cs="Courier New" w:eastAsia="Courier New" w:hAnsi="Courier New"/>
          <w:sz w:val="12"/>
          <w:szCs w:val="12"/>
          <w:color w:val="auto"/>
        </w:rPr>
      </w:pPr>
    </w:p>
    <w:p>
      <w:pPr>
        <w:ind w:left="1420" w:right="5039" w:hanging="356"/>
        <w:spacing w:after="0" w:line="238" w:lineRule="auto"/>
        <w:tabs>
          <w:tab w:leader="none" w:pos="1420"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ISSUED TO A CANADIAN PENSION FUND - See Note 11A(4).</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Company utilized the Black-Scholes option pricing model 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estimate fair values of options and warrants granted to</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non-employees, utilizing the assumptions similar to those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presented in paragraph B(4) above.</w:t>
      </w:r>
    </w:p>
    <w:p>
      <w:pPr>
        <w:spacing w:after="0" w:line="139" w:lineRule="exact"/>
        <w:rPr>
          <w:sz w:val="20"/>
          <w:szCs w:val="20"/>
          <w:color w:val="auto"/>
        </w:rPr>
      </w:pPr>
    </w:p>
    <w:p>
      <w:pPr>
        <w:ind w:left="1060" w:hanging="353"/>
        <w:spacing w:after="0"/>
        <w:tabs>
          <w:tab w:leader="none" w:pos="1060" w:val="left"/>
        </w:tabs>
        <w:numPr>
          <w:ilvl w:val="0"/>
          <w:numId w:val="1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 FORMA LOSS PER SHARE ACCORDING TO SFAS 123 AND SFAS 148</w:t>
      </w:r>
    </w:p>
    <w:p>
      <w:pPr>
        <w:spacing w:after="0" w:line="141" w:lineRule="exact"/>
        <w:rPr>
          <w:rFonts w:ascii="Courier New" w:cs="Courier New" w:eastAsia="Courier New" w:hAnsi="Courier New"/>
          <w:sz w:val="12"/>
          <w:szCs w:val="12"/>
          <w:color w:val="auto"/>
        </w:rPr>
      </w:pPr>
    </w:p>
    <w:p>
      <w:pPr>
        <w:ind w:left="1060" w:right="467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Had compensation cost for the Company's share option plans been determined based on the fair value at the grant dates for all awards made through December 31, 2005 in accordance with SFAS 123, as amended by SFAS 148, the Company's pro forma loss per share would have been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80" w:type="dxa"/>
            <w:vAlign w:val="bottom"/>
            <w:gridSpan w:val="5"/>
          </w:tcPr>
          <w:p>
            <w:pPr>
              <w:jc w:val="right"/>
              <w:ind w:right="301"/>
              <w:spacing w:after="0"/>
              <w:rPr>
                <w:sz w:val="20"/>
                <w:szCs w:val="20"/>
                <w:color w:val="auto"/>
              </w:rPr>
            </w:pPr>
            <w:r>
              <w:rPr>
                <w:rFonts w:ascii="Courier New" w:cs="Courier New" w:eastAsia="Courier New" w:hAnsi="Courier New"/>
                <w:sz w:val="12"/>
                <w:szCs w:val="12"/>
                <w:color w:val="auto"/>
              </w:rPr>
              <w:t>For the year ended December 31,</w:t>
            </w:r>
          </w:p>
        </w:tc>
      </w:tr>
      <w:tr>
        <w:trPr>
          <w:trHeight w:val="137"/>
        </w:trPr>
        <w:tc>
          <w:tcPr>
            <w:tcW w:w="2380" w:type="dxa"/>
            <w:vAlign w:val="bottom"/>
          </w:tcPr>
          <w:p>
            <w:pPr>
              <w:spacing w:after="0"/>
              <w:rPr>
                <w:sz w:val="11"/>
                <w:szCs w:val="11"/>
                <w:color w:val="auto"/>
              </w:rPr>
            </w:pPr>
          </w:p>
        </w:tc>
        <w:tc>
          <w:tcPr>
            <w:tcW w:w="3040" w:type="dxa"/>
            <w:vAlign w:val="bottom"/>
            <w:gridSpan w:val="6"/>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2005</w:t>
            </w:r>
          </w:p>
        </w:tc>
        <w:tc>
          <w:tcPr>
            <w:tcW w:w="320" w:type="dxa"/>
            <w:vAlign w:val="bottom"/>
          </w:tcPr>
          <w:p>
            <w:pPr>
              <w:spacing w:after="0"/>
              <w:rPr>
                <w:sz w:val="11"/>
                <w:szCs w:val="11"/>
                <w:color w:val="auto"/>
              </w:rPr>
            </w:pPr>
          </w:p>
        </w:tc>
        <w:tc>
          <w:tcPr>
            <w:tcW w:w="7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2004</w:t>
            </w:r>
          </w:p>
        </w:tc>
        <w:tc>
          <w:tcPr>
            <w:tcW w:w="320" w:type="dxa"/>
            <w:vAlign w:val="bottom"/>
          </w:tcPr>
          <w:p>
            <w:pPr>
              <w:spacing w:after="0"/>
              <w:rPr>
                <w:sz w:val="11"/>
                <w:szCs w:val="11"/>
                <w:color w:val="auto"/>
              </w:rPr>
            </w:pP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238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38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7"/>
        </w:trPr>
        <w:tc>
          <w:tcPr>
            <w:tcW w:w="2380" w:type="dxa"/>
            <w:vAlign w:val="bottom"/>
          </w:tcPr>
          <w:p>
            <w:pPr>
              <w:spacing w:after="0"/>
              <w:rPr>
                <w:sz w:val="20"/>
                <w:szCs w:val="20"/>
                <w:color w:val="auto"/>
              </w:rPr>
            </w:pPr>
            <w:r>
              <w:rPr>
                <w:rFonts w:ascii="Courier New" w:cs="Courier New" w:eastAsia="Courier New" w:hAnsi="Courier New"/>
                <w:sz w:val="12"/>
                <w:szCs w:val="12"/>
                <w:color w:val="auto"/>
              </w:rPr>
              <w:t>Loss for the year, as reported</w:t>
            </w:r>
          </w:p>
        </w:tc>
        <w:tc>
          <w:tcPr>
            <w:tcW w:w="10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$(137,768)</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$(114,261)</w:t>
            </w:r>
          </w:p>
        </w:tc>
      </w:tr>
      <w:tr>
        <w:trPr>
          <w:trHeight w:val="137"/>
        </w:trPr>
        <w:tc>
          <w:tcPr>
            <w:tcW w:w="2380" w:type="dxa"/>
            <w:vAlign w:val="bottom"/>
          </w:tcPr>
          <w:p>
            <w:pPr>
              <w:spacing w:after="0"/>
              <w:rPr>
                <w:sz w:val="20"/>
                <w:szCs w:val="20"/>
                <w:color w:val="auto"/>
              </w:rPr>
            </w:pPr>
            <w:r>
              <w:rPr>
                <w:rFonts w:ascii="Courier New" w:cs="Courier New" w:eastAsia="Courier New" w:hAnsi="Courier New"/>
                <w:sz w:val="12"/>
                <w:szCs w:val="12"/>
                <w:color w:val="auto"/>
              </w:rPr>
              <w:t>Less - stock-based compensation</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7"/>
        </w:trPr>
        <w:tc>
          <w:tcPr>
            <w:tcW w:w="2380" w:type="dxa"/>
            <w:vAlign w:val="bottom"/>
          </w:tcPr>
          <w:p>
            <w:pPr>
              <w:ind w:left="420"/>
              <w:spacing w:after="0"/>
              <w:rPr>
                <w:sz w:val="20"/>
                <w:szCs w:val="20"/>
                <w:color w:val="auto"/>
              </w:rPr>
            </w:pPr>
            <w:r>
              <w:rPr>
                <w:rFonts w:ascii="Courier New" w:cs="Courier New" w:eastAsia="Courier New" w:hAnsi="Courier New"/>
                <w:sz w:val="12"/>
                <w:szCs w:val="12"/>
                <w:color w:val="auto"/>
              </w:rPr>
              <w:t>determined under APB 25</w:t>
            </w: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w:t>
            </w:r>
          </w:p>
        </w:tc>
      </w:tr>
      <w:tr>
        <w:trPr>
          <w:trHeight w:val="137"/>
        </w:trPr>
        <w:tc>
          <w:tcPr>
            <w:tcW w:w="2380" w:type="dxa"/>
            <w:vAlign w:val="bottom"/>
          </w:tcPr>
          <w:p>
            <w:pPr>
              <w:spacing w:after="0"/>
              <w:rPr>
                <w:sz w:val="20"/>
                <w:szCs w:val="20"/>
                <w:color w:val="auto"/>
              </w:rPr>
            </w:pPr>
            <w:r>
              <w:rPr>
                <w:rFonts w:ascii="Courier New" w:cs="Courier New" w:eastAsia="Courier New" w:hAnsi="Courier New"/>
                <w:sz w:val="12"/>
                <w:szCs w:val="12"/>
                <w:color w:val="auto"/>
              </w:rPr>
              <w:t>Add - stock-based compensation</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7"/>
        </w:trPr>
        <w:tc>
          <w:tcPr>
            <w:tcW w:w="2380" w:type="dxa"/>
            <w:vAlign w:val="bottom"/>
          </w:tcPr>
          <w:p>
            <w:pPr>
              <w:ind w:left="420"/>
              <w:spacing w:after="0"/>
              <w:rPr>
                <w:sz w:val="20"/>
                <w:szCs w:val="20"/>
                <w:color w:val="auto"/>
              </w:rPr>
            </w:pPr>
            <w:r>
              <w:rPr>
                <w:rFonts w:ascii="Courier New" w:cs="Courier New" w:eastAsia="Courier New" w:hAnsi="Courier New"/>
                <w:sz w:val="12"/>
                <w:szCs w:val="12"/>
                <w:color w:val="auto"/>
              </w:rPr>
              <w:t>determined under SFAS 123</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(4,229)</w:t>
            </w:r>
          </w:p>
        </w:tc>
        <w:tc>
          <w:tcPr>
            <w:tcW w:w="32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(3,980)</w:t>
            </w:r>
          </w:p>
        </w:tc>
        <w:tc>
          <w:tcPr>
            <w:tcW w:w="3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(8,437)</w:t>
            </w:r>
          </w:p>
        </w:tc>
      </w:tr>
      <w:tr>
        <w:trPr>
          <w:trHeight w:val="137"/>
        </w:trPr>
        <w:tc>
          <w:tcPr>
            <w:tcW w:w="238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380" w:type="dxa"/>
            <w:vAlign w:val="bottom"/>
          </w:tcPr>
          <w:p>
            <w:pPr>
              <w:ind w:left="60"/>
              <w:spacing w:after="0"/>
              <w:rPr>
                <w:sz w:val="20"/>
                <w:szCs w:val="20"/>
                <w:color w:val="auto"/>
              </w:rPr>
            </w:pPr>
            <w:r>
              <w:rPr>
                <w:rFonts w:ascii="Courier New" w:cs="Courier New" w:eastAsia="Courier New" w:hAnsi="Courier New"/>
                <w:sz w:val="12"/>
                <w:szCs w:val="12"/>
                <w:color w:val="auto"/>
              </w:rPr>
              <w:t>Pro forma loss</w:t>
            </w:r>
          </w:p>
        </w:tc>
        <w:tc>
          <w:tcPr>
            <w:tcW w:w="10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$(207,311)</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$(141,748)</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$(122,671)</w:t>
            </w:r>
          </w:p>
        </w:tc>
      </w:tr>
      <w:tr>
        <w:trPr>
          <w:trHeight w:val="137"/>
        </w:trPr>
        <w:tc>
          <w:tcPr>
            <w:tcW w:w="238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38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7"/>
        </w:trPr>
        <w:tc>
          <w:tcPr>
            <w:tcW w:w="2380" w:type="dxa"/>
            <w:vAlign w:val="bottom"/>
          </w:tcPr>
          <w:p>
            <w:pPr>
              <w:spacing w:after="0"/>
              <w:rPr>
                <w:sz w:val="20"/>
                <w:szCs w:val="20"/>
                <w:color w:val="auto"/>
              </w:rPr>
            </w:pPr>
            <w:r>
              <w:rPr>
                <w:rFonts w:ascii="Courier New" w:cs="Courier New" w:eastAsia="Courier New" w:hAnsi="Courier New"/>
                <w:sz w:val="12"/>
                <w:szCs w:val="12"/>
                <w:color w:val="auto"/>
              </w:rPr>
              <w:t>As reported</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(2.55)</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(1.79)</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(2.01)</w:t>
            </w:r>
          </w:p>
        </w:tc>
      </w:tr>
      <w:tr>
        <w:trPr>
          <w:trHeight w:val="137"/>
        </w:trPr>
        <w:tc>
          <w:tcPr>
            <w:tcW w:w="238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380" w:type="dxa"/>
            <w:vAlign w:val="bottom"/>
          </w:tcPr>
          <w:p>
            <w:pPr>
              <w:spacing w:after="0"/>
              <w:rPr>
                <w:sz w:val="20"/>
                <w:szCs w:val="20"/>
                <w:color w:val="auto"/>
              </w:rPr>
            </w:pPr>
            <w:r>
              <w:rPr>
                <w:rFonts w:ascii="Courier New" w:cs="Courier New" w:eastAsia="Courier New" w:hAnsi="Courier New"/>
                <w:sz w:val="12"/>
                <w:szCs w:val="12"/>
                <w:color w:val="auto"/>
              </w:rPr>
              <w:t>Pro forma</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(2.60)</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(1.84)</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(2.16)</w:t>
            </w:r>
          </w:p>
        </w:tc>
      </w:tr>
      <w:tr>
        <w:trPr>
          <w:trHeight w:val="137"/>
        </w:trPr>
        <w:tc>
          <w:tcPr>
            <w:tcW w:w="238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412"/>
        </w:trPr>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341"/>
              <w:spacing w:after="0"/>
              <w:rPr>
                <w:sz w:val="20"/>
                <w:szCs w:val="20"/>
                <w:color w:val="auto"/>
              </w:rPr>
            </w:pPr>
            <w:r>
              <w:rPr>
                <w:rFonts w:ascii="Courier New" w:cs="Courier New" w:eastAsia="Courier New" w:hAnsi="Courier New"/>
                <w:sz w:val="12"/>
                <w:szCs w:val="12"/>
                <w:color w:val="auto"/>
                <w:w w:val="92"/>
              </w:rPr>
              <w:t>F - 39</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 (cont.)</w:t>
      </w:r>
    </w:p>
    <w:p>
      <w:pPr>
        <w:spacing w:after="0" w:line="139" w:lineRule="exact"/>
        <w:rPr>
          <w:sz w:val="20"/>
          <w:szCs w:val="20"/>
          <w:color w:val="auto"/>
        </w:rPr>
      </w:pPr>
    </w:p>
    <w:p>
      <w:pPr>
        <w:ind w:left="700" w:hanging="350"/>
        <w:spacing w:after="0"/>
        <w:tabs>
          <w:tab w:leader="none" w:pos="700"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TREASURY STOCK</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DIVIDEND DISTRIBUTIONS</w:t>
      </w:r>
    </w:p>
    <w:p>
      <w:pPr>
        <w:spacing w:after="0" w:line="141"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According to the Facility Agreement, as amended (Note 11A(6)), the Company undertook not to distribute any dividends prior to January 1, 2008. Any dividend distributions after that date shall be subject to provisions stipulated in such agreement, mainly the prior approval of the Banks.</w:t>
      </w:r>
    </w:p>
    <w:p>
      <w:pPr>
        <w:spacing w:after="0" w:line="13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SALE OF SECURITIES - JANUARY 2002</w:t>
      </w:r>
    </w:p>
    <w:p>
      <w:pPr>
        <w:spacing w:after="0" w:line="141" w:lineRule="exact"/>
        <w:rPr>
          <w:rFonts w:ascii="Courier New" w:cs="Courier New" w:eastAsia="Courier New" w:hAnsi="Courier New"/>
          <w:sz w:val="12"/>
          <w:szCs w:val="12"/>
          <w:color w:val="auto"/>
        </w:rPr>
      </w:pPr>
    </w:p>
    <w:p>
      <w:pPr>
        <w:ind w:left="700" w:right="467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2002, the Company issued on the Tel Aviv Stock Exchange, Israel NIS 110,579,800 principal amount of convertible debentures, under terms described in Note 9. Together with the convertible debentures the Company issued for no consideration an aggregate of 552,899 options and 2,211,596 Options (Series 1). As of the approval date of the financial statements, all said options were expired and none were exercised.</w:t>
      </w:r>
    </w:p>
    <w:p>
      <w:pPr>
        <w:spacing w:after="0" w:line="142" w:lineRule="exact"/>
        <w:rPr>
          <w:rFonts w:ascii="Courier New" w:cs="Courier New" w:eastAsia="Courier New" w:hAnsi="Courier New"/>
          <w:sz w:val="12"/>
          <w:szCs w:val="12"/>
          <w:color w:val="auto"/>
        </w:rPr>
      </w:pPr>
    </w:p>
    <w:p>
      <w:pPr>
        <w:ind w:left="700" w:right="453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total initial proceeds raised were $23,200, and costs related to the issuance of the securities and the prospectus were approximately $1,750. See Note 20F for the presentation and the accounting treatment of the sale of these securities under U.S. GAAP.</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OCTOBER 2002</w:t>
      </w:r>
    </w:p>
    <w:p>
      <w:pPr>
        <w:spacing w:after="0" w:line="141" w:lineRule="exact"/>
        <w:rPr>
          <w:rFonts w:ascii="Courier New" w:cs="Courier New" w:eastAsia="Courier New" w:hAnsi="Courier New"/>
          <w:sz w:val="12"/>
          <w:szCs w:val="12"/>
          <w:color w:val="auto"/>
        </w:rPr>
      </w:pPr>
    </w:p>
    <w:p>
      <w:pPr>
        <w:ind w:left="70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October 2002, the Company issued in connection with a rights offering done on the Nasdaq and on the Tel-Aviv Stock Exchange in Israel 4,097,964 Ordinary Shares of the Company and 1,844,070 warrants, all of which were outstanding as of December 31, 2005, to purchase Ordinary Shares of the Company, in consideration for aggregate gross proceeds of $20,490. Of these amounts, 4,086,037 Ordinary Shares and 1,838,715 warrants were issued to Wafer Partners and Equity Investors in consideration for an aggregate of $20,430. Each warrant may be exercised for the purchase of one Ordinary Share at an exercise price of $7.50 for a period ending on October 31, 2006. Costs in relation to the prospectus and the issuance of the securities</w:t>
      </w:r>
    </w:p>
    <w:p>
      <w:pPr>
        <w:sectPr>
          <w:pgSz w:w="11900" w:h="16838" w:orient="portrait"/>
          <w:cols w:equalWidth="0" w:num="1">
            <w:col w:w="10239"/>
          </w:cols>
          <w:pgMar w:left="220" w:top="138" w:right="1440" w:bottom="0" w:gutter="0" w:footer="0" w:header="0"/>
        </w:sectPr>
      </w:pPr>
    </w:p>
    <w:bookmarkStart w:id="73" w:name="page74"/>
    <w:bookmarkEnd w:id="73"/>
    <w:p>
      <w:pPr>
        <w:spacing w:after="0" w:line="67"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were approximately $800.</w:t>
      </w:r>
    </w:p>
    <w:p>
      <w:pPr>
        <w:spacing w:after="0" w:line="139" w:lineRule="exact"/>
        <w:rPr>
          <w:sz w:val="20"/>
          <w:szCs w:val="20"/>
          <w:color w:val="auto"/>
        </w:rPr>
      </w:pPr>
    </w:p>
    <w:p>
      <w:pPr>
        <w:ind w:left="700" w:hanging="350"/>
        <w:spacing w:after="0"/>
        <w:tabs>
          <w:tab w:leader="none" w:pos="700"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 JANUARY 2004</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2004, the Company completed a public offering of its Ordinary Shares at a price of $7.00 per share. Following the offering, and including the partial exercise in February 2004 of an over-allotment option the Company granted the underwriters, the Company issued 11,444,500 of its Ordinary Shares, in consideration for gross proceeds of $80,112 (net of related costs - $75,086).</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- 40</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SHAREHOLDERS' EQUITY (cont.)</w:t>
      </w:r>
    </w:p>
    <w:p>
      <w:pPr>
        <w:spacing w:after="0" w:line="139" w:lineRule="exact"/>
        <w:rPr>
          <w:sz w:val="20"/>
          <w:szCs w:val="20"/>
          <w:color w:val="auto"/>
        </w:rPr>
      </w:pPr>
    </w:p>
    <w:p>
      <w:pPr>
        <w:ind w:left="700" w:hanging="350"/>
        <w:spacing w:after="0"/>
        <w:tabs>
          <w:tab w:leader="none" w:pos="700"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DECEMBER 2005</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December 2005, the Company filed in Israel and the U.S. a prospectus for the distribution of transferable rights to purchase up to $50,000 U.S. dollar denominated debentures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 plans that entitle the option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$100.00, 100 U.S. dollar denominated convertible debentures.</w:t>
      </w:r>
    </w:p>
    <w:p>
      <w:pPr>
        <w:spacing w:after="0" w:line="146"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connection with the exercise of the rights, the Company issued 48,169,300 convertible debentures, with each debenture of $1.00 in principal amount, or total of $48,169 principal amount of debentures, which bear annual interest at the rate of 5%. The principal of the debentures, together with accrued interest, is payable in one installment on January 12, 2012.</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are convertible into the Company's Ordinary Shares at a rate of one ordinary share per $1.10 aggregate principal amount of debentures. The conversion price is subject to downward adjustment under certain circumstances in which the Company sells securities in future financings at a price per share which is lower than the conversion price, provided that such financings close through December 2006 (or under certain conditions, through June 2007).</w:t>
      </w:r>
    </w:p>
    <w:p>
      <w:pPr>
        <w:spacing w:after="0" w:line="142" w:lineRule="exact"/>
        <w:rPr>
          <w:rFonts w:ascii="Courier New" w:cs="Courier New" w:eastAsia="Courier New" w:hAnsi="Courier New"/>
          <w:sz w:val="12"/>
          <w:szCs w:val="12"/>
          <w:color w:val="auto"/>
        </w:rPr>
      </w:pPr>
    </w:p>
    <w:p>
      <w:pPr>
        <w:ind w:left="700" w:right="481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Facility Agreement, the Company may at its option announce the early redemption of the debentures, provided that the outstanding aggregate balance of principal on account of the debentures is equal to or less than $500.</w:t>
      </w:r>
    </w:p>
    <w:p>
      <w:pPr>
        <w:spacing w:after="0" w:line="142" w:lineRule="exact"/>
        <w:rPr>
          <w:rFonts w:ascii="Courier New" w:cs="Courier New" w:eastAsia="Courier New" w:hAnsi="Courier New"/>
          <w:sz w:val="12"/>
          <w:szCs w:val="12"/>
          <w:color w:val="auto"/>
        </w:rPr>
      </w:pPr>
    </w:p>
    <w:p>
      <w:pPr>
        <w:ind w:left="700" w:right="459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are listed and quoted on the NASDAQ Capital Market and the Tel Aviv Stock Exchange.</w:t>
      </w:r>
    </w:p>
    <w:p>
      <w:pPr>
        <w:spacing w:after="0" w:line="142" w:lineRule="exact"/>
        <w:rPr>
          <w:rFonts w:ascii="Courier New" w:cs="Courier New" w:eastAsia="Courier New" w:hAnsi="Courier New"/>
          <w:sz w:val="12"/>
          <w:szCs w:val="12"/>
          <w:color w:val="auto"/>
        </w:rPr>
      </w:pPr>
    </w:p>
    <w:p>
      <w:pPr>
        <w:ind w:left="700" w:right="459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Certain of the Company's Equity Investors and Wafer Partners invested $27,811 in the framework of the rights offering.</w:t>
      </w:r>
    </w:p>
    <w:p>
      <w:pPr>
        <w:spacing w:after="0" w:line="142"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and interest thereon are unsecured and rank behind the Company's existing and future secured indebtedness, including indebtedness to the Banks under the Facility Agreement, as well as to the government of Israel in connection with grants the Company received under its approved enterprise programs and to Siliconix.</w:t>
      </w:r>
    </w:p>
    <w:p>
      <w:pPr>
        <w:spacing w:after="0" w:line="140"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on the payment date of the principal and interest on the debentures, there exists an infringement of certain covenants and conditions under the Facility Agreement, the date for payment of the interest and principal on the debentures may be postponed, depending on various scenarios under the Facility Agreement until such covenant or condition is settled. See Note 20G for the presentation of the rights offering in accordance with U.S. GAAP.</w:t>
      </w:r>
    </w:p>
    <w:p>
      <w:pPr>
        <w:spacing w:after="0" w:line="27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- 41</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INFORMATION ON GEOGRAPHIC AREAS AND MAJOR CUSTOMERS</w:t>
      </w:r>
    </w:p>
    <w:p>
      <w:pPr>
        <w:spacing w:after="0" w:line="139" w:lineRule="exact"/>
        <w:rPr>
          <w:sz w:val="20"/>
          <w:szCs w:val="20"/>
          <w:color w:val="auto"/>
        </w:rPr>
      </w:pPr>
    </w:p>
    <w:p>
      <w:pPr>
        <w:ind w:left="700" w:hanging="350"/>
        <w:spacing w:after="0"/>
        <w:tabs>
          <w:tab w:leader="none" w:pos="700"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REVENUES BY GEOGRAPHIC AREA (as percentage of total sales)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40" w:type="dxa"/>
            <w:vAlign w:val="bottom"/>
          </w:tcPr>
          <w:p>
            <w:pPr>
              <w:spacing w:after="0"/>
              <w:rPr>
                <w:sz w:val="11"/>
                <w:szCs w:val="11"/>
                <w:color w:val="auto"/>
              </w:rPr>
            </w:pPr>
          </w:p>
        </w:tc>
        <w:tc>
          <w:tcPr>
            <w:tcW w:w="182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97"/>
              </w:rPr>
              <w:t>Year ended December 31,</w:t>
            </w:r>
          </w:p>
        </w:tc>
      </w:tr>
      <w:tr>
        <w:trPr>
          <w:trHeight w:val="137"/>
        </w:trPr>
        <w:tc>
          <w:tcPr>
            <w:tcW w:w="2740" w:type="dxa"/>
            <w:vAlign w:val="bottom"/>
          </w:tcPr>
          <w:p>
            <w:pPr>
              <w:spacing w:after="0"/>
              <w:rPr>
                <w:sz w:val="11"/>
                <w:szCs w:val="11"/>
                <w:color w:val="auto"/>
              </w:rPr>
            </w:pPr>
          </w:p>
        </w:tc>
        <w:tc>
          <w:tcPr>
            <w:tcW w:w="182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740" w:type="dxa"/>
            <w:vAlign w:val="bottom"/>
          </w:tcPr>
          <w:p>
            <w:pPr>
              <w:spacing w:after="0"/>
              <w:rPr>
                <w:sz w:val="11"/>
                <w:szCs w:val="11"/>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2"/>
                <w:szCs w:val="12"/>
                <w:color w:val="auto"/>
              </w:rPr>
              <w:t>2005</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2004</w:t>
            </w:r>
          </w:p>
        </w:tc>
        <w:tc>
          <w:tcPr>
            <w:tcW w:w="5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2740" w:type="dxa"/>
            <w:vAlign w:val="bottom"/>
          </w:tcPr>
          <w:p>
            <w:pPr>
              <w:spacing w:after="0"/>
              <w:rPr>
                <w:sz w:val="11"/>
                <w:szCs w:val="11"/>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2740" w:type="dxa"/>
            <w:vAlign w:val="bottom"/>
          </w:tcPr>
          <w:p>
            <w:pPr>
              <w:spacing w:after="0"/>
              <w:rPr>
                <w:sz w:val="20"/>
                <w:szCs w:val="20"/>
                <w:color w:val="auto"/>
              </w:rPr>
            </w:pPr>
            <w:r>
              <w:rPr>
                <w:rFonts w:ascii="Courier New" w:cs="Courier New" w:eastAsia="Courier New" w:hAnsi="Courier New"/>
                <w:sz w:val="12"/>
                <w:szCs w:val="12"/>
                <w:color w:val="auto"/>
              </w:rPr>
              <w:t>United States</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60%</w:t>
            </w:r>
          </w:p>
        </w:tc>
        <w:tc>
          <w:tcPr>
            <w:tcW w:w="5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w:t>
            </w:r>
          </w:p>
        </w:tc>
      </w:tr>
      <w:tr>
        <w:trPr>
          <w:trHeight w:val="137"/>
        </w:trPr>
        <w:tc>
          <w:tcPr>
            <w:tcW w:w="2740" w:type="dxa"/>
            <w:vAlign w:val="bottom"/>
          </w:tcPr>
          <w:p>
            <w:pPr>
              <w:spacing w:after="0"/>
              <w:rPr>
                <w:sz w:val="20"/>
                <w:szCs w:val="20"/>
                <w:color w:val="auto"/>
              </w:rPr>
            </w:pPr>
            <w:r>
              <w:rPr>
                <w:rFonts w:ascii="Courier New" w:cs="Courier New" w:eastAsia="Courier New" w:hAnsi="Courier New"/>
                <w:sz w:val="12"/>
                <w:szCs w:val="12"/>
                <w:color w:val="auto"/>
              </w:rPr>
              <w:t>Israel</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w:t>
            </w:r>
          </w:p>
        </w:tc>
        <w:tc>
          <w:tcPr>
            <w:tcW w:w="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w:t>
            </w:r>
          </w:p>
        </w:tc>
      </w:tr>
      <w:tr>
        <w:trPr>
          <w:trHeight w:val="137"/>
        </w:trPr>
        <w:tc>
          <w:tcPr>
            <w:tcW w:w="2740" w:type="dxa"/>
            <w:vAlign w:val="bottom"/>
          </w:tcPr>
          <w:p>
            <w:pPr>
              <w:spacing w:after="0"/>
              <w:rPr>
                <w:sz w:val="20"/>
                <w:szCs w:val="20"/>
                <w:color w:val="auto"/>
              </w:rPr>
            </w:pPr>
            <w:r>
              <w:rPr>
                <w:rFonts w:ascii="Courier New" w:cs="Courier New" w:eastAsia="Courier New" w:hAnsi="Courier New"/>
                <w:sz w:val="12"/>
                <w:szCs w:val="12"/>
                <w:color w:val="auto"/>
              </w:rPr>
              <w:t>Asia Pacific - in 2005 and 2004 -</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7"/>
        </w:trPr>
        <w:tc>
          <w:tcPr>
            <w:tcW w:w="2740" w:type="dxa"/>
            <w:vAlign w:val="bottom"/>
          </w:tcPr>
          <w:p>
            <w:pPr>
              <w:ind w:left="280"/>
              <w:spacing w:after="0"/>
              <w:rPr>
                <w:sz w:val="20"/>
                <w:szCs w:val="20"/>
                <w:color w:val="auto"/>
              </w:rPr>
            </w:pPr>
            <w:r>
              <w:rPr>
                <w:rFonts w:ascii="Courier New" w:cs="Courier New" w:eastAsia="Courier New" w:hAnsi="Courier New"/>
                <w:sz w:val="12"/>
                <w:szCs w:val="12"/>
                <w:color w:val="auto"/>
              </w:rPr>
              <w:t>primarily Taiwan; in 2003 - only</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7"/>
        </w:trPr>
        <w:tc>
          <w:tcPr>
            <w:tcW w:w="2740" w:type="dxa"/>
            <w:vAlign w:val="bottom"/>
          </w:tcPr>
          <w:p>
            <w:pPr>
              <w:ind w:left="280"/>
              <w:spacing w:after="0"/>
              <w:rPr>
                <w:sz w:val="20"/>
                <w:szCs w:val="20"/>
                <w:color w:val="auto"/>
              </w:rPr>
            </w:pPr>
            <w:r>
              <w:rPr>
                <w:rFonts w:ascii="Courier New" w:cs="Courier New" w:eastAsia="Courier New" w:hAnsi="Courier New"/>
                <w:sz w:val="12"/>
                <w:szCs w:val="12"/>
                <w:color w:val="auto"/>
              </w:rPr>
              <w:t>Taiwan</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11</w:t>
            </w:r>
          </w:p>
        </w:tc>
        <w:tc>
          <w:tcPr>
            <w:tcW w:w="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w:t>
            </w:r>
          </w:p>
        </w:tc>
      </w:tr>
      <w:tr>
        <w:trPr>
          <w:trHeight w:val="137"/>
        </w:trPr>
        <w:tc>
          <w:tcPr>
            <w:tcW w:w="2740" w:type="dxa"/>
            <w:vAlign w:val="bottom"/>
          </w:tcPr>
          <w:p>
            <w:pPr>
              <w:spacing w:after="0"/>
              <w:rPr>
                <w:sz w:val="20"/>
                <w:szCs w:val="20"/>
                <w:color w:val="auto"/>
              </w:rPr>
            </w:pPr>
            <w:r>
              <w:rPr>
                <w:rFonts w:ascii="Courier New" w:cs="Courier New" w:eastAsia="Courier New" w:hAnsi="Courier New"/>
                <w:sz w:val="12"/>
                <w:szCs w:val="12"/>
                <w:color w:val="auto"/>
              </w:rPr>
              <w:t>Europe</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w:t>
            </w:r>
          </w:p>
        </w:tc>
        <w:tc>
          <w:tcPr>
            <w:tcW w:w="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w:t>
            </w:r>
          </w:p>
        </w:tc>
      </w:tr>
      <w:tr>
        <w:trPr>
          <w:trHeight w:val="137"/>
        </w:trPr>
        <w:tc>
          <w:tcPr>
            <w:tcW w:w="2740" w:type="dxa"/>
            <w:vAlign w:val="bottom"/>
          </w:tcPr>
          <w:p>
            <w:pPr>
              <w:spacing w:after="0"/>
              <w:rPr>
                <w:sz w:val="11"/>
                <w:szCs w:val="11"/>
                <w:color w:val="auto"/>
              </w:rPr>
            </w:pP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2740" w:type="dxa"/>
            <w:vAlign w:val="bottom"/>
          </w:tcPr>
          <w:p>
            <w:pPr>
              <w:ind w:left="280"/>
              <w:spacing w:after="0"/>
              <w:rPr>
                <w:sz w:val="20"/>
                <w:szCs w:val="20"/>
                <w:color w:val="auto"/>
              </w:rPr>
            </w:pPr>
            <w:r>
              <w:rPr>
                <w:rFonts w:ascii="Courier New" w:cs="Courier New" w:eastAsia="Courier New" w:hAnsi="Courier New"/>
                <w:sz w:val="12"/>
                <w:szCs w:val="12"/>
                <w:color w:val="auto"/>
              </w:rPr>
              <w:t>Total</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100%</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100%</w:t>
            </w:r>
          </w:p>
        </w:tc>
        <w:tc>
          <w:tcPr>
            <w:tcW w:w="5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w:t>
            </w:r>
          </w:p>
        </w:tc>
      </w:tr>
      <w:tr>
        <w:trPr>
          <w:trHeight w:val="137"/>
        </w:trPr>
        <w:tc>
          <w:tcPr>
            <w:tcW w:w="2740" w:type="dxa"/>
            <w:vAlign w:val="bottom"/>
          </w:tcPr>
          <w:p>
            <w:pPr>
              <w:spacing w:after="0"/>
              <w:rPr>
                <w:sz w:val="11"/>
                <w:szCs w:val="11"/>
                <w:color w:val="auto"/>
              </w:rPr>
            </w:pP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41" w:lineRule="exact"/>
        <w:rPr>
          <w:sz w:val="20"/>
          <w:szCs w:val="20"/>
          <w:color w:val="auto"/>
        </w:rPr>
      </w:pPr>
    </w:p>
    <w:p>
      <w:pPr>
        <w:ind w:left="700" w:right="5039" w:hanging="350"/>
        <w:spacing w:after="0" w:line="238" w:lineRule="auto"/>
        <w:tabs>
          <w:tab w:leader="none" w:pos="700"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LONG-LIVED ASSETS BY GEOGRAPHIC AREA - Substantially all of the Company's long-lived assets are located in Israel.</w:t>
      </w:r>
    </w:p>
    <w:p>
      <w:pPr>
        <w:spacing w:after="0" w:line="276"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MAJOR CUSTOMERS (as percentage of total sales)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40" w:type="dxa"/>
            <w:vAlign w:val="bottom"/>
          </w:tcPr>
          <w:p>
            <w:pPr>
              <w:spacing w:after="0"/>
              <w:rPr>
                <w:sz w:val="11"/>
                <w:szCs w:val="11"/>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Year ended December 31,</w:t>
            </w:r>
          </w:p>
        </w:tc>
      </w:tr>
      <w:tr>
        <w:trPr>
          <w:trHeight w:val="137"/>
        </w:trPr>
        <w:tc>
          <w:tcPr>
            <w:tcW w:w="1140" w:type="dxa"/>
            <w:vAlign w:val="bottom"/>
          </w:tcPr>
          <w:p>
            <w:pPr>
              <w:spacing w:after="0"/>
              <w:rPr>
                <w:sz w:val="11"/>
                <w:szCs w:val="11"/>
                <w:color w:val="auto"/>
              </w:rPr>
            </w:pPr>
          </w:p>
        </w:tc>
        <w:tc>
          <w:tcPr>
            <w:tcW w:w="206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114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2005</w:t>
            </w:r>
          </w:p>
        </w:tc>
        <w:tc>
          <w:tcPr>
            <w:tcW w:w="5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2004</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114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1140" w:type="dxa"/>
            <w:vAlign w:val="bottom"/>
          </w:tcPr>
          <w:p>
            <w:pPr>
              <w:spacing w:after="0"/>
              <w:rPr>
                <w:sz w:val="20"/>
                <w:szCs w:val="20"/>
                <w:color w:val="auto"/>
              </w:rPr>
            </w:pPr>
            <w:r>
              <w:rPr>
                <w:rFonts w:ascii="Courier New" w:cs="Courier New" w:eastAsia="Courier New" w:hAnsi="Courier New"/>
                <w:sz w:val="12"/>
                <w:szCs w:val="12"/>
                <w:color w:val="auto"/>
              </w:rPr>
              <w:t>Customer A</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w:t>
            </w:r>
          </w:p>
        </w:tc>
        <w:tc>
          <w:tcPr>
            <w:tcW w:w="5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w:t>
            </w:r>
          </w:p>
        </w:tc>
      </w:tr>
      <w:tr>
        <w:trPr>
          <w:trHeight w:val="137"/>
        </w:trPr>
        <w:tc>
          <w:tcPr>
            <w:tcW w:w="1140" w:type="dxa"/>
            <w:vAlign w:val="bottom"/>
          </w:tcPr>
          <w:p>
            <w:pPr>
              <w:spacing w:after="0"/>
              <w:rPr>
                <w:sz w:val="20"/>
                <w:szCs w:val="20"/>
                <w:color w:val="auto"/>
              </w:rPr>
            </w:pPr>
            <w:r>
              <w:rPr>
                <w:rFonts w:ascii="Courier New" w:cs="Courier New" w:eastAsia="Courier New" w:hAnsi="Courier New"/>
                <w:sz w:val="12"/>
                <w:szCs w:val="12"/>
                <w:color w:val="auto"/>
              </w:rPr>
              <w:t>Customer B</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w:t>
            </w: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w:t>
            </w:r>
          </w:p>
        </w:tc>
        <w:tc>
          <w:tcPr>
            <w:tcW w:w="5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w:t>
            </w:r>
          </w:p>
        </w:tc>
      </w:tr>
      <w:tr>
        <w:trPr>
          <w:trHeight w:val="137"/>
        </w:trPr>
        <w:tc>
          <w:tcPr>
            <w:tcW w:w="1140" w:type="dxa"/>
            <w:vAlign w:val="bottom"/>
          </w:tcPr>
          <w:p>
            <w:pPr>
              <w:spacing w:after="0"/>
              <w:rPr>
                <w:sz w:val="20"/>
                <w:szCs w:val="20"/>
                <w:color w:val="auto"/>
              </w:rPr>
            </w:pPr>
            <w:r>
              <w:rPr>
                <w:rFonts w:ascii="Courier New" w:cs="Courier New" w:eastAsia="Courier New" w:hAnsi="Courier New"/>
                <w:sz w:val="12"/>
                <w:szCs w:val="12"/>
                <w:color w:val="auto"/>
              </w:rPr>
              <w:t>Customer C</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w:t>
            </w: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17</w:t>
            </w:r>
          </w:p>
        </w:tc>
        <w:tc>
          <w:tcPr>
            <w:tcW w:w="5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w:t>
            </w:r>
          </w:p>
        </w:tc>
      </w:tr>
      <w:tr>
        <w:trPr>
          <w:trHeight w:val="137"/>
        </w:trPr>
        <w:tc>
          <w:tcPr>
            <w:tcW w:w="1140" w:type="dxa"/>
            <w:vAlign w:val="bottom"/>
          </w:tcPr>
          <w:p>
            <w:pPr>
              <w:spacing w:after="0"/>
              <w:rPr>
                <w:sz w:val="20"/>
                <w:szCs w:val="20"/>
                <w:color w:val="auto"/>
              </w:rPr>
            </w:pPr>
            <w:r>
              <w:rPr>
                <w:rFonts w:ascii="Courier New" w:cs="Courier New" w:eastAsia="Courier New" w:hAnsi="Courier New"/>
                <w:sz w:val="12"/>
                <w:szCs w:val="12"/>
                <w:color w:val="auto"/>
              </w:rPr>
              <w:t>Customer D</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w:t>
            </w: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w:t>
            </w:r>
          </w:p>
        </w:tc>
        <w:tc>
          <w:tcPr>
            <w:tcW w:w="5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24</w:t>
            </w:r>
          </w:p>
        </w:tc>
      </w:tr>
    </w:tbl>
    <w:p>
      <w:pPr>
        <w:sectPr>
          <w:pgSz w:w="11900" w:h="16906" w:orient="portrait"/>
          <w:cols w:equalWidth="0" w:num="1">
            <w:col w:w="10239"/>
          </w:cols>
          <w:pgMar w:left="220" w:top="138" w:right="1440" w:bottom="0" w:gutter="0" w:footer="0" w:header="0"/>
        </w:sectPr>
      </w:pPr>
    </w:p>
    <w:bookmarkStart w:id="74" w:name="page75"/>
    <w:bookmarkEnd w:id="74"/>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520" w:type="dxa"/>
            <w:vAlign w:val="bottom"/>
          </w:tcPr>
          <w:p>
            <w:pPr>
              <w:spacing w:after="0"/>
              <w:rPr>
                <w:sz w:val="20"/>
                <w:szCs w:val="20"/>
                <w:color w:val="auto"/>
              </w:rPr>
            </w:pPr>
            <w:r>
              <w:rPr>
                <w:rFonts w:ascii="Courier New" w:cs="Courier New" w:eastAsia="Courier New" w:hAnsi="Courier New"/>
                <w:sz w:val="12"/>
                <w:szCs w:val="12"/>
                <w:color w:val="auto"/>
              </w:rPr>
              <w:t>Customer E</w:t>
            </w:r>
          </w:p>
        </w:tc>
        <w:tc>
          <w:tcPr>
            <w:tcW w:w="5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w:t>
            </w: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r>
      <w:tr>
        <w:trPr>
          <w:trHeight w:val="137"/>
        </w:trPr>
        <w:tc>
          <w:tcPr>
            <w:tcW w:w="1520" w:type="dxa"/>
            <w:vAlign w:val="bottom"/>
          </w:tcPr>
          <w:p>
            <w:pPr>
              <w:spacing w:after="0"/>
              <w:rPr>
                <w:sz w:val="20"/>
                <w:szCs w:val="20"/>
                <w:color w:val="auto"/>
              </w:rPr>
            </w:pPr>
            <w:r>
              <w:rPr>
                <w:rFonts w:ascii="Courier New" w:cs="Courier New" w:eastAsia="Courier New" w:hAnsi="Courier New"/>
                <w:sz w:val="12"/>
                <w:szCs w:val="12"/>
                <w:color w:val="auto"/>
              </w:rPr>
              <w:t>Other customers (*)</w:t>
            </w:r>
          </w:p>
        </w:tc>
        <w:tc>
          <w:tcPr>
            <w:tcW w:w="5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27</w:t>
            </w: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17</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r>
    </w:tbl>
    <w:p>
      <w:pPr>
        <w:spacing w:after="0" w:line="141" w:lineRule="exact"/>
        <w:rPr>
          <w:sz w:val="20"/>
          <w:szCs w:val="20"/>
          <w:color w:val="auto"/>
        </w:rPr>
      </w:pPr>
    </w:p>
    <w:p>
      <w:pPr>
        <w:ind w:left="1060" w:right="4539" w:hanging="353"/>
        <w:spacing w:after="0"/>
        <w:tabs>
          <w:tab w:leader="none" w:pos="1060"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 sales to six different customers each of whom accounted for between 1% and 8% of sales during 2005; to four customers (1% -8%) of sales during 2004; and to six customers (0%-9%) during 2003.</w:t>
      </w:r>
    </w:p>
    <w:p>
      <w:pPr>
        <w:spacing w:after="0" w:line="277"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of December 31, 2005 and 2004, the above major customers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constituted the majority of the trade accounts receivable reflected on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balance sheets.</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- 42</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tabs>
          <w:tab w:leader="none" w:pos="900" w:val="left"/>
          <w:tab w:leader="none" w:pos="1120" w:val="left"/>
        </w:tabs>
        <w:rPr>
          <w:sz w:val="20"/>
          <w:szCs w:val="20"/>
          <w:color w:val="auto"/>
        </w:rPr>
      </w:pPr>
      <w:r>
        <w:rPr>
          <w:rFonts w:ascii="Courier New" w:cs="Courier New" w:eastAsia="Courier New" w:hAnsi="Courier New"/>
          <w:sz w:val="12"/>
          <w:szCs w:val="12"/>
          <w:color w:val="auto"/>
        </w:rPr>
        <w:t>NOTE 15</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FINANCING EXPENSES, NET</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Financing expenses, net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40" w:type="dxa"/>
            <w:vAlign w:val="bottom"/>
          </w:tcPr>
          <w:p>
            <w:pPr>
              <w:spacing w:after="0"/>
              <w:rPr>
                <w:sz w:val="11"/>
                <w:szCs w:val="11"/>
                <w:color w:val="auto"/>
              </w:rPr>
            </w:pPr>
          </w:p>
        </w:tc>
        <w:tc>
          <w:tcPr>
            <w:tcW w:w="2820" w:type="dxa"/>
            <w:vAlign w:val="bottom"/>
            <w:gridSpan w:val="3"/>
          </w:tcPr>
          <w:p>
            <w:pPr>
              <w:jc w:val="right"/>
              <w:ind w:right="521"/>
              <w:spacing w:after="0"/>
              <w:rPr>
                <w:sz w:val="20"/>
                <w:szCs w:val="20"/>
                <w:color w:val="auto"/>
              </w:rPr>
            </w:pPr>
            <w:r>
              <w:rPr>
                <w:rFonts w:ascii="Courier New" w:cs="Courier New" w:eastAsia="Courier New" w:hAnsi="Courier New"/>
                <w:sz w:val="12"/>
                <w:szCs w:val="12"/>
                <w:color w:val="auto"/>
              </w:rPr>
              <w:t>Year ended December 31,</w:t>
            </w:r>
          </w:p>
        </w:tc>
      </w:tr>
      <w:tr>
        <w:trPr>
          <w:trHeight w:val="137"/>
        </w:trPr>
        <w:tc>
          <w:tcPr>
            <w:tcW w:w="3740" w:type="dxa"/>
            <w:vAlign w:val="bottom"/>
          </w:tcPr>
          <w:p>
            <w:pPr>
              <w:spacing w:after="0"/>
              <w:rPr>
                <w:sz w:val="11"/>
                <w:szCs w:val="11"/>
                <w:color w:val="auto"/>
              </w:rPr>
            </w:pPr>
          </w:p>
        </w:tc>
        <w:tc>
          <w:tcPr>
            <w:tcW w:w="282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740" w:type="dxa"/>
            <w:vAlign w:val="bottom"/>
          </w:tcPr>
          <w:p>
            <w:pPr>
              <w:spacing w:after="0"/>
              <w:rPr>
                <w:sz w:val="11"/>
                <w:szCs w:val="11"/>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2005</w:t>
            </w:r>
          </w:p>
        </w:tc>
        <w:tc>
          <w:tcPr>
            <w:tcW w:w="100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2004</w:t>
            </w:r>
          </w:p>
        </w:tc>
        <w:tc>
          <w:tcPr>
            <w:tcW w:w="8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374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740" w:type="dxa"/>
            <w:vAlign w:val="bottom"/>
          </w:tcPr>
          <w:p>
            <w:pPr>
              <w:spacing w:after="0"/>
              <w:rPr>
                <w:sz w:val="20"/>
                <w:szCs w:val="20"/>
                <w:color w:val="auto"/>
              </w:rPr>
            </w:pPr>
            <w:r>
              <w:rPr>
                <w:rFonts w:ascii="Courier New" w:cs="Courier New" w:eastAsia="Courier New" w:hAnsi="Courier New"/>
                <w:sz w:val="12"/>
                <w:szCs w:val="12"/>
                <w:color w:val="auto"/>
              </w:rPr>
              <w:t>Financial expenses (primarily bank loan interest)</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$(35,595)</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$(29,709)</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$(16,073)</w:t>
            </w:r>
          </w:p>
        </w:tc>
      </w:tr>
      <w:tr>
        <w:trPr>
          <w:trHeight w:val="137"/>
        </w:trPr>
        <w:tc>
          <w:tcPr>
            <w:tcW w:w="3740" w:type="dxa"/>
            <w:vAlign w:val="bottom"/>
          </w:tcPr>
          <w:p>
            <w:pPr>
              <w:spacing w:after="0"/>
              <w:rPr>
                <w:sz w:val="20"/>
                <w:szCs w:val="20"/>
                <w:color w:val="auto"/>
              </w:rPr>
            </w:pPr>
            <w:r>
              <w:rPr>
                <w:rFonts w:ascii="Courier New" w:cs="Courier New" w:eastAsia="Courier New" w:hAnsi="Courier New"/>
                <w:sz w:val="12"/>
                <w:szCs w:val="12"/>
                <w:color w:val="auto"/>
              </w:rPr>
              <w:t>Interest expenses in relation</w:t>
            </w: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7"/>
        </w:trPr>
        <w:tc>
          <w:tcPr>
            <w:tcW w:w="3740" w:type="dxa"/>
            <w:vAlign w:val="bottom"/>
          </w:tcPr>
          <w:p>
            <w:pPr>
              <w:ind w:left="280"/>
              <w:spacing w:after="0"/>
              <w:rPr>
                <w:sz w:val="20"/>
                <w:szCs w:val="20"/>
                <w:color w:val="auto"/>
              </w:rPr>
            </w:pPr>
            <w:r>
              <w:rPr>
                <w:rFonts w:ascii="Courier New" w:cs="Courier New" w:eastAsia="Courier New" w:hAnsi="Courier New"/>
                <w:sz w:val="12"/>
                <w:szCs w:val="12"/>
                <w:color w:val="auto"/>
              </w:rPr>
              <w:t>to convertible debentures</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(1,249)</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(1,233)</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(1,198)</w:t>
            </w:r>
          </w:p>
        </w:tc>
      </w:tr>
      <w:tr>
        <w:trPr>
          <w:trHeight w:val="137"/>
        </w:trPr>
        <w:tc>
          <w:tcPr>
            <w:tcW w:w="3740" w:type="dxa"/>
            <w:vAlign w:val="bottom"/>
          </w:tcPr>
          <w:p>
            <w:pPr>
              <w:spacing w:after="0"/>
              <w:rPr>
                <w:sz w:val="20"/>
                <w:szCs w:val="20"/>
                <w:color w:val="auto"/>
              </w:rPr>
            </w:pPr>
            <w:r>
              <w:rPr>
                <w:rFonts w:ascii="Courier New" w:cs="Courier New" w:eastAsia="Courier New" w:hAnsi="Courier New"/>
                <w:sz w:val="12"/>
                <w:szCs w:val="12"/>
                <w:color w:val="auto"/>
              </w:rPr>
              <w:t>Less capitalized interest - Note 5A(3)</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6,892</w:t>
            </w:r>
          </w:p>
        </w:tc>
      </w:tr>
      <w:tr>
        <w:trPr>
          <w:trHeight w:val="137"/>
        </w:trPr>
        <w:tc>
          <w:tcPr>
            <w:tcW w:w="374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740" w:type="dxa"/>
            <w:vAlign w:val="bottom"/>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(36,844)</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(30,942)</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(10,379)</w:t>
            </w:r>
          </w:p>
        </w:tc>
      </w:tr>
      <w:tr>
        <w:trPr>
          <w:trHeight w:val="137"/>
        </w:trPr>
        <w:tc>
          <w:tcPr>
            <w:tcW w:w="3740" w:type="dxa"/>
            <w:vAlign w:val="bottom"/>
          </w:tcPr>
          <w:p>
            <w:pPr>
              <w:spacing w:after="0"/>
              <w:rPr>
                <w:sz w:val="20"/>
                <w:szCs w:val="20"/>
                <w:color w:val="auto"/>
              </w:rPr>
            </w:pPr>
            <w:r>
              <w:rPr>
                <w:rFonts w:ascii="Courier New" w:cs="Courier New" w:eastAsia="Courier New" w:hAnsi="Courier New"/>
                <w:sz w:val="12"/>
                <w:szCs w:val="12"/>
                <w:color w:val="auto"/>
              </w:rPr>
              <w:t>Financing income (primarily bank deposit interest)</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1,193</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1,197</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553</w:t>
            </w:r>
          </w:p>
        </w:tc>
      </w:tr>
      <w:tr>
        <w:trPr>
          <w:trHeight w:val="137"/>
        </w:trPr>
        <w:tc>
          <w:tcPr>
            <w:tcW w:w="374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74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$(35,651)</w:t>
            </w:r>
          </w:p>
        </w:tc>
        <w:tc>
          <w:tcPr>
            <w:tcW w:w="10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$(29,745)</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 (9,826)</w:t>
            </w:r>
          </w:p>
        </w:tc>
      </w:tr>
      <w:tr>
        <w:trPr>
          <w:trHeight w:val="137"/>
        </w:trPr>
        <w:tc>
          <w:tcPr>
            <w:tcW w:w="3740" w:type="dxa"/>
            <w:vAlign w:val="bottom"/>
          </w:tcPr>
          <w:p>
            <w:pPr>
              <w:spacing w:after="0"/>
              <w:rPr>
                <w:sz w:val="11"/>
                <w:szCs w:val="11"/>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OTHER INCOME</w:t>
      </w:r>
    </w:p>
    <w:p>
      <w:pPr>
        <w:spacing w:after="0" w:line="141" w:lineRule="exact"/>
        <w:rPr>
          <w:sz w:val="20"/>
          <w:szCs w:val="20"/>
          <w:color w:val="auto"/>
        </w:rPr>
      </w:pPr>
    </w:p>
    <w:p>
      <w:pPr>
        <w:ind w:left="360" w:right="4599"/>
        <w:spacing w:after="0" w:line="241" w:lineRule="auto"/>
        <w:rPr>
          <w:sz w:val="20"/>
          <w:szCs w:val="20"/>
          <w:color w:val="auto"/>
        </w:rPr>
      </w:pPr>
      <w:r>
        <w:rPr>
          <w:rFonts w:ascii="Courier New" w:cs="Courier New" w:eastAsia="Courier New" w:hAnsi="Courier New"/>
          <w:sz w:val="12"/>
          <w:szCs w:val="12"/>
          <w:color w:val="auto"/>
        </w:rPr>
        <w:t>In December 2004, the Company entered into a definitive agreement to sell all of its holdings in Saifun Semiconductors Ltd. ("Saifun"), an Israeli company which designs and develops memory designs, to a U.S. based private equity investor in consideration for $38,677. In December 2004, shareholders of Saifun exercised their right of first refusal, and accordingly purchased the shares from the Company for said amount. The net gain from the sale of Saifun's shares amounted to $32,377.</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INCOME TAXES</w:t>
      </w:r>
    </w:p>
    <w:p>
      <w:pPr>
        <w:spacing w:after="0" w:line="139" w:lineRule="exact"/>
        <w:rPr>
          <w:sz w:val="20"/>
          <w:szCs w:val="20"/>
          <w:color w:val="auto"/>
        </w:rPr>
      </w:pPr>
    </w:p>
    <w:p>
      <w:pPr>
        <w:ind w:left="700" w:hanging="350"/>
        <w:spacing w:after="0"/>
        <w:tabs>
          <w:tab w:leader="none" w:pos="700"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41" w:lineRule="exact"/>
        <w:rPr>
          <w:rFonts w:ascii="Courier New" w:cs="Courier New" w:eastAsia="Courier New" w:hAnsi="Courier New"/>
          <w:sz w:val="12"/>
          <w:szCs w:val="12"/>
          <w:color w:val="auto"/>
        </w:rPr>
      </w:pPr>
    </w:p>
    <w:p>
      <w:pPr>
        <w:ind w:left="700" w:right="459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Substantially all of the Company's existing facilities as of December 31, 2005 have been granted approved enterprise status, as provided by the Israeli Law for the Encouragement of Capital Investments - 1959 ("Investments Law") (see Note 5B).</w:t>
      </w:r>
    </w:p>
    <w:p>
      <w:pPr>
        <w:spacing w:after="0" w:line="142"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tax benefits derived from approved enterprise status relate only to taxable income attributable to each approved enterprise investments programs. Pursuant to the Investments Law and the approval certificates, the Company's income attributable to its various approved enterprise investments is taxed at a rate of up to 25% through 2012. Taxable income attributable to Fab 2 approved program shall be tax-exempt for the first two years it arises. The portion of the Company's taxable income that is not attributable to approved enterprise investments is taxed at a rate of 34% in 2005 (regular "Company Tax"). The regular Company Tax rate is to be gradually reduced to 25% until 2010.</w:t>
      </w:r>
    </w:p>
    <w:p>
      <w:pPr>
        <w:spacing w:after="0" w:line="145"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tax benefits are also conditioned upon fulfillment of the requirements stipulated by the Investments Law and the regulations promulgated thereunder,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also Notes 5B and 11A(8).</w:t>
      </w:r>
    </w:p>
    <w:p>
      <w:pPr>
        <w:spacing w:after="0" w:line="279"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- 43</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INCOME TAXES (cont.)</w:t>
      </w:r>
    </w:p>
    <w:p>
      <w:pPr>
        <w:spacing w:after="0" w:line="139" w:lineRule="exact"/>
        <w:rPr>
          <w:sz w:val="20"/>
          <w:szCs w:val="20"/>
          <w:color w:val="auto"/>
        </w:rPr>
      </w:pPr>
    </w:p>
    <w:p>
      <w:pPr>
        <w:ind w:left="700" w:hanging="350"/>
        <w:spacing w:after="0"/>
        <w:tabs>
          <w:tab w:leader="none" w:pos="700"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COMPONENTS OF DEFERRED TAX ASSET/LIABILITY</w:t>
      </w:r>
    </w:p>
    <w:p>
      <w:pPr>
        <w:spacing w:after="0" w:line="141" w:lineRule="exact"/>
        <w:rPr>
          <w:rFonts w:ascii="Courier New" w:cs="Courier New" w:eastAsia="Courier New" w:hAnsi="Courier New"/>
          <w:sz w:val="12"/>
          <w:szCs w:val="12"/>
          <w:color w:val="auto"/>
        </w:rPr>
      </w:pPr>
    </w:p>
    <w:p>
      <w:pPr>
        <w:ind w:left="700" w:right="495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is a summary of the components of the deferred tax benefit and liability reflected on the balance sheets as of the respective dates: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3820" w:type="dxa"/>
            <w:vAlign w:val="bottom"/>
          </w:tcPr>
          <w:p>
            <w:pPr>
              <w:spacing w:after="0"/>
              <w:rPr>
                <w:sz w:val="11"/>
                <w:szCs w:val="11"/>
                <w:color w:val="auto"/>
              </w:rPr>
            </w:pPr>
          </w:p>
        </w:tc>
        <w:tc>
          <w:tcPr>
            <w:tcW w:w="216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2005</w:t>
            </w:r>
          </w:p>
        </w:tc>
        <w:tc>
          <w:tcPr>
            <w:tcW w:w="280" w:type="dxa"/>
            <w:vAlign w:val="bottom"/>
          </w:tcPr>
          <w:p>
            <w:pPr>
              <w:spacing w:after="0"/>
              <w:rPr>
                <w:sz w:val="11"/>
                <w:szCs w:val="11"/>
                <w:color w:val="auto"/>
              </w:rPr>
            </w:pPr>
          </w:p>
        </w:tc>
        <w:tc>
          <w:tcPr>
            <w:tcW w:w="6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2004</w:t>
            </w:r>
          </w:p>
        </w:tc>
      </w:tr>
      <w:tr>
        <w:trPr>
          <w:trHeight w:val="137"/>
        </w:trPr>
        <w:tc>
          <w:tcPr>
            <w:tcW w:w="3820" w:type="dxa"/>
            <w:vAlign w:val="bottom"/>
          </w:tcPr>
          <w:p>
            <w:pPr>
              <w:spacing w:after="0"/>
              <w:rPr>
                <w:sz w:val="11"/>
                <w:szCs w:val="11"/>
                <w:color w:val="auto"/>
              </w:rPr>
            </w:pP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DEFERRED TAX BENEFIT - CURRENT</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Accrued vacation pay</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464</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702</w:t>
            </w:r>
          </w:p>
        </w:tc>
      </w:t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500" w:type="dxa"/>
            <w:vAlign w:val="bottom"/>
          </w:tcPr>
          <w:p>
            <w:pPr>
              <w:spacing w:after="0"/>
              <w:rPr>
                <w:sz w:val="11"/>
                <w:szCs w:val="11"/>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109</w:t>
            </w:r>
          </w:p>
        </w:tc>
        <w:tc>
          <w:tcPr>
            <w:tcW w:w="28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68</w:t>
            </w:r>
          </w:p>
        </w:tc>
      </w:tr>
      <w:tr>
        <w:trPr>
          <w:trHeight w:val="137"/>
        </w:trPr>
        <w:tc>
          <w:tcPr>
            <w:tcW w:w="3820" w:type="dxa"/>
            <w:vAlign w:val="bottom"/>
          </w:tcPr>
          <w:p>
            <w:pPr>
              <w:spacing w:after="0"/>
              <w:rPr>
                <w:sz w:val="11"/>
                <w:szCs w:val="11"/>
                <w:color w:val="auto"/>
              </w:rPr>
            </w:pP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573</w:t>
            </w:r>
          </w:p>
        </w:tc>
        <w:tc>
          <w:tcPr>
            <w:tcW w:w="28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770</w:t>
            </w:r>
          </w:p>
        </w:tc>
      </w:t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500" w:type="dxa"/>
            <w:vAlign w:val="bottom"/>
          </w:tcPr>
          <w:p>
            <w:pPr>
              <w:spacing w:after="0"/>
              <w:rPr>
                <w:sz w:val="11"/>
                <w:szCs w:val="11"/>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(573)</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(770)</w:t>
            </w:r>
          </w:p>
        </w:tc>
      </w:tr>
      <w:tr>
        <w:trPr>
          <w:trHeight w:val="137"/>
        </w:trPr>
        <w:tc>
          <w:tcPr>
            <w:tcW w:w="3820" w:type="dxa"/>
            <w:vAlign w:val="bottom"/>
          </w:tcPr>
          <w:p>
            <w:pPr>
              <w:spacing w:after="0"/>
              <w:rPr>
                <w:sz w:val="11"/>
                <w:szCs w:val="11"/>
                <w:color w:val="auto"/>
              </w:rPr>
            </w:pP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20" w:type="dxa"/>
            <w:vAlign w:val="bottom"/>
          </w:tcPr>
          <w:p>
            <w:pPr>
              <w:ind w:left="280"/>
              <w:spacing w:after="0"/>
              <w:rPr>
                <w:sz w:val="20"/>
                <w:szCs w:val="20"/>
                <w:color w:val="auto"/>
              </w:rPr>
            </w:pPr>
            <w:r>
              <w:rPr>
                <w:rFonts w:ascii="Courier New" w:cs="Courier New" w:eastAsia="Courier New" w:hAnsi="Courier New"/>
                <w:sz w:val="12"/>
                <w:szCs w:val="12"/>
                <w:color w:val="auto"/>
              </w:rPr>
              <w:t>Total current deferred tax benefit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820" w:type="dxa"/>
            <w:vAlign w:val="bottom"/>
          </w:tcPr>
          <w:p>
            <w:pPr>
              <w:spacing w:after="0"/>
              <w:rPr>
                <w:sz w:val="11"/>
                <w:szCs w:val="11"/>
                <w:color w:val="auto"/>
              </w:rPr>
            </w:pP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3820" w:type="dxa"/>
            <w:vAlign w:val="bottom"/>
          </w:tcPr>
          <w:p>
            <w:pPr>
              <w:spacing w:after="0"/>
              <w:rPr>
                <w:sz w:val="20"/>
                <w:szCs w:val="20"/>
                <w:color w:val="auto"/>
              </w:rPr>
            </w:pPr>
            <w:r>
              <w:rPr>
                <w:rFonts w:ascii="Courier New" w:cs="Courier New" w:eastAsia="Courier New" w:hAnsi="Courier New"/>
                <w:sz w:val="12"/>
                <w:szCs w:val="12"/>
                <w:color w:val="auto"/>
              </w:rPr>
              <w:t>NET DEFERRED TAX BENEFIT - LONG-TERM</w:t>
            </w: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Deferred tax assets -</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7"/>
        </w:trPr>
        <w:tc>
          <w:tcPr>
            <w:tcW w:w="3820" w:type="dxa"/>
            <w:vAlign w:val="bottom"/>
          </w:tcPr>
          <w:p>
            <w:pPr>
              <w:ind w:left="280"/>
              <w:spacing w:after="0"/>
              <w:rPr>
                <w:sz w:val="20"/>
                <w:szCs w:val="20"/>
                <w:color w:val="auto"/>
              </w:rPr>
            </w:pPr>
            <w:r>
              <w:rPr>
                <w:rFonts w:ascii="Courier New" w:cs="Courier New" w:eastAsia="Courier New" w:hAnsi="Courier New"/>
                <w:sz w:val="12"/>
                <w:szCs w:val="12"/>
                <w:color w:val="auto"/>
              </w:rPr>
              <w:t>Net operating loss carryforwards</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$ 165,000</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$ 112,147</w:t>
            </w:r>
          </w:p>
        </w:tc>
      </w:tr>
      <w:tr>
        <w:trPr>
          <w:trHeight w:val="137"/>
        </w:trPr>
        <w:tc>
          <w:tcPr>
            <w:tcW w:w="3820" w:type="dxa"/>
            <w:vAlign w:val="bottom"/>
          </w:tcPr>
          <w:p>
            <w:pPr>
              <w:ind w:left="280"/>
              <w:spacing w:after="0"/>
              <w:rPr>
                <w:sz w:val="20"/>
                <w:szCs w:val="20"/>
                <w:color w:val="auto"/>
              </w:rPr>
            </w:pPr>
            <w:r>
              <w:rPr>
                <w:rFonts w:ascii="Courier New" w:cs="Courier New" w:eastAsia="Courier New" w:hAnsi="Courier New"/>
                <w:sz w:val="12"/>
                <w:szCs w:val="12"/>
                <w:color w:val="auto"/>
              </w:rPr>
              <w:t>Research and development</w:t>
            </w:r>
          </w:p>
        </w:tc>
        <w:tc>
          <w:tcPr>
            <w:tcW w:w="500" w:type="dxa"/>
            <w:vAlign w:val="bottom"/>
          </w:tcPr>
          <w:p>
            <w:pPr>
              <w:spacing w:after="0"/>
              <w:rPr>
                <w:sz w:val="11"/>
                <w:szCs w:val="11"/>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2,427</w:t>
            </w:r>
          </w:p>
        </w:tc>
        <w:tc>
          <w:tcPr>
            <w:tcW w:w="28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3,213</w:t>
            </w:r>
          </w:p>
        </w:tc>
      </w:tr>
      <w:tr>
        <w:trPr>
          <w:trHeight w:val="137"/>
        </w:trPr>
        <w:tc>
          <w:tcPr>
            <w:tcW w:w="3820" w:type="dxa"/>
            <w:vAlign w:val="bottom"/>
          </w:tcPr>
          <w:p>
            <w:pPr>
              <w:ind w:left="280"/>
              <w:spacing w:after="0"/>
              <w:rPr>
                <w:sz w:val="20"/>
                <w:szCs w:val="20"/>
                <w:color w:val="auto"/>
              </w:rPr>
            </w:pPr>
            <w:r>
              <w:rPr>
                <w:rFonts w:ascii="Courier New" w:cs="Courier New" w:eastAsia="Courier New" w:hAnsi="Courier New"/>
                <w:sz w:val="12"/>
                <w:szCs w:val="12"/>
                <w:color w:val="auto"/>
              </w:rPr>
              <w:t>Liability for employee rights upon severance</w:t>
            </w:r>
          </w:p>
        </w:tc>
        <w:tc>
          <w:tcPr>
            <w:tcW w:w="500" w:type="dxa"/>
            <w:vAlign w:val="bottom"/>
          </w:tcPr>
          <w:p>
            <w:pPr>
              <w:spacing w:after="0"/>
              <w:rPr>
                <w:sz w:val="11"/>
                <w:szCs w:val="11"/>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957</w:t>
            </w:r>
          </w:p>
        </w:tc>
        <w:tc>
          <w:tcPr>
            <w:tcW w:w="28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918</w:t>
            </w:r>
          </w:p>
        </w:tc>
      </w:tr>
    </w:tbl>
    <w:p>
      <w:pPr>
        <w:sectPr>
          <w:pgSz w:w="11900" w:h="16906" w:orient="portrait"/>
          <w:cols w:equalWidth="0" w:num="1">
            <w:col w:w="10239"/>
          </w:cols>
          <w:pgMar w:left="220" w:top="138" w:right="1440" w:bottom="0" w:gutter="0" w:footer="0" w:header="0"/>
        </w:sectPr>
      </w:pPr>
    </w:p>
    <w:bookmarkStart w:id="75" w:name="page76"/>
    <w:bookmarkEnd w:id="75"/>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02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168,384</w:t>
            </w:r>
          </w:p>
        </w:tc>
        <w:tc>
          <w:tcPr>
            <w:tcW w:w="28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116,278</w:t>
            </w:r>
          </w:p>
        </w:tc>
      </w:tr>
      <w:tr>
        <w:trPr>
          <w:trHeight w:val="137"/>
        </w:trPr>
        <w:tc>
          <w:tcPr>
            <w:tcW w:w="4020" w:type="dxa"/>
            <w:vAlign w:val="bottom"/>
          </w:tcPr>
          <w:p>
            <w:pPr>
              <w:ind w:left="280"/>
              <w:spacing w:after="0"/>
              <w:rPr>
                <w:sz w:val="20"/>
                <w:szCs w:val="20"/>
                <w:color w:val="auto"/>
              </w:rPr>
            </w:pPr>
            <w:r>
              <w:rPr>
                <w:rFonts w:ascii="Courier New" w:cs="Courier New" w:eastAsia="Courier New" w:hAnsi="Courier New"/>
                <w:sz w:val="12"/>
                <w:szCs w:val="12"/>
                <w:color w:val="auto"/>
              </w:rPr>
              <w:t>Valuation allowance</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(118,321)</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(75,613)</w:t>
            </w:r>
          </w:p>
        </w:tc>
      </w:tr>
      <w:tr>
        <w:trPr>
          <w:trHeight w:val="137"/>
        </w:trPr>
        <w:tc>
          <w:tcPr>
            <w:tcW w:w="402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50,063</w:t>
            </w:r>
          </w:p>
        </w:tc>
        <w:tc>
          <w:tcPr>
            <w:tcW w:w="28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40,665</w:t>
            </w:r>
          </w:p>
        </w:tc>
      </w:tr>
      <w:tr>
        <w:trPr>
          <w:trHeight w:val="137"/>
        </w:trPr>
        <w:tc>
          <w:tcPr>
            <w:tcW w:w="4020" w:type="dxa"/>
            <w:vAlign w:val="bottom"/>
          </w:tcPr>
          <w:p>
            <w:pPr>
              <w:jc w:val="center"/>
              <w:ind w:right="121"/>
              <w:spacing w:after="0"/>
              <w:rPr>
                <w:sz w:val="20"/>
                <w:szCs w:val="20"/>
                <w:color w:val="auto"/>
              </w:rPr>
            </w:pPr>
            <w:r>
              <w:rPr>
                <w:rFonts w:ascii="Courier New" w:cs="Courier New" w:eastAsia="Courier New" w:hAnsi="Courier New"/>
                <w:sz w:val="12"/>
                <w:szCs w:val="12"/>
                <w:color w:val="auto"/>
                <w:w w:val="98"/>
              </w:rPr>
              <w:t>Deferred tax liability - depreciation and amortization</w:t>
            </w:r>
          </w:p>
        </w:tc>
        <w:tc>
          <w:tcPr>
            <w:tcW w:w="26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(50,063)</w:t>
            </w:r>
          </w:p>
        </w:tc>
        <w:tc>
          <w:tcPr>
            <w:tcW w:w="2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(40,665)</w:t>
            </w:r>
          </w:p>
        </w:tc>
      </w:tr>
      <w:tr>
        <w:trPr>
          <w:trHeight w:val="137"/>
        </w:trPr>
        <w:tc>
          <w:tcPr>
            <w:tcW w:w="402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020" w:type="dxa"/>
            <w:vAlign w:val="bottom"/>
          </w:tcPr>
          <w:p>
            <w:pPr>
              <w:jc w:val="center"/>
              <w:ind w:right="121"/>
              <w:spacing w:after="0"/>
              <w:rPr>
                <w:sz w:val="20"/>
                <w:szCs w:val="20"/>
                <w:color w:val="auto"/>
              </w:rPr>
            </w:pPr>
            <w:r>
              <w:rPr>
                <w:rFonts w:ascii="Courier New" w:cs="Courier New" w:eastAsia="Courier New" w:hAnsi="Courier New"/>
                <w:sz w:val="12"/>
                <w:szCs w:val="12"/>
                <w:color w:val="auto"/>
                <w:w w:val="98"/>
              </w:rPr>
              <w:t>Total net long-term deferred tax benefit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02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hanging="350"/>
        <w:spacing w:after="0"/>
        <w:tabs>
          <w:tab w:leader="none" w:pos="700"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EFFECTIVE INCOME TAX RATES</w:t>
      </w:r>
    </w:p>
    <w:p>
      <w:pPr>
        <w:spacing w:after="0" w:line="141" w:lineRule="exact"/>
        <w:rPr>
          <w:rFonts w:ascii="Courier New" w:cs="Courier New" w:eastAsia="Courier New" w:hAnsi="Courier New"/>
          <w:sz w:val="12"/>
          <w:szCs w:val="12"/>
          <w:color w:val="auto"/>
        </w:rPr>
      </w:pPr>
    </w:p>
    <w:p>
      <w:pPr>
        <w:ind w:left="700" w:right="517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reconciliation of the statutory tax rate to the Company's effective tax rate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2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Year ended December</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31,</w:t>
            </w:r>
          </w:p>
        </w:tc>
      </w:tr>
      <w:tr>
        <w:trPr>
          <w:trHeight w:val="137"/>
        </w:trPr>
        <w:tc>
          <w:tcPr>
            <w:tcW w:w="3020" w:type="dxa"/>
            <w:vAlign w:val="bottom"/>
          </w:tcPr>
          <w:p>
            <w:pPr>
              <w:spacing w:after="0"/>
              <w:rPr>
                <w:sz w:val="11"/>
                <w:szCs w:val="11"/>
                <w:color w:val="auto"/>
              </w:rPr>
            </w:pPr>
          </w:p>
        </w:tc>
        <w:tc>
          <w:tcPr>
            <w:tcW w:w="196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tcPr>
          <w:p>
            <w:pPr>
              <w:spacing w:after="0"/>
              <w:rPr>
                <w:sz w:val="11"/>
                <w:szCs w:val="11"/>
                <w:color w:val="auto"/>
              </w:rPr>
            </w:pPr>
          </w:p>
        </w:tc>
        <w:tc>
          <w:tcPr>
            <w:tcW w:w="7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2005</w:t>
            </w:r>
          </w:p>
        </w:tc>
        <w:tc>
          <w:tcPr>
            <w:tcW w:w="9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2004</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w w:val="90"/>
              </w:rPr>
              <w:t>2003</w:t>
            </w:r>
          </w:p>
        </w:tc>
      </w:tr>
      <w:tr>
        <w:trPr>
          <w:trHeight w:val="137"/>
        </w:trPr>
        <w:tc>
          <w:tcPr>
            <w:tcW w:w="3020" w:type="dxa"/>
            <w:vAlign w:val="bottom"/>
          </w:tcPr>
          <w:p>
            <w:pPr>
              <w:spacing w:after="0"/>
              <w:rPr>
                <w:sz w:val="11"/>
                <w:szCs w:val="11"/>
                <w:color w:val="auto"/>
              </w:rPr>
            </w:pPr>
          </w:p>
        </w:tc>
        <w:tc>
          <w:tcPr>
            <w:tcW w:w="7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w w:val="90"/>
              </w:rPr>
              <w:t>----</w:t>
            </w:r>
          </w:p>
        </w:tc>
      </w:tr>
      <w:tr>
        <w:trPr>
          <w:trHeight w:val="137"/>
        </w:trPr>
        <w:tc>
          <w:tcPr>
            <w:tcW w:w="3020" w:type="dxa"/>
            <w:vAlign w:val="bottom"/>
          </w:tcPr>
          <w:p>
            <w:pPr>
              <w:spacing w:after="0"/>
              <w:rPr>
                <w:sz w:val="20"/>
                <w:szCs w:val="20"/>
                <w:color w:val="auto"/>
              </w:rPr>
            </w:pPr>
            <w:r>
              <w:rPr>
                <w:rFonts w:ascii="Courier New" w:cs="Courier New" w:eastAsia="Courier New" w:hAnsi="Courier New"/>
                <w:sz w:val="12"/>
                <w:szCs w:val="12"/>
                <w:color w:val="auto"/>
              </w:rPr>
              <w:t>Israeli statutory rate</w:t>
            </w:r>
          </w:p>
        </w:tc>
        <w:tc>
          <w:tcPr>
            <w:tcW w:w="7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(34)%</w:t>
            </w:r>
          </w:p>
        </w:tc>
        <w:tc>
          <w:tcPr>
            <w:tcW w:w="90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(35)%</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w w:val="88"/>
              </w:rPr>
              <w:t>(36)%</w:t>
            </w:r>
          </w:p>
        </w:tc>
      </w:tr>
      <w:tr>
        <w:trPr>
          <w:trHeight w:val="137"/>
        </w:trPr>
        <w:tc>
          <w:tcPr>
            <w:tcW w:w="3020" w:type="dxa"/>
            <w:vAlign w:val="bottom"/>
          </w:tcPr>
          <w:p>
            <w:pPr>
              <w:spacing w:after="0"/>
              <w:rPr>
                <w:sz w:val="20"/>
                <w:szCs w:val="20"/>
                <w:color w:val="auto"/>
              </w:rPr>
            </w:pPr>
            <w:r>
              <w:rPr>
                <w:rFonts w:ascii="Courier New" w:cs="Courier New" w:eastAsia="Courier New" w:hAnsi="Courier New"/>
                <w:sz w:val="12"/>
                <w:szCs w:val="12"/>
                <w:color w:val="auto"/>
              </w:rPr>
              <w:t>Reduced tax rate for approved enterprise</w:t>
            </w:r>
          </w:p>
        </w:tc>
        <w:tc>
          <w:tcPr>
            <w:tcW w:w="7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14</w:t>
            </w:r>
          </w:p>
        </w:tc>
        <w:tc>
          <w:tcPr>
            <w:tcW w:w="9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15</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w:t>
            </w:r>
          </w:p>
        </w:tc>
      </w:tr>
      <w:tr>
        <w:trPr>
          <w:trHeight w:val="137"/>
        </w:trPr>
        <w:tc>
          <w:tcPr>
            <w:tcW w:w="3020" w:type="dxa"/>
            <w:vAlign w:val="bottom"/>
          </w:tcPr>
          <w:p>
            <w:pPr>
              <w:spacing w:after="0"/>
              <w:rPr>
                <w:sz w:val="20"/>
                <w:szCs w:val="20"/>
                <w:color w:val="auto"/>
              </w:rPr>
            </w:pPr>
            <w:r>
              <w:rPr>
                <w:rFonts w:ascii="Courier New" w:cs="Courier New" w:eastAsia="Courier New" w:hAnsi="Courier New"/>
                <w:sz w:val="12"/>
                <w:szCs w:val="12"/>
                <w:color w:val="auto"/>
              </w:rPr>
              <w:t>Tax benefits for which deferred taxes</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3020" w:type="dxa"/>
            <w:vAlign w:val="bottom"/>
          </w:tcPr>
          <w:p>
            <w:pPr>
              <w:ind w:left="280"/>
              <w:spacing w:after="0"/>
              <w:rPr>
                <w:sz w:val="20"/>
                <w:szCs w:val="20"/>
                <w:color w:val="auto"/>
              </w:rPr>
            </w:pPr>
            <w:r>
              <w:rPr>
                <w:rFonts w:ascii="Courier New" w:cs="Courier New" w:eastAsia="Courier New" w:hAnsi="Courier New"/>
                <w:sz w:val="12"/>
                <w:szCs w:val="12"/>
                <w:color w:val="auto"/>
              </w:rPr>
              <w:t>were not recorded</w:t>
            </w:r>
          </w:p>
        </w:tc>
        <w:tc>
          <w:tcPr>
            <w:tcW w:w="7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21</w:t>
            </w:r>
          </w:p>
        </w:tc>
        <w:tc>
          <w:tcPr>
            <w:tcW w:w="9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23</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w:t>
            </w:r>
          </w:p>
        </w:tc>
      </w:tr>
      <w:tr>
        <w:trPr>
          <w:trHeight w:val="137"/>
        </w:trPr>
        <w:tc>
          <w:tcPr>
            <w:tcW w:w="3020" w:type="dxa"/>
            <w:vAlign w:val="bottom"/>
          </w:tcPr>
          <w:p>
            <w:pPr>
              <w:spacing w:after="0"/>
              <w:rPr>
                <w:sz w:val="20"/>
                <w:szCs w:val="20"/>
                <w:color w:val="auto"/>
              </w:rPr>
            </w:pPr>
            <w:r>
              <w:rPr>
                <w:rFonts w:ascii="Courier New" w:cs="Courier New" w:eastAsia="Courier New" w:hAnsi="Courier New"/>
                <w:sz w:val="12"/>
                <w:szCs w:val="12"/>
                <w:color w:val="auto"/>
              </w:rPr>
              <w:t>Permanent differences and other, net</w:t>
            </w:r>
          </w:p>
        </w:tc>
        <w:tc>
          <w:tcPr>
            <w:tcW w:w="7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w:t>
            </w:r>
          </w:p>
        </w:tc>
        <w:tc>
          <w:tcPr>
            <w:tcW w:w="9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(3)</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w:t>
            </w:r>
          </w:p>
        </w:tc>
      </w:tr>
      <w:tr>
        <w:trPr>
          <w:trHeight w:val="137"/>
        </w:trPr>
        <w:tc>
          <w:tcPr>
            <w:tcW w:w="3020" w:type="dxa"/>
            <w:vAlign w:val="bottom"/>
          </w:tcPr>
          <w:p>
            <w:pPr>
              <w:spacing w:after="0"/>
              <w:rPr>
                <w:sz w:val="11"/>
                <w:szCs w:val="11"/>
                <w:color w:val="auto"/>
              </w:rPr>
            </w:pPr>
          </w:p>
        </w:tc>
        <w:tc>
          <w:tcPr>
            <w:tcW w:w="7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3"/>
              </w:rPr>
              <w:t>---</w:t>
            </w:r>
          </w:p>
        </w:tc>
      </w:tr>
      <w:tr>
        <w:trPr>
          <w:trHeight w:val="137"/>
        </w:trPr>
        <w:tc>
          <w:tcPr>
            <w:tcW w:w="3020" w:type="dxa"/>
            <w:vAlign w:val="bottom"/>
          </w:tcPr>
          <w:p>
            <w:pPr>
              <w:spacing w:after="0"/>
              <w:rPr>
                <w:sz w:val="11"/>
                <w:szCs w:val="11"/>
                <w:color w:val="auto"/>
              </w:rPr>
            </w:pPr>
          </w:p>
        </w:tc>
        <w:tc>
          <w:tcPr>
            <w:tcW w:w="7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tcPr>
          <w:p>
            <w:pPr>
              <w:spacing w:after="0"/>
              <w:rPr>
                <w:sz w:val="11"/>
                <w:szCs w:val="11"/>
                <w:color w:val="auto"/>
              </w:rPr>
            </w:pPr>
          </w:p>
        </w:tc>
        <w:tc>
          <w:tcPr>
            <w:tcW w:w="7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3"/>
              </w:rPr>
              <w:t>===</w:t>
            </w:r>
          </w:p>
        </w:tc>
      </w:tr>
    </w:tbl>
    <w:p>
      <w:pPr>
        <w:spacing w:after="0" w:line="139" w:lineRule="exact"/>
        <w:rPr>
          <w:sz w:val="20"/>
          <w:szCs w:val="20"/>
          <w:color w:val="auto"/>
        </w:rPr>
      </w:pPr>
    </w:p>
    <w:p>
      <w:pPr>
        <w:ind w:left="700" w:hanging="350"/>
        <w:spacing w:after="0"/>
        <w:tabs>
          <w:tab w:leader="none" w:pos="70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OPERATING LOSS CARRYFORWARD</w:t>
      </w:r>
    </w:p>
    <w:p>
      <w:pPr>
        <w:spacing w:after="0" w:line="141" w:lineRule="exact"/>
        <w:rPr>
          <w:rFonts w:ascii="Courier New" w:cs="Courier New" w:eastAsia="Courier New" w:hAnsi="Courier New"/>
          <w:sz w:val="12"/>
          <w:szCs w:val="12"/>
          <w:color w:val="auto"/>
        </w:rPr>
      </w:pPr>
    </w:p>
    <w:p>
      <w:pPr>
        <w:ind w:left="700" w:right="453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2005, the Company had net operating loss carryforwards for tax purposes of approximately $825,000, which may be carried forward for an unlimited period of time.</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FINAL TAX ASSESSMENTS</w:t>
      </w:r>
    </w:p>
    <w:p>
      <w:pPr>
        <w:spacing w:after="0" w:line="141" w:lineRule="exact"/>
        <w:rPr>
          <w:rFonts w:ascii="Courier New" w:cs="Courier New" w:eastAsia="Courier New" w:hAnsi="Courier New"/>
          <w:sz w:val="12"/>
          <w:szCs w:val="12"/>
          <w:color w:val="auto"/>
        </w:rPr>
      </w:pPr>
    </w:p>
    <w:p>
      <w:pPr>
        <w:ind w:left="700" w:right="475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possesses final tax assessments under agreement through the year 1998. In addition, the tax assessments for the years 1999-2001 are deemed final.</w:t>
      </w:r>
    </w:p>
    <w:p>
      <w:pPr>
        <w:spacing w:after="0" w:line="27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- 44</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18 - FINANCIAL INSTRUMENTS</w:t>
      </w:r>
    </w:p>
    <w:p>
      <w:pPr>
        <w:spacing w:after="0" w:line="141" w:lineRule="exact"/>
        <w:rPr>
          <w:sz w:val="20"/>
          <w:szCs w:val="20"/>
          <w:color w:val="auto"/>
        </w:rPr>
      </w:pPr>
    </w:p>
    <w:p>
      <w:pPr>
        <w:ind w:left="360" w:right="4679"/>
        <w:spacing w:after="0" w:line="241" w:lineRule="auto"/>
        <w:rPr>
          <w:sz w:val="20"/>
          <w:szCs w:val="20"/>
          <w:color w:val="auto"/>
        </w:rPr>
      </w:pPr>
      <w:r>
        <w:rPr>
          <w:rFonts w:ascii="Courier New" w:cs="Courier New" w:eastAsia="Courier New" w:hAnsi="Courier New"/>
          <w:sz w:val="12"/>
          <w:szCs w:val="12"/>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42" w:lineRule="exact"/>
        <w:rPr>
          <w:sz w:val="20"/>
          <w:szCs w:val="20"/>
          <w:color w:val="auto"/>
        </w:rPr>
      </w:pPr>
    </w:p>
    <w:p>
      <w:pPr>
        <w:ind w:left="360" w:right="4539"/>
        <w:spacing w:after="0" w:line="241" w:lineRule="auto"/>
        <w:rPr>
          <w:sz w:val="20"/>
          <w:szCs w:val="20"/>
          <w:color w:val="auto"/>
        </w:rPr>
      </w:pPr>
      <w:r>
        <w:rPr>
          <w:rFonts w:ascii="Courier New" w:cs="Courier New" w:eastAsia="Courier New" w:hAnsi="Courier New"/>
          <w:sz w:val="12"/>
          <w:szCs w:val="12"/>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41" w:lineRule="exact"/>
        <w:rPr>
          <w:sz w:val="20"/>
          <w:szCs w:val="20"/>
          <w:color w:val="auto"/>
        </w:rPr>
      </w:pPr>
    </w:p>
    <w:p>
      <w:pPr>
        <w:ind w:left="360" w:right="4599"/>
        <w:spacing w:after="0" w:line="238" w:lineRule="auto"/>
        <w:rPr>
          <w:sz w:val="20"/>
          <w:szCs w:val="20"/>
          <w:color w:val="auto"/>
        </w:rPr>
      </w:pPr>
      <w:r>
        <w:rPr>
          <w:rFonts w:ascii="Courier New" w:cs="Courier New" w:eastAsia="Courier New" w:hAnsi="Courier New"/>
          <w:sz w:val="12"/>
          <w:szCs w:val="12"/>
          <w:color w:val="auto"/>
        </w:rPr>
        <w:t>See Note 20D for disclosure related to the Company's derivatives financial instruments in accordance with U.S. GAAP.</w:t>
      </w:r>
    </w:p>
    <w:p>
      <w:pPr>
        <w:spacing w:after="0" w:line="139" w:lineRule="exact"/>
        <w:rPr>
          <w:sz w:val="20"/>
          <w:szCs w:val="20"/>
          <w:color w:val="auto"/>
        </w:rPr>
      </w:pPr>
    </w:p>
    <w:p>
      <w:pPr>
        <w:ind w:left="700" w:hanging="350"/>
        <w:spacing w:after="0"/>
        <w:tabs>
          <w:tab w:leader="none" w:pos="700"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145"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from time to time, enters into agreements to hedge variable interest rate exposure on long-term loans (see Note 8).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the results of operations on a straight-line basis. When the related debt is issued in connection with the acquisition of assets not yet placed into operations, interest costs and gains and losses on the derivative contracts are capitalized to the related asset.</w:t>
      </w:r>
    </w:p>
    <w:p>
      <w:pPr>
        <w:spacing w:after="0" w:line="146" w:lineRule="exact"/>
        <w:rPr>
          <w:rFonts w:ascii="Courier New" w:cs="Courier New" w:eastAsia="Courier New" w:hAnsi="Courier New"/>
          <w:sz w:val="12"/>
          <w:szCs w:val="12"/>
          <w:color w:val="auto"/>
        </w:rPr>
      </w:pPr>
    </w:p>
    <w:p>
      <w:pPr>
        <w:ind w:left="700" w:right="475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does not hold or issue derivative financial instruments for non-hedging purposes.</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- 45</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18 - FINANCIAL INSTRUMENTS (cont.)</w:t>
      </w:r>
    </w:p>
    <w:p>
      <w:pPr>
        <w:spacing w:after="0" w:line="139" w:lineRule="exact"/>
        <w:rPr>
          <w:sz w:val="20"/>
          <w:szCs w:val="20"/>
          <w:color w:val="auto"/>
        </w:rPr>
      </w:pPr>
    </w:p>
    <w:p>
      <w:pPr>
        <w:ind w:left="700" w:hanging="350"/>
        <w:spacing w:after="0"/>
        <w:tabs>
          <w:tab w:leader="none" w:pos="700" w:val="left"/>
        </w:tabs>
        <w:numPr>
          <w:ilvl w:val="0"/>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CREDIT RISK OF FINANCIAL INSTRUMENTS, INCLUDING DERIVATIVES</w:t>
      </w:r>
    </w:p>
    <w:p>
      <w:pPr>
        <w:spacing w:after="0" w:line="141" w:lineRule="exact"/>
        <w:rPr>
          <w:rFonts w:ascii="Courier New" w:cs="Courier New" w:eastAsia="Courier New" w:hAnsi="Courier New"/>
          <w:sz w:val="12"/>
          <w:szCs w:val="12"/>
          <w:color w:val="auto"/>
        </w:rPr>
      </w:pPr>
    </w:p>
    <w:p>
      <w:pPr>
        <w:ind w:left="700" w:right="467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face or contract amounts of derivatives do not represent amounts exchanged by the parties and, accordingly, are not a measure of the exposure of the Company through its use of derivatives.</w:t>
      </w:r>
    </w:p>
    <w:p>
      <w:pPr>
        <w:spacing w:after="0" w:line="125" w:lineRule="exact"/>
        <w:rPr>
          <w:rFonts w:ascii="Courier New" w:cs="Courier New" w:eastAsia="Courier New" w:hAnsi="Courier New"/>
          <w:sz w:val="12"/>
          <w:szCs w:val="12"/>
          <w:color w:val="auto"/>
        </w:rPr>
      </w:pPr>
    </w:p>
    <w:p>
      <w:pPr>
        <w:ind w:left="700" w:right="4819"/>
        <w:spacing w:after="0" w:line="28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is exposed to credit-related losses in respect of derivative financial instruments in a manner similar to the credit</w:t>
      </w:r>
    </w:p>
    <w:p>
      <w:pPr>
        <w:sectPr>
          <w:pgSz w:w="11900" w:h="16926" w:orient="portrait"/>
          <w:cols w:equalWidth="0" w:num="1">
            <w:col w:w="10239"/>
          </w:cols>
          <w:pgMar w:left="220" w:top="138" w:right="1440" w:bottom="0" w:gutter="0" w:footer="0" w:header="0"/>
        </w:sectPr>
      </w:pPr>
    </w:p>
    <w:bookmarkStart w:id="76" w:name="page77"/>
    <w:bookmarkEnd w:id="76"/>
    <w:p>
      <w:pPr>
        <w:spacing w:after="0" w:line="8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risk involved in the realization or collection of other types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assets. In management's estimation, due to the fact that derivative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financial instrument transactions are entered into solely with</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financial institution counterparties, it is not expected that such</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counterparties will fail to meet their obligations. Substantially all</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remaining financial instruments held by the Company are due from</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governmental entities and, accordingly, the Company's credit risk in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respect thereof is negligible.</w:t>
      </w:r>
    </w:p>
    <w:p>
      <w:pPr>
        <w:spacing w:after="0" w:line="139" w:lineRule="exact"/>
        <w:rPr>
          <w:sz w:val="20"/>
          <w:szCs w:val="20"/>
          <w:color w:val="auto"/>
        </w:rPr>
      </w:pPr>
    </w:p>
    <w:p>
      <w:pPr>
        <w:ind w:left="700" w:hanging="350"/>
        <w:spacing w:after="0"/>
        <w:tabs>
          <w:tab w:leader="none" w:pos="700"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HEDGING ACTIVITIES IN THE FINANCIAL STATEMENTS</w:t>
      </w:r>
    </w:p>
    <w:p>
      <w:pPr>
        <w:spacing w:after="0" w:line="141" w:lineRule="exact"/>
        <w:rPr>
          <w:rFonts w:ascii="Courier New" w:cs="Courier New" w:eastAsia="Courier New" w:hAnsi="Courier New"/>
          <w:sz w:val="12"/>
          <w:szCs w:val="12"/>
          <w:color w:val="auto"/>
        </w:rPr>
      </w:pPr>
    </w:p>
    <w:p>
      <w:pPr>
        <w:ind w:left="1060" w:right="4599" w:hanging="353"/>
        <w:spacing w:after="0" w:line="266" w:lineRule="auto"/>
        <w:tabs>
          <w:tab w:leader="none" w:pos="1060" w:val="left"/>
        </w:tabs>
        <w:numPr>
          <w:ilvl w:val="1"/>
          <w:numId w:val="1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of December 31, 2005 and 2004, there were no outstanding foreign exchange agreements (options) to hedge exposure related to the purchase of machinery and equipment. During 2005, the Company did not enter into foreign exchange agreements (options) and accordingly there were no results of such agreements during that year. The loss resulted from these agreements in 2004 was immaterial. The agreements resulted in 2003 in a gain of $2,357 of which $1,663 was capitalized to fixed assets.</w:t>
      </w:r>
    </w:p>
    <w:p>
      <w:pPr>
        <w:spacing w:after="0" w:line="130" w:lineRule="exact"/>
        <w:rPr>
          <w:rFonts w:ascii="Courier New" w:cs="Courier New" w:eastAsia="Courier New" w:hAnsi="Courier New"/>
          <w:sz w:val="11"/>
          <w:szCs w:val="11"/>
          <w:color w:val="auto"/>
        </w:rPr>
      </w:pPr>
    </w:p>
    <w:p>
      <w:pPr>
        <w:ind w:left="1060" w:right="4539" w:hanging="353"/>
        <w:spacing w:after="0" w:line="241" w:lineRule="auto"/>
        <w:tabs>
          <w:tab w:leader="none" w:pos="1060"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2005 and 2004, the Company had outstanding agreements to hedge interest rate exposure on loans drawn down under the Facility Agreement, the aggregate amount of which was $292,000, all of which is attributable to Fab 2. These agreements resulted in 2005 and 2004 in a loss of $1,756 and $5,629, respectively, and in 2003 in a loss of $5,335, out of which $2,547 was capitalized to property and equipment.</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FAIR VALUE OF FINANCIAL INSTRUMENTS</w:t>
      </w:r>
    </w:p>
    <w:p>
      <w:pPr>
        <w:spacing w:after="0" w:line="141" w:lineRule="exact"/>
        <w:rPr>
          <w:rFonts w:ascii="Courier New" w:cs="Courier New" w:eastAsia="Courier New" w:hAnsi="Courier New"/>
          <w:sz w:val="12"/>
          <w:szCs w:val="12"/>
          <w:color w:val="auto"/>
        </w:rPr>
      </w:pPr>
    </w:p>
    <w:p>
      <w:pPr>
        <w:ind w:left="70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estimated fair values of the Company's financial instruments, excluding the Company's agreements to hedge interest rate exposure on long-term loans, did not materially differ from their respective carrying amounts as of December 31, 2005 and 2004. The fair value of the interest rate hedging transactions as of December 31, 2005 would have resulted in an unrealized capitalizable gain of $1,767 (as of December 31, 2004 - an unrealized capitalizable loss of $2,406).</w:t>
      </w:r>
    </w:p>
    <w:p>
      <w:pPr>
        <w:spacing w:after="0" w:line="27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- 46</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19 - RELATED PARTIES BALANCES AND TRANSACTIONS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00" w:type="dxa"/>
            <w:vAlign w:val="bottom"/>
          </w:tcPr>
          <w:p>
            <w:pPr>
              <w:ind w:left="360"/>
              <w:spacing w:after="0"/>
              <w:rPr>
                <w:sz w:val="20"/>
                <w:szCs w:val="20"/>
                <w:color w:val="auto"/>
              </w:rPr>
            </w:pPr>
            <w:r>
              <w:rPr>
                <w:rFonts w:ascii="Courier New" w:cs="Courier New" w:eastAsia="Courier New" w:hAnsi="Courier New"/>
                <w:sz w:val="12"/>
                <w:szCs w:val="12"/>
                <w:color w:val="auto"/>
              </w:rPr>
              <w:t>A.</w:t>
            </w:r>
          </w:p>
        </w:tc>
        <w:tc>
          <w:tcPr>
            <w:tcW w:w="2420" w:type="dxa"/>
            <w:vAlign w:val="bottom"/>
          </w:tcPr>
          <w:p>
            <w:pPr>
              <w:ind w:left="100"/>
              <w:spacing w:after="0"/>
              <w:rPr>
                <w:sz w:val="20"/>
                <w:szCs w:val="20"/>
                <w:color w:val="auto"/>
              </w:rPr>
            </w:pPr>
            <w:r>
              <w:rPr>
                <w:rFonts w:ascii="Courier New" w:cs="Courier New" w:eastAsia="Courier New" w:hAnsi="Courier New"/>
                <w:sz w:val="12"/>
                <w:szCs w:val="12"/>
                <w:color w:val="auto"/>
              </w:rPr>
              <w:t>BALANCES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4"/>
        </w:trPr>
        <w:tc>
          <w:tcPr>
            <w:tcW w:w="6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4"/>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4"/>
          </w:tcPr>
          <w:p>
            <w:pPr>
              <w:ind w:left="180"/>
              <w:spacing w:after="0"/>
              <w:rPr>
                <w:sz w:val="20"/>
                <w:szCs w:val="20"/>
                <w:color w:val="auto"/>
              </w:rPr>
            </w:pPr>
            <w:r>
              <w:rPr>
                <w:rFonts w:ascii="Courier New" w:cs="Courier New" w:eastAsia="Courier New" w:hAnsi="Courier New"/>
                <w:sz w:val="12"/>
                <w:szCs w:val="12"/>
                <w:color w:val="auto"/>
              </w:rPr>
              <w:t>-------------------</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2005</w:t>
            </w:r>
          </w:p>
        </w:tc>
        <w:tc>
          <w:tcPr>
            <w:tcW w:w="160" w:type="dxa"/>
            <w:vAlign w:val="bottom"/>
          </w:tcPr>
          <w:p>
            <w:pPr>
              <w:spacing w:after="0"/>
              <w:rPr>
                <w:sz w:val="11"/>
                <w:szCs w:val="11"/>
                <w:color w:val="auto"/>
              </w:rPr>
            </w:pP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0"/>
              </w:rPr>
              <w:t>2004</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Trade accounts receivable</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$ 5,309</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5"/>
              </w:rPr>
              <w:t>$ 9,054</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Current liabilities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188</w:t>
            </w:r>
          </w:p>
        </w:tc>
        <w:tc>
          <w:tcPr>
            <w:tcW w:w="1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Convertible debenture</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$25,493</w:t>
            </w:r>
          </w:p>
        </w:tc>
        <w:tc>
          <w:tcPr>
            <w:tcW w:w="1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3960" w:type="dxa"/>
            <w:vAlign w:val="bottom"/>
            <w:gridSpan w:val="4"/>
          </w:tcPr>
          <w:p>
            <w:pPr>
              <w:spacing w:after="0"/>
              <w:rPr>
                <w:sz w:val="20"/>
                <w:szCs w:val="20"/>
                <w:color w:val="auto"/>
              </w:rPr>
            </w:pPr>
            <w:r>
              <w:rPr>
                <w:rFonts w:ascii="Courier New" w:cs="Courier New" w:eastAsia="Courier New" w:hAnsi="Courier New"/>
                <w:sz w:val="12"/>
                <w:szCs w:val="12"/>
                <w:color w:val="auto"/>
              </w:rPr>
              <w:t>Long-term liability in respect of customers' advances</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$37,785</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5"/>
              </w:rPr>
              <w:t>$40,514</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Other long-term liabilities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$ 1,102</w:t>
            </w:r>
          </w:p>
        </w:tc>
        <w:tc>
          <w:tcPr>
            <w:tcW w:w="1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166</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600" w:type="dxa"/>
            <w:vAlign w:val="bottom"/>
          </w:tcPr>
          <w:p>
            <w:pPr>
              <w:ind w:left="360"/>
              <w:spacing w:after="0"/>
              <w:rPr>
                <w:sz w:val="20"/>
                <w:szCs w:val="20"/>
                <w:color w:val="auto"/>
              </w:rPr>
            </w:pPr>
            <w:r>
              <w:rPr>
                <w:rFonts w:ascii="Courier New" w:cs="Courier New" w:eastAsia="Courier New" w:hAnsi="Courier New"/>
                <w:sz w:val="12"/>
                <w:szCs w:val="12"/>
                <w:color w:val="auto"/>
              </w:rPr>
              <w:t>B.</w:t>
            </w:r>
          </w:p>
        </w:tc>
        <w:tc>
          <w:tcPr>
            <w:tcW w:w="2420" w:type="dxa"/>
            <w:vAlign w:val="bottom"/>
          </w:tcPr>
          <w:p>
            <w:pPr>
              <w:ind w:left="100"/>
              <w:spacing w:after="0"/>
              <w:rPr>
                <w:sz w:val="20"/>
                <w:szCs w:val="20"/>
                <w:color w:val="auto"/>
              </w:rPr>
            </w:pPr>
            <w:r>
              <w:rPr>
                <w:rFonts w:ascii="Courier New" w:cs="Courier New" w:eastAsia="Courier New" w:hAnsi="Courier New"/>
                <w:sz w:val="12"/>
                <w:szCs w:val="12"/>
                <w:color w:val="auto"/>
              </w:rPr>
              <w:t>TRANSACTIONS</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4"/>
        </w:trPr>
        <w:tc>
          <w:tcPr>
            <w:tcW w:w="6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Year ended December</w:t>
            </w:r>
          </w:p>
        </w:tc>
        <w:tc>
          <w:tcPr>
            <w:tcW w:w="5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31,</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54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2005</w:t>
            </w:r>
          </w:p>
        </w:tc>
        <w:tc>
          <w:tcPr>
            <w:tcW w:w="280" w:type="dxa"/>
            <w:vAlign w:val="bottom"/>
          </w:tcPr>
          <w:p>
            <w:pPr>
              <w:spacing w:after="0"/>
              <w:rPr>
                <w:sz w:val="11"/>
                <w:szCs w:val="11"/>
                <w:color w:val="auto"/>
              </w:rPr>
            </w:pPr>
          </w:p>
        </w:tc>
        <w:tc>
          <w:tcPr>
            <w:tcW w:w="7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2004</w:t>
            </w:r>
          </w:p>
        </w:tc>
        <w:tc>
          <w:tcPr>
            <w:tcW w:w="160" w:type="dxa"/>
            <w:vAlign w:val="bottom"/>
          </w:tcPr>
          <w:p>
            <w:pPr>
              <w:spacing w:after="0"/>
              <w:rPr>
                <w:sz w:val="11"/>
                <w:szCs w:val="11"/>
                <w:color w:val="auto"/>
              </w:rPr>
            </w:pPr>
          </w:p>
        </w:tc>
        <w:tc>
          <w:tcPr>
            <w:tcW w:w="4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600" w:type="dxa"/>
            <w:vAlign w:val="bottom"/>
          </w:tcPr>
          <w:p>
            <w:pPr>
              <w:spacing w:after="0"/>
              <w:rPr>
                <w:sz w:val="20"/>
                <w:szCs w:val="20"/>
                <w:color w:val="auto"/>
              </w:rPr>
            </w:pPr>
            <w:r>
              <w:rPr>
                <w:rFonts w:ascii="Courier New" w:cs="Courier New" w:eastAsia="Courier New" w:hAnsi="Courier New"/>
                <w:sz w:val="12"/>
                <w:szCs w:val="12"/>
                <w:color w:val="auto"/>
              </w:rPr>
              <w:t>Sales</w:t>
            </w: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$ 33,456</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$ 37,521</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$13,282</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Management fees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120</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120</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240</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Expenses paid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47</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60</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99</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Royalties received - Note 11E(2)</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875</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225</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Application of customer advances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7"/>
        </w:trPr>
        <w:tc>
          <w:tcPr>
            <w:tcW w:w="30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towards purchases</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445</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870</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Equity conversion of customer advances -</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7"/>
        </w:trPr>
        <w:tc>
          <w:tcPr>
            <w:tcW w:w="30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Note 11A(5)</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1,794</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539</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Expense reimbursements received</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282</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Conversion of customer advances into</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7"/>
        </w:trPr>
        <w:tc>
          <w:tcPr>
            <w:tcW w:w="30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Long-term loans - Note 11A(5)</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936</w:t>
            </w:r>
          </w:p>
        </w:tc>
        <w:tc>
          <w:tcPr>
            <w:tcW w:w="28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166</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41" w:lineRule="exact"/>
        <w:rPr>
          <w:sz w:val="20"/>
          <w:szCs w:val="20"/>
          <w:color w:val="auto"/>
        </w:rPr>
      </w:pPr>
    </w:p>
    <w:p>
      <w:pPr>
        <w:ind w:left="700" w:right="4599" w:hanging="350"/>
        <w:spacing w:after="0" w:line="238" w:lineRule="auto"/>
        <w:tabs>
          <w:tab w:leader="none" w:pos="700"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commitments, contingencies and other transactions relating to Fab 2 Wafer Partner and Equity Investor agreements - see Note 11A.</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- 47</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w:t>
      </w:r>
    </w:p>
    <w:p>
      <w:pPr>
        <w:spacing w:after="0" w:line="141" w:lineRule="exact"/>
        <w:rPr>
          <w:sz w:val="20"/>
          <w:szCs w:val="20"/>
          <w:color w:val="auto"/>
        </w:rPr>
      </w:pPr>
    </w:p>
    <w:p>
      <w:pPr>
        <w:ind w:left="360" w:right="4539"/>
        <w:spacing w:after="0"/>
        <w:rPr>
          <w:sz w:val="20"/>
          <w:szCs w:val="20"/>
          <w:color w:val="auto"/>
        </w:rPr>
      </w:pPr>
      <w:r>
        <w:rPr>
          <w:rFonts w:ascii="Courier New" w:cs="Courier New" w:eastAsia="Courier New" w:hAnsi="Courier New"/>
          <w:sz w:val="12"/>
          <w:szCs w:val="12"/>
          <w:color w:val="auto"/>
        </w:rPr>
        <w:t>With regard to the Company's financial statements, the material differences between GAAP in Israel and in the U.S. relate to the following. See H below for the presentation of the Company's balance sheets as of December 31, 2005 and 2004 in accordance with U.S. GAAP.</w:t>
      </w:r>
    </w:p>
    <w:p>
      <w:pPr>
        <w:spacing w:after="0" w:line="140" w:lineRule="exact"/>
        <w:rPr>
          <w:sz w:val="20"/>
          <w:szCs w:val="20"/>
          <w:color w:val="auto"/>
        </w:rPr>
      </w:pPr>
    </w:p>
    <w:p>
      <w:pPr>
        <w:ind w:left="700" w:hanging="350"/>
        <w:spacing w:after="0"/>
        <w:tabs>
          <w:tab w:leader="none" w:pos="700"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FASB</w:t>
      </w:r>
    </w:p>
    <w:p>
      <w:pPr>
        <w:spacing w:after="0" w:line="141" w:lineRule="exact"/>
        <w:rPr>
          <w:rFonts w:ascii="Courier New" w:cs="Courier New" w:eastAsia="Courier New" w:hAnsi="Courier New"/>
          <w:sz w:val="12"/>
          <w:szCs w:val="12"/>
          <w:color w:val="auto"/>
        </w:rPr>
      </w:pPr>
    </w:p>
    <w:p>
      <w:pPr>
        <w:jc w:val="both"/>
        <w:ind w:left="1060" w:right="4959" w:hanging="353"/>
        <w:spacing w:after="0" w:line="264" w:lineRule="auto"/>
        <w:tabs>
          <w:tab w:leader="none" w:pos="1060" w:val="left"/>
        </w:tabs>
        <w:numPr>
          <w:ilvl w:val="1"/>
          <w:numId w:val="134"/>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151 - INVENTORY COSTS, AN AMENDMENT OF ARB NO. 43, CHAPTER 4 - In November 2004, the FASB issued SFAS No. 151,</w:t>
      </w:r>
    </w:p>
    <w:p>
      <w:pPr>
        <w:ind w:left="1060" w:right="4679"/>
        <w:spacing w:after="0" w:line="269"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"INVENTORY COSTS, AN AMENDMENT OF ARB NO. 43, CHAPTER 4". SFAS No. 151 amends the guidance in ARB 43, Chapter 4, "Inventory Pricing", which provides guidance on the allocation of certain costs to inventory. SFAS 151 clarifies that abnormal amounts of</w:t>
      </w:r>
    </w:p>
    <w:p>
      <w:pPr>
        <w:sectPr>
          <w:pgSz w:w="11900" w:h="16920" w:orient="portrait"/>
          <w:cols w:equalWidth="0" w:num="1">
            <w:col w:w="10239"/>
          </w:cols>
          <w:pgMar w:left="220" w:top="138" w:right="1440" w:bottom="0" w:gutter="0" w:footer="0" w:header="0"/>
        </w:sectPr>
      </w:pPr>
    </w:p>
    <w:bookmarkStart w:id="77" w:name="page78"/>
    <w:bookmarkEnd w:id="77"/>
    <w:p>
      <w:pPr>
        <w:spacing w:after="0" w:line="67"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idle facility expense, freight, handling costs, and wasted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material (spoilage) should be recognized as current-period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charges. In addition, SFAS 151 requires that allocation of fixed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production overheads to the costs of conversion be based on the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normal capacity of the production facilities. The provisions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this statement are effective for inventory costs incurred during</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fiscal years beginning after June 2005. The provisions of this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statement shall be applied prospectively. This Standard is not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expected to have a material effect on the Company's financial</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position or results of operations.</w:t>
      </w:r>
    </w:p>
    <w:p>
      <w:pPr>
        <w:spacing w:after="0" w:line="141" w:lineRule="exact"/>
        <w:rPr>
          <w:sz w:val="20"/>
          <w:szCs w:val="20"/>
          <w:color w:val="auto"/>
        </w:rPr>
      </w:pPr>
    </w:p>
    <w:p>
      <w:pPr>
        <w:ind w:left="1060" w:right="4539" w:hanging="353"/>
        <w:spacing w:after="0" w:line="241" w:lineRule="auto"/>
        <w:tabs>
          <w:tab w:leader="none" w:pos="1060"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123 (REVISED 2004) "SHARE BASED PAYMENTS" - In December 2004, the FASB issued SFAS No. 123 (revised 2004) "SHARE BASED PAYMENTS" ("SFAS 123(R)"). This Statement is a revision of FASB Statement No. 123, "Accounting for Stock-Based Compensation", which supersedes APB Opinion No. 25, "Accounting for Stock Issued to Employees" and its authoritative interpretations.</w:t>
      </w:r>
    </w:p>
    <w:p>
      <w:pPr>
        <w:spacing w:after="0" w:line="141"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123(R) establishes standards for the accounting for transactions in which an entity exchanges its equity instruments for goods or services; focuses primarily on accounting for transactions in which an entity obtains employee and directors services in share-based payment transactions; and does not change the accounting guidance for share-based payment transactions with parties other than employees.</w:t>
      </w:r>
    </w:p>
    <w:p>
      <w:pPr>
        <w:spacing w:after="0" w:line="142" w:lineRule="exact"/>
        <w:rPr>
          <w:rFonts w:ascii="Courier New" w:cs="Courier New" w:eastAsia="Courier New" w:hAnsi="Courier New"/>
          <w:sz w:val="12"/>
          <w:szCs w:val="12"/>
          <w:color w:val="auto"/>
        </w:rPr>
      </w:pPr>
    </w:p>
    <w:p>
      <w:pPr>
        <w:ind w:left="106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123(R) eliminates the alternative to use APB 25's intrinsic value method of accounting that was provided in SFAS 123 as originally issued and requires to measure the cost of employee services received in exchange for an award of equity instruments based on the grant-date fair value of the award. The fair-value-based method in this Statement is similar to the fair-value-based method in SFAS 123 in most respects. The costs associated with the awards will be recognized over the period during which an employee is required to provide service in exchange for the award - the requisite service period (usually the vesting period).</w:t>
      </w:r>
    </w:p>
    <w:p>
      <w:pPr>
        <w:spacing w:after="0" w:line="145" w:lineRule="exact"/>
        <w:rPr>
          <w:rFonts w:ascii="Courier New" w:cs="Courier New" w:eastAsia="Courier New" w:hAnsi="Courier New"/>
          <w:sz w:val="12"/>
          <w:szCs w:val="12"/>
          <w:color w:val="auto"/>
        </w:rPr>
      </w:pPr>
    </w:p>
    <w:p>
      <w:pPr>
        <w:ind w:left="106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grant-date fair value of employee share options and similar instruments will be estimated using option-pricing models adjusted for the unique characteristics of those instruments (unless observable market prices for the same or similar instruments are available). If an equity award is modified after the grant date, incremental compensation cost will be recognized in an amount equal to the excess of the fair value of the modified award over the fair value of the original award immediately before the modification.</w:t>
      </w:r>
    </w:p>
    <w:p>
      <w:pPr>
        <w:spacing w:after="0" w:line="278"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- 48</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39" w:lineRule="exact"/>
        <w:rPr>
          <w:sz w:val="20"/>
          <w:szCs w:val="20"/>
          <w:color w:val="auto"/>
        </w:rPr>
      </w:pPr>
    </w:p>
    <w:p>
      <w:pPr>
        <w:ind w:left="700" w:hanging="350"/>
        <w:spacing w:after="0"/>
        <w:tabs>
          <w:tab w:leader="none" w:pos="700"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FASB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123 (REVISED 2004) "SHARE BASED PAYMENTS" (cont.)</w:t>
      </w:r>
    </w:p>
    <w:p>
      <w:pPr>
        <w:spacing w:after="0" w:line="141" w:lineRule="exact"/>
        <w:rPr>
          <w:rFonts w:ascii="Courier New" w:cs="Courier New" w:eastAsia="Courier New" w:hAnsi="Courier New"/>
          <w:sz w:val="12"/>
          <w:szCs w:val="12"/>
          <w:color w:val="auto"/>
        </w:rPr>
      </w:pPr>
    </w:p>
    <w:p>
      <w:pPr>
        <w:ind w:left="106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provisions of SFAS 123(R) apply to all awards to be granted by the Company on or after January 1, 2006 and to awards modified, repurchased, or cancelled after that date. When initially applying the provisions of SFAS 123(R), in the first quarter of 2006, the Company will be required to elect between using either the "modified prospective method" or the "modified retrospective method". Under the modified prospective method, the Company is required to recognize compensation cost for all awards granted after the adoption of SFAS 123(R) and for the unvested portion of previously granted awards that are outstanding on that date. Under the modified retrospective method, the Company is required to restate its previously issued financial statements to recognize the amounts previously calculated and reported on a pro forma basis, as if the original provisions of SFAS 123(R) had been adopted. Under both methods, it is permitted to use either a straight line or an accelerated method to amortize the cost as an expense for awards with graded vesting.</w:t>
      </w:r>
    </w:p>
    <w:p>
      <w:pPr>
        <w:spacing w:after="0" w:line="268" w:lineRule="exact"/>
        <w:rPr>
          <w:rFonts w:ascii="Courier New" w:cs="Courier New" w:eastAsia="Courier New" w:hAnsi="Courier New"/>
          <w:sz w:val="12"/>
          <w:szCs w:val="12"/>
          <w:color w:val="auto"/>
        </w:rPr>
      </w:pPr>
    </w:p>
    <w:p>
      <w:pPr>
        <w:ind w:left="1060" w:right="4599"/>
        <w:spacing w:after="0" w:line="268"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Management has commenced identifying the potential future impact of applying the provisions of SFAS 123(R), including each of its proposed transition methods. Based on the outstanding options as of December 31, 2005, the total compensation to be amortized in the years 2006-2009 is expected to be approximately $4,200.</w:t>
      </w:r>
    </w:p>
    <w:p>
      <w:pPr>
        <w:spacing w:after="0" w:line="127" w:lineRule="exact"/>
        <w:rPr>
          <w:rFonts w:ascii="Courier New" w:cs="Courier New" w:eastAsia="Courier New" w:hAnsi="Courier New"/>
          <w:sz w:val="12"/>
          <w:szCs w:val="12"/>
          <w:color w:val="auto"/>
        </w:rPr>
      </w:pPr>
    </w:p>
    <w:p>
      <w:pPr>
        <w:ind w:left="1060" w:right="4539" w:hanging="353"/>
        <w:spacing w:after="0" w:line="241" w:lineRule="auto"/>
        <w:tabs>
          <w:tab w:leader="none" w:pos="1060" w:val="left"/>
        </w:tabs>
        <w:numPr>
          <w:ilvl w:val="1"/>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153, EXCHANGE OF NON-MONETARY ASSETS - In December 2004, the FASB issued SFAS No. 153, "EXCHANGES OF NONMONETARY ASSETS AN AMENDMENT OF APB NO. 29". This Statement amends Opinion 29 to eliminate the exception for nonmonetary exchanges of similar productive assets and replaces it with a general exception for exchanges of nonmonetary assets that do not have commercial substance. The Statement specifies that a nonmonetary exchange has commercial substance if the future cash flows of the entity are expected to change significantly as a result of the exchange. This Statement is effective for nonmonetary asset exchanges occurring in fiscal periods beginning after June 15, 2005. Retroactive application is not permitted. The adoption of this Standard does not affect the Company's financial position or results of operations.</w:t>
      </w:r>
    </w:p>
    <w:p>
      <w:pPr>
        <w:spacing w:after="0" w:line="147" w:lineRule="exact"/>
        <w:rPr>
          <w:rFonts w:ascii="Courier New" w:cs="Courier New" w:eastAsia="Courier New" w:hAnsi="Courier New"/>
          <w:sz w:val="12"/>
          <w:szCs w:val="12"/>
          <w:color w:val="auto"/>
        </w:rPr>
      </w:pPr>
    </w:p>
    <w:p>
      <w:pPr>
        <w:ind w:left="1060" w:right="4539" w:hanging="353"/>
        <w:spacing w:after="0" w:line="266" w:lineRule="auto"/>
        <w:tabs>
          <w:tab w:leader="none" w:pos="1060" w:val="left"/>
        </w:tabs>
        <w:numPr>
          <w:ilvl w:val="1"/>
          <w:numId w:val="1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SFAS NO. 154, ACCOUNTING CHANGES AND ERROR CORRECTIONS - This Statement, published in May 2005, replaces APB Opinion No. 20, Accounting Changes, and FASB Statement No. 3, Reporting Accounting Changes in Interim Financial Statements, and changes the requirements for the accounting for and reporting of a change in accounting principles. This Statement applies to all voluntary changes in accounting principles, and to changes required by an accounting pronouncement in the unusual instance that the pronouncement does not include specific transition provisions.</w:t>
      </w:r>
    </w:p>
    <w:p>
      <w:pPr>
        <w:spacing w:after="0" w:line="264"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- 49</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ectPr>
          <w:pgSz w:w="11900" w:h="16906" w:orient="portrait"/>
          <w:cols w:equalWidth="0" w:num="1">
            <w:col w:w="10239"/>
          </w:cols>
          <w:pgMar w:left="220" w:top="138" w:right="1440" w:bottom="0" w:gutter="0" w:footer="0" w:header="0"/>
        </w:sectPr>
      </w:pPr>
    </w:p>
    <w:bookmarkStart w:id="78" w:name="page79"/>
    <w:bookmarkEnd w:id="78"/>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39" w:lineRule="exact"/>
        <w:rPr>
          <w:sz w:val="20"/>
          <w:szCs w:val="20"/>
          <w:color w:val="auto"/>
        </w:rPr>
      </w:pPr>
    </w:p>
    <w:p>
      <w:pPr>
        <w:ind w:left="700" w:hanging="350"/>
        <w:spacing w:after="0"/>
        <w:tabs>
          <w:tab w:leader="none" w:pos="700"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FASB (cont.)</w:t>
      </w:r>
    </w:p>
    <w:p>
      <w:pPr>
        <w:spacing w:after="0" w:line="138" w:lineRule="exact"/>
        <w:rPr>
          <w:rFonts w:ascii="Courier New" w:cs="Courier New" w:eastAsia="Courier New" w:hAnsi="Courier New"/>
          <w:sz w:val="12"/>
          <w:szCs w:val="12"/>
          <w:color w:val="auto"/>
        </w:rPr>
      </w:pPr>
    </w:p>
    <w:p>
      <w:pPr>
        <w:ind w:left="1060" w:hanging="353"/>
        <w:spacing w:after="0"/>
        <w:tabs>
          <w:tab w:leader="none" w:pos="1060" w:val="left"/>
        </w:tabs>
        <w:numPr>
          <w:ilvl w:val="1"/>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154, ACCOUNTING CHANGES AND ERROR CORRECTIONS (cont.)</w:t>
      </w:r>
    </w:p>
    <w:p>
      <w:pPr>
        <w:spacing w:after="0" w:line="141" w:lineRule="exact"/>
        <w:rPr>
          <w:rFonts w:ascii="Courier New" w:cs="Courier New" w:eastAsia="Courier New" w:hAnsi="Courier New"/>
          <w:sz w:val="12"/>
          <w:szCs w:val="12"/>
          <w:color w:val="auto"/>
        </w:rPr>
      </w:pPr>
    </w:p>
    <w:p>
      <w:pPr>
        <w:ind w:left="106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Opinion 20 previously required that most voluntary changes in accounting principles be recognized by including the cumulative effect of changing to the new accounting principles in the net income of the period of the change. This Statement requires retrospective application to prior periods' financial statements of changes in accounting principles, unless it is impracticable to determine the specific effects or the cumulative effect of the change. The Statement also provides guidance for cases in which it is impracticable to determine the period-specific effects of an accounting change on one or more individual prior periods presented, and/or for cases in which it is impracticable to determine the cumulative effect of applying a change in accounting principles to all prior periods.</w:t>
      </w:r>
    </w:p>
    <w:p>
      <w:pPr>
        <w:spacing w:after="0" w:line="146" w:lineRule="exact"/>
        <w:rPr>
          <w:rFonts w:ascii="Courier New" w:cs="Courier New" w:eastAsia="Courier New" w:hAnsi="Courier New"/>
          <w:sz w:val="12"/>
          <w:szCs w:val="12"/>
          <w:color w:val="auto"/>
        </w:rPr>
      </w:pPr>
    </w:p>
    <w:p>
      <w:pPr>
        <w:ind w:left="1060" w:right="45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This Statement defines RETROSPECTIVE APPLICATION as (i) the application of a different accounting principle to prior accounting periods as if that principle had always been used, or</w:t>
      </w:r>
    </w:p>
    <w:p>
      <w:pPr>
        <w:jc w:val="both"/>
        <w:ind w:left="1060" w:right="4599" w:firstLine="4"/>
        <w:spacing w:after="0" w:line="269" w:lineRule="auto"/>
        <w:tabs>
          <w:tab w:leader="none" w:pos="1417" w:val="left"/>
        </w:tabs>
        <w:numPr>
          <w:ilvl w:val="2"/>
          <w:numId w:val="1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the adjustment of previously issued financial statements to reflect a change in the reporting entity. This Statement also redefines RESTATEMENT as the revisiting of previously issued financial statements to reflect the correction of an error.</w:t>
      </w:r>
    </w:p>
    <w:p>
      <w:pPr>
        <w:spacing w:after="0" w:line="125"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This Statement also requires that a change in depreciation,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amortization, or depletion method for long-lived, non-financial</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assets, be accounted for as a change in accounting estimate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effected by a change in accounting principles. This Statement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carries forward without change the guidance in Opinion 20 for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reporting the correction of an error in previously issued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financial statements and a change in accounting estimate. This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Statement also carries forward the guidance in Opinion 20</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requiring justification of a change in accounting principles 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basis of preferability.</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provisions of this Statement are effective for accounting</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changes and corrections of errors made during fiscal years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beginning after December 15, 2005. The adoption of this Standard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is not expected to have a material effect on the Company's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financial position or results of operations.</w:t>
      </w:r>
    </w:p>
    <w:p>
      <w:pPr>
        <w:spacing w:after="0" w:line="141" w:lineRule="exact"/>
        <w:rPr>
          <w:sz w:val="20"/>
          <w:szCs w:val="20"/>
          <w:color w:val="auto"/>
        </w:rPr>
      </w:pPr>
    </w:p>
    <w:p>
      <w:pPr>
        <w:ind w:left="700" w:right="5259" w:hanging="350"/>
        <w:spacing w:after="0" w:line="238" w:lineRule="auto"/>
        <w:tabs>
          <w:tab w:leader="none" w:pos="700" w:val="left"/>
        </w:tabs>
        <w:numPr>
          <w:ilvl w:val="0"/>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DESIGNATED CASH AND SHORT-TERM AND LONG-TERM INTEREST-BEARING DEPOSITS</w:t>
      </w:r>
    </w:p>
    <w:p>
      <w:pPr>
        <w:spacing w:after="0" w:line="142" w:lineRule="exact"/>
        <w:rPr>
          <w:rFonts w:ascii="Courier New" w:cs="Courier New" w:eastAsia="Courier New" w:hAnsi="Courier New"/>
          <w:sz w:val="12"/>
          <w:szCs w:val="12"/>
          <w:color w:val="auto"/>
        </w:rPr>
      </w:pPr>
    </w:p>
    <w:p>
      <w:pPr>
        <w:ind w:left="700" w:right="4539"/>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accordance with U.S. GAAP, the Company's designated cash, short-term and long-term interest-bearing deposits should be excluded from current assets and long-term investments and presented separately as a non-current asset. Accordingly, as of December 31, 2005, $31,661 was reclassified from current assets to a long-term asset (as of December 31, 2004, $53,793 and $5,134 were reclassified, respectively, from current assets and long-term investments to a long-term asset).</w:t>
      </w:r>
    </w:p>
    <w:p>
      <w:pPr>
        <w:spacing w:after="0" w:line="124"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NET LONG-TERM LIABILITIES IN RESPECT OF EMPLOYEES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assets and liabilities relating to severance arrangements are to be presented separately and are not to be offset, while according to Israeli GAAP such an offset is required. Accordingly, as of December 31, 2005 an amount of $13,658 was reclassified from other long-term liabilities to long-term investments (as of December 31, 2004 - $16,350).</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- 50</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39" w:lineRule="exact"/>
        <w:rPr>
          <w:sz w:val="20"/>
          <w:szCs w:val="20"/>
          <w:color w:val="auto"/>
        </w:rPr>
      </w:pPr>
    </w:p>
    <w:p>
      <w:pPr>
        <w:ind w:left="700" w:hanging="350"/>
        <w:spacing w:after="0"/>
        <w:tabs>
          <w:tab w:leader="none" w:pos="700" w:val="left"/>
        </w:tabs>
        <w:numPr>
          <w:ilvl w:val="0"/>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w:t>
      </w:r>
    </w:p>
    <w:p>
      <w:pPr>
        <w:spacing w:after="0" w:line="141" w:lineRule="exact"/>
        <w:rPr>
          <w:rFonts w:ascii="Courier New" w:cs="Courier New" w:eastAsia="Courier New" w:hAnsi="Courier New"/>
          <w:sz w:val="12"/>
          <w:szCs w:val="12"/>
          <w:color w:val="auto"/>
        </w:rPr>
      </w:pPr>
    </w:p>
    <w:p>
      <w:pPr>
        <w:ind w:left="1060" w:right="4679" w:hanging="353"/>
        <w:spacing w:after="0" w:line="241" w:lineRule="auto"/>
        <w:tabs>
          <w:tab w:leader="none" w:pos="1060" w:val="left"/>
        </w:tabs>
        <w:numPr>
          <w:ilvl w:val="1"/>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42" w:lineRule="exact"/>
        <w:rPr>
          <w:rFonts w:ascii="Courier New" w:cs="Courier New" w:eastAsia="Courier New" w:hAnsi="Courier New"/>
          <w:sz w:val="12"/>
          <w:szCs w:val="12"/>
          <w:color w:val="auto"/>
        </w:rPr>
      </w:pPr>
    </w:p>
    <w:p>
      <w:pPr>
        <w:ind w:left="106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43" w:lineRule="exact"/>
        <w:rPr>
          <w:rFonts w:ascii="Courier New" w:cs="Courier New" w:eastAsia="Courier New" w:hAnsi="Courier New"/>
          <w:sz w:val="12"/>
          <w:szCs w:val="12"/>
          <w:color w:val="auto"/>
        </w:rPr>
      </w:pPr>
    </w:p>
    <w:p>
      <w:pPr>
        <w:ind w:left="1060" w:right="4539" w:hanging="353"/>
        <w:spacing w:after="0" w:line="264" w:lineRule="auto"/>
        <w:tabs>
          <w:tab w:leader="none" w:pos="1060" w:val="left"/>
        </w:tabs>
        <w:numPr>
          <w:ilvl w:val="1"/>
          <w:numId w:val="13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expensed to results of operations concurrent with the recognition of depreciation expenses on the equipment. As of December 31,</w:t>
      </w:r>
    </w:p>
    <w:p>
      <w:pPr>
        <w:spacing w:after="0" w:line="2" w:lineRule="exact"/>
        <w:rPr>
          <w:rFonts w:ascii="Courier New" w:cs="Courier New" w:eastAsia="Courier New" w:hAnsi="Courier New"/>
          <w:sz w:val="11"/>
          <w:szCs w:val="11"/>
          <w:color w:val="auto"/>
        </w:rPr>
      </w:pPr>
    </w:p>
    <w:p>
      <w:pPr>
        <w:ind w:left="1060" w:right="475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2005 and 2004, the Company had no outstanding foreign exchange agreements.</w:t>
      </w:r>
    </w:p>
    <w:p>
      <w:pPr>
        <w:spacing w:after="0" w:line="142" w:lineRule="exact"/>
        <w:rPr>
          <w:rFonts w:ascii="Courier New" w:cs="Courier New" w:eastAsia="Courier New" w:hAnsi="Courier New"/>
          <w:sz w:val="11"/>
          <w:szCs w:val="11"/>
          <w:color w:val="auto"/>
        </w:rPr>
      </w:pPr>
    </w:p>
    <w:p>
      <w:pPr>
        <w:ind w:left="1060" w:right="4539"/>
        <w:spacing w:after="0" w:line="267"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uses interest rate collars with a knock-out and knock-in features to hedge its Libor-based variable long-term debt cash flow exposure. The knock-out feature was set above the cap level and the knock-in feature was set below the floor level. The Company determined that the probability that the cap will be knocked-out is remote and thus expected that the hedge will be</w:t>
      </w:r>
    </w:p>
    <w:p>
      <w:pPr>
        <w:sectPr>
          <w:pgSz w:w="11900" w:h="16838" w:orient="portrait"/>
          <w:cols w:equalWidth="0" w:num="1">
            <w:col w:w="10239"/>
          </w:cols>
          <w:pgMar w:left="220" w:top="138" w:right="1440" w:bottom="0" w:gutter="0" w:footer="0" w:header="0"/>
        </w:sectPr>
      </w:pPr>
    </w:p>
    <w:bookmarkStart w:id="79" w:name="page80"/>
    <w:bookmarkEnd w:id="79"/>
    <w:p>
      <w:pPr>
        <w:ind w:left="1060"/>
        <w:spacing w:after="0"/>
        <w:rPr>
          <w:sz w:val="20"/>
          <w:szCs w:val="20"/>
          <w:color w:val="auto"/>
        </w:rPr>
      </w:pPr>
      <w:r>
        <w:rPr>
          <w:rFonts w:ascii="Courier New" w:cs="Courier New" w:eastAsia="Courier New" w:hAnsi="Courier New"/>
          <w:sz w:val="12"/>
          <w:szCs w:val="12"/>
          <w:color w:val="auto"/>
        </w:rPr>
        <w:t>highly effective. The Company assessed and measured the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effectiveness of the hedge, at inception and throughout the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hedge, based on total changes in cash flows of the collar, and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reported all changes in fair value in other comprehensive income.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Amounts presented in other comprehensive income are reclassified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to operations or capitalized to property and equipment, as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applicable (see Note 2L), as interest payment become due. For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outstanding contracts as of December 31, 2005 and 2004, see Note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18C(2).</w:t>
      </w:r>
    </w:p>
    <w:p>
      <w:pPr>
        <w:spacing w:after="0" w:line="141" w:lineRule="exact"/>
        <w:rPr>
          <w:sz w:val="20"/>
          <w:szCs w:val="20"/>
          <w:color w:val="auto"/>
        </w:rPr>
      </w:pPr>
    </w:p>
    <w:p>
      <w:pPr>
        <w:ind w:left="1060" w:right="4539" w:hanging="353"/>
        <w:spacing w:after="0" w:line="241" w:lineRule="auto"/>
        <w:tabs>
          <w:tab w:leader="none" w:pos="1060" w:val="left"/>
        </w:tabs>
        <w:numPr>
          <w:ilvl w:val="0"/>
          <w:numId w:val="1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commencement of operations of Fab 2 during the third quarter of 2003, $6,641 of the aggregate comprehensive loss as of June 30, 2003, which is attributable to property and equipment, is amortized on a straight-line method over five years, in correspondence to the economic useful lives of the machinery and equipment.</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- 51</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39" w:lineRule="exact"/>
        <w:rPr>
          <w:sz w:val="20"/>
          <w:szCs w:val="20"/>
          <w:color w:val="auto"/>
        </w:rPr>
      </w:pPr>
    </w:p>
    <w:p>
      <w:pPr>
        <w:ind w:left="700" w:hanging="350"/>
        <w:spacing w:after="0"/>
        <w:tabs>
          <w:tab w:leader="none" w:pos="70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 (cont.)</w:t>
      </w:r>
    </w:p>
    <w:p>
      <w:pPr>
        <w:spacing w:after="0" w:line="141" w:lineRule="exact"/>
        <w:rPr>
          <w:rFonts w:ascii="Courier New" w:cs="Courier New" w:eastAsia="Courier New" w:hAnsi="Courier New"/>
          <w:sz w:val="12"/>
          <w:szCs w:val="12"/>
          <w:color w:val="auto"/>
        </w:rPr>
      </w:pPr>
    </w:p>
    <w:p>
      <w:pPr>
        <w:ind w:left="1060" w:right="4599" w:hanging="353"/>
        <w:spacing w:after="0" w:line="241" w:lineRule="auto"/>
        <w:tabs>
          <w:tab w:leader="none" w:pos="1060" w:val="left"/>
        </w:tabs>
        <w:numPr>
          <w:ilvl w:val="1"/>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133 with respect to the Company's hedging transactions as of December 31, 2005 would have resulted in: an increase in other long-term investments in the amount of $1,767; a decrease (for U.S. GAAP purposes only) in other comprehensive loss for the year ended December 31, 2005 in the net amount of $5,501; an accumulated other comprehensive loss component of equity balance as of such date in the amount of $1,554; and in a decrease of $3,291 in property and equipment, net as of December 31, 2005.</w:t>
      </w:r>
    </w:p>
    <w:p>
      <w:pPr>
        <w:spacing w:after="0" w:line="278"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IMPLEMENTATION OF SFAS 123 AND SFAS 148</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Had compensation cost for the Company's share option plans been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determined based on fair value at the grant dates for awards made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through December 31, 2005 in accordance with SFAS 123, as amended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by SFAS 148, the Company's pro forma loss and loss per share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would have been as follows (for further information with regard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to the Company's share option plans and the assumptions for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utilizing the Black-Scholes pricing model, see Note 13B(4)):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Year ended December 31,</w:t>
            </w:r>
          </w:p>
        </w:tc>
        <w:tc>
          <w:tcPr>
            <w:tcW w:w="580" w:type="dxa"/>
            <w:vAlign w:val="bottom"/>
          </w:tcPr>
          <w:p>
            <w:pPr>
              <w:spacing w:after="0"/>
              <w:rPr>
                <w:sz w:val="11"/>
                <w:szCs w:val="11"/>
                <w:color w:val="auto"/>
              </w:rPr>
            </w:pPr>
          </w:p>
        </w:tc>
      </w:tr>
      <w:tr>
        <w:trPr>
          <w:trHeight w:val="137"/>
        </w:trPr>
        <w:tc>
          <w:tcPr>
            <w:tcW w:w="3240" w:type="dxa"/>
            <w:vAlign w:val="bottom"/>
          </w:tcPr>
          <w:p>
            <w:pPr>
              <w:spacing w:after="0"/>
              <w:rPr>
                <w:sz w:val="11"/>
                <w:szCs w:val="11"/>
                <w:color w:val="auto"/>
              </w:rPr>
            </w:pPr>
          </w:p>
        </w:tc>
        <w:tc>
          <w:tcPr>
            <w:tcW w:w="3040" w:type="dxa"/>
            <w:vAlign w:val="bottom"/>
            <w:gridSpan w:val="6"/>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2005</w:t>
            </w:r>
          </w:p>
        </w:tc>
        <w:tc>
          <w:tcPr>
            <w:tcW w:w="320" w:type="dxa"/>
            <w:vAlign w:val="bottom"/>
          </w:tcPr>
          <w:p>
            <w:pPr>
              <w:spacing w:after="0"/>
              <w:rPr>
                <w:sz w:val="11"/>
                <w:szCs w:val="11"/>
                <w:color w:val="auto"/>
              </w:rPr>
            </w:pPr>
          </w:p>
        </w:tc>
        <w:tc>
          <w:tcPr>
            <w:tcW w:w="74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2004</w:t>
            </w:r>
          </w:p>
        </w:tc>
        <w:tc>
          <w:tcPr>
            <w:tcW w:w="320" w:type="dxa"/>
            <w:vAlign w:val="bottom"/>
          </w:tcPr>
          <w:p>
            <w:pPr>
              <w:spacing w:after="0"/>
              <w:rPr>
                <w:sz w:val="11"/>
                <w:szCs w:val="11"/>
                <w:color w:val="auto"/>
              </w:rPr>
            </w:pP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324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240" w:type="dxa"/>
            <w:vAlign w:val="bottom"/>
          </w:tcPr>
          <w:p>
            <w:pPr>
              <w:spacing w:after="0"/>
              <w:rPr>
                <w:sz w:val="20"/>
                <w:szCs w:val="20"/>
                <w:color w:val="auto"/>
              </w:rPr>
            </w:pPr>
            <w:r>
              <w:rPr>
                <w:rFonts w:ascii="Courier New" w:cs="Courier New" w:eastAsia="Courier New" w:hAnsi="Courier New"/>
                <w:sz w:val="12"/>
                <w:szCs w:val="12"/>
                <w:color w:val="auto"/>
              </w:rPr>
              <w:t>PRO FORMA LOSS</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74"/>
        </w:trPr>
        <w:tc>
          <w:tcPr>
            <w:tcW w:w="3240" w:type="dxa"/>
            <w:vAlign w:val="bottom"/>
          </w:tcPr>
          <w:p>
            <w:pPr>
              <w:spacing w:after="0"/>
              <w:rPr>
                <w:sz w:val="20"/>
                <w:szCs w:val="20"/>
                <w:color w:val="auto"/>
              </w:rPr>
            </w:pPr>
            <w:r>
              <w:rPr>
                <w:rFonts w:ascii="Courier New" w:cs="Courier New" w:eastAsia="Courier New" w:hAnsi="Courier New"/>
                <w:sz w:val="12"/>
                <w:szCs w:val="12"/>
                <w:color w:val="auto"/>
              </w:rPr>
              <w:t>Loss for the year, as reported according to</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37"/>
        </w:trPr>
        <w:tc>
          <w:tcPr>
            <w:tcW w:w="3240" w:type="dxa"/>
            <w:vAlign w:val="bottom"/>
          </w:tcPr>
          <w:p>
            <w:pPr>
              <w:ind w:left="420"/>
              <w:spacing w:after="0"/>
              <w:rPr>
                <w:sz w:val="20"/>
                <w:szCs w:val="20"/>
                <w:color w:val="auto"/>
              </w:rPr>
            </w:pPr>
            <w:r>
              <w:rPr>
                <w:rFonts w:ascii="Courier New" w:cs="Courier New" w:eastAsia="Courier New" w:hAnsi="Courier New"/>
                <w:sz w:val="12"/>
                <w:szCs w:val="12"/>
                <w:color w:val="auto"/>
              </w:rPr>
              <w:t>U.S. GAAP (see I below)</w:t>
            </w:r>
          </w:p>
        </w:tc>
        <w:tc>
          <w:tcPr>
            <w:tcW w:w="10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$(137,768)</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$(114,261)</w:t>
            </w:r>
          </w:p>
        </w:tc>
      </w:tr>
      <w:tr>
        <w:trPr>
          <w:trHeight w:val="137"/>
        </w:trPr>
        <w:tc>
          <w:tcPr>
            <w:tcW w:w="3240" w:type="dxa"/>
            <w:vAlign w:val="bottom"/>
          </w:tcPr>
          <w:p>
            <w:pPr>
              <w:spacing w:after="0"/>
              <w:rPr>
                <w:sz w:val="20"/>
                <w:szCs w:val="20"/>
                <w:color w:val="auto"/>
              </w:rPr>
            </w:pPr>
            <w:r>
              <w:rPr>
                <w:rFonts w:ascii="Courier New" w:cs="Courier New" w:eastAsia="Courier New" w:hAnsi="Courier New"/>
                <w:sz w:val="12"/>
                <w:szCs w:val="12"/>
                <w:color w:val="auto"/>
              </w:rPr>
              <w:t>Less - stock-based compensation determined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7"/>
        </w:trPr>
        <w:tc>
          <w:tcPr>
            <w:tcW w:w="3240" w:type="dxa"/>
            <w:vAlign w:val="bottom"/>
          </w:tcPr>
          <w:p>
            <w:pPr>
              <w:ind w:left="420"/>
              <w:spacing w:after="0"/>
              <w:rPr>
                <w:sz w:val="20"/>
                <w:szCs w:val="20"/>
                <w:color w:val="auto"/>
              </w:rPr>
            </w:pPr>
            <w:r>
              <w:rPr>
                <w:rFonts w:ascii="Courier New" w:cs="Courier New" w:eastAsia="Courier New" w:hAnsi="Courier New"/>
                <w:sz w:val="12"/>
                <w:szCs w:val="12"/>
                <w:color w:val="auto"/>
              </w:rPr>
              <w:t>under APB 25</w:t>
            </w:r>
          </w:p>
        </w:tc>
        <w:tc>
          <w:tcPr>
            <w:tcW w:w="320" w:type="dxa"/>
            <w:vAlign w:val="bottom"/>
          </w:tcPr>
          <w:p>
            <w:pPr>
              <w:spacing w:after="0"/>
              <w:rPr>
                <w:sz w:val="11"/>
                <w:szCs w:val="11"/>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w:t>
            </w:r>
          </w:p>
        </w:tc>
      </w:tr>
      <w:tr>
        <w:trPr>
          <w:trHeight w:val="137"/>
        </w:trPr>
        <w:tc>
          <w:tcPr>
            <w:tcW w:w="3240" w:type="dxa"/>
            <w:vAlign w:val="bottom"/>
          </w:tcPr>
          <w:p>
            <w:pPr>
              <w:spacing w:after="0"/>
              <w:rPr>
                <w:sz w:val="20"/>
                <w:szCs w:val="20"/>
                <w:color w:val="auto"/>
              </w:rPr>
            </w:pPr>
            <w:r>
              <w:rPr>
                <w:rFonts w:ascii="Courier New" w:cs="Courier New" w:eastAsia="Courier New" w:hAnsi="Courier New"/>
                <w:sz w:val="12"/>
                <w:szCs w:val="12"/>
                <w:color w:val="auto"/>
              </w:rPr>
              <w:t>Add - stock-based compensation</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7"/>
        </w:trPr>
        <w:tc>
          <w:tcPr>
            <w:tcW w:w="3240" w:type="dxa"/>
            <w:vAlign w:val="bottom"/>
          </w:tcPr>
          <w:p>
            <w:pPr>
              <w:ind w:left="420"/>
              <w:spacing w:after="0"/>
              <w:rPr>
                <w:sz w:val="20"/>
                <w:szCs w:val="20"/>
                <w:color w:val="auto"/>
              </w:rPr>
            </w:pPr>
            <w:r>
              <w:rPr>
                <w:rFonts w:ascii="Courier New" w:cs="Courier New" w:eastAsia="Courier New" w:hAnsi="Courier New"/>
                <w:sz w:val="12"/>
                <w:szCs w:val="12"/>
                <w:color w:val="auto"/>
              </w:rPr>
              <w:t>determined under SFAS 123</w:t>
            </w:r>
          </w:p>
        </w:tc>
        <w:tc>
          <w:tcPr>
            <w:tcW w:w="320" w:type="dxa"/>
            <w:vAlign w:val="bottom"/>
          </w:tcPr>
          <w:p>
            <w:pPr>
              <w:spacing w:after="0"/>
              <w:rPr>
                <w:sz w:val="11"/>
                <w:szCs w:val="11"/>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(4,229)</w:t>
            </w:r>
          </w:p>
        </w:tc>
        <w:tc>
          <w:tcPr>
            <w:tcW w:w="32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(3,980)</w:t>
            </w:r>
          </w:p>
        </w:tc>
        <w:tc>
          <w:tcPr>
            <w:tcW w:w="3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(8,437)</w:t>
            </w:r>
          </w:p>
        </w:tc>
      </w:tr>
      <w:tr>
        <w:trPr>
          <w:trHeight w:val="137"/>
        </w:trPr>
        <w:tc>
          <w:tcPr>
            <w:tcW w:w="324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240" w:type="dxa"/>
            <w:vAlign w:val="bottom"/>
          </w:tcPr>
          <w:p>
            <w:pPr>
              <w:ind w:left="60"/>
              <w:spacing w:after="0"/>
              <w:rPr>
                <w:sz w:val="20"/>
                <w:szCs w:val="20"/>
                <w:color w:val="auto"/>
              </w:rPr>
            </w:pPr>
            <w:r>
              <w:rPr>
                <w:rFonts w:ascii="Courier New" w:cs="Courier New" w:eastAsia="Courier New" w:hAnsi="Courier New"/>
                <w:sz w:val="12"/>
                <w:szCs w:val="12"/>
                <w:color w:val="auto"/>
              </w:rPr>
              <w:t>Pro forma loss</w:t>
            </w:r>
          </w:p>
        </w:tc>
        <w:tc>
          <w:tcPr>
            <w:tcW w:w="10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$(207,311)</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$(141,748)</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$(122,671)</w:t>
            </w:r>
          </w:p>
        </w:tc>
      </w:tr>
      <w:tr>
        <w:trPr>
          <w:trHeight w:val="137"/>
        </w:trPr>
        <w:tc>
          <w:tcPr>
            <w:tcW w:w="324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4"/>
        </w:trPr>
        <w:tc>
          <w:tcPr>
            <w:tcW w:w="324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37"/>
        </w:trPr>
        <w:tc>
          <w:tcPr>
            <w:tcW w:w="3240" w:type="dxa"/>
            <w:vAlign w:val="bottom"/>
          </w:tcPr>
          <w:p>
            <w:pPr>
              <w:spacing w:after="0"/>
              <w:rPr>
                <w:sz w:val="20"/>
                <w:szCs w:val="20"/>
                <w:color w:val="auto"/>
              </w:rPr>
            </w:pPr>
            <w:r>
              <w:rPr>
                <w:rFonts w:ascii="Courier New" w:cs="Courier New" w:eastAsia="Courier New" w:hAnsi="Courier New"/>
                <w:sz w:val="12"/>
                <w:szCs w:val="12"/>
                <w:color w:val="auto"/>
              </w:rPr>
              <w:t>As reported according to U.S.</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7"/>
        </w:trPr>
        <w:tc>
          <w:tcPr>
            <w:tcW w:w="3240" w:type="dxa"/>
            <w:vAlign w:val="bottom"/>
          </w:tcPr>
          <w:p>
            <w:pPr>
              <w:ind w:left="420"/>
              <w:spacing w:after="0"/>
              <w:rPr>
                <w:sz w:val="20"/>
                <w:szCs w:val="20"/>
                <w:color w:val="auto"/>
              </w:rPr>
            </w:pPr>
            <w:r>
              <w:rPr>
                <w:rFonts w:ascii="Courier New" w:cs="Courier New" w:eastAsia="Courier New" w:hAnsi="Courier New"/>
                <w:sz w:val="12"/>
                <w:szCs w:val="12"/>
                <w:color w:val="auto"/>
              </w:rPr>
              <w:t>GAAP (see K below)</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(3.06)</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(2.13)</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(2.45)</w:t>
            </w:r>
          </w:p>
        </w:tc>
      </w:tr>
      <w:tr>
        <w:trPr>
          <w:trHeight w:val="137"/>
        </w:trPr>
        <w:tc>
          <w:tcPr>
            <w:tcW w:w="324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4"/>
        </w:trPr>
        <w:tc>
          <w:tcPr>
            <w:tcW w:w="3240" w:type="dxa"/>
            <w:vAlign w:val="bottom"/>
          </w:tcPr>
          <w:p>
            <w:pPr>
              <w:spacing w:after="0"/>
              <w:rPr>
                <w:sz w:val="20"/>
                <w:szCs w:val="20"/>
                <w:color w:val="auto"/>
              </w:rPr>
            </w:pPr>
            <w:r>
              <w:rPr>
                <w:rFonts w:ascii="Courier New" w:cs="Courier New" w:eastAsia="Courier New" w:hAnsi="Courier New"/>
                <w:sz w:val="12"/>
                <w:szCs w:val="12"/>
                <w:color w:val="auto"/>
              </w:rPr>
              <w:t>Pro forma</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(3.12)</w:t>
            </w:r>
          </w:p>
        </w:tc>
        <w:tc>
          <w:tcPr>
            <w:tcW w:w="3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(2.19)</w:t>
            </w:r>
          </w:p>
        </w:tc>
        <w:tc>
          <w:tcPr>
            <w:tcW w:w="3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(2.63)</w:t>
            </w:r>
          </w:p>
        </w:tc>
      </w:tr>
      <w:tr>
        <w:trPr>
          <w:trHeight w:val="137"/>
        </w:trPr>
        <w:tc>
          <w:tcPr>
            <w:tcW w:w="3240" w:type="dxa"/>
            <w:vAlign w:val="bottom"/>
          </w:tcPr>
          <w:p>
            <w:pPr>
              <w:spacing w:after="0"/>
              <w:rPr>
                <w:sz w:val="11"/>
                <w:szCs w:val="11"/>
                <w:color w:val="auto"/>
              </w:rPr>
            </w:pPr>
          </w:p>
        </w:tc>
        <w:tc>
          <w:tcPr>
            <w:tcW w:w="108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412"/>
        </w:trPr>
        <w:tc>
          <w:tcPr>
            <w:tcW w:w="3240" w:type="dxa"/>
            <w:vAlign w:val="bottom"/>
          </w:tcPr>
          <w:p>
            <w:pPr>
              <w:ind w:left="2640"/>
              <w:spacing w:after="0"/>
              <w:rPr>
                <w:sz w:val="20"/>
                <w:szCs w:val="20"/>
                <w:color w:val="auto"/>
              </w:rPr>
            </w:pPr>
            <w:r>
              <w:rPr>
                <w:rFonts w:ascii="Courier New" w:cs="Courier New" w:eastAsia="Courier New" w:hAnsi="Courier New"/>
                <w:sz w:val="12"/>
                <w:szCs w:val="12"/>
                <w:color w:val="auto"/>
              </w:rPr>
              <w:t>F - 52</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39" w:lineRule="exact"/>
        <w:rPr>
          <w:sz w:val="20"/>
          <w:szCs w:val="20"/>
          <w:color w:val="auto"/>
        </w:rPr>
      </w:pPr>
    </w:p>
    <w:p>
      <w:pPr>
        <w:ind w:left="700" w:hanging="350"/>
        <w:spacing w:after="0"/>
        <w:tabs>
          <w:tab w:leader="none" w:pos="700"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SALE OF SECURITIES</w:t>
      </w:r>
    </w:p>
    <w:p>
      <w:pPr>
        <w:spacing w:after="0" w:line="141" w:lineRule="exact"/>
        <w:rPr>
          <w:rFonts w:ascii="Courier New" w:cs="Courier New" w:eastAsia="Courier New" w:hAnsi="Courier New"/>
          <w:sz w:val="12"/>
          <w:szCs w:val="12"/>
          <w:color w:val="auto"/>
        </w:rPr>
      </w:pPr>
    </w:p>
    <w:p>
      <w:pPr>
        <w:ind w:left="70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Accounting Principles Board Opinion No. 14 ("APB 14"), the proceeds from the sale of the securities described in Note 9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as of December 31, 2005 and 2004 in the amount of $2,363 (net of $196 related issuance expenses), and a decrease in convertible debentures as of such dates in the amount of $2,559. The effect of amortization of the discount on the convertible debentures under U.S. GAAP for each of the years ended December 31, 2005, 2004 and 2003 would have been immaterial.</w:t>
      </w:r>
    </w:p>
    <w:p>
      <w:pPr>
        <w:spacing w:after="0" w:line="143"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w:t>
      </w:r>
    </w:p>
    <w:p>
      <w:pPr>
        <w:spacing w:after="0" w:line="141" w:lineRule="exact"/>
        <w:rPr>
          <w:rFonts w:ascii="Courier New" w:cs="Courier New" w:eastAsia="Courier New" w:hAnsi="Courier New"/>
          <w:sz w:val="12"/>
          <w:szCs w:val="12"/>
          <w:color w:val="auto"/>
        </w:rPr>
      </w:pPr>
    </w:p>
    <w:p>
      <w:pPr>
        <w:ind w:left="70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(SFAS No. 133), an embedded conversion option should be bifurcated and accounted for separately as a derivative instrument, unless the specific requirements for equity classification of the embedded conversion option, as stated in EITF 00-19, are met. EITF 00-19 provides that an equity classification is appropriate if the settlement criteria set forth therein for such classification are met and that the additional conditions necessary for equity classification, set forth therein, are also met. EITF 00-19 also allows for the equity classification of the embedded conversion option in case the necessary additional conditions are not met, only if the contract is a conventional convertible debt instrument. In accordance with EITFs 00-19 and 05-2, a conventional convertible debt instrument is an instrument that provides the holder with an option to convert into a fixed number of shares or the equivalent amount of cash (at the discretion of the issuer), and the ability to exercise that option is</w:t>
      </w:r>
    </w:p>
    <w:p>
      <w:pPr>
        <w:sectPr>
          <w:pgSz w:w="11900" w:h="16838" w:orient="portrait"/>
          <w:cols w:equalWidth="0" w:num="1">
            <w:col w:w="10239"/>
          </w:cols>
          <w:pgMar w:left="220" w:top="138" w:right="1440" w:bottom="0" w:gutter="0" w:footer="0" w:header="0"/>
        </w:sectPr>
      </w:pPr>
    </w:p>
    <w:bookmarkStart w:id="80" w:name="page81"/>
    <w:bookmarkEnd w:id="80"/>
    <w:p>
      <w:pPr>
        <w:ind w:left="700"/>
        <w:spacing w:after="0"/>
        <w:rPr>
          <w:sz w:val="20"/>
          <w:szCs w:val="20"/>
          <w:color w:val="auto"/>
        </w:rPr>
      </w:pPr>
      <w:r>
        <w:rPr>
          <w:rFonts w:ascii="Courier New" w:cs="Courier New" w:eastAsia="Courier New" w:hAnsi="Courier New"/>
          <w:sz w:val="12"/>
          <w:szCs w:val="12"/>
          <w:color w:val="auto"/>
        </w:rPr>
        <w:t>based on the passage of time or a contingent event. Convertible debt</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is not considered conventional when the number of shares the holder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converts into is not fixed and can vary based on a contingent future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event (other than "standard" antidilution provisions).</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detailed in Note 13H, the conversion price of the convertible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debenture issued by the Company in December 2005 is subject to</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downward adjustment under certain circumstances; i.e. the number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shares to be issued is not fixed. In addition, the criteria set forth</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EITF 00-19 for classification as equity are not met. Accordingly,</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for purposes of U.S. GAAP, these convertible debentures are to be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accounted for under SFAS No. 133 and to be bifurcated with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embedded conversion option treated as a liability.</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Under Israeli GAAP, convertible debentures the future conversion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which is probable as of the balance-sheet date, are presented as a</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separate line-item between total liabilities and shareholders equity,</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while according to U.S. GAAP such presentation is not allowed as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detailed above.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Accordingly, as of December 31, 2005 an amount of $25,493 was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reclassified from that separate line-item to convertible debentures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(under total long-term liabilities).</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- 53</w:t>
      </w:r>
    </w:p>
    <w:p>
      <w:pPr>
        <w:spacing w:after="0" w:line="200" w:lineRule="exact"/>
        <w:rPr>
          <w:sz w:val="20"/>
          <w:szCs w:val="20"/>
          <w:color w:val="auto"/>
        </w:rPr>
      </w:pPr>
    </w:p>
    <w:p>
      <w:pPr>
        <w:spacing w:after="0" w:line="332" w:lineRule="exact"/>
        <w:rPr>
          <w:sz w:val="20"/>
          <w:szCs w:val="20"/>
          <w:color w:val="auto"/>
        </w:rPr>
      </w:pPr>
    </w:p>
    <w:p>
      <w:pPr>
        <w:ind w:left="92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276" w:lineRule="exact"/>
        <w:rPr>
          <w:sz w:val="20"/>
          <w:szCs w:val="20"/>
          <w:color w:val="auto"/>
        </w:rPr>
      </w:pPr>
    </w:p>
    <w:p>
      <w:pPr>
        <w:spacing w:after="0"/>
        <w:tabs>
          <w:tab w:leader="none" w:pos="620" w:val="left"/>
          <w:tab w:leader="none" w:pos="900" w:val="left"/>
        </w:tabs>
        <w:rPr>
          <w:sz w:val="20"/>
          <w:szCs w:val="20"/>
          <w:color w:val="auto"/>
        </w:rPr>
      </w:pPr>
      <w:r>
        <w:rPr>
          <w:rFonts w:ascii="Courier New" w:cs="Courier New" w:eastAsia="Courier New" w:hAnsi="Courier New"/>
          <w:sz w:val="12"/>
          <w:szCs w:val="12"/>
          <w:color w:val="auto"/>
        </w:rPr>
        <w:t>NOTE 20</w:t>
        <w:tab/>
        <w:t>-</w:t>
      </w:r>
      <w:r>
        <w:rPr>
          <w:sz w:val="20"/>
          <w:szCs w:val="20"/>
          <w:color w:val="auto"/>
        </w:rPr>
        <w:tab/>
      </w:r>
      <w:r>
        <w:rPr>
          <w:rFonts w:ascii="Courier New" w:cs="Courier New" w:eastAsia="Courier New" w:hAnsi="Courier New"/>
          <w:sz w:val="11"/>
          <w:szCs w:val="11"/>
          <w:color w:val="auto"/>
        </w:rPr>
        <w:t>MATERIAL DIFFERENCES BETWEEN ISRAEL AND U.S. GAAP (cont.)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80" w:type="dxa"/>
            <w:vAlign w:val="bottom"/>
          </w:tcPr>
          <w:p>
            <w:pPr>
              <w:ind w:left="920"/>
              <w:spacing w:after="0"/>
              <w:rPr>
                <w:sz w:val="20"/>
                <w:szCs w:val="20"/>
                <w:color w:val="auto"/>
              </w:rPr>
            </w:pPr>
            <w:r>
              <w:rPr>
                <w:rFonts w:ascii="Courier New" w:cs="Courier New" w:eastAsia="Courier New" w:hAnsi="Courier New"/>
                <w:sz w:val="12"/>
                <w:szCs w:val="12"/>
                <w:color w:val="auto"/>
              </w:rPr>
              <w:t>H.  Balance Sheets in Accordance with U.S. GAAP</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4"/>
        </w:trPr>
        <w:tc>
          <w:tcPr>
            <w:tcW w:w="4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20" w:type="dxa"/>
            <w:vAlign w:val="bottom"/>
            <w:gridSpan w:val="4"/>
          </w:tcPr>
          <w:p>
            <w:pPr>
              <w:jc w:val="right"/>
              <w:ind w:right="701"/>
              <w:spacing w:after="0"/>
              <w:rPr>
                <w:sz w:val="20"/>
                <w:szCs w:val="20"/>
                <w:color w:val="auto"/>
              </w:rPr>
            </w:pPr>
            <w:r>
              <w:rPr>
                <w:rFonts w:ascii="Courier New" w:cs="Courier New" w:eastAsia="Courier New" w:hAnsi="Courier New"/>
                <w:sz w:val="12"/>
                <w:szCs w:val="12"/>
                <w:color w:val="auto"/>
              </w:rPr>
              <w:t>AS OF DECEMBER 31, 2005</w:t>
            </w:r>
          </w:p>
        </w:tc>
        <w:tc>
          <w:tcPr>
            <w:tcW w:w="240" w:type="dxa"/>
            <w:vAlign w:val="bottom"/>
          </w:tcPr>
          <w:p>
            <w:pPr>
              <w:spacing w:after="0"/>
              <w:rPr>
                <w:sz w:val="23"/>
                <w:szCs w:val="23"/>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AS OF DECEMBER 31, 2004</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40" w:type="dxa"/>
            <w:vAlign w:val="bottom"/>
            <w:gridSpan w:val="5"/>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3020" w:type="dxa"/>
            <w:vAlign w:val="bottom"/>
            <w:gridSpan w:val="5"/>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4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2"/>
                <w:szCs w:val="12"/>
                <w:color w:val="auto"/>
                <w:w w:val="97"/>
              </w:rPr>
              <w:t>U.S.</w:t>
            </w:r>
          </w:p>
        </w:tc>
        <w:tc>
          <w:tcPr>
            <w:tcW w:w="220" w:type="dxa"/>
            <w:vAlign w:val="bottom"/>
          </w:tcPr>
          <w:p>
            <w:pPr>
              <w:spacing w:after="0"/>
              <w:rPr>
                <w:sz w:val="11"/>
                <w:szCs w:val="11"/>
                <w:color w:val="auto"/>
              </w:rPr>
            </w:pPr>
          </w:p>
        </w:tc>
        <w:tc>
          <w:tcPr>
            <w:tcW w:w="820" w:type="dxa"/>
            <w:vAlign w:val="bottom"/>
          </w:tcPr>
          <w:p>
            <w:pPr>
              <w:spacing w:after="0"/>
              <w:rPr>
                <w:sz w:val="20"/>
                <w:szCs w:val="20"/>
                <w:color w:val="auto"/>
              </w:rPr>
            </w:pPr>
            <w:r>
              <w:rPr>
                <w:rFonts w:ascii="Courier New" w:cs="Courier New" w:eastAsia="Courier New" w:hAnsi="Courier New"/>
                <w:sz w:val="12"/>
                <w:szCs w:val="12"/>
                <w:color w:val="auto"/>
              </w:rPr>
              <w:t>AS PER</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AS PER</w:t>
            </w:r>
          </w:p>
        </w:tc>
        <w:tc>
          <w:tcPr>
            <w:tcW w:w="240" w:type="dxa"/>
            <w:vAlign w:val="bottom"/>
          </w:tcPr>
          <w:p>
            <w:pPr>
              <w:spacing w:after="0"/>
              <w:rPr>
                <w:sz w:val="11"/>
                <w:szCs w:val="11"/>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AS PER</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7"/>
              </w:rPr>
              <w:t>AS PER</w:t>
            </w:r>
          </w:p>
        </w:tc>
      </w:tr>
      <w:tr>
        <w:trPr>
          <w:trHeight w:val="137"/>
        </w:trPr>
        <w:tc>
          <w:tcPr>
            <w:tcW w:w="44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2"/>
                <w:szCs w:val="12"/>
                <w:color w:val="auto"/>
                <w:w w:val="97"/>
              </w:rPr>
              <w:t>GAAP</w:t>
            </w:r>
          </w:p>
        </w:tc>
        <w:tc>
          <w:tcPr>
            <w:tcW w:w="220" w:type="dxa"/>
            <w:vAlign w:val="bottom"/>
          </w:tcPr>
          <w:p>
            <w:pPr>
              <w:spacing w:after="0"/>
              <w:rPr>
                <w:sz w:val="11"/>
                <w:szCs w:val="11"/>
                <w:color w:val="auto"/>
              </w:rPr>
            </w:pPr>
          </w:p>
        </w:tc>
        <w:tc>
          <w:tcPr>
            <w:tcW w:w="820" w:type="dxa"/>
            <w:vAlign w:val="bottom"/>
          </w:tcPr>
          <w:p>
            <w:pPr>
              <w:spacing w:after="0"/>
              <w:rPr>
                <w:sz w:val="20"/>
                <w:szCs w:val="20"/>
                <w:color w:val="auto"/>
              </w:rPr>
            </w:pPr>
            <w:r>
              <w:rPr>
                <w:rFonts w:ascii="Courier New" w:cs="Courier New" w:eastAsia="Courier New" w:hAnsi="Courier New"/>
                <w:sz w:val="12"/>
                <w:szCs w:val="12"/>
                <w:color w:val="auto"/>
              </w:rPr>
              <w:t>ISRAELI</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ADJUST-</w:t>
            </w:r>
          </w:p>
        </w:tc>
        <w:tc>
          <w:tcPr>
            <w:tcW w:w="220" w:type="dxa"/>
            <w:vAlign w:val="bottom"/>
          </w:tcPr>
          <w:p>
            <w:pPr>
              <w:spacing w:after="0"/>
              <w:rPr>
                <w:sz w:val="11"/>
                <w:szCs w:val="11"/>
                <w:color w:val="auto"/>
              </w:rPr>
            </w:pPr>
          </w:p>
        </w:tc>
        <w:tc>
          <w:tcPr>
            <w:tcW w:w="8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U.S.</w:t>
            </w:r>
          </w:p>
        </w:tc>
        <w:tc>
          <w:tcPr>
            <w:tcW w:w="240" w:type="dxa"/>
            <w:vAlign w:val="bottom"/>
          </w:tcPr>
          <w:p>
            <w:pPr>
              <w:spacing w:after="0"/>
              <w:rPr>
                <w:sz w:val="11"/>
                <w:szCs w:val="11"/>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5"/>
              </w:rPr>
              <w:t>ISRAELI</w:t>
            </w:r>
          </w:p>
        </w:tc>
        <w:tc>
          <w:tcPr>
            <w:tcW w:w="126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ADJUST-</w:t>
            </w:r>
          </w:p>
        </w:tc>
        <w:tc>
          <w:tcPr>
            <w:tcW w:w="6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U.S.</w:t>
            </w:r>
          </w:p>
        </w:tc>
      </w:tr>
      <w:tr>
        <w:trPr>
          <w:trHeight w:val="137"/>
        </w:trPr>
        <w:tc>
          <w:tcPr>
            <w:tcW w:w="44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2"/>
                <w:szCs w:val="12"/>
                <w:color w:val="auto"/>
                <w:w w:val="97"/>
              </w:rPr>
              <w:t>REMARK</w:t>
            </w:r>
          </w:p>
        </w:tc>
        <w:tc>
          <w:tcPr>
            <w:tcW w:w="220" w:type="dxa"/>
            <w:vAlign w:val="bottom"/>
          </w:tcPr>
          <w:p>
            <w:pPr>
              <w:spacing w:after="0"/>
              <w:rPr>
                <w:sz w:val="11"/>
                <w:szCs w:val="11"/>
                <w:color w:val="auto"/>
              </w:rPr>
            </w:pPr>
          </w:p>
        </w:tc>
        <w:tc>
          <w:tcPr>
            <w:tcW w:w="82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GAAP</w:t>
            </w:r>
          </w:p>
        </w:tc>
        <w:tc>
          <w:tcPr>
            <w:tcW w:w="9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MENTS</w:t>
            </w:r>
          </w:p>
        </w:tc>
        <w:tc>
          <w:tcPr>
            <w:tcW w:w="220" w:type="dxa"/>
            <w:vAlign w:val="bottom"/>
          </w:tcPr>
          <w:p>
            <w:pPr>
              <w:spacing w:after="0"/>
              <w:rPr>
                <w:sz w:val="11"/>
                <w:szCs w:val="11"/>
                <w:color w:val="auto"/>
              </w:rPr>
            </w:pPr>
          </w:p>
        </w:tc>
        <w:tc>
          <w:tcPr>
            <w:tcW w:w="8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GAAP</w:t>
            </w:r>
          </w:p>
        </w:tc>
        <w:tc>
          <w:tcPr>
            <w:tcW w:w="240" w:type="dxa"/>
            <w:vAlign w:val="bottom"/>
          </w:tcPr>
          <w:p>
            <w:pPr>
              <w:spacing w:after="0"/>
              <w:rPr>
                <w:sz w:val="11"/>
                <w:szCs w:val="11"/>
                <w:color w:val="auto"/>
              </w:rPr>
            </w:pPr>
          </w:p>
        </w:tc>
        <w:tc>
          <w:tcPr>
            <w:tcW w:w="82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GAAP</w:t>
            </w:r>
          </w:p>
        </w:tc>
        <w:tc>
          <w:tcPr>
            <w:tcW w:w="126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MENTS</w:t>
            </w:r>
          </w:p>
        </w:tc>
        <w:tc>
          <w:tcPr>
            <w:tcW w:w="6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GAAP</w:t>
            </w:r>
          </w:p>
        </w:tc>
      </w:tr>
      <w:tr>
        <w:trPr>
          <w:trHeight w:val="137"/>
        </w:trPr>
        <w:tc>
          <w:tcPr>
            <w:tcW w:w="44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2"/>
                <w:szCs w:val="12"/>
                <w:color w:val="auto"/>
                <w:w w:val="97"/>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448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CURRENT ASSETS</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CASH AND CASH EQUIVALENTS</w:t>
            </w:r>
          </w:p>
        </w:tc>
        <w:tc>
          <w:tcPr>
            <w:tcW w:w="7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7,337</w:t>
            </w:r>
          </w:p>
        </w:tc>
        <w:tc>
          <w:tcPr>
            <w:tcW w:w="960" w:type="dxa"/>
            <w:vAlign w:val="bottom"/>
          </w:tcPr>
          <w:p>
            <w:pPr>
              <w:jc w:val="right"/>
              <w:ind w:right="66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7,337</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27,664</w:t>
            </w:r>
          </w:p>
        </w:tc>
        <w:tc>
          <w:tcPr>
            <w:tcW w:w="1260" w:type="dxa"/>
            <w:vAlign w:val="bottom"/>
          </w:tcPr>
          <w:p>
            <w:pPr>
              <w:jc w:val="right"/>
              <w:ind w:right="94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27,664</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DESIGNATED CASH AND SHORT-TERM INTEREST-BEARING DEPOSITS</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31,661</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(31,661)</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53,793</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(53,793)</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TRADE ACCOUNTS RECEIVABLE:</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4480" w:type="dxa"/>
            <w:vAlign w:val="bottom"/>
          </w:tcPr>
          <w:p>
            <w:pPr>
              <w:ind w:left="500"/>
              <w:spacing w:after="0"/>
              <w:rPr>
                <w:sz w:val="20"/>
                <w:szCs w:val="20"/>
                <w:color w:val="auto"/>
              </w:rPr>
            </w:pPr>
            <w:r>
              <w:rPr>
                <w:rFonts w:ascii="Courier New" w:cs="Courier New" w:eastAsia="Courier New" w:hAnsi="Courier New"/>
                <w:sz w:val="12"/>
                <w:szCs w:val="12"/>
                <w:color w:val="auto"/>
              </w:rPr>
              <w:t>RELATED PARTIES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5,309</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5,309</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9,054</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9,054</w:t>
            </w:r>
          </w:p>
        </w:tc>
      </w:tr>
      <w:tr>
        <w:trPr>
          <w:trHeight w:val="137"/>
        </w:trPr>
        <w:tc>
          <w:tcPr>
            <w:tcW w:w="4480" w:type="dxa"/>
            <w:vAlign w:val="bottom"/>
          </w:tcPr>
          <w:p>
            <w:pPr>
              <w:ind w:left="500"/>
              <w:spacing w:after="0"/>
              <w:rPr>
                <w:sz w:val="20"/>
                <w:szCs w:val="20"/>
                <w:color w:val="auto"/>
              </w:rPr>
            </w:pPr>
            <w:r>
              <w:rPr>
                <w:rFonts w:ascii="Courier New" w:cs="Courier New" w:eastAsia="Courier New" w:hAnsi="Courier New"/>
                <w:sz w:val="12"/>
                <w:szCs w:val="12"/>
                <w:color w:val="auto"/>
              </w:rPr>
              <w:t>OTHERS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11,467</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11,467</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10,232</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10,232</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OTHER RECEIVABLES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9,043</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9,043</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11,365</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11,365</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INVENTORIES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24,376</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24,376</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25,669</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25,669</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OTHER CURRENT ASSETS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1,048</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1,048</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1,818</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1,818</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4480" w:type="dxa"/>
            <w:vAlign w:val="bottom"/>
          </w:tcPr>
          <w:p>
            <w:pPr>
              <w:ind w:left="560"/>
              <w:spacing w:after="0"/>
              <w:rPr>
                <w:sz w:val="20"/>
                <w:szCs w:val="20"/>
                <w:color w:val="auto"/>
              </w:rPr>
            </w:pPr>
            <w:r>
              <w:rPr>
                <w:rFonts w:ascii="Courier New" w:cs="Courier New" w:eastAsia="Courier New" w:hAnsi="Courier New"/>
                <w:sz w:val="12"/>
                <w:szCs w:val="12"/>
                <w:color w:val="auto"/>
              </w:rPr>
              <w:t>TOTAL CURRENT ASSETS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90,241</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(31,661)</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58,580</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139,595</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(53,793)</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85,802</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LONG-TERM INVESTMENTS</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4480" w:type="dxa"/>
            <w:vAlign w:val="bottom"/>
          </w:tcPr>
          <w:p>
            <w:pPr>
              <w:ind w:left="420"/>
              <w:spacing w:after="0"/>
              <w:rPr>
                <w:sz w:val="20"/>
                <w:szCs w:val="20"/>
                <w:color w:val="auto"/>
              </w:rPr>
            </w:pPr>
            <w:r>
              <w:rPr>
                <w:rFonts w:ascii="Courier New" w:cs="Courier New" w:eastAsia="Courier New" w:hAnsi="Courier New"/>
                <w:sz w:val="12"/>
                <w:szCs w:val="12"/>
                <w:color w:val="auto"/>
              </w:rPr>
              <w:t>LONG-TERM INTEREST-BEARING DEPOSITS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4480" w:type="dxa"/>
            <w:vAlign w:val="bottom"/>
          </w:tcPr>
          <w:p>
            <w:pPr>
              <w:ind w:left="500"/>
              <w:spacing w:after="0"/>
              <w:rPr>
                <w:sz w:val="20"/>
                <w:szCs w:val="20"/>
                <w:color w:val="auto"/>
              </w:rPr>
            </w:pPr>
            <w:r>
              <w:rPr>
                <w:rFonts w:ascii="Courier New" w:cs="Courier New" w:eastAsia="Courier New" w:hAnsi="Courier New"/>
                <w:sz w:val="12"/>
                <w:szCs w:val="12"/>
                <w:color w:val="auto"/>
              </w:rPr>
              <w:t>DESIGNATED FOR FAB 2 OPERATIONS</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5,134</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(5,134)</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OTHER LONG-TERM INVESTMENT</w:t>
            </w:r>
          </w:p>
        </w:tc>
        <w:tc>
          <w:tcPr>
            <w:tcW w:w="720" w:type="dxa"/>
            <w:vAlign w:val="bottom"/>
          </w:tcPr>
          <w:p>
            <w:pPr>
              <w:jc w:val="center"/>
              <w:spacing w:after="0"/>
              <w:rPr>
                <w:sz w:val="20"/>
                <w:szCs w:val="20"/>
                <w:color w:val="auto"/>
              </w:rPr>
            </w:pPr>
            <w:r>
              <w:rPr>
                <w:rFonts w:ascii="Courier New" w:cs="Courier New" w:eastAsia="Courier New" w:hAnsi="Courier New"/>
                <w:sz w:val="12"/>
                <w:szCs w:val="12"/>
                <w:color w:val="auto"/>
                <w:w w:val="97"/>
              </w:rPr>
              <w:t>C, D</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15,425</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15,425</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16,350</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16,350</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15,425</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15,425</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5,134</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11,216</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16,350</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PROPERTY AND EQUIPMENT, NET</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D</w:t>
            </w: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510,645</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(3,291)</w:t>
            </w: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507,354</w:t>
            </w: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609,296</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(4,619)</w:t>
            </w:r>
          </w:p>
        </w:tc>
        <w:tc>
          <w:tcPr>
            <w:tcW w:w="6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604,677</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DESIGNATED CASH AND SHORT-TERM AND</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LONG-TERM INTEREST-BEARING DEPOSITS</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B</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31,661</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31,661</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58,927</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58,927</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OTHER ASSETS, NET:</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TECHNOLOGY</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61,441</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61,441</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76,950</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76,950</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F</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16,359</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(196)</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16,163</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16,533</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(196)</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16,337</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77,800</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(196)</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77,604</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93,483</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(196)</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93,287</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4480" w:type="dxa"/>
            <w:vAlign w:val="bottom"/>
          </w:tcPr>
          <w:p>
            <w:pPr>
              <w:ind w:left="560"/>
              <w:spacing w:after="0"/>
              <w:rPr>
                <w:sz w:val="20"/>
                <w:szCs w:val="20"/>
                <w:color w:val="auto"/>
              </w:rPr>
            </w:pPr>
            <w:r>
              <w:rPr>
                <w:rFonts w:ascii="Courier New" w:cs="Courier New" w:eastAsia="Courier New" w:hAnsi="Courier New"/>
                <w:sz w:val="12"/>
                <w:szCs w:val="12"/>
                <w:color w:val="auto"/>
              </w:rPr>
              <w:t>TOTAL ASSETS</w:t>
            </w:r>
          </w:p>
        </w:tc>
        <w:tc>
          <w:tcPr>
            <w:tcW w:w="720" w:type="dxa"/>
            <w:vAlign w:val="bottom"/>
          </w:tcPr>
          <w:p>
            <w:pPr>
              <w:spacing w:after="0"/>
              <w:rPr>
                <w:sz w:val="23"/>
                <w:szCs w:val="23"/>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$ 678,686</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$ 11,938</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$ 690,624</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$ 847,508</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  11,535</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$ 859,043</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448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0</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0</w:t>
            </w: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CURRENT LIABILITIES</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CURRENT MATURITIES OF LONG-TERM DEBT</w:t>
            </w:r>
          </w:p>
        </w:tc>
        <w:tc>
          <w:tcPr>
            <w:tcW w:w="7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21,103</w:t>
            </w:r>
          </w:p>
        </w:tc>
        <w:tc>
          <w:tcPr>
            <w:tcW w:w="960" w:type="dxa"/>
            <w:vAlign w:val="bottom"/>
          </w:tcPr>
          <w:p>
            <w:pPr>
              <w:jc w:val="right"/>
              <w:ind w:right="661"/>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21,103</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94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F</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6,453</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(640)</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5,813</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TRADE ACCOUNTS PAYABLE</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59,741</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59,741</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65,326</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65,326</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OTHER CURRENT LIABILITIES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8,972</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8,972</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10,678</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10,678</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4480" w:type="dxa"/>
            <w:vAlign w:val="bottom"/>
          </w:tcPr>
          <w:p>
            <w:pPr>
              <w:ind w:left="560"/>
              <w:spacing w:after="0"/>
              <w:rPr>
                <w:sz w:val="20"/>
                <w:szCs w:val="20"/>
                <w:color w:val="auto"/>
              </w:rPr>
            </w:pPr>
            <w:r>
              <w:rPr>
                <w:rFonts w:ascii="Courier New" w:cs="Courier New" w:eastAsia="Courier New" w:hAnsi="Courier New"/>
                <w:sz w:val="12"/>
                <w:szCs w:val="12"/>
                <w:color w:val="auto"/>
              </w:rPr>
              <w:t>TOTAL CURRENT LIABILITIES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96,269</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(640)</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95,629</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76,004</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76,004</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LONG-TERM DEBT</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497,000</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497,000</w:t>
            </w: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497,000</w:t>
            </w: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497,000</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CONVERTIBLE DEBENTURES</w:t>
            </w:r>
          </w:p>
        </w:tc>
        <w:tc>
          <w:tcPr>
            <w:tcW w:w="720" w:type="dxa"/>
            <w:vAlign w:val="bottom"/>
          </w:tcPr>
          <w:p>
            <w:pPr>
              <w:jc w:val="center"/>
              <w:spacing w:after="0"/>
              <w:rPr>
                <w:sz w:val="20"/>
                <w:szCs w:val="20"/>
                <w:color w:val="auto"/>
              </w:rPr>
            </w:pPr>
            <w:r>
              <w:rPr>
                <w:rFonts w:ascii="Courier New" w:cs="Courier New" w:eastAsia="Courier New" w:hAnsi="Courier New"/>
                <w:sz w:val="12"/>
                <w:szCs w:val="12"/>
                <w:color w:val="auto"/>
                <w:w w:val="97"/>
              </w:rPr>
              <w:t>F, G</w:t>
            </w: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19,358</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23,574</w:t>
            </w: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42,932</w:t>
            </w: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26,651</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(2,559)</w:t>
            </w:r>
          </w:p>
        </w:tc>
        <w:tc>
          <w:tcPr>
            <w:tcW w:w="6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24,092</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LONG-TERM LIABILITY IN RESPECT</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4480" w:type="dxa"/>
            <w:vAlign w:val="bottom"/>
          </w:tcPr>
          <w:p>
            <w:pPr>
              <w:ind w:left="420"/>
              <w:spacing w:after="0"/>
              <w:rPr>
                <w:sz w:val="20"/>
                <w:szCs w:val="20"/>
                <w:color w:val="auto"/>
              </w:rPr>
            </w:pPr>
            <w:r>
              <w:rPr>
                <w:rFonts w:ascii="Courier New" w:cs="Courier New" w:eastAsia="Courier New" w:hAnsi="Courier New"/>
                <w:sz w:val="12"/>
                <w:szCs w:val="12"/>
                <w:color w:val="auto"/>
              </w:rPr>
              <w:t>OF CUSTOMERS' ADVANCES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59,621</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59,621</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64,428</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64,428</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OTHER LONG-TERM LIABILITIES</w:t>
            </w:r>
          </w:p>
        </w:tc>
        <w:tc>
          <w:tcPr>
            <w:tcW w:w="720" w:type="dxa"/>
            <w:vAlign w:val="bottom"/>
          </w:tcPr>
          <w:p>
            <w:pPr>
              <w:jc w:val="center"/>
              <w:spacing w:after="0"/>
              <w:rPr>
                <w:sz w:val="20"/>
                <w:szCs w:val="20"/>
                <w:color w:val="auto"/>
              </w:rPr>
            </w:pPr>
            <w:r>
              <w:rPr>
                <w:rFonts w:ascii="Courier New" w:cs="Courier New" w:eastAsia="Courier New" w:hAnsi="Courier New"/>
                <w:sz w:val="12"/>
                <w:szCs w:val="12"/>
                <w:color w:val="auto"/>
                <w:w w:val="97"/>
              </w:rPr>
              <w:t>C, D</w:t>
            </w: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11,012</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13,658</w:t>
            </w: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24,670</w:t>
            </w: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15,445</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18,756</w:t>
            </w:r>
          </w:p>
        </w:tc>
        <w:tc>
          <w:tcPr>
            <w:tcW w:w="6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34,201</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4480" w:type="dxa"/>
            <w:vAlign w:val="bottom"/>
          </w:tcPr>
          <w:p>
            <w:pPr>
              <w:ind w:left="560"/>
              <w:spacing w:after="0"/>
              <w:rPr>
                <w:sz w:val="20"/>
                <w:szCs w:val="20"/>
                <w:color w:val="auto"/>
              </w:rPr>
            </w:pPr>
            <w:r>
              <w:rPr>
                <w:rFonts w:ascii="Courier New" w:cs="Courier New" w:eastAsia="Courier New" w:hAnsi="Courier New"/>
                <w:sz w:val="12"/>
                <w:szCs w:val="12"/>
                <w:color w:val="auto"/>
              </w:rPr>
              <w:t>TOTAL LIABILITIES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683,260</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36,592</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719,852</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679,528</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16,197</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695,725</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CONVERTIBLE DEBENTURES</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G</w:t>
            </w: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25,493</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(25,493)</w:t>
            </w:r>
          </w:p>
        </w:tc>
        <w:tc>
          <w:tcPr>
            <w:tcW w:w="2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23"/>
                <w:szCs w:val="23"/>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274"/>
        </w:trPr>
        <w:tc>
          <w:tcPr>
            <w:tcW w:w="4480" w:type="dxa"/>
            <w:vAlign w:val="bottom"/>
          </w:tcPr>
          <w:p>
            <w:pPr>
              <w:ind w:left="200"/>
              <w:spacing w:after="0"/>
              <w:rPr>
                <w:sz w:val="20"/>
                <w:szCs w:val="20"/>
                <w:color w:val="auto"/>
              </w:rPr>
            </w:pPr>
            <w:r>
              <w:rPr>
                <w:rFonts w:ascii="Courier New" w:cs="Courier New" w:eastAsia="Courier New" w:hAnsi="Courier New"/>
                <w:sz w:val="12"/>
                <w:szCs w:val="12"/>
                <w:color w:val="auto"/>
              </w:rPr>
              <w:t>SHAREHOLDERS' EQUITY (DEFICIT)</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ORDINARY SHARES, NIS 1.00 PAR VALUE - AUTHORIZED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4480" w:type="dxa"/>
            <w:vAlign w:val="bottom"/>
          </w:tcPr>
          <w:p>
            <w:pPr>
              <w:ind w:left="500"/>
              <w:spacing w:after="0"/>
              <w:rPr>
                <w:sz w:val="20"/>
                <w:szCs w:val="20"/>
                <w:color w:val="auto"/>
              </w:rPr>
            </w:pPr>
            <w:r>
              <w:rPr>
                <w:rFonts w:ascii="Courier New" w:cs="Courier New" w:eastAsia="Courier New" w:hAnsi="Courier New"/>
                <w:sz w:val="12"/>
                <w:szCs w:val="12"/>
                <w:color w:val="auto"/>
              </w:rPr>
              <w:t>500,000,000 AND 250,000,000 SHARES, RESPECTIVELY;</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4480" w:type="dxa"/>
            <w:vAlign w:val="bottom"/>
          </w:tcPr>
          <w:p>
            <w:pPr>
              <w:ind w:left="560"/>
              <w:spacing w:after="0"/>
              <w:rPr>
                <w:sz w:val="20"/>
                <w:szCs w:val="20"/>
                <w:color w:val="auto"/>
              </w:rPr>
            </w:pPr>
            <w:r>
              <w:rPr>
                <w:rFonts w:ascii="Courier New" w:cs="Courier New" w:eastAsia="Courier New" w:hAnsi="Courier New"/>
                <w:sz w:val="12"/>
                <w:szCs w:val="12"/>
                <w:color w:val="auto"/>
              </w:rPr>
              <w:t>ISSUED 68,232,056 AND 66,999,796 SHARES, RESPECTIVELY</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16,548</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16,548</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16,274</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16,274</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ADDITIONAL PAID-IN CAPITAL</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F</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522,237</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2,363</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524,600</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517,476</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2,363</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519,839</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SHAREHOLDER RECEIVABLES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24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(26)</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ACCUMULATED OTHER COMPREHENSIVE LOSS</w:t>
            </w:r>
          </w:p>
        </w:tc>
        <w:tc>
          <w:tcPr>
            <w:tcW w:w="720" w:type="dxa"/>
            <w:vAlign w:val="bottom"/>
          </w:tcPr>
          <w:p>
            <w:pPr>
              <w:ind w:left="300"/>
              <w:spacing w:after="0"/>
              <w:rPr>
                <w:sz w:val="20"/>
                <w:szCs w:val="20"/>
                <w:color w:val="auto"/>
              </w:rPr>
            </w:pPr>
            <w:r>
              <w:rPr>
                <w:rFonts w:ascii="Courier New" w:cs="Courier New" w:eastAsia="Courier New" w:hAnsi="Courier New"/>
                <w:sz w:val="12"/>
                <w:szCs w:val="12"/>
                <w:color w:val="auto"/>
              </w:rPr>
              <w:t>D</w:t>
            </w:r>
          </w:p>
        </w:tc>
        <w:tc>
          <w:tcPr>
            <w:tcW w:w="2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(1,554)</w:t>
            </w:r>
          </w:p>
        </w:tc>
        <w:tc>
          <w:tcPr>
            <w:tcW w:w="2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(1,554)</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(7,055)</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(7,055)</w:t>
            </w:r>
          </w:p>
        </w:tc>
      </w:tr>
      <w:tr>
        <w:trPr>
          <w:trHeight w:val="137"/>
        </w:trPr>
        <w:tc>
          <w:tcPr>
            <w:tcW w:w="4480" w:type="dxa"/>
            <w:vAlign w:val="bottom"/>
          </w:tcPr>
          <w:p>
            <w:pPr>
              <w:ind w:left="360"/>
              <w:spacing w:after="0"/>
              <w:rPr>
                <w:sz w:val="20"/>
                <w:szCs w:val="20"/>
                <w:color w:val="auto"/>
              </w:rPr>
            </w:pPr>
            <w:r>
              <w:rPr>
                <w:rFonts w:ascii="Courier New" w:cs="Courier New" w:eastAsia="Courier New" w:hAnsi="Courier New"/>
                <w:sz w:val="12"/>
                <w:szCs w:val="12"/>
                <w:color w:val="auto"/>
              </w:rPr>
              <w:t>ACCUMULATED DEFICIT</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(559,754)</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30</w:t>
            </w:r>
          </w:p>
        </w:tc>
        <w:tc>
          <w:tcPr>
            <w:tcW w:w="2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(559,724)</w:t>
            </w:r>
          </w:p>
        </w:tc>
        <w:tc>
          <w:tcPr>
            <w:tcW w:w="24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5"/>
              </w:rPr>
              <w:t>(356,672)</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30</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(356,642)</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5"/>
              </w:rPr>
              <w:t>---------</w:t>
            </w:r>
          </w:p>
        </w:tc>
      </w:tr>
      <w:tr>
        <w:trPr>
          <w:trHeight w:val="137"/>
        </w:trPr>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(20,995)</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839</w:t>
            </w:r>
          </w:p>
        </w:tc>
        <w:tc>
          <w:tcPr>
            <w:tcW w:w="220" w:type="dxa"/>
            <w:vAlign w:val="bottom"/>
          </w:tcPr>
          <w:p>
            <w:pPr>
              <w:spacing w:after="0"/>
              <w:rPr>
                <w:sz w:val="11"/>
                <w:szCs w:val="11"/>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(20,156)</w:t>
            </w:r>
          </w:p>
        </w:tc>
        <w:tc>
          <w:tcPr>
            <w:tcW w:w="240" w:type="dxa"/>
            <w:vAlign w:val="bottom"/>
          </w:tcPr>
          <w:p>
            <w:pPr>
              <w:spacing w:after="0"/>
              <w:rPr>
                <w:sz w:val="11"/>
                <w:szCs w:val="11"/>
                <w:color w:val="auto"/>
              </w:rPr>
            </w:pPr>
          </w:p>
        </w:tc>
        <w:tc>
          <w:tcPr>
            <w:tcW w:w="8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177,052</w:t>
            </w:r>
          </w:p>
        </w:tc>
        <w:tc>
          <w:tcPr>
            <w:tcW w:w="12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(4,662)</w:t>
            </w:r>
          </w:p>
        </w:tc>
        <w:tc>
          <w:tcPr>
            <w:tcW w:w="60" w:type="dxa"/>
            <w:vAlign w:val="bottom"/>
          </w:tcPr>
          <w:p>
            <w:pPr>
              <w:spacing w:after="0"/>
              <w:rPr>
                <w:sz w:val="11"/>
                <w:szCs w:val="11"/>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172,390</w:t>
            </w:r>
          </w:p>
        </w:tc>
      </w:tr>
    </w:tbl>
    <w:p>
      <w:pPr>
        <w:sectPr>
          <w:pgSz w:w="11900" w:h="16838" w:orient="portrait"/>
          <w:cols w:equalWidth="0" w:num="1">
            <w:col w:w="11260"/>
          </w:cols>
          <w:pgMar w:left="220" w:top="138" w:right="419" w:bottom="0" w:gutter="0" w:footer="0" w:header="0"/>
        </w:sectPr>
      </w:pPr>
    </w:p>
    <w:bookmarkStart w:id="81" w:name="page82"/>
    <w:bookmarkEnd w:id="81"/>
    <w:p>
      <w:pPr>
        <w:spacing w:after="0" w:line="49" w:lineRule="exact"/>
        <w:rPr>
          <w:sz w:val="20"/>
          <w:szCs w:val="20"/>
          <w:color w:val="auto"/>
        </w:rPr>
      </w:pPr>
    </w:p>
    <w:p>
      <w:pPr>
        <w:ind w:left="360"/>
        <w:spacing w:after="0"/>
        <w:tabs>
          <w:tab w:leader="none" w:pos="5540" w:val="left"/>
        </w:tabs>
        <w:rPr>
          <w:sz w:val="20"/>
          <w:szCs w:val="20"/>
          <w:color w:val="auto"/>
        </w:rPr>
      </w:pPr>
      <w:r>
        <w:rPr>
          <w:rFonts w:ascii="Courier New" w:cs="Courier New" w:eastAsia="Courier New" w:hAnsi="Courier New"/>
          <w:sz w:val="12"/>
          <w:szCs w:val="12"/>
          <w:color w:val="auto"/>
        </w:rPr>
        <w:t>TREASURY STOCK, AT COST - 1,300,000 SHARES</w:t>
      </w:r>
      <w:r>
        <w:rPr>
          <w:sz w:val="20"/>
          <w:szCs w:val="20"/>
          <w:color w:val="auto"/>
        </w:rPr>
        <w:tab/>
      </w:r>
      <w:r>
        <w:rPr>
          <w:rFonts w:ascii="Courier New" w:cs="Courier New" w:eastAsia="Courier New" w:hAnsi="Courier New"/>
          <w:sz w:val="11"/>
          <w:szCs w:val="11"/>
          <w:color w:val="auto"/>
        </w:rPr>
        <w:t>(9,072)</w:t>
      </w:r>
    </w:p>
    <w:p>
      <w:pPr>
        <w:spacing w:after="0" w:line="1" w:lineRule="exact"/>
        <w:rPr>
          <w:sz w:val="20"/>
          <w:szCs w:val="20"/>
          <w:color w:val="auto"/>
        </w:rPr>
      </w:pPr>
    </w:p>
    <w:p>
      <w:pPr>
        <w:ind w:left="5340"/>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560"/>
        <w:spacing w:after="0"/>
        <w:tabs>
          <w:tab w:leader="none" w:pos="5460" w:val="left"/>
        </w:tabs>
        <w:rPr>
          <w:sz w:val="20"/>
          <w:szCs w:val="20"/>
          <w:color w:val="auto"/>
        </w:rPr>
      </w:pPr>
      <w:r>
        <w:rPr>
          <w:rFonts w:ascii="Courier New" w:cs="Courier New" w:eastAsia="Courier New" w:hAnsi="Courier New"/>
          <w:sz w:val="12"/>
          <w:szCs w:val="12"/>
          <w:color w:val="auto"/>
        </w:rPr>
        <w:t>TOTAL SHAREHOLDERS' EQUITY (DEFICIT)</w:t>
      </w:r>
      <w:r>
        <w:rPr>
          <w:sz w:val="20"/>
          <w:szCs w:val="20"/>
          <w:color w:val="auto"/>
        </w:rPr>
        <w:tab/>
      </w:r>
      <w:r>
        <w:rPr>
          <w:rFonts w:ascii="Courier New" w:cs="Courier New" w:eastAsia="Courier New" w:hAnsi="Courier New"/>
          <w:sz w:val="12"/>
          <w:szCs w:val="12"/>
          <w:color w:val="auto"/>
        </w:rPr>
        <w:t>(30,067)</w:t>
      </w:r>
    </w:p>
    <w:p>
      <w:pPr>
        <w:spacing w:after="0" w:line="1" w:lineRule="exact"/>
        <w:rPr>
          <w:sz w:val="20"/>
          <w:szCs w:val="20"/>
          <w:color w:val="auto"/>
        </w:rPr>
      </w:pPr>
    </w:p>
    <w:p>
      <w:pPr>
        <w:ind w:left="5340"/>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560"/>
        <w:spacing w:after="0"/>
        <w:tabs>
          <w:tab w:leader="none" w:pos="5320" w:val="left"/>
        </w:tabs>
        <w:rPr>
          <w:sz w:val="20"/>
          <w:szCs w:val="20"/>
          <w:color w:val="auto"/>
        </w:rPr>
      </w:pPr>
      <w:r>
        <w:rPr>
          <w:rFonts w:ascii="Courier New" w:cs="Courier New" w:eastAsia="Courier New" w:hAnsi="Courier New"/>
          <w:sz w:val="12"/>
          <w:szCs w:val="12"/>
          <w:color w:val="auto"/>
        </w:rPr>
        <w:t>TOTAL LIABILITIES AND SHAREHOLDERS' EQUITY</w:t>
      </w:r>
      <w:r>
        <w:rPr>
          <w:sz w:val="20"/>
          <w:szCs w:val="20"/>
          <w:color w:val="auto"/>
        </w:rPr>
        <w:tab/>
      </w:r>
      <w:r>
        <w:rPr>
          <w:rFonts w:ascii="Courier New" w:cs="Courier New" w:eastAsia="Courier New" w:hAnsi="Courier New"/>
          <w:sz w:val="11"/>
          <w:szCs w:val="11"/>
          <w:color w:val="auto"/>
        </w:rPr>
        <w:t>$ 678,686</w:t>
      </w:r>
    </w:p>
    <w:p>
      <w:pPr>
        <w:spacing w:after="0" w:line="1" w:lineRule="exact"/>
        <w:rPr>
          <w:sz w:val="20"/>
          <w:szCs w:val="20"/>
          <w:color w:val="auto"/>
        </w:rPr>
      </w:pPr>
    </w:p>
    <w:p>
      <w:pPr>
        <w:jc w:val="right"/>
        <w:ind w:right="80"/>
        <w:spacing w:after="0"/>
        <w:rPr>
          <w:sz w:val="20"/>
          <w:szCs w:val="20"/>
          <w:color w:val="auto"/>
        </w:rPr>
      </w:pPr>
      <w:r>
        <w:rPr>
          <w:rFonts w:ascii="Courier New" w:cs="Courier New" w:eastAsia="Courier New" w:hAnsi="Courier New"/>
          <w:sz w:val="12"/>
          <w:szCs w:val="12"/>
          <w:color w:val="auto"/>
        </w:rPr>
        <w:t>=========</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- 54</w:t>
      </w:r>
    </w:p>
    <w:p>
      <w:pPr>
        <w:spacing w:after="0" w:line="395"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39" w:lineRule="exact"/>
        <w:rPr>
          <w:sz w:val="20"/>
          <w:szCs w:val="20"/>
          <w:color w:val="auto"/>
        </w:rPr>
      </w:pPr>
    </w:p>
    <w:p>
      <w:pPr>
        <w:ind w:left="700" w:hanging="350"/>
        <w:spacing w:after="0"/>
        <w:tabs>
          <w:tab w:leader="none" w:pos="700" w:val="left"/>
        </w:tabs>
        <w:numPr>
          <w:ilvl w:val="0"/>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OPERATIONS IN ACCORDANCE WITH U.S. GAAP</w:t>
      </w:r>
    </w:p>
    <w:p>
      <w:pPr>
        <w:spacing w:after="0" w:line="141" w:lineRule="exact"/>
        <w:rPr>
          <w:rFonts w:ascii="Courier New" w:cs="Courier New" w:eastAsia="Courier New" w:hAnsi="Courier New"/>
          <w:sz w:val="12"/>
          <w:szCs w:val="12"/>
          <w:color w:val="auto"/>
        </w:rPr>
      </w:pPr>
    </w:p>
    <w:p>
      <w:pPr>
        <w:ind w:left="700" w:right="500"/>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133 and SFAS 138 (D above) and APB 14 (F above) would not have materially affected the results of operations for the years ended December 31, 2005, 2004 and 2003.</w:t>
      </w:r>
    </w:p>
    <w:p>
      <w:pPr>
        <w:spacing w:after="0" w:line="139" w:lineRule="exact"/>
        <w:rPr>
          <w:rFonts w:ascii="Courier New" w:cs="Courier New" w:eastAsia="Courier New" w:hAnsi="Courier New"/>
          <w:sz w:val="12"/>
          <w:szCs w:val="12"/>
          <w:color w:val="auto"/>
        </w:rPr>
      </w:pPr>
    </w:p>
    <w:p>
      <w:pPr>
        <w:ind w:left="700" w:hanging="350"/>
        <w:spacing w:after="0"/>
        <w:tabs>
          <w:tab w:leader="none" w:pos="700" w:val="left"/>
        </w:tabs>
        <w:numPr>
          <w:ilvl w:val="0"/>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IN ACCORDANCE WITH U.S. GAAP (SFAS 130)</w:t>
      </w:r>
    </w:p>
    <w:p>
      <w:pPr>
        <w:spacing w:after="0" w:line="141" w:lineRule="exact"/>
        <w:rPr>
          <w:rFonts w:ascii="Courier New" w:cs="Courier New" w:eastAsia="Courier New" w:hAnsi="Courier New"/>
          <w:sz w:val="12"/>
          <w:szCs w:val="12"/>
          <w:color w:val="auto"/>
        </w:rPr>
      </w:pPr>
    </w:p>
    <w:p>
      <w:pPr>
        <w:ind w:left="700" w:right="360"/>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40" w:type="dxa"/>
            <w:vAlign w:val="bottom"/>
          </w:tcPr>
          <w:p>
            <w:pPr>
              <w:spacing w:after="0"/>
              <w:rPr>
                <w:sz w:val="11"/>
                <w:szCs w:val="11"/>
                <w:color w:val="auto"/>
              </w:rPr>
            </w:pPr>
          </w:p>
        </w:tc>
        <w:tc>
          <w:tcPr>
            <w:tcW w:w="2920" w:type="dxa"/>
            <w:vAlign w:val="bottom"/>
            <w:gridSpan w:val="3"/>
          </w:tcPr>
          <w:p>
            <w:pPr>
              <w:jc w:val="right"/>
              <w:ind w:right="581"/>
              <w:spacing w:after="0"/>
              <w:rPr>
                <w:sz w:val="20"/>
                <w:szCs w:val="20"/>
                <w:color w:val="auto"/>
              </w:rPr>
            </w:pPr>
            <w:r>
              <w:rPr>
                <w:rFonts w:ascii="Courier New" w:cs="Courier New" w:eastAsia="Courier New" w:hAnsi="Courier New"/>
                <w:sz w:val="12"/>
                <w:szCs w:val="12"/>
                <w:color w:val="auto"/>
              </w:rPr>
              <w:t>Year ended December 31,</w:t>
            </w:r>
          </w:p>
        </w:tc>
      </w:tr>
      <w:tr>
        <w:trPr>
          <w:trHeight w:val="137"/>
        </w:trPr>
        <w:tc>
          <w:tcPr>
            <w:tcW w:w="3140" w:type="dxa"/>
            <w:vAlign w:val="bottom"/>
          </w:tcPr>
          <w:p>
            <w:pPr>
              <w:spacing w:after="0"/>
              <w:rPr>
                <w:sz w:val="11"/>
                <w:szCs w:val="11"/>
                <w:color w:val="auto"/>
              </w:rPr>
            </w:pPr>
          </w:p>
        </w:tc>
        <w:tc>
          <w:tcPr>
            <w:tcW w:w="292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7"/>
        </w:trPr>
        <w:tc>
          <w:tcPr>
            <w:tcW w:w="3140" w:type="dxa"/>
            <w:vAlign w:val="bottom"/>
          </w:tcPr>
          <w:p>
            <w:pPr>
              <w:spacing w:after="0"/>
              <w:rPr>
                <w:sz w:val="11"/>
                <w:szCs w:val="11"/>
                <w:color w:val="auto"/>
              </w:rPr>
            </w:pPr>
          </w:p>
        </w:tc>
        <w:tc>
          <w:tcPr>
            <w:tcW w:w="9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2005</w:t>
            </w:r>
          </w:p>
        </w:tc>
        <w:tc>
          <w:tcPr>
            <w:tcW w:w="106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2004</w:t>
            </w:r>
          </w:p>
        </w:tc>
        <w:tc>
          <w:tcPr>
            <w:tcW w:w="9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314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140" w:type="dxa"/>
            <w:vAlign w:val="bottom"/>
          </w:tcPr>
          <w:p>
            <w:pPr>
              <w:spacing w:after="0"/>
              <w:rPr>
                <w:sz w:val="20"/>
                <w:szCs w:val="20"/>
                <w:color w:val="auto"/>
              </w:rPr>
            </w:pPr>
            <w:r>
              <w:rPr>
                <w:rFonts w:ascii="Courier New" w:cs="Courier New" w:eastAsia="Courier New" w:hAnsi="Courier New"/>
                <w:sz w:val="12"/>
                <w:szCs w:val="12"/>
                <w:color w:val="auto"/>
              </w:rPr>
              <w:t>Loss for the year according to U.S. GAAP</w:t>
            </w: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$(203,082)</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$(137,768)</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$(114,261)</w:t>
            </w:r>
          </w:p>
        </w:tc>
      </w:tr>
      <w:tr>
        <w:trPr>
          <w:trHeight w:val="274"/>
        </w:trPr>
        <w:tc>
          <w:tcPr>
            <w:tcW w:w="314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37"/>
        </w:trPr>
        <w:tc>
          <w:tcPr>
            <w:tcW w:w="3140" w:type="dxa"/>
            <w:vAlign w:val="bottom"/>
          </w:tcPr>
          <w:p>
            <w:pPr>
              <w:ind w:left="280"/>
              <w:spacing w:after="0"/>
              <w:rPr>
                <w:sz w:val="20"/>
                <w:szCs w:val="20"/>
                <w:color w:val="auto"/>
              </w:rPr>
            </w:pPr>
            <w:r>
              <w:rPr>
                <w:rFonts w:ascii="Courier New" w:cs="Courier New" w:eastAsia="Courier New" w:hAnsi="Courier New"/>
                <w:sz w:val="12"/>
                <w:szCs w:val="12"/>
                <w:color w:val="auto"/>
              </w:rPr>
              <w:t>Amortization of unrealized</w:t>
            </w: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7"/>
        </w:trPr>
        <w:tc>
          <w:tcPr>
            <w:tcW w:w="3140" w:type="dxa"/>
            <w:vAlign w:val="bottom"/>
          </w:tcPr>
          <w:p>
            <w:pPr>
              <w:ind w:left="500"/>
              <w:spacing w:after="0"/>
              <w:rPr>
                <w:sz w:val="20"/>
                <w:szCs w:val="20"/>
                <w:color w:val="auto"/>
              </w:rPr>
            </w:pPr>
            <w:r>
              <w:rPr>
                <w:rFonts w:ascii="Courier New" w:cs="Courier New" w:eastAsia="Courier New" w:hAnsi="Courier New"/>
                <w:sz w:val="12"/>
                <w:szCs w:val="12"/>
                <w:color w:val="auto"/>
              </w:rPr>
              <w:t>losses on derivatives</w:t>
            </w: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1,328</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1,328</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664</w:t>
            </w:r>
          </w:p>
        </w:tc>
      </w:tr>
      <w:tr>
        <w:trPr>
          <w:trHeight w:val="137"/>
        </w:trPr>
        <w:tc>
          <w:tcPr>
            <w:tcW w:w="3140" w:type="dxa"/>
            <w:vAlign w:val="bottom"/>
          </w:tcPr>
          <w:p>
            <w:pPr>
              <w:ind w:left="280"/>
              <w:spacing w:after="0"/>
              <w:rPr>
                <w:sz w:val="20"/>
                <w:szCs w:val="20"/>
                <w:color w:val="auto"/>
              </w:rPr>
            </w:pPr>
            <w:r>
              <w:rPr>
                <w:rFonts w:ascii="Courier New" w:cs="Courier New" w:eastAsia="Courier New" w:hAnsi="Courier New"/>
                <w:sz w:val="12"/>
                <w:szCs w:val="12"/>
                <w:color w:val="auto"/>
              </w:rPr>
              <w:t>Unrealized gains on derivatives</w:t>
            </w: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4,173</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7,514</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1,276</w:t>
            </w:r>
          </w:p>
        </w:tc>
      </w:tr>
      <w:tr>
        <w:trPr>
          <w:trHeight w:val="137"/>
        </w:trPr>
        <w:tc>
          <w:tcPr>
            <w:tcW w:w="314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7"/>
        </w:trPr>
        <w:tc>
          <w:tcPr>
            <w:tcW w:w="3140" w:type="dxa"/>
            <w:vAlign w:val="bottom"/>
          </w:tcPr>
          <w:p>
            <w:pPr>
              <w:spacing w:after="0"/>
              <w:rPr>
                <w:sz w:val="20"/>
                <w:szCs w:val="20"/>
                <w:color w:val="auto"/>
              </w:rPr>
            </w:pPr>
            <w:r>
              <w:rPr>
                <w:rFonts w:ascii="Courier New" w:cs="Courier New" w:eastAsia="Courier New" w:hAnsi="Courier New"/>
                <w:sz w:val="12"/>
                <w:szCs w:val="12"/>
                <w:color w:val="auto"/>
              </w:rPr>
              <w:t>Net comprehensive loss for the year</w:t>
            </w: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$(197,581)</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$(128,926)</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$(112,321)</w:t>
            </w:r>
          </w:p>
        </w:tc>
      </w:tr>
      <w:tr>
        <w:trPr>
          <w:trHeight w:val="137"/>
        </w:trPr>
        <w:tc>
          <w:tcPr>
            <w:tcW w:w="314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412"/>
        </w:trPr>
        <w:tc>
          <w:tcPr>
            <w:tcW w:w="3140" w:type="dxa"/>
            <w:vAlign w:val="bottom"/>
          </w:tcPr>
          <w:p>
            <w:pPr>
              <w:ind w:left="2640"/>
              <w:spacing w:after="0"/>
              <w:rPr>
                <w:sz w:val="20"/>
                <w:szCs w:val="20"/>
                <w:color w:val="auto"/>
              </w:rPr>
            </w:pPr>
            <w:r>
              <w:rPr>
                <w:rFonts w:ascii="Courier New" w:cs="Courier New" w:eastAsia="Courier New" w:hAnsi="Courier New"/>
                <w:sz w:val="12"/>
                <w:szCs w:val="12"/>
                <w:color w:val="auto"/>
              </w:rPr>
              <w:t>F - 55</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39" w:lineRule="exact"/>
        <w:rPr>
          <w:sz w:val="20"/>
          <w:szCs w:val="20"/>
          <w:color w:val="auto"/>
        </w:rPr>
      </w:pPr>
    </w:p>
    <w:p>
      <w:pPr>
        <w:ind w:left="700" w:hanging="350"/>
        <w:spacing w:after="0"/>
        <w:tabs>
          <w:tab w:leader="none" w:pos="700" w:val="left"/>
        </w:tabs>
        <w:numPr>
          <w:ilvl w:val="0"/>
          <w:numId w:val="1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DATA IN ACCORDANCE WITH U.S. GAAP (SFAS 128)</w:t>
      </w:r>
    </w:p>
    <w:p>
      <w:pPr>
        <w:spacing w:after="0" w:line="141" w:lineRule="exact"/>
        <w:rPr>
          <w:sz w:val="20"/>
          <w:szCs w:val="20"/>
          <w:color w:val="auto"/>
        </w:rPr>
      </w:pPr>
    </w:p>
    <w:p>
      <w:pPr>
        <w:ind w:left="700" w:right="500"/>
        <w:spacing w:after="0" w:line="239" w:lineRule="auto"/>
        <w:rPr>
          <w:sz w:val="20"/>
          <w:szCs w:val="20"/>
          <w:color w:val="auto"/>
        </w:rPr>
      </w:pPr>
      <w:r>
        <w:rPr>
          <w:rFonts w:ascii="Courier New" w:cs="Courier New" w:eastAsia="Courier New" w:hAnsi="Courier New"/>
          <w:sz w:val="12"/>
          <w:szCs w:val="12"/>
          <w:color w:val="auto"/>
        </w:rPr>
        <w:t>In accordance with U.S. GAAP (SFAS 128, including the implementation of SFAS 133 and SFAS 138, and APB 14 as described above), the basic and diluted loss per share would be: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40" w:type="dxa"/>
            <w:vAlign w:val="bottom"/>
          </w:tcPr>
          <w:p>
            <w:pPr>
              <w:spacing w:after="0"/>
              <w:rPr>
                <w:sz w:val="11"/>
                <w:szCs w:val="11"/>
                <w:color w:val="auto"/>
              </w:rPr>
            </w:pPr>
          </w:p>
        </w:tc>
        <w:tc>
          <w:tcPr>
            <w:tcW w:w="1720" w:type="dxa"/>
            <w:vAlign w:val="bottom"/>
            <w:gridSpan w:val="2"/>
          </w:tcPr>
          <w:p>
            <w:pPr>
              <w:ind w:left="320"/>
              <w:spacing w:after="0"/>
              <w:rPr>
                <w:sz w:val="20"/>
                <w:szCs w:val="20"/>
                <w:color w:val="auto"/>
              </w:rPr>
            </w:pPr>
            <w:r>
              <w:rPr>
                <w:rFonts w:ascii="Courier New" w:cs="Courier New" w:eastAsia="Courier New" w:hAnsi="Courier New"/>
                <w:sz w:val="12"/>
                <w:szCs w:val="12"/>
                <w:color w:val="auto"/>
              </w:rPr>
              <w:t>Year ended December</w:t>
            </w:r>
          </w:p>
        </w:tc>
        <w:tc>
          <w:tcPr>
            <w:tcW w:w="520" w:type="dxa"/>
            <w:vAlign w:val="bottom"/>
          </w:tcPr>
          <w:p>
            <w:pPr>
              <w:ind w:left="20"/>
              <w:spacing w:after="0"/>
              <w:rPr>
                <w:sz w:val="20"/>
                <w:szCs w:val="20"/>
                <w:color w:val="auto"/>
              </w:rPr>
            </w:pPr>
            <w:r>
              <w:rPr>
                <w:rFonts w:ascii="Courier New" w:cs="Courier New" w:eastAsia="Courier New" w:hAnsi="Courier New"/>
                <w:sz w:val="12"/>
                <w:szCs w:val="12"/>
                <w:color w:val="auto"/>
              </w:rPr>
              <w:t>31,</w:t>
            </w:r>
          </w:p>
        </w:tc>
      </w:tr>
      <w:tr>
        <w:trPr>
          <w:trHeight w:val="137"/>
        </w:trPr>
        <w:tc>
          <w:tcPr>
            <w:tcW w:w="1740" w:type="dxa"/>
            <w:vAlign w:val="bottom"/>
          </w:tcPr>
          <w:p>
            <w:pPr>
              <w:spacing w:after="0"/>
              <w:rPr>
                <w:sz w:val="11"/>
                <w:szCs w:val="11"/>
                <w:color w:val="auto"/>
              </w:rPr>
            </w:pPr>
          </w:p>
        </w:tc>
        <w:tc>
          <w:tcPr>
            <w:tcW w:w="2240" w:type="dxa"/>
            <w:vAlign w:val="bottom"/>
            <w:gridSpan w:val="3"/>
          </w:tcPr>
          <w:p>
            <w:pPr>
              <w:ind w:left="180"/>
              <w:spacing w:after="0"/>
              <w:rPr>
                <w:sz w:val="20"/>
                <w:szCs w:val="20"/>
                <w:color w:val="auto"/>
              </w:rPr>
            </w:pPr>
            <w:r>
              <w:rPr>
                <w:rFonts w:ascii="Courier New" w:cs="Courier New" w:eastAsia="Courier New" w:hAnsi="Courier New"/>
                <w:sz w:val="12"/>
                <w:szCs w:val="12"/>
                <w:color w:val="auto"/>
              </w:rPr>
              <w:t>----------------------------</w:t>
            </w:r>
          </w:p>
        </w:tc>
      </w:tr>
      <w:tr>
        <w:trPr>
          <w:trHeight w:val="137"/>
        </w:trPr>
        <w:tc>
          <w:tcPr>
            <w:tcW w:w="1740" w:type="dxa"/>
            <w:vAlign w:val="bottom"/>
          </w:tcPr>
          <w:p>
            <w:pPr>
              <w:spacing w:after="0"/>
              <w:rPr>
                <w:sz w:val="11"/>
                <w:szCs w:val="11"/>
                <w:color w:val="auto"/>
              </w:rPr>
            </w:pPr>
          </w:p>
        </w:tc>
        <w:tc>
          <w:tcPr>
            <w:tcW w:w="820" w:type="dxa"/>
            <w:vAlign w:val="bottom"/>
          </w:tcPr>
          <w:p>
            <w:pPr>
              <w:ind w:left="260"/>
              <w:spacing w:after="0"/>
              <w:rPr>
                <w:sz w:val="20"/>
                <w:szCs w:val="20"/>
                <w:color w:val="auto"/>
              </w:rPr>
            </w:pPr>
            <w:r>
              <w:rPr>
                <w:rFonts w:ascii="Courier New" w:cs="Courier New" w:eastAsia="Courier New" w:hAnsi="Courier New"/>
                <w:sz w:val="12"/>
                <w:szCs w:val="12"/>
                <w:color w:val="auto"/>
              </w:rPr>
              <w:t>2005</w:t>
            </w:r>
          </w:p>
        </w:tc>
        <w:tc>
          <w:tcPr>
            <w:tcW w:w="900" w:type="dxa"/>
            <w:vAlign w:val="bottom"/>
          </w:tcPr>
          <w:p>
            <w:pPr>
              <w:ind w:left="220"/>
              <w:spacing w:after="0"/>
              <w:rPr>
                <w:sz w:val="20"/>
                <w:szCs w:val="20"/>
                <w:color w:val="auto"/>
              </w:rPr>
            </w:pPr>
            <w:r>
              <w:rPr>
                <w:rFonts w:ascii="Courier New" w:cs="Courier New" w:eastAsia="Courier New" w:hAnsi="Courier New"/>
                <w:sz w:val="12"/>
                <w:szCs w:val="12"/>
                <w:color w:val="auto"/>
              </w:rPr>
              <w:t>2004</w:t>
            </w:r>
          </w:p>
        </w:tc>
        <w:tc>
          <w:tcPr>
            <w:tcW w:w="520" w:type="dxa"/>
            <w:vAlign w:val="bottom"/>
          </w:tcPr>
          <w:p>
            <w:pPr>
              <w:ind w:left="100"/>
              <w:spacing w:after="0"/>
              <w:rPr>
                <w:sz w:val="20"/>
                <w:szCs w:val="20"/>
                <w:color w:val="auto"/>
              </w:rPr>
            </w:pPr>
            <w:r>
              <w:rPr>
                <w:rFonts w:ascii="Courier New" w:cs="Courier New" w:eastAsia="Courier New" w:hAnsi="Courier New"/>
                <w:sz w:val="12"/>
                <w:szCs w:val="12"/>
                <w:color w:val="auto"/>
              </w:rPr>
              <w:t>2003</w:t>
            </w:r>
          </w:p>
        </w:tc>
      </w:tr>
      <w:tr>
        <w:trPr>
          <w:trHeight w:val="137"/>
        </w:trPr>
        <w:tc>
          <w:tcPr>
            <w:tcW w:w="1740" w:type="dxa"/>
            <w:vAlign w:val="bottom"/>
          </w:tcPr>
          <w:p>
            <w:pPr>
              <w:spacing w:after="0"/>
              <w:rPr>
                <w:sz w:val="11"/>
                <w:szCs w:val="11"/>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r>
      <w:tr>
        <w:trPr>
          <w:trHeight w:val="137"/>
        </w:trPr>
        <w:tc>
          <w:tcPr>
            <w:tcW w:w="1740" w:type="dxa"/>
            <w:vAlign w:val="bottom"/>
          </w:tcPr>
          <w:p>
            <w:pPr>
              <w:spacing w:after="0"/>
              <w:rPr>
                <w:sz w:val="20"/>
                <w:szCs w:val="20"/>
                <w:color w:val="auto"/>
              </w:rPr>
            </w:pPr>
            <w:r>
              <w:rPr>
                <w:rFonts w:ascii="Courier New" w:cs="Courier New" w:eastAsia="Courier New" w:hAnsi="Courier New"/>
                <w:sz w:val="12"/>
                <w:szCs w:val="12"/>
                <w:color w:val="auto"/>
              </w:rPr>
              <w:t>Basic loss per share</w:t>
            </w:r>
          </w:p>
        </w:tc>
        <w:tc>
          <w:tcPr>
            <w:tcW w:w="820" w:type="dxa"/>
            <w:vAlign w:val="bottom"/>
          </w:tcPr>
          <w:p>
            <w:pPr>
              <w:ind w:left="180"/>
              <w:spacing w:after="0"/>
              <w:rPr>
                <w:sz w:val="20"/>
                <w:szCs w:val="20"/>
                <w:color w:val="auto"/>
              </w:rPr>
            </w:pPr>
            <w:r>
              <w:rPr>
                <w:rFonts w:ascii="Courier New" w:cs="Courier New" w:eastAsia="Courier New" w:hAnsi="Courier New"/>
                <w:sz w:val="12"/>
                <w:szCs w:val="12"/>
                <w:color w:val="auto"/>
              </w:rPr>
              <w:t>$(3.06)</w:t>
            </w:r>
          </w:p>
        </w:tc>
        <w:tc>
          <w:tcPr>
            <w:tcW w:w="900" w:type="dxa"/>
            <w:vAlign w:val="bottom"/>
          </w:tcPr>
          <w:p>
            <w:pPr>
              <w:ind w:left="140"/>
              <w:spacing w:after="0"/>
              <w:rPr>
                <w:sz w:val="20"/>
                <w:szCs w:val="20"/>
                <w:color w:val="auto"/>
              </w:rPr>
            </w:pPr>
            <w:r>
              <w:rPr>
                <w:rFonts w:ascii="Courier New" w:cs="Courier New" w:eastAsia="Courier New" w:hAnsi="Courier New"/>
                <w:sz w:val="12"/>
                <w:szCs w:val="12"/>
                <w:color w:val="auto"/>
              </w:rPr>
              <w:t>$(2.13)</w:t>
            </w:r>
          </w:p>
        </w:tc>
        <w:tc>
          <w:tcPr>
            <w:tcW w:w="520" w:type="dxa"/>
            <w:vAlign w:val="bottom"/>
          </w:tcPr>
          <w:p>
            <w:pPr>
              <w:ind w:left="20"/>
              <w:spacing w:after="0"/>
              <w:rPr>
                <w:sz w:val="20"/>
                <w:szCs w:val="20"/>
                <w:color w:val="auto"/>
              </w:rPr>
            </w:pPr>
            <w:r>
              <w:rPr>
                <w:rFonts w:ascii="Courier New" w:cs="Courier New" w:eastAsia="Courier New" w:hAnsi="Courier New"/>
                <w:sz w:val="12"/>
                <w:szCs w:val="12"/>
                <w:color w:val="auto"/>
                <w:w w:val="95"/>
              </w:rPr>
              <w:t>$(2.45)</w:t>
            </w:r>
          </w:p>
        </w:tc>
      </w:tr>
      <w:tr>
        <w:trPr>
          <w:trHeight w:val="137"/>
        </w:trPr>
        <w:tc>
          <w:tcPr>
            <w:tcW w:w="1740" w:type="dxa"/>
            <w:vAlign w:val="bottom"/>
          </w:tcPr>
          <w:p>
            <w:pPr>
              <w:spacing w:after="0"/>
              <w:rPr>
                <w:sz w:val="11"/>
                <w:szCs w:val="11"/>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r>
      <w:tr>
        <w:trPr>
          <w:trHeight w:val="274"/>
        </w:trPr>
        <w:tc>
          <w:tcPr>
            <w:tcW w:w="1740" w:type="dxa"/>
            <w:vAlign w:val="bottom"/>
          </w:tcPr>
          <w:p>
            <w:pPr>
              <w:spacing w:after="0"/>
              <w:rPr>
                <w:sz w:val="20"/>
                <w:szCs w:val="20"/>
                <w:color w:val="auto"/>
              </w:rPr>
            </w:pPr>
            <w:r>
              <w:rPr>
                <w:rFonts w:ascii="Courier New" w:cs="Courier New" w:eastAsia="Courier New" w:hAnsi="Courier New"/>
                <w:sz w:val="12"/>
                <w:szCs w:val="12"/>
                <w:color w:val="auto"/>
              </w:rPr>
              <w:t>Diluted loss per share</w:t>
            </w:r>
          </w:p>
        </w:tc>
        <w:tc>
          <w:tcPr>
            <w:tcW w:w="820" w:type="dxa"/>
            <w:vAlign w:val="bottom"/>
          </w:tcPr>
          <w:p>
            <w:pPr>
              <w:ind w:left="180"/>
              <w:spacing w:after="0"/>
              <w:rPr>
                <w:sz w:val="20"/>
                <w:szCs w:val="20"/>
                <w:color w:val="auto"/>
              </w:rPr>
            </w:pPr>
            <w:r>
              <w:rPr>
                <w:rFonts w:ascii="Courier New" w:cs="Courier New" w:eastAsia="Courier New" w:hAnsi="Courier New"/>
                <w:sz w:val="12"/>
                <w:szCs w:val="12"/>
                <w:color w:val="auto"/>
              </w:rPr>
              <w:t>$(3.06)</w:t>
            </w:r>
          </w:p>
        </w:tc>
        <w:tc>
          <w:tcPr>
            <w:tcW w:w="900" w:type="dxa"/>
            <w:vAlign w:val="bottom"/>
          </w:tcPr>
          <w:p>
            <w:pPr>
              <w:ind w:left="140"/>
              <w:spacing w:after="0"/>
              <w:rPr>
                <w:sz w:val="20"/>
                <w:szCs w:val="20"/>
                <w:color w:val="auto"/>
              </w:rPr>
            </w:pPr>
            <w:r>
              <w:rPr>
                <w:rFonts w:ascii="Courier New" w:cs="Courier New" w:eastAsia="Courier New" w:hAnsi="Courier New"/>
                <w:sz w:val="12"/>
                <w:szCs w:val="12"/>
                <w:color w:val="auto"/>
              </w:rPr>
              <w:t>$(2.13)</w:t>
            </w:r>
          </w:p>
        </w:tc>
        <w:tc>
          <w:tcPr>
            <w:tcW w:w="520" w:type="dxa"/>
            <w:vAlign w:val="bottom"/>
          </w:tcPr>
          <w:p>
            <w:pPr>
              <w:ind w:left="20"/>
              <w:spacing w:after="0"/>
              <w:rPr>
                <w:sz w:val="20"/>
                <w:szCs w:val="20"/>
                <w:color w:val="auto"/>
              </w:rPr>
            </w:pPr>
            <w:r>
              <w:rPr>
                <w:rFonts w:ascii="Courier New" w:cs="Courier New" w:eastAsia="Courier New" w:hAnsi="Courier New"/>
                <w:sz w:val="12"/>
                <w:szCs w:val="12"/>
                <w:color w:val="auto"/>
                <w:w w:val="95"/>
              </w:rPr>
              <w:t>$(2.45)</w:t>
            </w:r>
          </w:p>
        </w:tc>
      </w:tr>
      <w:tr>
        <w:trPr>
          <w:trHeight w:val="137"/>
        </w:trPr>
        <w:tc>
          <w:tcPr>
            <w:tcW w:w="1740" w:type="dxa"/>
            <w:vAlign w:val="bottom"/>
          </w:tcPr>
          <w:p>
            <w:pPr>
              <w:spacing w:after="0"/>
              <w:rPr>
                <w:sz w:val="11"/>
                <w:szCs w:val="11"/>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ind w:left="20"/>
              <w:spacing w:after="0"/>
              <w:rPr>
                <w:sz w:val="20"/>
                <w:szCs w:val="20"/>
                <w:color w:val="auto"/>
              </w:rPr>
            </w:pPr>
            <w:r>
              <w:rPr>
                <w:rFonts w:ascii="Courier New" w:cs="Courier New" w:eastAsia="Courier New" w:hAnsi="Courier New"/>
                <w:sz w:val="12"/>
                <w:szCs w:val="12"/>
                <w:color w:val="auto"/>
              </w:rPr>
              <w:t>======</w:t>
            </w:r>
          </w:p>
        </w:tc>
      </w:tr>
    </w:tbl>
    <w:p>
      <w:pPr>
        <w:spacing w:after="0" w:line="141" w:lineRule="exact"/>
        <w:rPr>
          <w:sz w:val="20"/>
          <w:szCs w:val="20"/>
          <w:color w:val="auto"/>
        </w:rPr>
      </w:pPr>
    </w:p>
    <w:p>
      <w:pPr>
        <w:ind w:left="700" w:right="360"/>
        <w:spacing w:after="0"/>
        <w:rPr>
          <w:sz w:val="20"/>
          <w:szCs w:val="20"/>
          <w:color w:val="auto"/>
        </w:rPr>
      </w:pPr>
      <w:r>
        <w:rPr>
          <w:rFonts w:ascii="Courier New" w:cs="Courier New" w:eastAsia="Courier New" w:hAnsi="Courier New"/>
          <w:sz w:val="12"/>
          <w:szCs w:val="12"/>
          <w:color w:val="auto"/>
        </w:rPr>
        <w:t>For the purpose of U.S. GAAP, the beneficial feature attributed to the rights offering that retroactively adjusted loss per share under Israeli GAAP, as described in Note 12C, was eliminated since such accounting treatment is not allowed by U.S. GAAP.</w:t>
      </w:r>
    </w:p>
    <w:p>
      <w:pPr>
        <w:spacing w:after="0" w:line="142" w:lineRule="exact"/>
        <w:rPr>
          <w:sz w:val="20"/>
          <w:szCs w:val="20"/>
          <w:color w:val="auto"/>
        </w:rPr>
      </w:pPr>
    </w:p>
    <w:p>
      <w:pPr>
        <w:ind w:left="700" w:right="360"/>
        <w:spacing w:after="0" w:line="265" w:lineRule="auto"/>
        <w:rPr>
          <w:sz w:val="20"/>
          <w:szCs w:val="20"/>
          <w:color w:val="auto"/>
        </w:rPr>
      </w:pPr>
      <w:r>
        <w:rPr>
          <w:rFonts w:ascii="Courier New" w:cs="Courier New" w:eastAsia="Courier New" w:hAnsi="Courier New"/>
          <w:sz w:val="11"/>
          <w:szCs w:val="11"/>
          <w:color w:val="auto"/>
        </w:rPr>
        <w:t>The following tables provide a reconciliation of the numerators and denominators of the basic and diluted per share computations for 2005, 2004 and 2003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year presented include retroactive effect from the beginning of each year of shares issued upon exercise of share options and warrants ("Exercise") and upon conversion of convertible debentures ("Conversion"), outstanding at the beginning of each year and giving effect to shares issuable from probable Exercise and from probable Conversion. Israeli GAAP further provide that loss per ordinary share is to be calculated based on loss for the year with the inclusion of imputed interest income on the exercise price of options and warrants exercised or of probable Exercise, and of financial expenses in relation to converted debentures or on probable Conversion. According to U.S. GAAP, the amount of shares underlying the options and warrants is accounted for according to the treasury method, regardless of the probability of the exercise of the options and warrants, and the amount of shares underlying convertible debentures is accounted for by application of the if-converted method. According to Israeli GAAP, the loss to compute basic loss per share should include imputed interest income on the exercise price of options and warrants exercised during the year and of probable Exercise and probable Conversion, an inclusion which is not allowed under U.S. GAAP.</w:t>
      </w:r>
    </w:p>
    <w:p>
      <w:pPr>
        <w:spacing w:after="0" w:line="200" w:lineRule="exact"/>
        <w:rPr>
          <w:sz w:val="20"/>
          <w:szCs w:val="20"/>
          <w:color w:val="auto"/>
        </w:rPr>
      </w:pPr>
    </w:p>
    <w:p>
      <w:pPr>
        <w:spacing w:after="0" w:line="33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- 56</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740" w:type="dxa"/>
            <w:vAlign w:val="bottom"/>
          </w:tcPr>
          <w:p>
            <w:pPr>
              <w:spacing w:after="0"/>
              <w:rPr>
                <w:sz w:val="11"/>
                <w:szCs w:val="11"/>
                <w:color w:val="auto"/>
              </w:rPr>
            </w:pPr>
          </w:p>
        </w:tc>
        <w:tc>
          <w:tcPr>
            <w:tcW w:w="10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(9,072)</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(9,072)</w:t>
            </w:r>
          </w:p>
        </w:tc>
        <w:tc>
          <w:tcPr>
            <w:tcW w:w="10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r>
      <w:tr>
        <w:trPr>
          <w:trHeight w:val="137"/>
        </w:trPr>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3"/>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7"/>
        </w:trPr>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839</w:t>
            </w:r>
          </w:p>
        </w:tc>
        <w:tc>
          <w:tcPr>
            <w:tcW w:w="10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(29,228)</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167,980</w:t>
            </w:r>
          </w:p>
        </w:tc>
        <w:tc>
          <w:tcPr>
            <w:tcW w:w="10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(4,662)</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163,318</w:t>
            </w:r>
          </w:p>
        </w:tc>
      </w:tr>
      <w:tr>
        <w:trPr>
          <w:trHeight w:val="137"/>
        </w:trPr>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3"/>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4"/>
        </w:trPr>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3"/>
              </w:rPr>
              <w:t>$ 11,938</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$ 690,624</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$ 847,508</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  11,535</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$ 859,043</w:t>
            </w:r>
          </w:p>
        </w:tc>
      </w:tr>
      <w:tr>
        <w:trPr>
          <w:trHeight w:val="137"/>
        </w:trPr>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3"/>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ectPr>
          <w:pgSz w:w="11900" w:h="16887" w:orient="portrait"/>
          <w:cols w:equalWidth="0" w:num="2">
            <w:col w:w="6060" w:space="360"/>
            <w:col w:w="4840"/>
          </w:cols>
          <w:pgMar w:left="220" w:top="138" w:right="419" w:bottom="0" w:gutter="0" w:footer="0" w:header="0"/>
        </w:sectPr>
      </w:pPr>
    </w:p>
    <w:bookmarkStart w:id="82" w:name="page83"/>
    <w:bookmarkEnd w:id="82"/>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41" w:lineRule="exact"/>
        <w:rPr>
          <w:sz w:val="20"/>
          <w:szCs w:val="20"/>
          <w:color w:val="auto"/>
        </w:rPr>
      </w:pPr>
    </w:p>
    <w:p>
      <w:pPr>
        <w:ind w:left="700" w:right="4759" w:hanging="350"/>
        <w:spacing w:after="0" w:line="479" w:lineRule="auto"/>
        <w:tabs>
          <w:tab w:leader="none" w:pos="700" w:val="left"/>
        </w:tabs>
        <w:numPr>
          <w:ilvl w:val="0"/>
          <w:numId w:val="1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DATA IN ACCORDANCE WITH U.S. GAAP (SFAS 128) (cont.) RECONCILIATION FOR 2005:</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Year ended December 31, 2005</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2"/>
          <w:szCs w:val="12"/>
          <w:color w:val="auto"/>
        </w:rPr>
        <w:t>Shares</w:t>
      </w:r>
    </w:p>
    <w:p>
      <w:pPr>
        <w:spacing w:after="0" w:line="4" w:lineRule="exact"/>
        <w:rPr>
          <w:sz w:val="20"/>
          <w:szCs w:val="20"/>
          <w:color w:val="auto"/>
        </w:rPr>
      </w:pPr>
    </w:p>
    <w:p>
      <w:pPr>
        <w:ind w:left="3420"/>
        <w:spacing w:after="0"/>
        <w:tabs>
          <w:tab w:leader="none" w:pos="4180" w:val="left"/>
        </w:tabs>
        <w:rPr>
          <w:sz w:val="20"/>
          <w:szCs w:val="20"/>
          <w:color w:val="auto"/>
        </w:rPr>
      </w:pPr>
      <w:r>
        <w:rPr>
          <w:rFonts w:ascii="Courier New" w:cs="Courier New" w:eastAsia="Courier New" w:hAnsi="Courier New"/>
          <w:sz w:val="11"/>
          <w:szCs w:val="11"/>
          <w:color w:val="auto"/>
        </w:rPr>
        <w:t>Loss</w:t>
      </w:r>
      <w:r>
        <w:rPr>
          <w:sz w:val="20"/>
          <w:szCs w:val="20"/>
          <w:color w:val="auto"/>
        </w:rPr>
        <w:tab/>
      </w:r>
      <w:r>
        <w:rPr>
          <w:rFonts w:ascii="Courier New" w:cs="Courier New" w:eastAsia="Courier New" w:hAnsi="Courier New"/>
          <w:sz w:val="11"/>
          <w:szCs w:val="11"/>
          <w:color w:val="auto"/>
        </w:rPr>
        <w:t>(in thousands) Per-share</w:t>
      </w:r>
    </w:p>
    <w:p>
      <w:pPr>
        <w:spacing w:after="0" w:line="10" w:lineRule="exact"/>
        <w:rPr>
          <w:sz w:val="20"/>
          <w:szCs w:val="20"/>
          <w:color w:val="auto"/>
        </w:rPr>
      </w:pPr>
    </w:p>
    <w:p>
      <w:pPr>
        <w:ind w:left="3200"/>
        <w:spacing w:after="0"/>
        <w:tabs>
          <w:tab w:leader="none" w:pos="4180" w:val="left"/>
          <w:tab w:leader="none" w:pos="5320" w:val="left"/>
        </w:tabs>
        <w:rPr>
          <w:sz w:val="20"/>
          <w:szCs w:val="20"/>
          <w:color w:val="auto"/>
        </w:rPr>
      </w:pPr>
      <w:r>
        <w:rPr>
          <w:rFonts w:ascii="Courier New" w:cs="Courier New" w:eastAsia="Courier New" w:hAnsi="Courier New"/>
          <w:sz w:val="12"/>
          <w:szCs w:val="12"/>
          <w:color w:val="auto"/>
        </w:rPr>
        <w:t>(numerator)</w:t>
      </w:r>
      <w:r>
        <w:rPr>
          <w:sz w:val="20"/>
          <w:szCs w:val="20"/>
          <w:color w:val="auto"/>
        </w:rPr>
        <w:tab/>
      </w:r>
      <w:r>
        <w:rPr>
          <w:rFonts w:ascii="Courier New" w:cs="Courier New" w:eastAsia="Courier New" w:hAnsi="Courier New"/>
          <w:sz w:val="12"/>
          <w:szCs w:val="12"/>
          <w:color w:val="auto"/>
        </w:rPr>
        <w:t>(denominator)</w:t>
        <w:tab/>
        <w:t>amount</w:t>
      </w:r>
    </w:p>
    <w:p>
      <w:pPr>
        <w:spacing w:after="0" w:line="1" w:lineRule="exact"/>
        <w:rPr>
          <w:sz w:val="20"/>
          <w:szCs w:val="20"/>
          <w:color w:val="auto"/>
        </w:rPr>
      </w:pPr>
    </w:p>
    <w:p>
      <w:pPr>
        <w:ind w:left="3280"/>
        <w:spacing w:after="0"/>
        <w:tabs>
          <w:tab w:leader="none" w:pos="4320" w:val="left"/>
          <w:tab w:leader="none" w:pos="532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BASIC LOSS PER SHARE</w:t>
      </w:r>
    </w:p>
    <w:p>
      <w:pPr>
        <w:sectPr>
          <w:pgSz w:w="11900" w:h="16838" w:orient="portrait"/>
          <w:cols w:equalWidth="0" w:num="1">
            <w:col w:w="10239"/>
          </w:cols>
          <w:pgMar w:left="220" w:top="275"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$(203,082)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66,371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ectPr>
          <w:pgSz w:w="11900" w:h="16838" w:orient="portrait"/>
          <w:cols w:equalWidth="0" w:num="4">
            <w:col w:w="2780" w:space="500"/>
            <w:col w:w="700" w:space="580"/>
            <w:col w:w="420" w:space="360"/>
            <w:col w:w="4899"/>
          </w:cols>
          <w:pgMar w:left="220" w:top="275"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EFFECT OF DILUTIVE SECURITIES</w:t>
      </w:r>
    </w:p>
    <w:p>
      <w:pPr>
        <w:sectPr>
          <w:pgSz w:w="11900" w:h="16838" w:orient="portrait"/>
          <w:cols w:equalWidth="0" w:num="1">
            <w:col w:w="10239"/>
          </w:cols>
          <w:pgMar w:left="220" w:top="275" w:right="1440" w:bottom="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Convertible debentures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Options and warrants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jc w:val="right"/>
        <w:ind w:right="5259"/>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ectPr>
          <w:pgSz w:w="11900" w:h="16838" w:orient="portrait"/>
          <w:cols w:equalWidth="0" w:num="3">
            <w:col w:w="2560" w:space="720"/>
            <w:col w:w="640" w:space="420"/>
            <w:col w:w="5899"/>
          </w:cols>
          <w:pgMar w:left="220" w:top="275"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DILUTED LOSS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w:t>
      </w:r>
    </w:p>
    <w:p>
      <w:pPr>
        <w:sectPr>
          <w:pgSz w:w="11900" w:h="16838" w:orient="portrait"/>
          <w:cols w:equalWidth="0" w:num="1">
            <w:col w:w="10239"/>
          </w:cols>
          <w:pgMar w:left="220" w:top="275" w:right="1440" w:bottom="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Courier New" w:cs="Courier New" w:eastAsia="Courier New" w:hAnsi="Courier New"/>
          <w:sz w:val="11"/>
          <w:szCs w:val="11"/>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$(203,082)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1"/>
          <w:szCs w:val="11"/>
          <w:color w:val="auto"/>
        </w:rPr>
        <w:t>66,371</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sectPr>
          <w:pgSz w:w="11900" w:h="16838" w:orient="portrait"/>
          <w:cols w:equalWidth="0" w:num="4">
            <w:col w:w="2920" w:space="360"/>
            <w:col w:w="700" w:space="360"/>
            <w:col w:w="640" w:space="360"/>
            <w:col w:w="4899"/>
          </w:cols>
          <w:pgMar w:left="220" w:top="275" w:right="1440" w:bottom="0" w:gutter="0" w:footer="0" w:header="0"/>
          <w:type w:val="continuous"/>
        </w:sectPr>
      </w:pPr>
    </w:p>
    <w:p>
      <w:pPr>
        <w:ind w:left="700"/>
        <w:spacing w:after="0"/>
        <w:rPr>
          <w:sz w:val="20"/>
          <w:szCs w:val="20"/>
          <w:color w:val="auto"/>
        </w:rPr>
      </w:pPr>
      <w:r>
        <w:rPr>
          <w:rFonts w:ascii="Courier New" w:cs="Courier New" w:eastAsia="Courier New" w:hAnsi="Courier New"/>
          <w:sz w:val="12"/>
          <w:szCs w:val="12"/>
          <w:color w:val="auto"/>
        </w:rPr>
        <w:t>Options and warrants to purchase 28,437,207 Ordinary Shares at an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average exercise price of $4.23 per share were outstanding as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December 31, 2005 but were not included in the computation of diluted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loss per share because their effect was anti-dilutive. The options and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warrants, which as of December 31, 2005 expire between January 2006</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November 2015 (weighted average remaining contractual life of 5.02</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years), were still outstanding as of such date. Convertible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debentures, convertible into 25,872,523 Ordinary Shares, were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outstanding as of December 31, 2005 but were not included in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computation of diluted loss per share since their effect is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anti-dilutive. Of that amount, 2,697,068 convertible debentures may be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converted into Ordinary Shares until December 31, 2008, and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remaining 23,175,455 convertible debentures may be converted into</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Ordinary Shares until December 2011.</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RECONCILIATION FOR 2004:</w:t>
      </w:r>
    </w:p>
    <w:p>
      <w:pPr>
        <w:spacing w:after="0" w:line="139" w:lineRule="exact"/>
        <w:rPr>
          <w:sz w:val="20"/>
          <w:szCs w:val="20"/>
          <w:color w:val="auto"/>
        </w:rPr>
      </w:pPr>
    </w:p>
    <w:p>
      <w:pPr>
        <w:ind w:left="3480"/>
        <w:spacing w:after="0"/>
        <w:rPr>
          <w:sz w:val="20"/>
          <w:szCs w:val="20"/>
          <w:color w:val="auto"/>
        </w:rPr>
      </w:pPr>
      <w:r>
        <w:rPr>
          <w:rFonts w:ascii="Courier New" w:cs="Courier New" w:eastAsia="Courier New" w:hAnsi="Courier New"/>
          <w:sz w:val="12"/>
          <w:szCs w:val="12"/>
          <w:color w:val="auto"/>
        </w:rPr>
        <w:t>Year ended December 31, 2004</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2"/>
          <w:szCs w:val="12"/>
          <w:color w:val="auto"/>
        </w:rPr>
        <w:t>Shares</w:t>
      </w:r>
    </w:p>
    <w:p>
      <w:pPr>
        <w:spacing w:after="0" w:line="4" w:lineRule="exact"/>
        <w:rPr>
          <w:sz w:val="20"/>
          <w:szCs w:val="20"/>
          <w:color w:val="auto"/>
        </w:rPr>
      </w:pPr>
    </w:p>
    <w:p>
      <w:pPr>
        <w:ind w:left="3420"/>
        <w:spacing w:after="0"/>
        <w:tabs>
          <w:tab w:leader="none" w:pos="4180" w:val="left"/>
        </w:tabs>
        <w:rPr>
          <w:sz w:val="20"/>
          <w:szCs w:val="20"/>
          <w:color w:val="auto"/>
        </w:rPr>
      </w:pPr>
      <w:r>
        <w:rPr>
          <w:rFonts w:ascii="Courier New" w:cs="Courier New" w:eastAsia="Courier New" w:hAnsi="Courier New"/>
          <w:sz w:val="11"/>
          <w:szCs w:val="11"/>
          <w:color w:val="auto"/>
        </w:rPr>
        <w:t>Loss</w:t>
      </w:r>
      <w:r>
        <w:rPr>
          <w:sz w:val="20"/>
          <w:szCs w:val="20"/>
          <w:color w:val="auto"/>
        </w:rPr>
        <w:tab/>
      </w:r>
      <w:r>
        <w:rPr>
          <w:rFonts w:ascii="Courier New" w:cs="Courier New" w:eastAsia="Courier New" w:hAnsi="Courier New"/>
          <w:sz w:val="11"/>
          <w:szCs w:val="11"/>
          <w:color w:val="auto"/>
        </w:rPr>
        <w:t>(in thousands) Per-share</w:t>
      </w:r>
    </w:p>
    <w:p>
      <w:pPr>
        <w:spacing w:after="0" w:line="10" w:lineRule="exact"/>
        <w:rPr>
          <w:sz w:val="20"/>
          <w:szCs w:val="20"/>
          <w:color w:val="auto"/>
        </w:rPr>
      </w:pPr>
    </w:p>
    <w:p>
      <w:pPr>
        <w:ind w:left="3200"/>
        <w:spacing w:after="0"/>
        <w:tabs>
          <w:tab w:leader="none" w:pos="4180" w:val="left"/>
          <w:tab w:leader="none" w:pos="5320" w:val="left"/>
        </w:tabs>
        <w:rPr>
          <w:sz w:val="20"/>
          <w:szCs w:val="20"/>
          <w:color w:val="auto"/>
        </w:rPr>
      </w:pPr>
      <w:r>
        <w:rPr>
          <w:rFonts w:ascii="Courier New" w:cs="Courier New" w:eastAsia="Courier New" w:hAnsi="Courier New"/>
          <w:sz w:val="12"/>
          <w:szCs w:val="12"/>
          <w:color w:val="auto"/>
        </w:rPr>
        <w:t>(numerator)</w:t>
      </w:r>
      <w:r>
        <w:rPr>
          <w:sz w:val="20"/>
          <w:szCs w:val="20"/>
          <w:color w:val="auto"/>
        </w:rPr>
        <w:tab/>
      </w:r>
      <w:r>
        <w:rPr>
          <w:rFonts w:ascii="Courier New" w:cs="Courier New" w:eastAsia="Courier New" w:hAnsi="Courier New"/>
          <w:sz w:val="12"/>
          <w:szCs w:val="12"/>
          <w:color w:val="auto"/>
        </w:rPr>
        <w:t>(denominator)</w:t>
        <w:tab/>
        <w:t>amount</w:t>
      </w:r>
    </w:p>
    <w:p>
      <w:pPr>
        <w:spacing w:after="0" w:line="1" w:lineRule="exact"/>
        <w:rPr>
          <w:sz w:val="20"/>
          <w:szCs w:val="20"/>
          <w:color w:val="auto"/>
        </w:rPr>
      </w:pPr>
    </w:p>
    <w:p>
      <w:pPr>
        <w:ind w:left="3280"/>
        <w:spacing w:after="0"/>
        <w:tabs>
          <w:tab w:leader="none" w:pos="4320" w:val="left"/>
          <w:tab w:leader="none" w:pos="532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BASIC LOSS PER SHARE</w:t>
      </w:r>
    </w:p>
    <w:p>
      <w:pPr>
        <w:sectPr>
          <w:pgSz w:w="11900" w:h="16838" w:orient="portrait"/>
          <w:cols w:equalWidth="0" w:num="1">
            <w:col w:w="10239"/>
          </w:cols>
          <w:pgMar w:left="220" w:top="275"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$(137,768)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64,633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$(2.13)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ectPr>
          <w:pgSz w:w="11900" w:h="16838" w:orient="portrait"/>
          <w:cols w:equalWidth="0" w:num="4">
            <w:col w:w="2780" w:space="500"/>
            <w:col w:w="700" w:space="580"/>
            <w:col w:w="420" w:space="360"/>
            <w:col w:w="4899"/>
          </w:cols>
          <w:pgMar w:left="220" w:top="275"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EFFECT OF DILUTIVE SECURITIES</w:t>
      </w:r>
    </w:p>
    <w:p>
      <w:pPr>
        <w:sectPr>
          <w:pgSz w:w="11900" w:h="16838" w:orient="portrait"/>
          <w:cols w:equalWidth="0" w:num="1">
            <w:col w:w="10239"/>
          </w:cols>
          <w:pgMar w:left="220" w:top="275" w:right="1440" w:bottom="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Convertible debentures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Options and warrants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jc w:val="right"/>
        <w:ind w:right="5259"/>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ectPr>
          <w:pgSz w:w="11900" w:h="16838" w:orient="portrait"/>
          <w:cols w:equalWidth="0" w:num="3">
            <w:col w:w="2560" w:space="720"/>
            <w:col w:w="640" w:space="420"/>
            <w:col w:w="5899"/>
          </w:cols>
          <w:pgMar w:left="220" w:top="275"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DILUTED LOSS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w:t>
      </w:r>
    </w:p>
    <w:p>
      <w:pPr>
        <w:sectPr>
          <w:pgSz w:w="11900" w:h="16838" w:orient="portrait"/>
          <w:cols w:equalWidth="0" w:num="1">
            <w:col w:w="10239"/>
          </w:cols>
          <w:pgMar w:left="220" w:top="275" w:right="1440" w:bottom="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Courier New" w:cs="Courier New" w:eastAsia="Courier New" w:hAnsi="Courier New"/>
          <w:sz w:val="11"/>
          <w:szCs w:val="11"/>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$(137,768)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1"/>
          <w:szCs w:val="11"/>
          <w:color w:val="auto"/>
        </w:rPr>
        <w:t>64,633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$(2.13)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sectPr>
          <w:pgSz w:w="11900" w:h="16838" w:orient="portrait"/>
          <w:cols w:equalWidth="0" w:num="4">
            <w:col w:w="2920" w:space="360"/>
            <w:col w:w="700" w:space="360"/>
            <w:col w:w="640" w:space="360"/>
            <w:col w:w="4899"/>
          </w:cols>
          <w:pgMar w:left="220" w:top="275" w:right="1440" w:bottom="0" w:gutter="0" w:footer="0" w:header="0"/>
          <w:type w:val="continuous"/>
        </w:sectPr>
      </w:pPr>
    </w:p>
    <w:p>
      <w:pPr>
        <w:ind w:left="700"/>
        <w:spacing w:after="0"/>
        <w:rPr>
          <w:sz w:val="20"/>
          <w:szCs w:val="20"/>
          <w:color w:val="auto"/>
        </w:rPr>
      </w:pPr>
      <w:r>
        <w:rPr>
          <w:rFonts w:ascii="Courier New" w:cs="Courier New" w:eastAsia="Courier New" w:hAnsi="Courier New"/>
          <w:sz w:val="12"/>
          <w:szCs w:val="12"/>
          <w:color w:val="auto"/>
        </w:rPr>
        <w:t>Options and warrants to purchase 17,374,088 Ordinary Shares at an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average exercise price of $6.61 per share were outstanding as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December 31, 2004 but were not included in the computation of diluted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loss per share because their effect was anti-dilutive. The options and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warrants, which as of December 31, 2004 expire between January 2005</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December 2014 (weighted average remaining contractual life of 5.26</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years), were still outstanding as of such date. Convertible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debentures, convertible into 2,697,068 Ordinary Shares, were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outstanding as of December 31, 2004 but were not included in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computation of diluted loss per share since their effect is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anti-dilutive. The convertible debentures may be converted until</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December 31, 2008 into Ordinary Shares.</w:t>
      </w:r>
    </w:p>
    <w:p>
      <w:pPr>
        <w:spacing w:after="0" w:line="276"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- 57</w:t>
      </w:r>
    </w:p>
    <w:p>
      <w:pPr>
        <w:spacing w:after="0" w:line="200" w:lineRule="exact"/>
        <w:rPr>
          <w:sz w:val="20"/>
          <w:szCs w:val="20"/>
          <w:color w:val="auto"/>
        </w:rPr>
      </w:pPr>
    </w:p>
    <w:p>
      <w:pPr>
        <w:spacing w:after="0" w:line="332" w:lineRule="exact"/>
        <w:rPr>
          <w:sz w:val="20"/>
          <w:szCs w:val="20"/>
          <w:color w:val="auto"/>
        </w:rPr>
      </w:pPr>
    </w:p>
    <w:p>
      <w:pPr>
        <w:ind w:left="150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 w:lineRule="exact"/>
        <w:rPr>
          <w:sz w:val="20"/>
          <w:szCs w:val="20"/>
          <w:color w:val="auto"/>
        </w:rPr>
      </w:pPr>
    </w:p>
    <w:p>
      <w:pPr>
        <w:ind w:left="1340"/>
        <w:spacing w:after="0"/>
        <w:rPr>
          <w:sz w:val="20"/>
          <w:szCs w:val="20"/>
          <w:color w:val="auto"/>
        </w:rPr>
      </w:pPr>
      <w:r>
        <w:rPr>
          <w:rFonts w:ascii="Courier New" w:cs="Courier New" w:eastAsia="Courier New" w:hAnsi="Courier New"/>
          <w:sz w:val="12"/>
          <w:szCs w:val="12"/>
          <w:color w:val="auto"/>
        </w:rPr>
        <w:t>NOTES TO CONSOLIDATED FINANCIAL STATEMENTS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20 - MATERIAL DIFFERENCES BETWEEN ISRAEL AND U.S. GAAP (cont.)</w:t>
      </w:r>
    </w:p>
    <w:p>
      <w:pPr>
        <w:spacing w:after="0" w:line="141" w:lineRule="exact"/>
        <w:rPr>
          <w:sz w:val="20"/>
          <w:szCs w:val="20"/>
          <w:color w:val="auto"/>
        </w:rPr>
      </w:pPr>
    </w:p>
    <w:p>
      <w:pPr>
        <w:ind w:left="700" w:right="4759" w:hanging="350"/>
        <w:spacing w:after="0" w:line="479" w:lineRule="auto"/>
        <w:tabs>
          <w:tab w:leader="none" w:pos="700" w:val="left"/>
        </w:tabs>
        <w:numPr>
          <w:ilvl w:val="0"/>
          <w:numId w:val="1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DATA IN ACCORDANCE WITH U.S. GAAP (SFAS 128) (cont.) RECONCILIATION FOR 2003:</w:t>
      </w:r>
    </w:p>
    <w:p>
      <w:pPr>
        <w:spacing w:after="0" w:line="3"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Year ended December 31, 2003</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2"/>
          <w:szCs w:val="12"/>
          <w:color w:val="auto"/>
        </w:rPr>
        <w:t>Shares</w:t>
      </w:r>
    </w:p>
    <w:p>
      <w:pPr>
        <w:spacing w:after="0" w:line="4" w:lineRule="exact"/>
        <w:rPr>
          <w:sz w:val="20"/>
          <w:szCs w:val="20"/>
          <w:color w:val="auto"/>
        </w:rPr>
      </w:pPr>
    </w:p>
    <w:p>
      <w:pPr>
        <w:ind w:left="3420"/>
        <w:spacing w:after="0"/>
        <w:tabs>
          <w:tab w:leader="none" w:pos="4180" w:val="left"/>
        </w:tabs>
        <w:rPr>
          <w:sz w:val="20"/>
          <w:szCs w:val="20"/>
          <w:color w:val="auto"/>
        </w:rPr>
      </w:pPr>
      <w:r>
        <w:rPr>
          <w:rFonts w:ascii="Courier New" w:cs="Courier New" w:eastAsia="Courier New" w:hAnsi="Courier New"/>
          <w:sz w:val="11"/>
          <w:szCs w:val="11"/>
          <w:color w:val="auto"/>
        </w:rPr>
        <w:t>Loss</w:t>
      </w:r>
      <w:r>
        <w:rPr>
          <w:sz w:val="20"/>
          <w:szCs w:val="20"/>
          <w:color w:val="auto"/>
        </w:rPr>
        <w:tab/>
      </w:r>
      <w:r>
        <w:rPr>
          <w:rFonts w:ascii="Courier New" w:cs="Courier New" w:eastAsia="Courier New" w:hAnsi="Courier New"/>
          <w:sz w:val="11"/>
          <w:szCs w:val="11"/>
          <w:color w:val="auto"/>
        </w:rPr>
        <w:t>(in thousands) Per-share</w:t>
      </w:r>
    </w:p>
    <w:p>
      <w:pPr>
        <w:spacing w:after="0" w:line="10" w:lineRule="exact"/>
        <w:rPr>
          <w:sz w:val="20"/>
          <w:szCs w:val="20"/>
          <w:color w:val="auto"/>
        </w:rPr>
      </w:pPr>
    </w:p>
    <w:p>
      <w:pPr>
        <w:ind w:left="3200"/>
        <w:spacing w:after="0"/>
        <w:tabs>
          <w:tab w:leader="none" w:pos="4180" w:val="left"/>
          <w:tab w:leader="none" w:pos="5320" w:val="left"/>
        </w:tabs>
        <w:rPr>
          <w:sz w:val="20"/>
          <w:szCs w:val="20"/>
          <w:color w:val="auto"/>
        </w:rPr>
      </w:pPr>
      <w:r>
        <w:rPr>
          <w:rFonts w:ascii="Courier New" w:cs="Courier New" w:eastAsia="Courier New" w:hAnsi="Courier New"/>
          <w:sz w:val="12"/>
          <w:szCs w:val="12"/>
          <w:color w:val="auto"/>
        </w:rPr>
        <w:t>(numerator)</w:t>
      </w:r>
      <w:r>
        <w:rPr>
          <w:sz w:val="20"/>
          <w:szCs w:val="20"/>
          <w:color w:val="auto"/>
        </w:rPr>
        <w:tab/>
      </w:r>
      <w:r>
        <w:rPr>
          <w:rFonts w:ascii="Courier New" w:cs="Courier New" w:eastAsia="Courier New" w:hAnsi="Courier New"/>
          <w:sz w:val="12"/>
          <w:szCs w:val="12"/>
          <w:color w:val="auto"/>
        </w:rPr>
        <w:t>(denominator)</w:t>
        <w:tab/>
        <w:t>amount</w:t>
      </w:r>
    </w:p>
    <w:p>
      <w:pPr>
        <w:spacing w:after="0" w:line="1" w:lineRule="exact"/>
        <w:rPr>
          <w:sz w:val="20"/>
          <w:szCs w:val="20"/>
          <w:color w:val="auto"/>
        </w:rPr>
      </w:pPr>
    </w:p>
    <w:p>
      <w:pPr>
        <w:ind w:left="3280"/>
        <w:spacing w:after="0"/>
        <w:tabs>
          <w:tab w:leader="none" w:pos="4320" w:val="left"/>
          <w:tab w:leader="none" w:pos="532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BASIC LOSS PER SHARE</w:t>
      </w:r>
    </w:p>
    <w:p>
      <w:pPr>
        <w:sectPr>
          <w:pgSz w:w="11900" w:h="16838" w:orient="portrait"/>
          <w:cols w:equalWidth="0" w:num="1">
            <w:col w:w="10239"/>
          </w:cols>
          <w:pgMar w:left="220" w:top="275"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$(114,261)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46,710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$(2.45)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ectPr>
          <w:pgSz w:w="11900" w:h="16838" w:orient="portrait"/>
          <w:cols w:equalWidth="0" w:num="4">
            <w:col w:w="2780" w:space="500"/>
            <w:col w:w="700" w:space="580"/>
            <w:col w:w="420" w:space="360"/>
            <w:col w:w="4899"/>
          </w:cols>
          <w:pgMar w:left="220" w:top="275"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EFFECT OF DILUTIVE SECURITIES</w:t>
      </w:r>
    </w:p>
    <w:p>
      <w:pPr>
        <w:sectPr>
          <w:pgSz w:w="11900" w:h="16838" w:orient="portrait"/>
          <w:cols w:equalWidth="0" w:num="1">
            <w:col w:w="10239"/>
          </w:cols>
          <w:pgMar w:left="220" w:top="275" w:right="1440" w:bottom="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Convertible debentures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Options and warrants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jc w:val="right"/>
        <w:ind w:right="5259"/>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ectPr>
          <w:pgSz w:w="11900" w:h="16838" w:orient="portrait"/>
          <w:cols w:equalWidth="0" w:num="3">
            <w:col w:w="2560" w:space="720"/>
            <w:col w:w="640" w:space="420"/>
            <w:col w:w="5899"/>
          </w:cols>
          <w:pgMar w:left="220" w:top="275"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DILUTED LOSS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available to ordinary</w:t>
      </w:r>
    </w:p>
    <w:p>
      <w:pPr>
        <w:sectPr>
          <w:pgSz w:w="11900" w:h="16838" w:orient="portrait"/>
          <w:cols w:equalWidth="0" w:num="1">
            <w:col w:w="10239"/>
          </w:cols>
          <w:pgMar w:left="220" w:top="275" w:right="1440" w:bottom="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Courier New" w:cs="Courier New" w:eastAsia="Courier New" w:hAnsi="Courier New"/>
          <w:sz w:val="11"/>
          <w:szCs w:val="11"/>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$(114,261)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1"/>
          <w:szCs w:val="11"/>
          <w:color w:val="auto"/>
        </w:rPr>
        <w:t>46,710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$(2.45)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sectPr>
          <w:pgSz w:w="11900" w:h="16838" w:orient="portrait"/>
          <w:cols w:equalWidth="0" w:num="4">
            <w:col w:w="2920" w:space="360"/>
            <w:col w:w="700" w:space="360"/>
            <w:col w:w="640" w:space="360"/>
            <w:col w:w="4899"/>
          </w:cols>
          <w:pgMar w:left="220" w:top="275" w:right="1440" w:bottom="0" w:gutter="0" w:footer="0" w:header="0"/>
          <w:type w:val="continuous"/>
        </w:sectPr>
      </w:pPr>
    </w:p>
    <w:p>
      <w:pPr>
        <w:ind w:left="700"/>
        <w:spacing w:after="0"/>
        <w:rPr>
          <w:sz w:val="20"/>
          <w:szCs w:val="20"/>
          <w:color w:val="auto"/>
        </w:rPr>
      </w:pPr>
      <w:r>
        <w:rPr>
          <w:rFonts w:ascii="Courier New" w:cs="Courier New" w:eastAsia="Courier New" w:hAnsi="Courier New"/>
          <w:sz w:val="12"/>
          <w:szCs w:val="12"/>
          <w:color w:val="auto"/>
        </w:rPr>
        <w:t>Options and warrants to purchase 14,003,621 Ordinary Shares at an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average exercise price of $7.87 per share were outstanding as 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December 31, 2003 but were not included in the computation of diluted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loss per share because their effect was anti-dilutive. The options and</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warrants, which as of December 31, 2003 expire between April 2005 and</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December 2013 (weighted average remaining contractual life of 5.02</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years), were still outstanding as of such date. Convertible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debentures, convertible into 2,697,068 Ordinary Shares, were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outstanding as of December 31, 2003 but were not included in the</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computation of diluted loss per share since their effect is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anti-dilutive. The convertible debentures may be converted until</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December 31, 2008 into Ordinary Shares.</w:t>
      </w:r>
    </w:p>
    <w:p>
      <w:pPr>
        <w:sectPr>
          <w:pgSz w:w="11900" w:h="16838" w:orient="portrait"/>
          <w:cols w:equalWidth="0" w:num="1">
            <w:col w:w="10239"/>
          </w:cols>
          <w:pgMar w:left="220" w:top="275" w:right="1440" w:bottom="0" w:gutter="0" w:footer="0" w:header="0"/>
          <w:type w:val="continuous"/>
        </w:sectPr>
      </w:pPr>
    </w:p>
    <w:bookmarkStart w:id="83" w:name="page84"/>
    <w:bookmarkEnd w:id="83"/>
    <w:p>
      <w:pPr>
        <w:ind w:left="700" w:hanging="350"/>
        <w:spacing w:after="0"/>
        <w:tabs>
          <w:tab w:leader="none" w:pos="700" w:val="left"/>
        </w:tabs>
        <w:numPr>
          <w:ilvl w:val="0"/>
          <w:numId w:val="1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CASH FLOWS IN ACCORDANCE WITH U.S. GAAP (SFAS 95)</w:t>
      </w:r>
    </w:p>
    <w:p>
      <w:pPr>
        <w:spacing w:after="0" w:line="141" w:lineRule="exact"/>
        <w:rPr>
          <w:rFonts w:ascii="Courier New" w:cs="Courier New" w:eastAsia="Courier New" w:hAnsi="Courier New"/>
          <w:sz w:val="12"/>
          <w:szCs w:val="12"/>
          <w:color w:val="auto"/>
        </w:rPr>
      </w:pPr>
    </w:p>
    <w:p>
      <w:pPr>
        <w:ind w:left="700" w:right="475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95 would not have materially affected the cash flows of the Company for each of the years ended December 31, 2005, 2004 and 2003.</w:t>
      </w:r>
    </w:p>
    <w:p>
      <w:pPr>
        <w:spacing w:after="0" w:line="277"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F - 58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2"/>
          <w:szCs w:val="12"/>
          <w:color w:val="auto"/>
        </w:rPr>
        <w:t>SIGNATURES</w:t>
      </w:r>
    </w:p>
    <w:p>
      <w:pPr>
        <w:spacing w:after="0" w:line="141" w:lineRule="exact"/>
        <w:rPr>
          <w:sz w:val="20"/>
          <w:szCs w:val="20"/>
          <w:color w:val="auto"/>
        </w:rPr>
      </w:pPr>
    </w:p>
    <w:p>
      <w:pPr>
        <w:ind w:right="4599" w:firstLine="357"/>
        <w:spacing w:after="0" w:line="269" w:lineRule="auto"/>
        <w:rPr>
          <w:sz w:val="20"/>
          <w:szCs w:val="20"/>
          <w:color w:val="auto"/>
        </w:rPr>
      </w:pPr>
      <w:r>
        <w:rPr>
          <w:rFonts w:ascii="Courier New" w:cs="Courier New" w:eastAsia="Courier New" w:hAnsi="Courier New"/>
          <w:sz w:val="11"/>
          <w:szCs w:val="11"/>
          <w:color w:val="auto"/>
        </w:rPr>
        <w:t>Pursuant to the requirements of Section 12 of the Securities Exchange Act of 1934, the registrant certifies that it meets all the requirements for filing on Form 20-F and has duly caused this Annual Report to be signed on its behalf by the undersigned, thereunto duly authorized on this 13 day of July, 2006.</w:t>
      </w:r>
    </w:p>
    <w:p>
      <w:pPr>
        <w:spacing w:after="0" w:line="125"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TOWER SEMICONDUCTOR LTD.</w:t>
      </w:r>
    </w:p>
    <w:p>
      <w:pPr>
        <w:spacing w:after="0" w:line="276"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BY: /s/ Russell C. Ellwanger</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Russell C. Ellwanger</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Chief Executive Officer</w:t>
      </w:r>
    </w:p>
    <w:p>
      <w:pPr>
        <w:spacing w:after="0" w:line="139"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98</w:t>
      </w:r>
    </w:p>
    <w:p>
      <w:pPr>
        <w:sectPr>
          <w:pgSz w:w="11900" w:h="16838" w:orient="portrait"/>
          <w:cols w:equalWidth="0" w:num="1">
            <w:col w:w="10239"/>
          </w:cols>
          <w:pgMar w:left="220" w:top="138" w:right="1440" w:bottom="1440" w:gutter="0" w:footer="0" w:header="0"/>
        </w:sectPr>
      </w:pPr>
    </w:p>
    <w:bookmarkStart w:id="84" w:name="page85"/>
    <w:bookmarkEnd w:id="84"/>
    <w:p>
      <w:pPr>
        <w:ind w:left="4847"/>
        <w:spacing w:after="0"/>
        <w:rPr>
          <w:sz w:val="20"/>
          <w:szCs w:val="20"/>
          <w:color w:val="auto"/>
        </w:rPr>
      </w:pPr>
      <w:r>
        <w:rPr>
          <w:rFonts w:ascii="Courier New" w:cs="Courier New" w:eastAsia="Courier New" w:hAnsi="Courier New"/>
          <w:sz w:val="11"/>
          <w:szCs w:val="11"/>
          <w:color w:val="auto"/>
        </w:rPr>
        <w:t>EXHIBIT 4.47</w:t>
      </w:r>
    </w:p>
    <w:p>
      <w:pPr>
        <w:spacing w:after="0" w:line="150" w:lineRule="exact"/>
        <w:rPr>
          <w:sz w:val="20"/>
          <w:szCs w:val="20"/>
          <w:color w:val="auto"/>
        </w:rPr>
      </w:pPr>
    </w:p>
    <w:p>
      <w:pPr>
        <w:ind w:left="7" w:right="4539"/>
        <w:spacing w:after="0" w:line="241" w:lineRule="auto"/>
        <w:rPr>
          <w:sz w:val="20"/>
          <w:szCs w:val="20"/>
          <w:color w:val="auto"/>
        </w:rPr>
      </w:pPr>
      <w:r>
        <w:rPr>
          <w:rFonts w:ascii="Courier New" w:cs="Courier New" w:eastAsia="Courier New" w:hAnsi="Courier New"/>
          <w:sz w:val="12"/>
          <w:szCs w:val="12"/>
          <w:color w:val="auto"/>
        </w:rPr>
        <w:t>THIS WARRANT AND THE SECURITIES ISSUABLE UPON EXERCISE OF THIS WARRANT HAVE NOT BEEN REGISTERED UNDER THE SECURITIES ACT OF 1933, AS AMENDED ("THE SECURITIES ACT") AND MAY NOT BE SOLD, TRANSFERRED, ASSIGNED OR HYPOTHECATED UNLESS THERE IS AN EFFECTIVE REGISTRATION STATEMENT UNDER THE SECURITIES ACT COVERING THIS WARRANT AND/OR SUCH SECURITIES, OR THIS WARRANT OR SUCH SECURITIES ARE SOLD ON THE TEL-AVIV STOCK EXCHANGE IN COMPLIANCE WITH REGULATION S UNDER THE SECURITIES ACT, OR THE HOLDER RECEIVES AN OPINION OF COUNSEL FOR THE HOLDER OF THE WARRANT AND/OR SUCH SECURITIES SATISFACTORY TO THE COMPANY STATING THAT SUCH SALE, TRANSFER, ASSIGNMENT OR HYPOTHECATION IS EXEMPT FROM THE REGISTRATION AND PROSPECTUS DELIVERY REQUIREMENTS OF THE SECURITIES ACT AND THE QUALIFICATION REQUIREMENTS UNDER APPLICABLE STATE OR FOREIGN LAW.</w:t>
      </w:r>
    </w:p>
    <w:p>
      <w:pPr>
        <w:spacing w:after="0" w:line="142" w:lineRule="exact"/>
        <w:rPr>
          <w:sz w:val="20"/>
          <w:szCs w:val="20"/>
          <w:color w:val="auto"/>
        </w:rPr>
      </w:pPr>
    </w:p>
    <w:p>
      <w:pPr>
        <w:ind w:left="1647"/>
        <w:spacing w:after="0"/>
        <w:rPr>
          <w:sz w:val="20"/>
          <w:szCs w:val="20"/>
          <w:color w:val="auto"/>
        </w:rPr>
      </w:pPr>
      <w:r>
        <w:rPr>
          <w:rFonts w:ascii="Courier New" w:cs="Courier New" w:eastAsia="Courier New" w:hAnsi="Courier New"/>
          <w:sz w:val="12"/>
          <w:szCs w:val="12"/>
          <w:color w:val="auto"/>
        </w:rPr>
        <w:t>WARRANT TO PURCHASE ORDINARY SHARES</w:t>
      </w:r>
    </w:p>
    <w:p>
      <w:pPr>
        <w:spacing w:after="0" w:line="141" w:lineRule="exact"/>
        <w:rPr>
          <w:sz w:val="20"/>
          <w:szCs w:val="20"/>
          <w:color w:val="auto"/>
        </w:rPr>
      </w:pPr>
    </w:p>
    <w:p>
      <w:pPr>
        <w:ind w:left="7" w:right="4539"/>
        <w:spacing w:after="0" w:line="266" w:lineRule="auto"/>
        <w:rPr>
          <w:sz w:val="20"/>
          <w:szCs w:val="20"/>
          <w:color w:val="auto"/>
        </w:rPr>
      </w:pPr>
      <w:r>
        <w:rPr>
          <w:rFonts w:ascii="Courier New" w:cs="Courier New" w:eastAsia="Courier New" w:hAnsi="Courier New"/>
          <w:sz w:val="11"/>
          <w:szCs w:val="11"/>
          <w:color w:val="auto"/>
        </w:rPr>
        <w:t>Tower Semiconductor Ltd., an Israeli company ("THE COMPANY"), whose shares are currently traded on Nasdaq and the Tel-Aviv Stock Exchange ("TASE") hereby grants to BANK HAPOALIM B.M. ("THE HOLDER"), the right to purchase from the Company the number of Ordinary Shares of the Company, nominal value NIS. 1.00 ("THE ORDINARY SHARES") specified below, subject to the terms and conditions set forth below, effective July 24, 2005 ("THE EFFECTIVE DATE"), the date upon which Bank Hapoalim B.M. and Bank Leumi Le-Israel B.M. ("THE BANKS") entered into the Ninth Amendment ("THE NINTH AMENDMENT") to the Facility Agreement dated January 18, 2001, as amended ("THE AGREEMENT"), by and among the Company and the Banks.</w:t>
      </w:r>
    </w:p>
    <w:p>
      <w:pPr>
        <w:spacing w:after="0" w:line="126" w:lineRule="exact"/>
        <w:rPr>
          <w:sz w:val="20"/>
          <w:szCs w:val="20"/>
          <w:color w:val="auto"/>
        </w:rPr>
      </w:pPr>
    </w:p>
    <w:p>
      <w:pPr>
        <w:ind w:left="367" w:hanging="367"/>
        <w:spacing w:after="0"/>
        <w:tabs>
          <w:tab w:leader="none" w:pos="367"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ORDINARY SHARES AVAILABLE FOR PURCHASE</w:t>
      </w:r>
    </w:p>
    <w:p>
      <w:pPr>
        <w:spacing w:after="0" w:line="141" w:lineRule="exact"/>
        <w:rPr>
          <w:rFonts w:ascii="Courier New" w:cs="Courier New" w:eastAsia="Courier New" w:hAnsi="Courier New"/>
          <w:sz w:val="12"/>
          <w:szCs w:val="12"/>
          <w:color w:val="auto"/>
        </w:rPr>
      </w:pPr>
    </w:p>
    <w:p>
      <w:pPr>
        <w:ind w:left="367" w:right="467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Warrant may be exercised to purchase 4,132,232 (four million one hundred and thirty-two thousand, two hundred and thirty-two) of the Company's Ordinary Shares, with each Ordinary Share having a value calculated as set forth in Section 2 below, subject to adjustment under Section 7 of this Warrant ("THE WARRANT SHARES"), and all references to Warrant Shares or Ordinary Shares "purchaseable hereunder" shall refer to all 4,132,232 (four million one hundred and thirty-two thousand, two hundred and thirty-two) Warrant Shares, as such number may be adjusted under Section 7 of this Warrant, less Warrant Shares already purchased through exercise of this Warrant.</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72"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EXERCISE PRICE</w:t>
      </w:r>
    </w:p>
    <w:p>
      <w:pPr>
        <w:spacing w:after="0" w:line="141" w:lineRule="exact"/>
        <w:rPr>
          <w:sz w:val="20"/>
          <w:szCs w:val="20"/>
          <w:color w:val="auto"/>
        </w:rPr>
      </w:pPr>
    </w:p>
    <w:p>
      <w:pPr>
        <w:ind w:left="367" w:right="4539"/>
        <w:spacing w:after="0" w:line="272" w:lineRule="auto"/>
        <w:rPr>
          <w:sz w:val="20"/>
          <w:szCs w:val="20"/>
          <w:color w:val="auto"/>
        </w:rPr>
      </w:pPr>
      <w:r>
        <w:rPr>
          <w:rFonts w:ascii="Courier New" w:cs="Courier New" w:eastAsia="Courier New" w:hAnsi="Courier New"/>
          <w:sz w:val="11"/>
          <w:szCs w:val="11"/>
          <w:color w:val="auto"/>
        </w:rPr>
        <w:t>The exercise price for each Warrant Share purchasable hereunder shall be, subject to adjustment under Section 7 of this Warrant, US $1.21 (one United States Dollar and twenty-one US cents) per share ("THE WARRANT PRICE").</w:t>
      </w:r>
    </w:p>
    <w:p>
      <w:pPr>
        <w:spacing w:after="0" w:line="122"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2A.</w:t>
        <w:tab/>
        <w:t>EXERCISABILITY; TERM</w:t>
      </w:r>
    </w:p>
    <w:p>
      <w:pPr>
        <w:spacing w:after="0" w:line="141" w:lineRule="exact"/>
        <w:rPr>
          <w:sz w:val="20"/>
          <w:szCs w:val="20"/>
          <w:color w:val="auto"/>
        </w:rPr>
      </w:pPr>
    </w:p>
    <w:p>
      <w:pPr>
        <w:ind w:left="367" w:right="4539"/>
        <w:spacing w:after="0" w:line="264" w:lineRule="auto"/>
        <w:rPr>
          <w:sz w:val="20"/>
          <w:szCs w:val="20"/>
          <w:color w:val="auto"/>
        </w:rPr>
      </w:pPr>
      <w:r>
        <w:rPr>
          <w:rFonts w:ascii="Courier New" w:cs="Courier New" w:eastAsia="Courier New" w:hAnsi="Courier New"/>
          <w:sz w:val="11"/>
          <w:szCs w:val="11"/>
          <w:color w:val="auto"/>
        </w:rPr>
        <w:t>This Warrant may be exercised: (a) with respect to 2,066,116 (two million and sixty-six thousand, one hundred and sixteen) Warrant Shares, during the period beginning from the Ninth Amendment Closing Date (as defined in the Ninth Amendment) and ending on the date which is 5 (five) years following the Ninth Amendment Closing Date ("THE FIRST TRANCHE EXPIRATION DATE"); and</w:t>
      </w:r>
    </w:p>
    <w:p>
      <w:pPr>
        <w:spacing w:after="0" w:line="1" w:lineRule="exact"/>
        <w:rPr>
          <w:sz w:val="20"/>
          <w:szCs w:val="20"/>
          <w:color w:val="auto"/>
        </w:rPr>
      </w:pPr>
    </w:p>
    <w:p>
      <w:pPr>
        <w:ind w:left="367" w:right="4539" w:hanging="10"/>
        <w:spacing w:after="0" w:line="266" w:lineRule="auto"/>
        <w:tabs>
          <w:tab w:leader="none" w:pos="652" w:val="left"/>
        </w:tabs>
        <w:numPr>
          <w:ilvl w:val="1"/>
          <w:numId w:val="14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with respect to 2,066,116 (two million and sixty-six thousand, one hundred and sixteen) Warrant Shares, during the period beginning from the date of signature by the Company and the Banks of an agreement by the Banks to reschedule the repayment dates of the Interest Payment Loans (as defined in the Ninth Amendment) ("THE SECOND TRANCHE EXERCISABILITY DATE") and ending on the date which is 5 (five) years following the Second Tranche Exercisability Date ("THE SECOND TRANCHE EXPIRATION DATE"). The "First Tranche Expiration Date" and the "Second Tranche Expiration Date" are sometimes hereinafter collectively referred to as "THE EXPIRATION DATE".</w:t>
      </w:r>
    </w:p>
    <w:p>
      <w:pPr>
        <w:spacing w:after="0" w:line="126" w:lineRule="exact"/>
        <w:rPr>
          <w:rFonts w:ascii="Courier New" w:cs="Courier New" w:eastAsia="Courier New" w:hAnsi="Courier New"/>
          <w:sz w:val="11"/>
          <w:szCs w:val="11"/>
          <w:color w:val="auto"/>
        </w:rPr>
      </w:pPr>
    </w:p>
    <w:p>
      <w:pPr>
        <w:ind w:left="367" w:hanging="367"/>
        <w:spacing w:after="0"/>
        <w:tabs>
          <w:tab w:leader="none" w:pos="367"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EXERCISE OF WARRANT</w:t>
      </w:r>
    </w:p>
    <w:p>
      <w:pPr>
        <w:spacing w:after="0" w:line="141" w:lineRule="exact"/>
        <w:rPr>
          <w:rFonts w:ascii="Courier New" w:cs="Courier New" w:eastAsia="Courier New" w:hAnsi="Courier New"/>
          <w:sz w:val="12"/>
          <w:szCs w:val="12"/>
          <w:color w:val="auto"/>
        </w:rPr>
      </w:pPr>
    </w:p>
    <w:p>
      <w:pPr>
        <w:ind w:left="367"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Warrant may be exercised in whole or in part, on one or more occasions during its term, provided that only up to 2,066,116 (two million and sixty-six thousand, one hundred and sixteen) Warrant Shares may be exercised prior to the Second Tranche Exercisability Date and, provided further, that if the Second Tranche Exercisability Date does not occur, no more than 2,066,116 (two million and sixty-six thousand, one hundred and sixteen) Warrant Shares will be exercisable during the term of this Warrant. The Warrant may be exercised by the surrender of the Warrant to the Company at its principal office together with the Notice of Exercise annexed hereto duly completed and executed on behalf of the Holder.</w:t>
      </w:r>
    </w:p>
    <w:p>
      <w:pPr>
        <w:sectPr>
          <w:pgSz w:w="11900" w:h="16838" w:orient="portrait"/>
          <w:cols w:equalWidth="0" w:num="1">
            <w:col w:w="10246"/>
          </w:cols>
          <w:pgMar w:left="213" w:top="278" w:right="1440" w:bottom="1440" w:gutter="0" w:footer="0" w:header="0"/>
        </w:sectPr>
      </w:pPr>
    </w:p>
    <w:bookmarkStart w:id="85" w:name="page86"/>
    <w:bookmarkEnd w:id="85"/>
    <w:p>
      <w:pPr>
        <w:ind w:left="350" w:hanging="350"/>
        <w:spacing w:after="0"/>
        <w:tabs>
          <w:tab w:leader="none" w:pos="350"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EXERCISE FOR CASH</w:t>
      </w:r>
    </w:p>
    <w:p>
      <w:pPr>
        <w:spacing w:after="0" w:line="141" w:lineRule="exact"/>
        <w:rPr>
          <w:rFonts w:ascii="Courier New" w:cs="Courier New" w:eastAsia="Courier New" w:hAnsi="Courier New"/>
          <w:sz w:val="12"/>
          <w:szCs w:val="12"/>
          <w:color w:val="auto"/>
        </w:rPr>
      </w:pPr>
    </w:p>
    <w:p>
      <w:pPr>
        <w:ind w:left="350" w:right="467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To exercise for cash, the Notice of Exercise must be accompanied by payment in full of the amount of the aggregate purchase price of the Warrant Shares being purchased upon such exercise in immediately available funds.</w:t>
      </w:r>
    </w:p>
    <w:p>
      <w:pPr>
        <w:spacing w:after="0" w:line="139"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EXERCISE</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lieu of the payment method set forth in Section 3(a) above, the Holder may elect to exchange the Warrant for a number of Warrant Shares equal to the increase in value of the Warrant Shares otherwise purchasable hereunder on the date of exchange. If the Holder elects to exchange this Warrant as provided in this Section 3(b), the Holder shall tender to the Company the Warrant along with the Notice of Exercise and the Company shall issue to the Holder the number of Warrant Shares computed using the following formula:</w:t>
      </w:r>
    </w:p>
    <w:p>
      <w:pPr>
        <w:sectPr>
          <w:pgSz w:w="11900" w:h="16838" w:orient="portrait"/>
          <w:cols w:equalWidth="0" w:num="1">
            <w:col w:w="9889"/>
          </w:cols>
          <w:pgMar w:left="570" w:top="669" w:right="1440" w:bottom="1440" w:gutter="0" w:footer="0" w:header="0"/>
        </w:sectPr>
      </w:pPr>
    </w:p>
    <w:p>
      <w:pPr>
        <w:spacing w:after="0" w:line="277" w:lineRule="exact"/>
        <w:rPr>
          <w:sz w:val="20"/>
          <w:szCs w:val="20"/>
          <w:color w:val="auto"/>
        </w:rPr>
      </w:pPr>
    </w:p>
    <w:p>
      <w:pPr>
        <w:ind w:left="1070"/>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1"/>
          <w:szCs w:val="11"/>
          <w:color w:val="auto"/>
        </w:rPr>
        <w:t>Y (A - B)</w:t>
      </w:r>
    </w:p>
    <w:p>
      <w:pPr>
        <w:spacing w:after="0" w:line="1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2"/>
          <w:szCs w:val="12"/>
          <w:color w:val="auto"/>
        </w:rPr>
        <w:t>A</w:t>
      </w:r>
    </w:p>
    <w:p>
      <w:pPr>
        <w:spacing w:after="0" w:line="139" w:lineRule="exact"/>
        <w:rPr>
          <w:sz w:val="20"/>
          <w:szCs w:val="20"/>
          <w:color w:val="auto"/>
        </w:rPr>
      </w:pPr>
    </w:p>
    <w:p>
      <w:pPr>
        <w:sectPr>
          <w:pgSz w:w="11900" w:h="16838" w:orient="portrait"/>
          <w:cols w:equalWidth="0" w:num="3">
            <w:col w:w="1150" w:space="280"/>
            <w:col w:w="60" w:space="720"/>
            <w:col w:w="7679"/>
          </w:cols>
          <w:pgMar w:left="570" w:top="669" w:right="1440" w:bottom="1440" w:gutter="0" w:footer="0" w:header="0"/>
          <w:type w:val="continuous"/>
        </w:sectPr>
      </w:pPr>
    </w:p>
    <w:p>
      <w:pPr>
        <w:ind w:left="350"/>
        <w:spacing w:after="0"/>
        <w:rPr>
          <w:sz w:val="20"/>
          <w:szCs w:val="20"/>
          <w:color w:val="auto"/>
        </w:rPr>
      </w:pPr>
      <w:r>
        <w:rPr>
          <w:rFonts w:ascii="Courier New" w:cs="Courier New" w:eastAsia="Courier New" w:hAnsi="Courier New"/>
          <w:sz w:val="12"/>
          <w:szCs w:val="12"/>
          <w:color w:val="auto"/>
        </w:rPr>
        <w:t>WHERE:</w:t>
      </w:r>
    </w:p>
    <w:p>
      <w:pPr>
        <w:spacing w:after="0" w:line="139" w:lineRule="exact"/>
        <w:rPr>
          <w:sz w:val="20"/>
          <w:szCs w:val="20"/>
          <w:color w:val="auto"/>
        </w:rPr>
      </w:pPr>
    </w:p>
    <w:p>
      <w:pPr>
        <w:ind w:left="710" w:hanging="353"/>
        <w:spacing w:after="0"/>
        <w:tabs>
          <w:tab w:leader="none" w:pos="710" w:val="left"/>
        </w:tabs>
        <w:numPr>
          <w:ilvl w:val="0"/>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r>
        <w:rPr>
          <w:rFonts w:ascii="Courier New" w:cs="Courier New" w:eastAsia="Courier New" w:hAnsi="Courier New"/>
          <w:sz w:val="11"/>
          <w:szCs w:val="11"/>
          <w:color w:val="auto"/>
        </w:rPr>
        <w:t>the number of Warrant Shares to be issued to the Holder;</w:t>
      </w:r>
    </w:p>
    <w:p>
      <w:pPr>
        <w:spacing w:after="0" w:line="141" w:lineRule="exact"/>
        <w:rPr>
          <w:sz w:val="20"/>
          <w:szCs w:val="20"/>
          <w:color w:val="auto"/>
        </w:rPr>
      </w:pPr>
    </w:p>
    <w:p>
      <w:pPr>
        <w:ind w:left="1070" w:right="4539" w:hanging="713"/>
        <w:spacing w:after="0"/>
        <w:tabs>
          <w:tab w:leader="none" w:pos="713" w:val="left"/>
        </w:tabs>
        <w:numPr>
          <w:ilvl w:val="0"/>
          <w:numId w:val="1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number of Warrant Shares purchasable under this Warrant or, if only a portion of the Warrant is being exercised, the number of Warrant Shares being exercised under the Warrant (as adjusted to the date of such calculation);</w:t>
      </w:r>
    </w:p>
    <w:p>
      <w:pPr>
        <w:spacing w:after="0" w:line="142" w:lineRule="exact"/>
        <w:rPr>
          <w:sz w:val="20"/>
          <w:szCs w:val="20"/>
          <w:color w:val="auto"/>
        </w:rPr>
      </w:pPr>
    </w:p>
    <w:p>
      <w:pPr>
        <w:ind w:left="1070" w:right="4539" w:hanging="713"/>
        <w:spacing w:after="0" w:line="238" w:lineRule="auto"/>
        <w:tabs>
          <w:tab w:leader="none" w:pos="713" w:val="left"/>
        </w:tabs>
        <w:numPr>
          <w:ilvl w:val="0"/>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Fair Market Value (as defined below) of one (1) Ordinary Share; and</w:t>
      </w:r>
    </w:p>
    <w:p>
      <w:pPr>
        <w:spacing w:after="0" w:line="142" w:lineRule="exact"/>
        <w:rPr>
          <w:sz w:val="20"/>
          <w:szCs w:val="20"/>
          <w:color w:val="auto"/>
        </w:rPr>
      </w:pPr>
    </w:p>
    <w:p>
      <w:pPr>
        <w:ind w:left="1070" w:right="4599" w:hanging="713"/>
        <w:spacing w:after="0" w:line="238" w:lineRule="auto"/>
        <w:tabs>
          <w:tab w:leader="none" w:pos="713" w:val="left"/>
        </w:tabs>
        <w:numPr>
          <w:ilvl w:val="0"/>
          <w:numId w:val="1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 Price (for the removal of doubt, as adjusted to the date of such calculation).</w:t>
      </w:r>
    </w:p>
    <w:p>
      <w:pPr>
        <w:spacing w:after="0" w:line="139" w:lineRule="exact"/>
        <w:rPr>
          <w:sz w:val="20"/>
          <w:szCs w:val="20"/>
          <w:color w:val="auto"/>
        </w:rPr>
      </w:pPr>
    </w:p>
    <w:p>
      <w:pPr>
        <w:ind w:left="350"/>
        <w:spacing w:after="0"/>
        <w:rPr>
          <w:sz w:val="20"/>
          <w:szCs w:val="20"/>
          <w:color w:val="auto"/>
        </w:rPr>
      </w:pPr>
      <w:r>
        <w:rPr>
          <w:rFonts w:ascii="Courier New" w:cs="Courier New" w:eastAsia="Courier New" w:hAnsi="Courier New"/>
          <w:sz w:val="12"/>
          <w:szCs w:val="12"/>
          <w:color w:val="auto"/>
        </w:rPr>
        <w:t>"FAIR MARKET VALUE" of an Ordinary Share shall mean:</w:t>
      </w:r>
    </w:p>
    <w:p>
      <w:pPr>
        <w:sectPr>
          <w:pgSz w:w="11900" w:h="16838" w:orient="portrait"/>
          <w:cols w:equalWidth="0" w:num="1">
            <w:col w:w="9889"/>
          </w:cols>
          <w:pgMar w:left="570" w:top="669" w:right="1440" w:bottom="1440" w:gutter="0" w:footer="0" w:header="0"/>
          <w:type w:val="continuous"/>
        </w:sectPr>
      </w:pPr>
    </w:p>
    <w:bookmarkStart w:id="86" w:name="page87"/>
    <w:bookmarkEnd w:id="86"/>
    <w:p>
      <w:pPr>
        <w:ind w:left="1067" w:right="4599" w:hanging="353"/>
        <w:spacing w:after="0" w:line="266" w:lineRule="auto"/>
        <w:tabs>
          <w:tab w:leader="none" w:pos="1067" w:val="left"/>
        </w:tabs>
        <w:numPr>
          <w:ilvl w:val="0"/>
          <w:numId w:val="1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the Ordinary Shares are listed on a national securities exchange or are quoted on the Nasdaq National Market (NASDAQ/NMS), then the closing or last sale price, respectively, reported on the last trading day immediately preceding the exercise date, as reported by Nasdaq or the principal national securities exchange upon which the Ordinary Shares are listed or traded; provided that, if the Ordinary Shares are listed on Nasdaq and another national securities exchange, the applicable price shall be the price reported by Nasdaq;</w:t>
      </w:r>
    </w:p>
    <w:p>
      <w:pPr>
        <w:spacing w:after="0" w:line="267" w:lineRule="exact"/>
        <w:rPr>
          <w:rFonts w:ascii="Courier New" w:cs="Courier New" w:eastAsia="Courier New" w:hAnsi="Courier New"/>
          <w:sz w:val="11"/>
          <w:szCs w:val="11"/>
          <w:color w:val="auto"/>
        </w:rPr>
      </w:pPr>
    </w:p>
    <w:p>
      <w:pPr>
        <w:ind w:left="1067" w:right="4759" w:hanging="353"/>
        <w:spacing w:after="0" w:line="241" w:lineRule="auto"/>
        <w:tabs>
          <w:tab w:leader="none" w:pos="1067"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Ordinary Shares are not listed on a national securities exchange or quoted on NASDAQ/NMS, but are traded in the over-the-counter market, then the mean of the closing bid and asked prices as reported on the last trading day immediately preceding the exercise date; and</w:t>
      </w:r>
    </w:p>
    <w:p>
      <w:pPr>
        <w:spacing w:after="0" w:line="140" w:lineRule="exact"/>
        <w:rPr>
          <w:rFonts w:ascii="Courier New" w:cs="Courier New" w:eastAsia="Courier New" w:hAnsi="Courier New"/>
          <w:sz w:val="12"/>
          <w:szCs w:val="12"/>
          <w:color w:val="auto"/>
        </w:rPr>
      </w:pPr>
    </w:p>
    <w:p>
      <w:pPr>
        <w:ind w:left="1067" w:right="4819" w:hanging="353"/>
        <w:spacing w:after="0" w:line="280" w:lineRule="auto"/>
        <w:tabs>
          <w:tab w:leader="none" w:pos="1138" w:val="left"/>
        </w:tabs>
        <w:numPr>
          <w:ilvl w:val="0"/>
          <w:numId w:val="1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the Ordinary Shares are not publicly traded, then as determined by the Company's Board of Directors in good faith.</w:t>
      </w:r>
    </w:p>
    <w:p>
      <w:pPr>
        <w:spacing w:after="0" w:line="118"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The exchange of this Warrant as provided in this Section 3(b) may not</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be utilized on more than 9 (nine) occasions.</w:t>
      </w:r>
    </w:p>
    <w:p>
      <w:pPr>
        <w:spacing w:after="0" w:line="139" w:lineRule="exact"/>
        <w:rPr>
          <w:sz w:val="20"/>
          <w:szCs w:val="20"/>
          <w:color w:val="auto"/>
        </w:rPr>
      </w:pPr>
    </w:p>
    <w:p>
      <w:pPr>
        <w:ind w:left="707" w:hanging="350"/>
        <w:spacing w:after="0"/>
        <w:tabs>
          <w:tab w:leader="none" w:pos="707" w:val="left"/>
        </w:tabs>
        <w:numPr>
          <w:ilvl w:val="1"/>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SHARES ON EXERCISE</w:t>
      </w:r>
    </w:p>
    <w:p>
      <w:pPr>
        <w:spacing w:after="0" w:line="141" w:lineRule="exact"/>
        <w:rPr>
          <w:rFonts w:ascii="Courier New" w:cs="Courier New" w:eastAsia="Courier New" w:hAnsi="Courier New"/>
          <w:sz w:val="12"/>
          <w:szCs w:val="12"/>
          <w:color w:val="auto"/>
        </w:rPr>
      </w:pPr>
    </w:p>
    <w:p>
      <w:pPr>
        <w:ind w:left="707"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agrees that the Warrant Shares so purchased shall be issued as soon as practicable thereafter, and that the Holder shall be deemed the record owner of such Warrant Shares as of and from the close of business on the date on which this Warrant shall be surrendered, together with payment in full as required pursuant to subsection a. above or when surrendered for exchange pursuant to subsection b. above. In the event of a partial exercise, the Company shall concurrently issue to the Holder a replacement Warrant on the same terms and conditions as this Warrant, but representing the number of Warrant Shares remaining after such partial exercise.</w:t>
      </w:r>
    </w:p>
    <w:p>
      <w:pPr>
        <w:spacing w:after="0" w:line="141"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FRACTIONAL INTEREST</w:t>
      </w:r>
    </w:p>
    <w:p>
      <w:pPr>
        <w:spacing w:after="0" w:line="141" w:lineRule="exact"/>
        <w:rPr>
          <w:rFonts w:ascii="Courier New" w:cs="Courier New" w:eastAsia="Courier New" w:hAnsi="Courier New"/>
          <w:sz w:val="12"/>
          <w:szCs w:val="12"/>
          <w:color w:val="auto"/>
        </w:rPr>
      </w:pPr>
    </w:p>
    <w:p>
      <w:pPr>
        <w:ind w:left="367"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 fractional shares will be issued in connection with any exercise hereunder, but in lieu of such fractional shares, the Company shall make a cash payment therefor upon the basis of the current market price of such shares then in effect as determined in good faith by the Company's Board of Directors.</w:t>
      </w:r>
    </w:p>
    <w:p>
      <w:pPr>
        <w:sectPr>
          <w:pgSz w:w="11900" w:h="16838" w:orient="portrait"/>
          <w:cols w:equalWidth="0" w:num="1">
            <w:col w:w="10246"/>
          </w:cols>
          <w:pgMar w:left="213" w:top="672" w:right="1440" w:bottom="1440" w:gutter="0" w:footer="0" w:header="0"/>
        </w:sectPr>
      </w:pPr>
    </w:p>
    <w:bookmarkStart w:id="87" w:name="page88"/>
    <w:bookmarkEnd w:id="87"/>
    <w:p>
      <w:pPr>
        <w:ind w:left="367" w:hanging="367"/>
        <w:spacing w:after="0"/>
        <w:tabs>
          <w:tab w:leader="none" w:pos="367" w:val="left"/>
        </w:tabs>
        <w:numPr>
          <w:ilvl w:val="0"/>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 CONFERS NO RIGHTS OF SHAREHOLDER</w:t>
      </w:r>
    </w:p>
    <w:p>
      <w:pPr>
        <w:spacing w:after="0" w:line="141" w:lineRule="exact"/>
        <w:rPr>
          <w:rFonts w:ascii="Courier New" w:cs="Courier New" w:eastAsia="Courier New" w:hAnsi="Courier New"/>
          <w:sz w:val="12"/>
          <w:szCs w:val="12"/>
          <w:color w:val="auto"/>
        </w:rPr>
      </w:pPr>
    </w:p>
    <w:p>
      <w:pPr>
        <w:ind w:left="367" w:right="475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Except as otherwise set forth in this Warrant, the Holder shall not have any rights as a shareholder of the Company with regard to the Warrant Shares prior to actual exercise resulting in the purchase of any Warrant Shares.</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REPRESENTATION</w:t>
      </w:r>
    </w:p>
    <w:p>
      <w:pPr>
        <w:spacing w:after="0" w:line="141" w:lineRule="exact"/>
        <w:rPr>
          <w:rFonts w:ascii="Courier New" w:cs="Courier New" w:eastAsia="Courier New" w:hAnsi="Courier New"/>
          <w:sz w:val="12"/>
          <w:szCs w:val="12"/>
          <w:color w:val="auto"/>
        </w:rPr>
      </w:pPr>
    </w:p>
    <w:p>
      <w:pPr>
        <w:ind w:left="367" w:right="45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Neither this Warrant nor the Warrant Shares issuable upon the exercise of this Warrant have been registered under the Securities Act, or any other securities laws. The Holder acknowledges by acceptance of the Warrant that</w:t>
      </w:r>
    </w:p>
    <w:p>
      <w:pPr>
        <w:ind w:left="367" w:right="4539" w:hanging="10"/>
        <w:spacing w:after="0" w:line="242" w:lineRule="auto"/>
        <w:tabs>
          <w:tab w:leader="none" w:pos="652" w:val="left"/>
        </w:tabs>
        <w:numPr>
          <w:ilvl w:val="1"/>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it has acquired this Warrant for investment and not with a view to distribution; (b) it has either a pre-existing personal or business relationship with the Company, or its executive officers, or by reason of its business or financial experience, it has the capacity to protect its own interests in connection with the transaction; and (c) it is an accredited investor as that term is defined in Regulation D promulgated under the Securities Act. The Holder agrees that any Warrant Shares issuable upon exercise of this Warrant will be acquired for investment and not with a view to distribution and, unless the Warrant Shares are theretofore registered, including following the exercise of the Holder of its registration rights under Section 9 below, such Warrant Shares will not be registered under the Securities Act and applicable state securities laws and that such Warrant Shares may have to be held indefinitely unless they are subsequently registered or qualified under the Securities Act and applicable state securities laws, or based on an opinion of counsel reasonably satisfactory to the Company, an exemption from such registration and qualification is available. The Holder, by acceptance hereof, consents to the placement of legend(s) on all securities hereunder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ectPr>
          <w:pgSz w:w="11900" w:h="16838" w:orient="portrait"/>
          <w:cols w:equalWidth="0" w:num="1">
            <w:col w:w="10246"/>
          </w:cols>
          <w:pgMar w:left="213" w:top="669" w:right="1440" w:bottom="1440" w:gutter="0" w:footer="0" w:header="0"/>
        </w:sectPr>
      </w:pPr>
    </w:p>
    <w:bookmarkStart w:id="88" w:name="page89"/>
    <w:bookmarkEnd w:id="88"/>
    <w:p>
      <w:pPr>
        <w:ind w:left="367" w:hanging="367"/>
        <w:spacing w:after="0"/>
        <w:tabs>
          <w:tab w:leader="none" w:pos="367" w:val="left"/>
        </w:tabs>
        <w:numPr>
          <w:ilvl w:val="0"/>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OF WARRANT PRICE AND NUMBER OF SHARES</w:t>
      </w:r>
    </w:p>
    <w:p>
      <w:pPr>
        <w:spacing w:after="0" w:line="141" w:lineRule="exact"/>
        <w:rPr>
          <w:rFonts w:ascii="Courier New" w:cs="Courier New" w:eastAsia="Courier New" w:hAnsi="Courier New"/>
          <w:sz w:val="12"/>
          <w:szCs w:val="12"/>
          <w:color w:val="auto"/>
        </w:rPr>
      </w:pPr>
    </w:p>
    <w:p>
      <w:pPr>
        <w:jc w:val="both"/>
        <w:ind w:left="367" w:right="467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number and kind of securities purchasable initially upon the exercise of this Warrant and the Warrant Price shall be subject to adjustment from time to time upon the occurrence of certain events, as follows:</w:t>
      </w:r>
    </w:p>
    <w:p>
      <w:pPr>
        <w:spacing w:after="0" w:line="122"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FOR SHARES SPLITS AND COMBINATIONS</w:t>
      </w:r>
    </w:p>
    <w:p>
      <w:pPr>
        <w:spacing w:after="0" w:line="141" w:lineRule="exact"/>
        <w:rPr>
          <w:rFonts w:ascii="Courier New" w:cs="Courier New" w:eastAsia="Courier New" w:hAnsi="Courier New"/>
          <w:sz w:val="12"/>
          <w:szCs w:val="12"/>
          <w:color w:val="auto"/>
        </w:rPr>
      </w:pPr>
    </w:p>
    <w:p>
      <w:pPr>
        <w:ind w:left="707" w:right="45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If the Company at any time or from time to time effects a subdivision of the outstanding Ordinary Shares, the number of Warrant Shares purchaseable hereunder immediately before the subdivision shall be proportionately increased, and conversely, if the Company at any time or from time to time combines the outstanding Ordinary Shares, the number of Warrant Shares purchaseable hereunder immediately before the combination shall be proportionately decreased. Any adjustment under this Section 7(a) shall become effective at the close of business on the date the subdivision or combination becomes effective.</w:t>
      </w:r>
    </w:p>
    <w:p>
      <w:pPr>
        <w:spacing w:after="0" w:line="126"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FOR CERTAIN DIVIDENDS AND DISTRIBUTIONS</w:t>
      </w:r>
    </w:p>
    <w:p>
      <w:pPr>
        <w:spacing w:after="0" w:line="141" w:lineRule="exact"/>
        <w:rPr>
          <w:rFonts w:ascii="Courier New" w:cs="Courier New" w:eastAsia="Courier New" w:hAnsi="Courier New"/>
          <w:sz w:val="12"/>
          <w:szCs w:val="12"/>
          <w:color w:val="auto"/>
        </w:rPr>
      </w:pPr>
    </w:p>
    <w:p>
      <w:pPr>
        <w:ind w:left="707" w:right="4539"/>
        <w:spacing w:after="0" w:line="242"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the Company at any time, or from time to time, makes or fixes a record date for the determination of holders of Ordinary Shares entitled to receive a dividend or other distribution payable in additional shares of Ordinary Shares, then and in each such event, the number of Ordinary Shares purchaseable hereunder shall be increased as of the time of such issuance or, in the event such a record date is fixed, as of the close of business on such record date, by multiplying the number of Ordinary Shares issuable upon exercise of this Warrant by a fraction: (i) the numerator of which shall be the total number of Ordinary Shares issued and outstanding immediately prior to the time of such issuance or the close of business on such record date plus the number of Ordinary Shares issuable in payment of such dividend or distribution; and (ii) the denominator of which is the total number of Ordinary Shares issued and outstanding immediately prior to the time of such issuance or the close of business on such record date; provided, however, that if such record date is fixed and such dividend is not fully paid or if such distribution is not fully made on the date fixed thereof, the number of Ordinary Shares purchaseable hereunder shall be recomputed accordingly as of the close of business on such record date and thereafter the number of Ordinary Shares purchaseable hereunder shall be adjusted pursuant to this Section 7(b) as of the time of the actual payment of such dividends or distribution.</w:t>
      </w:r>
    </w:p>
    <w:p>
      <w:pPr>
        <w:sectPr>
          <w:pgSz w:w="11900" w:h="16838" w:orient="portrait"/>
          <w:cols w:equalWidth="0" w:num="1">
            <w:col w:w="10246"/>
          </w:cols>
          <w:pgMar w:left="213" w:top="669" w:right="1440" w:bottom="1440" w:gutter="0" w:footer="0" w:header="0"/>
        </w:sectPr>
      </w:pPr>
    </w:p>
    <w:bookmarkStart w:id="89" w:name="page90"/>
    <w:bookmarkEnd w:id="89"/>
    <w:p>
      <w:pPr>
        <w:ind w:left="350" w:hanging="350"/>
        <w:spacing w:after="0"/>
        <w:tabs>
          <w:tab w:leader="none" w:pos="350"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ADJUSTMENTS FOR OTHER DIVIDENDS AND DISTRIBUTIONS</w:t>
      </w:r>
    </w:p>
    <w:p>
      <w:pPr>
        <w:spacing w:after="0" w:line="141" w:lineRule="exact"/>
        <w:rPr>
          <w:rFonts w:ascii="Courier New" w:cs="Courier New" w:eastAsia="Courier New" w:hAnsi="Courier New"/>
          <w:sz w:val="12"/>
          <w:szCs w:val="12"/>
          <w:color w:val="auto"/>
        </w:rPr>
      </w:pPr>
    </w:p>
    <w:p>
      <w:pPr>
        <w:ind w:left="35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then in each such event provision shall be made so that the Holder shall receive upon exercise of this Warrant, in addition to the number of Ordinary Shares receivable thereupon, the amount of securities of the Company that the Holder would have received had this Warrant been exercised to purchase all Ordinary Shares purchaseable hereunder immediately prior to such event (or the record date for such event) and had the Holder thereafter, during the period from the date of such event to and including the date of exercise, retained such securities receivable by it as aforesaid during such period, subject to all other adjustments called for during such period under this Section and the Company's Articles of Association with respect to the rights of the Holder.</w:t>
      </w:r>
    </w:p>
    <w:p>
      <w:pPr>
        <w:spacing w:after="0" w:line="266"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FOR RECLASSIFICATION, EXCHANGE AND SUBSTITUTION</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the Ordinary Shares purchaseable hereunder are changed into the same or a different number of shares of any class or classes of shares, whether by recapitalization, reclassification or otherwise (other than a subdivision or combination of shares or shares dividend or a reorganization, merger, consolidation or sale of assets, provided for elsewhere in this Section), then and in any such event the Holder shall have the right thereafter to exercise this Warrant into the kind and amount of shares and other securities receivable upon such recapitalization, reclassification or other change, by holders of the number of shares of Ordinary Shares for which this Warrant might have been exercised with respect to all Ordinary Shares purchaseable hereunder immediately prior to such recapitalization, reclassification or change, all subject to further adjustment as provided herein and under the Company's Articles of Association.</w:t>
      </w:r>
    </w:p>
    <w:p>
      <w:pPr>
        <w:sectPr>
          <w:pgSz w:w="11900" w:h="16838" w:orient="portrait"/>
          <w:cols w:equalWidth="0" w:num="1">
            <w:col w:w="9889"/>
          </w:cols>
          <w:pgMar w:left="570" w:top="669" w:right="1440" w:bottom="1440" w:gutter="0" w:footer="0" w:header="0"/>
        </w:sectPr>
      </w:pPr>
    </w:p>
    <w:bookmarkStart w:id="90" w:name="page91"/>
    <w:bookmarkEnd w:id="90"/>
    <w:p>
      <w:pPr>
        <w:ind w:left="350" w:hanging="350"/>
        <w:spacing w:after="0"/>
        <w:tabs>
          <w:tab w:leader="none" w:pos="350" w:val="left"/>
        </w:tabs>
        <w:numPr>
          <w:ilvl w:val="0"/>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REORGANIZATION, MERGERS, CONSOLIDATIONS OR SALES OF ASSETS</w:t>
      </w:r>
    </w:p>
    <w:p>
      <w:pPr>
        <w:spacing w:after="0" w:line="141" w:lineRule="exact"/>
        <w:rPr>
          <w:rFonts w:ascii="Courier New" w:cs="Courier New" w:eastAsia="Courier New" w:hAnsi="Courier New"/>
          <w:sz w:val="12"/>
          <w:szCs w:val="12"/>
          <w:color w:val="auto"/>
        </w:rPr>
      </w:pPr>
    </w:p>
    <w:p>
      <w:pPr>
        <w:ind w:left="350" w:right="4539"/>
        <w:spacing w:after="0" w:line="242"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at any time or from time to time there is a capital reorganization of the Ordinary Shares (other than a recapitalization, subdivision, combination, reclassification or exchange of shares as provided for elsewhere in this subsection),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exercise of this Warrant, the number of shares or other securities or property of the Company, or of the successor corporation resulting from such merger or consolidation or sale, to which a holder of Ordinary Shares deliverable upon conversion would have been entitled on such capital reorganization, merger, consolidation or sale. In any such case (except to the extent any cash or property is received in such transaction), appropriate adjustment shall be made in the application of the provisions of this subsection and the Company's Articles of Association with respect to the rights of the Holder after the reorganization, merger, consolidation or sale to the end that the provisions of this subsection and the Company's Articles of Association (including adjustment of the number of Ordinary Shares purchaseable hereunder) shall be applicable after that event and be as nearly equivalent to the provisions hereof as may be practicable.</w:t>
      </w:r>
    </w:p>
    <w:p>
      <w:pPr>
        <w:spacing w:after="0" w:line="138"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TRANSACTIONS</w:t>
      </w:r>
    </w:p>
    <w:p>
      <w:pPr>
        <w:spacing w:after="0" w:line="141" w:lineRule="exact"/>
        <w:rPr>
          <w:rFonts w:ascii="Courier New" w:cs="Courier New" w:eastAsia="Courier New" w:hAnsi="Courier New"/>
          <w:sz w:val="12"/>
          <w:szCs w:val="12"/>
          <w:color w:val="auto"/>
        </w:rPr>
      </w:pPr>
    </w:p>
    <w:p>
      <w:pPr>
        <w:ind w:left="350" w:right="4539"/>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Warrant Shares or by procuring that the Holder shall be entitled, on economically proportionate terms, to acquire additional shares of the spun-off or split-off entities.</w:t>
      </w:r>
    </w:p>
    <w:p>
      <w:pPr>
        <w:spacing w:after="0" w:line="124"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PROTECTION</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ectPr>
          <w:pgSz w:w="11900" w:h="16838" w:orient="portrait"/>
          <w:cols w:equalWidth="0" w:num="1">
            <w:col w:w="9889"/>
          </w:cols>
          <w:pgMar w:left="570" w:top="669" w:right="1440" w:bottom="1440" w:gutter="0" w:footer="0" w:header="0"/>
        </w:sectPr>
      </w:pPr>
    </w:p>
    <w:bookmarkStart w:id="91" w:name="page92"/>
    <w:bookmarkEnd w:id="91"/>
    <w:p>
      <w:pPr>
        <w:ind w:left="350" w:hanging="350"/>
        <w:spacing w:after="0"/>
        <w:tabs>
          <w:tab w:leader="none" w:pos="350" w:val="left"/>
        </w:tabs>
        <w:numPr>
          <w:ilvl w:val="0"/>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 OF CAPITAL CHANGES</w:t>
      </w:r>
    </w:p>
    <w:p>
      <w:pPr>
        <w:spacing w:after="0" w:line="141" w:lineRule="exact"/>
        <w:rPr>
          <w:rFonts w:ascii="Courier New" w:cs="Courier New" w:eastAsia="Courier New" w:hAnsi="Courier New"/>
          <w:sz w:val="12"/>
          <w:szCs w:val="12"/>
          <w:color w:val="auto"/>
        </w:rPr>
      </w:pPr>
    </w:p>
    <w:p>
      <w:pPr>
        <w:ind w:left="35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If at any time the Company shall offer for subscription pro rata to the holders of Ordinary Shares any additional shares of any class, other rights or any equity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Section 7, then, in any one or more of the said cases, the Company shall give the Holder written notice, by registered or certified mail, postage prepaid, of the date on which: (i) a record shall be taken for such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w:t>
      </w:r>
    </w:p>
    <w:p>
      <w:pPr>
        <w:spacing w:after="0" w:line="127" w:lineRule="exact"/>
        <w:rPr>
          <w:rFonts w:ascii="Courier New" w:cs="Courier New" w:eastAsia="Courier New" w:hAnsi="Courier New"/>
          <w:sz w:val="12"/>
          <w:szCs w:val="12"/>
          <w:color w:val="auto"/>
        </w:rPr>
      </w:pPr>
    </w:p>
    <w:p>
      <w:pPr>
        <w:ind w:left="35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(fourteen) days prior to the record date in respect thereto.</w:t>
      </w:r>
    </w:p>
    <w:p>
      <w:pPr>
        <w:spacing w:after="0" w:line="138"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OF WARRANT PRICE</w:t>
      </w:r>
    </w:p>
    <w:p>
      <w:pPr>
        <w:spacing w:after="0" w:line="141" w:lineRule="exact"/>
        <w:rPr>
          <w:rFonts w:ascii="Courier New" w:cs="Courier New" w:eastAsia="Courier New" w:hAnsi="Courier New"/>
          <w:sz w:val="12"/>
          <w:szCs w:val="12"/>
          <w:color w:val="auto"/>
        </w:rPr>
      </w:pPr>
    </w:p>
    <w:p>
      <w:pPr>
        <w:ind w:left="35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each adjustment in the number of Ordinary Shares purchasable hereunder, the Warrant Price shall be proportionately increased or decreased, as the case may be, in a manner that is the inverse of the manner in which the number of Ordinary Shares purchasable hereunder shall be adjusted.</w:t>
      </w:r>
    </w:p>
    <w:p>
      <w:pPr>
        <w:spacing w:after="0" w:line="138"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 OF ADJUSTMENTS</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Whenever the Warrant Price or the number of Ordinary Shares purchasable hereunder shall be adjusted pursuant to Section 7 hereof, the Company shall prepare a certificate signed by the chief financial officer of the Company setting forth, in reasonable detail, the event requiring the adjustment, the amount of the adjustment, the method by which such adjustment was calculated, and the Warrant Price and the number of Ordinary Shares purchasable hereunder after giving effect to such adjustment, and shall cause copies of such certificate to be mailed (by first class mail, postage prepaid) to the Holder.</w:t>
      </w:r>
    </w:p>
    <w:p>
      <w:pPr>
        <w:sectPr>
          <w:pgSz w:w="11900" w:h="16838" w:orient="portrait"/>
          <w:cols w:equalWidth="0" w:num="1">
            <w:col w:w="9889"/>
          </w:cols>
          <w:pgMar w:left="570" w:top="669" w:right="1440" w:bottom="1440" w:gutter="0" w:footer="0" w:header="0"/>
        </w:sectPr>
      </w:pPr>
    </w:p>
    <w:bookmarkStart w:id="92" w:name="page93"/>
    <w:bookmarkEnd w:id="92"/>
    <w:p>
      <w:pPr>
        <w:ind w:left="707" w:hanging="350"/>
        <w:spacing w:after="0"/>
        <w:tabs>
          <w:tab w:leader="none" w:pos="707" w:val="left"/>
        </w:tabs>
        <w:numPr>
          <w:ilvl w:val="1"/>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ASSUMED EXERCISABILITY</w:t>
      </w:r>
    </w:p>
    <w:p>
      <w:pPr>
        <w:spacing w:after="0" w:line="141" w:lineRule="exact"/>
        <w:rPr>
          <w:rFonts w:ascii="Courier New" w:cs="Courier New" w:eastAsia="Courier New" w:hAnsi="Courier New"/>
          <w:sz w:val="12"/>
          <w:szCs w:val="12"/>
          <w:color w:val="auto"/>
        </w:rPr>
      </w:pPr>
    </w:p>
    <w:p>
      <w:pPr>
        <w:ind w:left="707" w:right="4679"/>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the avoidance of doubt, the fact that an adjustment event described in this Section 7 occurs prior to the time this Warrant is fully exercisable by the Holder shall not be taken into account and, for purposes of determining any adjustment or other actions to be taken by the Company pursuant to this Section 7, it shall be assumed that this Warrant is fully exercisable as of the Effective Date.</w:t>
      </w:r>
    </w:p>
    <w:p>
      <w:pPr>
        <w:spacing w:after="0" w:line="125"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TRANSFER OF THIS WARRANT OR SHARES</w:t>
      </w:r>
    </w:p>
    <w:p>
      <w:pPr>
        <w:spacing w:after="0" w:line="141" w:lineRule="exact"/>
        <w:rPr>
          <w:rFonts w:ascii="Courier New" w:cs="Courier New" w:eastAsia="Courier New" w:hAnsi="Courier New"/>
          <w:sz w:val="12"/>
          <w:szCs w:val="12"/>
          <w:color w:val="auto"/>
        </w:rPr>
      </w:pPr>
    </w:p>
    <w:p>
      <w:pPr>
        <w:ind w:left="707" w:right="4539" w:hanging="350"/>
        <w:spacing w:after="0" w:line="242" w:lineRule="auto"/>
        <w:tabs>
          <w:tab w:leader="none" w:pos="707" w:val="left"/>
        </w:tabs>
        <w:numPr>
          <w:ilvl w:val="1"/>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any offer, sale or other disposition of this Warrant or securities purchaseable hereunder, the Holder will give written notice to the Company prior thereto, describing briefly the manner thereof, together with, if reasonably requested by the Company, a written opinion of such Holder's counsel, to the effect that such offer, sale or other distribution may be effected without registration or qualification (under any federal or state law then in effect); provided, however, that no legal opinion shall be required if the transfer will be effected on TASE and the Holder represents to the Company that the applicable conditions under Regulation S under the Securities Act have been satisfied. If the proposed transfer is intended to rely on a Regulation D exemption under the Securities Act, such opinion letter and all such transferees must warrant and represent that they are an "accredited" investor as that term is defined under Regulation D of the Securities Act. Promptly, as practicable, upon receiving such written notice and opinion and warranties and representations, if so requested, the Company, as promptly as practicable, shall deliver to the Holder one or more replacement Warrant certificates on the same terms and conditions as this Warrant for delivery to the transferees. Each Warrant thus transferred and each certificate representing the securities thus transferred shall bear legend(s) as to the applicable restrictions on transferability in order to ensure compliance with the Securities Act, unless in the opinion of counsel for the Company such legend is not required in order to ensure compliance with the Securities Act. The Company may issue stop transfer instructions to its transfer agent in connection with such restrictions. Any provision of this Warrant to the contrary notwithstanding, the Holder may not offer, sell or otherwise dispose of this Warrant to any third party, other than: (i) to a wholly owned subsidiary of Bank Hapoalim B.M.; or (ii) to any other transferee approved by the Company in writing with such approval not to be unreasonably withheld.</w:t>
      </w:r>
    </w:p>
    <w:p>
      <w:pPr>
        <w:sectPr>
          <w:pgSz w:w="11900" w:h="16838" w:orient="portrait"/>
          <w:cols w:equalWidth="0" w:num="1">
            <w:col w:w="10246"/>
          </w:cols>
          <w:pgMar w:left="213" w:top="669" w:right="1440" w:bottom="1440" w:gutter="0" w:footer="0" w:header="0"/>
        </w:sectPr>
      </w:pPr>
    </w:p>
    <w:bookmarkStart w:id="93" w:name="page94"/>
    <w:bookmarkEnd w:id="93"/>
    <w:p>
      <w:pPr>
        <w:jc w:val="both"/>
        <w:ind w:left="707" w:right="4599" w:hanging="350"/>
        <w:spacing w:after="0" w:line="241" w:lineRule="auto"/>
        <w:tabs>
          <w:tab w:leader="none" w:pos="707" w:val="left"/>
        </w:tabs>
        <w:numPr>
          <w:ilvl w:val="1"/>
          <w:numId w:val="1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REGISTRATION RIGHTS</w:t>
      </w:r>
    </w:p>
    <w:p>
      <w:pPr>
        <w:spacing w:after="0" w:line="138" w:lineRule="exact"/>
        <w:rPr>
          <w:rFonts w:ascii="Courier New" w:cs="Courier New" w:eastAsia="Courier New" w:hAnsi="Courier New"/>
          <w:sz w:val="12"/>
          <w:szCs w:val="12"/>
          <w:color w:val="auto"/>
        </w:rPr>
      </w:pPr>
    </w:p>
    <w:p>
      <w:pPr>
        <w:ind w:left="36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covenants and agrees as follows:</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w:t>
      </w:r>
    </w:p>
    <w:p>
      <w:pPr>
        <w:spacing w:after="0" w:line="138" w:lineRule="exact"/>
        <w:rPr>
          <w:rFonts w:ascii="Courier New" w:cs="Courier New" w:eastAsia="Courier New" w:hAnsi="Courier New"/>
          <w:sz w:val="12"/>
          <w:szCs w:val="12"/>
          <w:color w:val="auto"/>
        </w:rPr>
      </w:pPr>
    </w:p>
    <w:p>
      <w:pPr>
        <w:ind w:left="70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this Section 9:</w:t>
      </w:r>
    </w:p>
    <w:p>
      <w:pPr>
        <w:spacing w:after="0" w:line="141" w:lineRule="exact"/>
        <w:rPr>
          <w:rFonts w:ascii="Courier New" w:cs="Courier New" w:eastAsia="Courier New" w:hAnsi="Courier New"/>
          <w:sz w:val="12"/>
          <w:szCs w:val="12"/>
          <w:color w:val="auto"/>
        </w:rPr>
      </w:pPr>
    </w:p>
    <w:p>
      <w:pPr>
        <w:ind w:left="1067" w:right="4539" w:hanging="353"/>
        <w:spacing w:after="0" w:line="241" w:lineRule="auto"/>
        <w:tabs>
          <w:tab w:leader="none" w:pos="1067" w:val="left"/>
        </w:tabs>
        <w:numPr>
          <w:ilvl w:val="2"/>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"REGISTRABLE SHARES" means: (1) the Warrant Shares; and (2) any Ordinary Shares of the Company issued as (or issuable upon the conversion or exercise of any warrant, right or other security that is issued as) a dividend or other distribution with respect to, or in exchange for or in replacement of, such Warrant Shares; provided, however, that any exercise of this Warrant in connection with an exercise of rights to registration under this Section 9 may be made conditional upon the closing of the offering contemplated by such registration;</w:t>
      </w:r>
    </w:p>
    <w:p>
      <w:pPr>
        <w:spacing w:after="0" w:line="143" w:lineRule="exact"/>
        <w:rPr>
          <w:rFonts w:ascii="Courier New" w:cs="Courier New" w:eastAsia="Courier New" w:hAnsi="Courier New"/>
          <w:sz w:val="12"/>
          <w:szCs w:val="12"/>
          <w:color w:val="auto"/>
        </w:rPr>
      </w:pPr>
    </w:p>
    <w:p>
      <w:pPr>
        <w:ind w:left="1067" w:right="4759" w:hanging="353"/>
        <w:spacing w:after="0" w:line="241" w:lineRule="auto"/>
        <w:tabs>
          <w:tab w:leader="none" w:pos="1067" w:val="left"/>
        </w:tabs>
        <w:numPr>
          <w:ilvl w:val="2"/>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"REGISTER", "REGISTERED" and "REGISTRATION" refer to a registration effected by filing a registration statement in compliance with the Securities Act and the declaration or ordering by the SEC of effectiveness of such registration statement, or the equivalent actions under the laws of another jurisdiction;</w:t>
      </w:r>
    </w:p>
    <w:p>
      <w:pPr>
        <w:spacing w:after="0" w:line="141" w:lineRule="exact"/>
        <w:rPr>
          <w:rFonts w:ascii="Courier New" w:cs="Courier New" w:eastAsia="Courier New" w:hAnsi="Courier New"/>
          <w:sz w:val="12"/>
          <w:szCs w:val="12"/>
          <w:color w:val="auto"/>
        </w:rPr>
      </w:pPr>
    </w:p>
    <w:p>
      <w:pPr>
        <w:ind w:left="1067" w:right="4539" w:hanging="353"/>
        <w:spacing w:after="0" w:line="241" w:lineRule="auto"/>
        <w:tabs>
          <w:tab w:leader="none" w:pos="1138" w:val="left"/>
        </w:tabs>
        <w:numPr>
          <w:ilvl w:val="2"/>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"INVESTOR HOLDERS" refers to SanDisk Corporation, Alliance Semiconductor Corp., Macronix International Co., Ltd., QuickLogic Corporation, and The Israel Corporation Ltd. and any additional parties that entered into share purchase agreements with the Company prior to the closing of and that closed simultaneously with the Share Purchase Agreement dated as of July 4, 2000 by and between the Company and SanDisk Corporation or any successors thereto or permitted assignees thereof;</w:t>
      </w:r>
    </w:p>
    <w:p>
      <w:pPr>
        <w:spacing w:after="0" w:line="143"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1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"1934 ACT" means the Securities Exchange Act of 1934, as amended;</w:t>
      </w:r>
    </w:p>
    <w:p>
      <w:pPr>
        <w:sectPr>
          <w:pgSz w:w="11900" w:h="16838" w:orient="portrait"/>
          <w:cols w:equalWidth="0" w:num="1">
            <w:col w:w="10246"/>
          </w:cols>
          <w:pgMar w:left="213" w:top="672" w:right="1440" w:bottom="1440" w:gutter="0" w:footer="0" w:header="0"/>
        </w:sectPr>
      </w:pPr>
    </w:p>
    <w:bookmarkStart w:id="94" w:name="page95"/>
    <w:bookmarkEnd w:id="94"/>
    <w:p>
      <w:pPr>
        <w:ind w:left="710" w:hanging="353"/>
        <w:spacing w:after="0"/>
        <w:tabs>
          <w:tab w:leader="none" w:pos="710" w:val="left"/>
        </w:tabs>
        <w:numPr>
          <w:ilvl w:val="1"/>
          <w:numId w:val="1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"SEC" means the United States Securities and Exchange Commission.</w:t>
      </w:r>
    </w:p>
    <w:p>
      <w:pPr>
        <w:spacing w:after="0" w:line="146" w:lineRule="exact"/>
        <w:rPr>
          <w:rFonts w:ascii="Courier New" w:cs="Courier New" w:eastAsia="Courier New" w:hAnsi="Courier New"/>
          <w:sz w:val="11"/>
          <w:szCs w:val="11"/>
          <w:color w:val="auto"/>
        </w:rPr>
      </w:pPr>
    </w:p>
    <w:p>
      <w:pPr>
        <w:ind w:left="350" w:hanging="350"/>
        <w:spacing w:after="0"/>
        <w:tabs>
          <w:tab w:leader="none" w:pos="350"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INCIDENTAL REGISTRATION</w:t>
      </w:r>
    </w:p>
    <w:p>
      <w:pPr>
        <w:spacing w:after="0" w:line="141" w:lineRule="exact"/>
        <w:rPr>
          <w:rFonts w:ascii="Courier New" w:cs="Courier New" w:eastAsia="Courier New" w:hAnsi="Courier New"/>
          <w:sz w:val="12"/>
          <w:szCs w:val="12"/>
          <w:color w:val="auto"/>
        </w:rPr>
      </w:pPr>
    </w:p>
    <w:p>
      <w:pPr>
        <w:ind w:left="35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the Company at any time proposes to register any of its securities (other than a registration of securities to be offered to employees, directors or consultants pursuant to a benefit plan on Form S-8 or a registration in connection with a merger, an exchange offer or any acquisition), it shall give notice to the Holder of such intention. Upon the written request of the Holder given within 20 (twenty) days after receipt of any such notice, the Company shall include in such registration all of the Registrable Shares indicated in such request, so as to permit the disposition of the shares so registered at the expense of the Company.</w:t>
      </w:r>
    </w:p>
    <w:p>
      <w:pPr>
        <w:spacing w:after="0" w:line="144" w:lineRule="exact"/>
        <w:rPr>
          <w:rFonts w:ascii="Courier New" w:cs="Courier New" w:eastAsia="Courier New" w:hAnsi="Courier New"/>
          <w:sz w:val="12"/>
          <w:szCs w:val="12"/>
          <w:color w:val="auto"/>
        </w:rPr>
      </w:pPr>
    </w:p>
    <w:p>
      <w:pPr>
        <w:ind w:left="350" w:right="45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Notwithstanding any other provision of this Section 9(b), in the event that the Company is undertaking a registration of its securities and the managing underwriter advises the Company in writing that marketing factors require a limitation of the number of Ordinary Shares to be underwritten, then there shall be excluded from such registration and underwriting, to the extent necessary to satisfy such limitation, Ordinary Shares held by any shareholders other than the Investor Holders pro rata to their respective shareholdings in the Company.</w:t>
      </w:r>
    </w:p>
    <w:p>
      <w:pPr>
        <w:spacing w:after="0" w:line="127"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ASSIGNMENT OF REGISTRATION RIGHTS</w:t>
      </w:r>
    </w:p>
    <w:p>
      <w:pPr>
        <w:spacing w:after="0" w:line="141" w:lineRule="exact"/>
        <w:rPr>
          <w:rFonts w:ascii="Courier New" w:cs="Courier New" w:eastAsia="Courier New" w:hAnsi="Courier New"/>
          <w:sz w:val="12"/>
          <w:szCs w:val="12"/>
          <w:color w:val="auto"/>
        </w:rPr>
      </w:pPr>
    </w:p>
    <w:p>
      <w:pPr>
        <w:ind w:left="350" w:right="459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rights to cause the Company to register Registrable Shares pursuant to the Registration Rights may be assigned by a Holder to a transferee or assignee of such shares to the same extent as permitted by Section 8 of this Warrant.</w:t>
      </w:r>
    </w:p>
    <w:p>
      <w:pPr>
        <w:spacing w:after="0" w:line="139"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CONFLICTING AGREEMENTS</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and warrants to the Holder that the Company is not a party to any agreement that conflicts in any manner with the Holder's rights to cause the Company to register Registrable Shares pursuant to the Registration Rights. The Company covenants and agrees that it shall not, without the prior written consent of the holders of a majority of the outstanding Registrable Shares, amend, modify or restate the Registration Rights if the Holder would be adversely affected by the amendment in a different manner than other holders of "Registrable Shares" similarly situated.</w:t>
      </w:r>
    </w:p>
    <w:p>
      <w:pPr>
        <w:sectPr>
          <w:pgSz w:w="11900" w:h="16838" w:orient="portrait"/>
          <w:cols w:equalWidth="0" w:num="1">
            <w:col w:w="9889"/>
          </w:cols>
          <w:pgMar w:left="570" w:top="672" w:right="1440" w:bottom="1440" w:gutter="0" w:footer="0" w:header="0"/>
        </w:sectPr>
      </w:pPr>
    </w:p>
    <w:bookmarkStart w:id="95" w:name="page96"/>
    <w:bookmarkEnd w:id="95"/>
    <w:p>
      <w:pPr>
        <w:ind w:left="350" w:hanging="350"/>
        <w:spacing w:after="0"/>
        <w:tabs>
          <w:tab w:leader="none" w:pos="350" w:val="left"/>
        </w:tabs>
        <w:numPr>
          <w:ilvl w:val="0"/>
          <w:numId w:val="1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AND OBLIGATIONS SURVIVE EXERCISE AND EXPIRATION OF WARRANT</w:t>
      </w:r>
    </w:p>
    <w:p>
      <w:pPr>
        <w:spacing w:after="0" w:line="141" w:lineRule="exact"/>
        <w:rPr>
          <w:rFonts w:ascii="Courier New" w:cs="Courier New" w:eastAsia="Courier New" w:hAnsi="Courier New"/>
          <w:sz w:val="12"/>
          <w:szCs w:val="12"/>
          <w:color w:val="auto"/>
        </w:rPr>
      </w:pPr>
    </w:p>
    <w:p>
      <w:pPr>
        <w:ind w:left="350" w:right="459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rights and obligations of the Company and the Holder set forth in this Section 9 and in the Registration Rights shall survive the exercise, conversion and expiration of this Warrant.</w:t>
      </w:r>
    </w:p>
    <w:p>
      <w:pPr>
        <w:spacing w:after="0" w:line="139"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STAND-OFF PERIOD</w:t>
      </w:r>
    </w:p>
    <w:p>
      <w:pPr>
        <w:spacing w:after="0" w:line="141" w:lineRule="exact"/>
        <w:rPr>
          <w:rFonts w:ascii="Courier New" w:cs="Courier New" w:eastAsia="Courier New" w:hAnsi="Courier New"/>
          <w:sz w:val="12"/>
          <w:szCs w:val="12"/>
          <w:color w:val="auto"/>
        </w:rPr>
      </w:pPr>
    </w:p>
    <w:p>
      <w:pPr>
        <w:ind w:left="35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Holder, if requested by the Company and the underwriters of the Company's securities, shall enter into an agreement ("THE MARKET STAND-OFF AGREEMENT") not to sell, sell any option, or otherwise transfer or dispose of any Registrable Shares held by the Holder during the 90-day period (or such shorter period as is required by the underwriters) following the effective date of a registration statement of the Company filed under the Securities Act, provided that such restrictions shall not apply to Ordinary Shares or other securities of the Company that are included in such registration statement and the Holder shall not be obligated to enter into a Market Stand-off Agreement if any officer, director or holder of 5% (five percent) or more of the outstanding Ordinary Shares of the Company is not subject to a Market Stand-off Agreement with substantially similar terms. The underwriters in connection with such registration statement are intended third party beneficiaries of this provision.</w:t>
      </w:r>
    </w:p>
    <w:p>
      <w:pPr>
        <w:spacing w:after="0" w:line="266"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INDEMNIFICATION</w:t>
      </w:r>
    </w:p>
    <w:p>
      <w:pPr>
        <w:spacing w:after="0" w:line="141" w:lineRule="exact"/>
        <w:rPr>
          <w:rFonts w:ascii="Courier New" w:cs="Courier New" w:eastAsia="Courier New" w:hAnsi="Courier New"/>
          <w:sz w:val="12"/>
          <w:szCs w:val="12"/>
          <w:color w:val="auto"/>
        </w:rPr>
      </w:pPr>
    </w:p>
    <w:p>
      <w:pPr>
        <w:ind w:left="350" w:right="48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any Registrable Shares are included in a registration statement in accordance herewith:</w:t>
      </w:r>
    </w:p>
    <w:p>
      <w:pPr>
        <w:sectPr>
          <w:pgSz w:w="11900" w:h="16838" w:orient="portrait"/>
          <w:cols w:equalWidth="0" w:num="1">
            <w:col w:w="9889"/>
          </w:cols>
          <w:pgMar w:left="570" w:top="669" w:right="1440" w:bottom="1440" w:gutter="0" w:footer="0" w:header="0"/>
        </w:sectPr>
      </w:pPr>
    </w:p>
    <w:bookmarkStart w:id="96" w:name="page97"/>
    <w:bookmarkEnd w:id="96"/>
    <w:p>
      <w:pPr>
        <w:ind w:right="4539"/>
        <w:spacing w:after="0" w:line="242" w:lineRule="auto"/>
        <w:rPr>
          <w:sz w:val="20"/>
          <w:szCs w:val="20"/>
          <w:color w:val="auto"/>
        </w:rPr>
      </w:pPr>
      <w:r>
        <w:rPr>
          <w:rFonts w:ascii="Courier New" w:cs="Courier New" w:eastAsia="Courier New" w:hAnsi="Courier New"/>
          <w:sz w:val="12"/>
          <w:szCs w:val="12"/>
          <w:color w:val="auto"/>
        </w:rPr>
        <w:t>To the extent permitted by law, the Company will indemnify and hold harmless the Holder, its officers and directors, any underwriter (as defined in the Securities Act) for any Holder and each person, if any, who controls any Holder or underwriter within the meaning of the Securities Act or the 1934 Act against any losses, claims, damages, or liabilities to which they may become subject under the Securities Act, the 1934 Act or other United States federal or state law or the securities laws of the State of Israel, insofar as such losses, claims, damages, or liabilities (or actions in respect thereof) arise out of or are based upon any of the following statements, omissions or violations (collectively a "VIOLATION"): (i) any untrue statement of a material fact contained in such registration statement, including any preliminary prospectus or final prospectus contained therein or any amendments or supplements thereto; (ii) the omission to state therein a material fact required to be stated therein, or necessary to make the statements therein not misleading in light of the circumstances under which they were made; or (iii) any violation by the Company of the Securities Act, the 1934 Act, any state securities law or any rule or regulation promulgated under the Securities Act, the 1934 Act or any state securities law, or any of the securities laws of the State of Israel or any rule or regulation thereunder; and the Company will reimburse each such Holder, officer or director, underwriter or controlling person for any legal or other expenses reasonably incurred by them in connection with investigating or defending any such loss, claim, damage, liability, or action; provided, however, that the indemnity agreement contained in this Section 9(g), shall not apply to amounts paid in settlement of any such loss, claim, damage, liability, or action if such settlement is effected without the consent of the Company (which consent shall not be unreasonably withheld), nor shall the Company be liable to the Holder, underwriter or controlling person in any such case for any such loss, claim, damage, liability, or action to the extent that it arises out of or is based upon a Violation which occurs in reliance upon and in conformity with written information furnished to the Company expressly for use in connection with such registration by the Holder, underwriter or controlling person. Such indemnity shall remain in full force and effect regardless of any investigation made by or on behalf of the Holder, the underwriter or any controlling person of the Holder or the underwriter, and regardless of any sale in connection with such offering by the Holder.</w:t>
      </w:r>
    </w:p>
    <w:p>
      <w:pPr>
        <w:sectPr>
          <w:pgSz w:w="11900" w:h="16838" w:orient="portrait"/>
          <w:cols w:equalWidth="0" w:num="1">
            <w:col w:w="9539"/>
          </w:cols>
          <w:pgMar w:left="920" w:top="672" w:right="1440" w:bottom="1440" w:gutter="0" w:footer="0" w:header="0"/>
        </w:sectPr>
      </w:pPr>
    </w:p>
    <w:bookmarkStart w:id="97" w:name="page98"/>
    <w:bookmarkEnd w:id="97"/>
    <w:p>
      <w:pPr>
        <w:ind w:right="4539"/>
        <w:spacing w:after="0" w:line="242" w:lineRule="auto"/>
        <w:rPr>
          <w:sz w:val="20"/>
          <w:szCs w:val="20"/>
          <w:color w:val="auto"/>
        </w:rPr>
      </w:pPr>
      <w:r>
        <w:rPr>
          <w:rFonts w:ascii="Courier New" w:cs="Courier New" w:eastAsia="Courier New" w:hAnsi="Courier New"/>
          <w:sz w:val="12"/>
          <w:szCs w:val="12"/>
          <w:color w:val="auto"/>
        </w:rPr>
        <w:t>To the extent permitted by law, the Holder will indemnify and hold harmless the Company, each of its directors, each of its officers who have signed the registration statement, each person, if any, who controls the Company within the meaning of the Securities Act, any underwriter (within the meaning of the Securities Act) for the Company, any person who controls such underwriter, and any other parties selling securities in such registration statement or any directors or officers or any persons controlling such parties, against any losses, claims, damages, or liabilities to which the Company or any such director, officer, controlling person, or underwriter or controlling person may become subject under the Securities Act, the 1934 Act or other United States federal or state law, or any of the securities laws of the State of Israel, insofar as such losses, claims, damages, liabilities (or actions in respect hereto) arise out of or are based upon any Violation, in each case to the extent (and only to the extent) that such Violation occurs in reliance upon and in conformity with written information furnished to the Company by the Holder expressly for use in connection with such registration statement; and the Holder will reimburse any legal or other expenses reasonably incurred by the Company or any such director, officer, controlling person, underwriter or controlling person, in connection with investigating or defending any such loss, claim, damage, liability or action attributable to such Violation or alleged Violation; provided, however, that the indemnity agreement contained in this Section 9(g) shall not apply to amounts paid in settlement of any such loss, claim, damage, liability or action if such settlement is effected without the consent of the Holder, which consent shall not be unreasonably withheld. In no event shall the liability of the Holder hereunder exceed the net proceeds from the offering received by the Holder.</w:t>
      </w:r>
    </w:p>
    <w:p>
      <w:pPr>
        <w:spacing w:after="0" w:line="142" w:lineRule="exact"/>
        <w:rPr>
          <w:sz w:val="20"/>
          <w:szCs w:val="20"/>
          <w:color w:val="auto"/>
        </w:rPr>
      </w:pPr>
    </w:p>
    <w:p>
      <w:pPr>
        <w:ind w:right="4539"/>
        <w:spacing w:after="0" w:line="242" w:lineRule="auto"/>
        <w:rPr>
          <w:sz w:val="20"/>
          <w:szCs w:val="20"/>
          <w:color w:val="auto"/>
        </w:rPr>
      </w:pPr>
      <w:r>
        <w:rPr>
          <w:rFonts w:ascii="Courier New" w:cs="Courier New" w:eastAsia="Courier New" w:hAnsi="Courier New"/>
          <w:sz w:val="12"/>
          <w:szCs w:val="12"/>
          <w:color w:val="auto"/>
        </w:rPr>
        <w:t>Promptly after receipt by an indemnified party under this Section 9(g) of notice of the commencement of any action (including any governmental action), such indemnified party will, if a claim in respect thereof is to be made against any indemnifying party under this Section 9(g),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notify an indemnifying party within a reasonable time of the commencement of any such action, if prejudicial to its ability to defend such action, shall relieve such indemnifying party of any liability to the indemnifying party under this Section 9(g), but the omission to so notify the indemnifying party will not relieve such indemnifying party of any liability that it may have to any indemnified party otherwise than under this Section 9(g).</w:t>
      </w:r>
    </w:p>
    <w:p>
      <w:pPr>
        <w:sectPr>
          <w:pgSz w:w="11900" w:h="16838" w:orient="portrait"/>
          <w:cols w:equalWidth="0" w:num="1">
            <w:col w:w="9539"/>
          </w:cols>
          <w:pgMar w:left="920" w:top="672" w:right="1440" w:bottom="1440" w:gutter="0" w:footer="0" w:header="0"/>
        </w:sectPr>
      </w:pPr>
    </w:p>
    <w:bookmarkStart w:id="98" w:name="page99"/>
    <w:bookmarkEnd w:id="98"/>
    <w:p>
      <w:pPr>
        <w:spacing w:after="0"/>
        <w:tabs>
          <w:tab w:leader="none" w:pos="340" w:val="left"/>
        </w:tabs>
        <w:rPr>
          <w:sz w:val="20"/>
          <w:szCs w:val="20"/>
          <w:color w:val="auto"/>
        </w:rPr>
      </w:pPr>
      <w:r>
        <w:rPr>
          <w:rFonts w:ascii="Courier New" w:cs="Courier New" w:eastAsia="Courier New" w:hAnsi="Courier New"/>
          <w:sz w:val="12"/>
          <w:szCs w:val="12"/>
          <w:color w:val="auto"/>
        </w:rPr>
        <w:t>9A.</w:t>
        <w:tab/>
        <w:t>OBLIGATIONS OF THE COMPANY</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Whenever the Company files a registration statement with respect to any</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Registrable Shares, the Company, at its expense, shall:</w:t>
      </w:r>
    </w:p>
    <w:p>
      <w:pPr>
        <w:spacing w:after="0" w:line="141" w:lineRule="exact"/>
        <w:rPr>
          <w:sz w:val="20"/>
          <w:szCs w:val="20"/>
          <w:color w:val="auto"/>
        </w:rPr>
      </w:pPr>
    </w:p>
    <w:p>
      <w:pPr>
        <w:ind w:left="700" w:right="4599" w:hanging="356"/>
        <w:spacing w:after="0" w:line="272" w:lineRule="auto"/>
        <w:rPr>
          <w:sz w:val="20"/>
          <w:szCs w:val="20"/>
          <w:color w:val="auto"/>
        </w:rPr>
      </w:pPr>
      <w:r>
        <w:rPr>
          <w:rFonts w:ascii="Courier New" w:cs="Courier New" w:eastAsia="Courier New" w:hAnsi="Courier New"/>
          <w:sz w:val="11"/>
          <w:szCs w:val="11"/>
          <w:color w:val="auto"/>
        </w:rPr>
        <w:t>9A.1 prepare and file with the SEC (or other relevant body) a registration statement with respect to such Registrable Shares and use its best efforts to cause such registration statement to become effective.</w:t>
      </w:r>
    </w:p>
    <w:p>
      <w:pPr>
        <w:spacing w:after="0" w:line="125" w:lineRule="exact"/>
        <w:rPr>
          <w:sz w:val="20"/>
          <w:szCs w:val="20"/>
          <w:color w:val="auto"/>
        </w:rPr>
      </w:pPr>
    </w:p>
    <w:p>
      <w:pPr>
        <w:ind w:left="700" w:right="4599" w:hanging="356"/>
        <w:spacing w:after="0" w:line="241" w:lineRule="auto"/>
        <w:rPr>
          <w:sz w:val="20"/>
          <w:szCs w:val="20"/>
          <w:color w:val="auto"/>
        </w:rPr>
      </w:pPr>
      <w:r>
        <w:rPr>
          <w:rFonts w:ascii="Courier New" w:cs="Courier New" w:eastAsia="Courier New" w:hAnsi="Courier New"/>
          <w:sz w:val="12"/>
          <w:szCs w:val="12"/>
          <w:color w:val="auto"/>
        </w:rPr>
        <w:t>9A.2 promptly prepare and file with the SEC (or other relevant body) such amendments and supplements to such registration statement and the prospectus used in connection with such registration statement as may be necessary to comply with the provisions of the Securities Act (or other relevant legislation) with respect to the disposition of all securities covered by such registration statement.</w:t>
      </w:r>
    </w:p>
    <w:p>
      <w:pPr>
        <w:spacing w:after="0" w:line="142" w:lineRule="exact"/>
        <w:rPr>
          <w:sz w:val="20"/>
          <w:szCs w:val="20"/>
          <w:color w:val="auto"/>
        </w:rPr>
      </w:pPr>
    </w:p>
    <w:p>
      <w:pPr>
        <w:ind w:left="700" w:right="4539" w:hanging="356"/>
        <w:spacing w:after="0" w:line="241" w:lineRule="auto"/>
        <w:rPr>
          <w:sz w:val="20"/>
          <w:szCs w:val="20"/>
          <w:color w:val="auto"/>
        </w:rPr>
      </w:pPr>
      <w:r>
        <w:rPr>
          <w:rFonts w:ascii="Courier New" w:cs="Courier New" w:eastAsia="Courier New" w:hAnsi="Courier New"/>
          <w:sz w:val="12"/>
          <w:szCs w:val="12"/>
          <w:color w:val="auto"/>
        </w:rPr>
        <w:t>9A.3 furnish to the Holder such number of copies of a prospectus, including a preliminary prospectus, in conformity with the requirements of the Securities Act (or other relevant legislation), and such other documents as it may reasonably request in order to facilitate the disposition of Registrable Shares owned by it.</w:t>
      </w:r>
    </w:p>
    <w:p>
      <w:pPr>
        <w:spacing w:after="0" w:line="141" w:lineRule="exact"/>
        <w:rPr>
          <w:sz w:val="20"/>
          <w:szCs w:val="20"/>
          <w:color w:val="auto"/>
        </w:rPr>
      </w:pPr>
    </w:p>
    <w:p>
      <w:pPr>
        <w:ind w:left="700" w:right="4539" w:hanging="356"/>
        <w:spacing w:after="0" w:line="241" w:lineRule="auto"/>
        <w:rPr>
          <w:sz w:val="20"/>
          <w:szCs w:val="20"/>
          <w:color w:val="auto"/>
        </w:rPr>
      </w:pPr>
      <w:r>
        <w:rPr>
          <w:rFonts w:ascii="Courier New" w:cs="Courier New" w:eastAsia="Courier New" w:hAnsi="Courier New"/>
          <w:sz w:val="12"/>
          <w:szCs w:val="12"/>
          <w:color w:val="auto"/>
        </w:rPr>
        <w:t>9A.4 register and qualify the securities covered by such registration statement under such other securities or blue sky laws of such jurisdictions as shall be reasonably requested by the Holder, provided, however, that the Company shall not be required to qualify to do business as a foreign corporation or to file any general consent to service of process in any jurisdiction in which it has not already so qualified or filed.</w:t>
      </w:r>
    </w:p>
    <w:p>
      <w:pPr>
        <w:spacing w:after="0" w:line="142" w:lineRule="exact"/>
        <w:rPr>
          <w:sz w:val="20"/>
          <w:szCs w:val="20"/>
          <w:color w:val="auto"/>
        </w:rPr>
      </w:pPr>
    </w:p>
    <w:p>
      <w:pPr>
        <w:ind w:left="700" w:right="4539" w:hanging="356"/>
        <w:spacing w:after="0" w:line="241" w:lineRule="auto"/>
        <w:rPr>
          <w:sz w:val="20"/>
          <w:szCs w:val="20"/>
          <w:color w:val="auto"/>
        </w:rPr>
      </w:pPr>
      <w:r>
        <w:rPr>
          <w:rFonts w:ascii="Courier New" w:cs="Courier New" w:eastAsia="Courier New" w:hAnsi="Courier New"/>
          <w:sz w:val="12"/>
          <w:szCs w:val="12"/>
          <w:color w:val="auto"/>
        </w:rPr>
        <w:t>9A.5 in the event of any underwritten public offering, enter into and perform its obligations under an underwriting agreement with usual and customary terms that are generally satisfactory to the managing underwriter of such offer. The Holder shall also enter into and perform their obligations under such an agreement (the terms of which must be satisfactory to the Holder if the Holder is to participate in such offering).</w:t>
      </w:r>
    </w:p>
    <w:p>
      <w:pPr>
        <w:spacing w:after="0" w:line="142" w:lineRule="exact"/>
        <w:rPr>
          <w:sz w:val="20"/>
          <w:szCs w:val="20"/>
          <w:color w:val="auto"/>
        </w:rPr>
      </w:pPr>
    </w:p>
    <w:p>
      <w:pPr>
        <w:ind w:left="700" w:right="4599" w:hanging="356"/>
        <w:spacing w:after="0" w:line="241" w:lineRule="auto"/>
        <w:rPr>
          <w:sz w:val="20"/>
          <w:szCs w:val="20"/>
          <w:color w:val="auto"/>
        </w:rPr>
      </w:pPr>
      <w:r>
        <w:rPr>
          <w:rFonts w:ascii="Courier New" w:cs="Courier New" w:eastAsia="Courier New" w:hAnsi="Courier New"/>
          <w:sz w:val="12"/>
          <w:szCs w:val="12"/>
          <w:color w:val="auto"/>
        </w:rPr>
        <w:t>9A.6 notify the Holder at any time when a prospectus relating to a registration statement filed pursuant hereto is required to be delivered under the Securities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in which event the Holder shall forthwith discontinue disposition of its Registrable Shares pursuant to such prospectus until it is advised in writing by the Company that the use of such prospectus may be resumed or until such holder receives copies of any supplement or amendment to such prospectus.</w:t>
      </w:r>
    </w:p>
    <w:p>
      <w:pPr>
        <w:sectPr>
          <w:pgSz w:w="11900" w:h="16838" w:orient="portrait"/>
          <w:cols w:equalWidth="0" w:num="1">
            <w:col w:w="10239"/>
          </w:cols>
          <w:pgMar w:left="220" w:top="669" w:right="1440" w:bottom="1440" w:gutter="0" w:footer="0" w:header="0"/>
        </w:sectPr>
      </w:pPr>
    </w:p>
    <w:bookmarkStart w:id="99" w:name="page100"/>
    <w:bookmarkEnd w:id="99"/>
    <w:p>
      <w:pPr>
        <w:ind w:right="4599" w:hanging="356"/>
        <w:spacing w:after="0" w:line="239" w:lineRule="auto"/>
        <w:rPr>
          <w:sz w:val="20"/>
          <w:szCs w:val="20"/>
          <w:color w:val="auto"/>
        </w:rPr>
      </w:pPr>
      <w:r>
        <w:rPr>
          <w:rFonts w:ascii="Courier New" w:cs="Courier New" w:eastAsia="Courier New" w:hAnsi="Courier New"/>
          <w:sz w:val="12"/>
          <w:szCs w:val="12"/>
          <w:color w:val="auto"/>
        </w:rPr>
        <w:t>9A.7 cause all Registrable Shares registered pursuant thereunder to be listed on each securities exchange on which similar securities issued by the Company are then listed.</w:t>
      </w:r>
    </w:p>
    <w:p>
      <w:pPr>
        <w:spacing w:after="0" w:line="143" w:lineRule="exact"/>
        <w:rPr>
          <w:sz w:val="20"/>
          <w:szCs w:val="20"/>
          <w:color w:val="auto"/>
        </w:rPr>
      </w:pPr>
    </w:p>
    <w:p>
      <w:pPr>
        <w:ind w:right="4899" w:hanging="356"/>
        <w:spacing w:after="0"/>
        <w:rPr>
          <w:sz w:val="20"/>
          <w:szCs w:val="20"/>
          <w:color w:val="auto"/>
        </w:rPr>
      </w:pPr>
      <w:r>
        <w:rPr>
          <w:rFonts w:ascii="Courier New" w:cs="Courier New" w:eastAsia="Courier New" w:hAnsi="Courier New"/>
          <w:sz w:val="12"/>
          <w:szCs w:val="12"/>
          <w:color w:val="auto"/>
        </w:rPr>
        <w:t>9A.8 provide a transfer agent and registrar for all Registrable Shares registered pursuant hereunder and a CUSIP number for all such Registrable Share not later than the effective date of such registration.</w:t>
      </w:r>
    </w:p>
    <w:p>
      <w:pPr>
        <w:spacing w:after="0" w:line="142" w:lineRule="exact"/>
        <w:rPr>
          <w:sz w:val="20"/>
          <w:szCs w:val="20"/>
          <w:color w:val="auto"/>
        </w:rPr>
      </w:pPr>
    </w:p>
    <w:p>
      <w:pPr>
        <w:ind w:right="4539" w:hanging="356"/>
        <w:spacing w:after="0" w:line="241" w:lineRule="auto"/>
        <w:rPr>
          <w:sz w:val="20"/>
          <w:szCs w:val="20"/>
          <w:color w:val="auto"/>
        </w:rPr>
      </w:pPr>
      <w:r>
        <w:rPr>
          <w:rFonts w:ascii="Courier New" w:cs="Courier New" w:eastAsia="Courier New" w:hAnsi="Courier New"/>
          <w:sz w:val="12"/>
          <w:szCs w:val="12"/>
          <w:color w:val="auto"/>
        </w:rPr>
        <w:t>9A.9 afford the Holder and its representatives the opportunity to make such examination of the business affairs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142" w:lineRule="exact"/>
        <w:rPr>
          <w:sz w:val="20"/>
          <w:szCs w:val="20"/>
          <w:color w:val="auto"/>
        </w:rPr>
      </w:pPr>
    </w:p>
    <w:p>
      <w:pPr>
        <w:ind w:right="4599" w:hanging="356"/>
        <w:spacing w:after="0" w:line="265" w:lineRule="auto"/>
        <w:rPr>
          <w:sz w:val="20"/>
          <w:szCs w:val="20"/>
          <w:color w:val="auto"/>
        </w:rPr>
      </w:pPr>
      <w:r>
        <w:rPr>
          <w:rFonts w:ascii="Courier New" w:cs="Courier New" w:eastAsia="Courier New" w:hAnsi="Courier New"/>
          <w:sz w:val="11"/>
          <w:szCs w:val="11"/>
          <w:color w:val="auto"/>
        </w:rPr>
        <w:t>9A.10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ectPr>
          <w:pgSz w:w="11900" w:h="16838" w:orient="portrait"/>
          <w:cols w:equalWidth="0" w:num="1">
            <w:col w:w="9539"/>
          </w:cols>
          <w:pgMar w:left="920" w:top="672" w:right="1440" w:bottom="1440" w:gutter="0" w:footer="0" w:header="0"/>
        </w:sectPr>
      </w:pPr>
    </w:p>
    <w:bookmarkStart w:id="100" w:name="page101"/>
    <w:bookmarkEnd w:id="100"/>
    <w:p>
      <w:pPr>
        <w:ind w:left="7"/>
        <w:spacing w:after="0"/>
        <w:tabs>
          <w:tab w:leader="none" w:pos="346" w:val="left"/>
        </w:tabs>
        <w:rPr>
          <w:sz w:val="20"/>
          <w:szCs w:val="20"/>
          <w:color w:val="auto"/>
        </w:rPr>
      </w:pPr>
      <w:r>
        <w:rPr>
          <w:rFonts w:ascii="Courier New" w:cs="Courier New" w:eastAsia="Courier New" w:hAnsi="Courier New"/>
          <w:sz w:val="12"/>
          <w:szCs w:val="12"/>
          <w:color w:val="auto"/>
        </w:rPr>
        <w:t>9B.</w:t>
        <w:tab/>
        <w:t>RULE 144 REPORTING</w:t>
      </w:r>
    </w:p>
    <w:p>
      <w:pPr>
        <w:spacing w:after="0" w:line="141" w:lineRule="exact"/>
        <w:rPr>
          <w:sz w:val="20"/>
          <w:szCs w:val="20"/>
          <w:color w:val="auto"/>
        </w:rPr>
      </w:pPr>
    </w:p>
    <w:p>
      <w:pPr>
        <w:ind w:left="367" w:right="4679"/>
        <w:spacing w:after="0"/>
        <w:rPr>
          <w:sz w:val="20"/>
          <w:szCs w:val="20"/>
          <w:color w:val="auto"/>
        </w:rPr>
      </w:pPr>
      <w:r>
        <w:rPr>
          <w:rFonts w:ascii="Courier New" w:cs="Courier New" w:eastAsia="Courier New" w:hAnsi="Courier New"/>
          <w:sz w:val="12"/>
          <w:szCs w:val="12"/>
          <w:color w:val="auto"/>
        </w:rPr>
        <w:t>With a view to making available the benefits of certain rules and regulations of the SEC that may permit the sale of the Registrable Shares to the public without registration, the Company agrees to use its best efforts to:</w:t>
      </w:r>
    </w:p>
    <w:p>
      <w:pPr>
        <w:spacing w:after="0" w:line="142" w:lineRule="exact"/>
        <w:rPr>
          <w:sz w:val="20"/>
          <w:szCs w:val="20"/>
          <w:color w:val="auto"/>
        </w:rPr>
      </w:pPr>
    </w:p>
    <w:p>
      <w:pPr>
        <w:ind w:left="707" w:right="4759" w:hanging="356"/>
        <w:spacing w:after="0" w:line="239" w:lineRule="auto"/>
        <w:rPr>
          <w:sz w:val="20"/>
          <w:szCs w:val="20"/>
          <w:color w:val="auto"/>
        </w:rPr>
      </w:pPr>
      <w:r>
        <w:rPr>
          <w:rFonts w:ascii="Courier New" w:cs="Courier New" w:eastAsia="Courier New" w:hAnsi="Courier New"/>
          <w:sz w:val="12"/>
          <w:szCs w:val="12"/>
          <w:color w:val="auto"/>
        </w:rPr>
        <w:t>9B.1 make and keep public information regarding the Company available as those terms are understood and defined in Rule 144 under the Securities Act, at all times;</w:t>
      </w:r>
    </w:p>
    <w:p>
      <w:pPr>
        <w:spacing w:after="0" w:line="143" w:lineRule="exact"/>
        <w:rPr>
          <w:sz w:val="20"/>
          <w:szCs w:val="20"/>
          <w:color w:val="auto"/>
        </w:rPr>
      </w:pPr>
    </w:p>
    <w:p>
      <w:pPr>
        <w:jc w:val="both"/>
        <w:ind w:left="707" w:right="4679" w:hanging="356"/>
        <w:spacing w:after="0" w:line="272" w:lineRule="auto"/>
        <w:rPr>
          <w:sz w:val="20"/>
          <w:szCs w:val="20"/>
          <w:color w:val="auto"/>
        </w:rPr>
      </w:pPr>
      <w:r>
        <w:rPr>
          <w:rFonts w:ascii="Courier New" w:cs="Courier New" w:eastAsia="Courier New" w:hAnsi="Courier New"/>
          <w:sz w:val="11"/>
          <w:szCs w:val="11"/>
          <w:color w:val="auto"/>
        </w:rPr>
        <w:t>9B.2 file with the SEC in a timely manner all reports and other documents required of the Company under the Securities Act and the 1934 Act at any time after it has become subject to such reporting requirements;</w:t>
      </w:r>
    </w:p>
    <w:p>
      <w:pPr>
        <w:spacing w:after="0" w:line="125" w:lineRule="exact"/>
        <w:rPr>
          <w:sz w:val="20"/>
          <w:szCs w:val="20"/>
          <w:color w:val="auto"/>
        </w:rPr>
      </w:pPr>
    </w:p>
    <w:p>
      <w:pPr>
        <w:ind w:left="707" w:right="4539" w:hanging="356"/>
        <w:spacing w:after="0" w:line="241" w:lineRule="auto"/>
        <w:rPr>
          <w:sz w:val="20"/>
          <w:szCs w:val="20"/>
          <w:color w:val="auto"/>
        </w:rPr>
      </w:pPr>
      <w:r>
        <w:rPr>
          <w:rFonts w:ascii="Courier New" w:cs="Courier New" w:eastAsia="Courier New" w:hAnsi="Courier New"/>
          <w:sz w:val="12"/>
          <w:szCs w:val="12"/>
          <w:color w:val="auto"/>
        </w:rPr>
        <w:t>9B.3 so long as the Holder owns any Registrable Shares, furnish to the Holder forthwith upon written request a written statement by the Company as to its compliance with the reporting requirements of Rule 144, and of the Securities Act and the 1934 Act, a copy of the most recent annual or quarterly report of the Company, and such other reports and documents so filed as the Holder may reasonably request in availing itself of any rule or regulation of the SEC allowing the Holder to sell any such securities without registration.</w:t>
      </w:r>
    </w:p>
    <w:p>
      <w:pPr>
        <w:spacing w:after="0" w:line="140"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9C.</w:t>
        <w:tab/>
        <w:t>EXPENSES OF REGISTRATION</w:t>
      </w:r>
    </w:p>
    <w:p>
      <w:pPr>
        <w:spacing w:after="0" w:line="141" w:lineRule="exact"/>
        <w:rPr>
          <w:sz w:val="20"/>
          <w:szCs w:val="20"/>
          <w:color w:val="auto"/>
        </w:rPr>
      </w:pPr>
    </w:p>
    <w:p>
      <w:pPr>
        <w:ind w:left="367" w:right="4599"/>
        <w:spacing w:after="0" w:line="241" w:lineRule="auto"/>
        <w:rPr>
          <w:sz w:val="20"/>
          <w:szCs w:val="20"/>
          <w:color w:val="auto"/>
        </w:rPr>
      </w:pPr>
      <w:r>
        <w:rPr>
          <w:rFonts w:ascii="Courier New" w:cs="Courier New" w:eastAsia="Courier New" w:hAnsi="Courier New"/>
          <w:sz w:val="12"/>
          <w:szCs w:val="12"/>
          <w:color w:val="auto"/>
        </w:rPr>
        <w:t>All expenses incurred by the Company in connection with any registration pursuant to this Agreement (other than underwriter's commissions and fees) including without limitation all registration, filing and qualification fees, printers' and accounting fees and fees and disbursements of counsel for the Company and fees and disbursements of one counsel for the Holder, shall be borne by the Company.</w:t>
      </w:r>
    </w:p>
    <w:p>
      <w:pPr>
        <w:spacing w:after="0" w:line="139" w:lineRule="exact"/>
        <w:rPr>
          <w:sz w:val="20"/>
          <w:szCs w:val="20"/>
          <w:color w:val="auto"/>
        </w:rPr>
      </w:pPr>
    </w:p>
    <w:p>
      <w:pPr>
        <w:ind w:left="367" w:hanging="367"/>
        <w:spacing w:after="0"/>
        <w:tabs>
          <w:tab w:leader="none" w:pos="367" w:val="left"/>
        </w:tabs>
        <w:numPr>
          <w:ilvl w:val="0"/>
          <w:numId w:val="1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WARRANTIES AND COVENANTS</w:t>
      </w:r>
    </w:p>
    <w:p>
      <w:pPr>
        <w:spacing w:after="0" w:line="138" w:lineRule="exact"/>
        <w:rPr>
          <w:rFonts w:ascii="Courier New" w:cs="Courier New" w:eastAsia="Courier New" w:hAnsi="Courier New"/>
          <w:sz w:val="12"/>
          <w:szCs w:val="12"/>
          <w:color w:val="auto"/>
        </w:rPr>
      </w:pPr>
    </w:p>
    <w:p>
      <w:pPr>
        <w:ind w:left="36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warrants and covenants to the Holder as follows:</w:t>
      </w:r>
    </w:p>
    <w:p>
      <w:pPr>
        <w:spacing w:after="0" w:line="141" w:lineRule="exact"/>
        <w:rPr>
          <w:rFonts w:ascii="Courier New" w:cs="Courier New" w:eastAsia="Courier New" w:hAnsi="Courier New"/>
          <w:sz w:val="12"/>
          <w:szCs w:val="12"/>
          <w:color w:val="auto"/>
        </w:rPr>
      </w:pPr>
    </w:p>
    <w:p>
      <w:pPr>
        <w:ind w:left="707" w:right="4599" w:hanging="350"/>
        <w:spacing w:after="0" w:line="239" w:lineRule="auto"/>
        <w:tabs>
          <w:tab w:leader="none" w:pos="707" w:val="left"/>
        </w:tabs>
        <w:numPr>
          <w:ilvl w:val="1"/>
          <w:numId w:val="1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Warrant has been duly authorized and executed by the Company and is a valid and binding obligation of the Company enforceable in accordance with its terms;</w:t>
      </w:r>
    </w:p>
    <w:p>
      <w:pPr>
        <w:spacing w:after="0" w:line="142" w:lineRule="exact"/>
        <w:rPr>
          <w:rFonts w:ascii="Courier New" w:cs="Courier New" w:eastAsia="Courier New" w:hAnsi="Courier New"/>
          <w:sz w:val="12"/>
          <w:szCs w:val="12"/>
          <w:color w:val="auto"/>
        </w:rPr>
      </w:pPr>
    </w:p>
    <w:p>
      <w:pPr>
        <w:ind w:left="707" w:right="4539" w:hanging="350"/>
        <w:spacing w:after="0"/>
        <w:tabs>
          <w:tab w:leader="none" w:pos="707" w:val="left"/>
        </w:tabs>
        <w:numPr>
          <w:ilvl w:val="1"/>
          <w:numId w:val="1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Warrant Shares are duly authorized and reserved for issuance by the Company and, when issued in accordance with the terms hereof, will be validly issued, fully paid and non-assessable and not subject to any pre-emptive rights;</w:t>
      </w:r>
    </w:p>
    <w:p>
      <w:pPr>
        <w:sectPr>
          <w:pgSz w:w="11900" w:h="16838" w:orient="portrait"/>
          <w:cols w:equalWidth="0" w:num="1">
            <w:col w:w="10246"/>
          </w:cols>
          <w:pgMar w:left="213" w:top="669" w:right="1440" w:bottom="1440" w:gutter="0" w:footer="0" w:header="0"/>
        </w:sectPr>
      </w:pPr>
    </w:p>
    <w:bookmarkStart w:id="101" w:name="page102"/>
    <w:bookmarkEnd w:id="101"/>
    <w:p>
      <w:pPr>
        <w:ind w:left="707" w:right="4539" w:hanging="350"/>
        <w:spacing w:after="0" w:line="241" w:lineRule="auto"/>
        <w:tabs>
          <w:tab w:leader="none" w:pos="707" w:val="left"/>
        </w:tabs>
        <w:numPr>
          <w:ilvl w:val="1"/>
          <w:numId w:val="1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execution and delivery of this Warrant are not, and the issuance of the Warrant Shares upon exercise of this Warrant in accordance with the terms hereof will not be, inconsistent with the Company's Certificate of Incorporation, Memorandum of Association or Articles of Association, do not and will not contravene any law, governmental rule or regulation, judgment or order applicable to the Company and, except for consents that have already been obtained by the Company,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with or the taking of any action in respect of or by, any federal, state or local governmental authority or agency or other person; and</w:t>
      </w:r>
    </w:p>
    <w:p>
      <w:pPr>
        <w:spacing w:after="0" w:line="147" w:lineRule="exact"/>
        <w:rPr>
          <w:rFonts w:ascii="Courier New" w:cs="Courier New" w:eastAsia="Courier New" w:hAnsi="Courier New"/>
          <w:sz w:val="12"/>
          <w:szCs w:val="12"/>
          <w:color w:val="auto"/>
        </w:rPr>
      </w:pPr>
    </w:p>
    <w:p>
      <w:pPr>
        <w:ind w:left="707" w:right="4679" w:hanging="350"/>
        <w:spacing w:after="0" w:line="280" w:lineRule="auto"/>
        <w:tabs>
          <w:tab w:leader="none" w:pos="707" w:val="left"/>
        </w:tabs>
        <w:numPr>
          <w:ilvl w:val="1"/>
          <w:numId w:val="1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that it shall, upon the request of the Holder, procure the approvals required in order to list the Warrant Shares for trading on TASE.</w:t>
      </w:r>
    </w:p>
    <w:p>
      <w:pPr>
        <w:spacing w:after="0" w:line="118" w:lineRule="exact"/>
        <w:rPr>
          <w:rFonts w:ascii="Courier New" w:cs="Courier New" w:eastAsia="Courier New" w:hAnsi="Courier New"/>
          <w:sz w:val="11"/>
          <w:szCs w:val="11"/>
          <w:color w:val="auto"/>
        </w:rPr>
      </w:pPr>
    </w:p>
    <w:p>
      <w:pPr>
        <w:ind w:left="367" w:hanging="367"/>
        <w:spacing w:after="0"/>
        <w:tabs>
          <w:tab w:leader="none" w:pos="367" w:val="left"/>
        </w:tabs>
        <w:numPr>
          <w:ilvl w:val="0"/>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EXPENSES</w:t>
      </w:r>
    </w:p>
    <w:p>
      <w:pPr>
        <w:spacing w:after="0" w:line="141" w:lineRule="exact"/>
        <w:rPr>
          <w:rFonts w:ascii="Courier New" w:cs="Courier New" w:eastAsia="Courier New" w:hAnsi="Courier New"/>
          <w:sz w:val="12"/>
          <w:szCs w:val="12"/>
          <w:color w:val="auto"/>
        </w:rPr>
      </w:pPr>
    </w:p>
    <w:p>
      <w:pPr>
        <w:ind w:left="367" w:right="459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will pay the Israeli Stamp Duty on the issuance of the Warrant Shares, and will notify the Israeli Companies Registrar of such issuance within the time period required by law. The Stamp Duty on this Warrant, if any, will be paid in full by the Company.</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THEFT, DESTRUCTION OR MUTILATION OF WARRANT</w:t>
      </w:r>
    </w:p>
    <w:p>
      <w:pPr>
        <w:spacing w:after="0" w:line="141" w:lineRule="exact"/>
        <w:rPr>
          <w:rFonts w:ascii="Courier New" w:cs="Courier New" w:eastAsia="Courier New" w:hAnsi="Courier New"/>
          <w:sz w:val="12"/>
          <w:szCs w:val="12"/>
          <w:color w:val="auto"/>
        </w:rPr>
      </w:pPr>
    </w:p>
    <w:p>
      <w:pPr>
        <w:ind w:left="367"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receipt by the Company of evidence reasonably satisfactory to it of the loss, theft, destruction or mutilation of any Warrant or Shares certificate, and in case of loss, theft or destruction, of indemnity, or security reasonably satisfactory to it, and upon reimbursement to the Company of all reasonable expenses incidental thereto, and upon surrender and cancellation of such Warrant or Shares certificate, if mutilated, the Company will make and deliver a new Warrant or Shares certificate of like tenor and dated as of such cancellation, in lieu of such Warrant or Shares certificate.</w:t>
      </w:r>
    </w:p>
    <w:p>
      <w:pPr>
        <w:sectPr>
          <w:pgSz w:w="11900" w:h="16838" w:orient="portrait"/>
          <w:cols w:equalWidth="0" w:num="1">
            <w:col w:w="10246"/>
          </w:cols>
          <w:pgMar w:left="213" w:top="672" w:right="1440" w:bottom="1440" w:gutter="0" w:footer="0" w:header="0"/>
        </w:sectPr>
      </w:pPr>
    </w:p>
    <w:bookmarkStart w:id="102" w:name="page103"/>
    <w:bookmarkEnd w:id="102"/>
    <w:p>
      <w:pPr>
        <w:ind w:left="367" w:hanging="367"/>
        <w:spacing w:after="0"/>
        <w:tabs>
          <w:tab w:leader="none" w:pos="367" w:val="left"/>
        </w:tabs>
        <w:numPr>
          <w:ilvl w:val="0"/>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w:t>
      </w:r>
    </w:p>
    <w:p>
      <w:pPr>
        <w:spacing w:after="0" w:line="141" w:lineRule="exact"/>
        <w:rPr>
          <w:rFonts w:ascii="Courier New" w:cs="Courier New" w:eastAsia="Courier New" w:hAnsi="Courier New"/>
          <w:sz w:val="12"/>
          <w:szCs w:val="12"/>
          <w:color w:val="auto"/>
        </w:rPr>
      </w:pPr>
    </w:p>
    <w:p>
      <w:pPr>
        <w:ind w:left="367" w:right="453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Any notice or other communication hereunder shall be in writing and shall be deemed to have been given upon delivery, if personally delivered or 3 (three) business days after deposit if deposited in the mail for mailing by certified mail, postage prepaid, and addressed as follows:</w:t>
      </w:r>
    </w:p>
    <w:p>
      <w:pPr>
        <w:sectPr>
          <w:pgSz w:w="11900" w:h="16838" w:orient="portrait"/>
          <w:cols w:equalWidth="0" w:num="1">
            <w:col w:w="10246"/>
          </w:cols>
          <w:pgMar w:left="213" w:top="669" w:right="1440" w:bottom="1440" w:gutter="0" w:footer="0" w:header="0"/>
        </w:sectPr>
      </w:pPr>
    </w:p>
    <w:p>
      <w:pPr>
        <w:spacing w:after="0" w:line="142" w:lineRule="exact"/>
        <w:rPr>
          <w:sz w:val="20"/>
          <w:szCs w:val="20"/>
          <w:color w:val="auto"/>
        </w:rPr>
      </w:pPr>
    </w:p>
    <w:p>
      <w:pPr>
        <w:ind w:left="1007"/>
        <w:spacing w:after="0"/>
        <w:rPr>
          <w:sz w:val="20"/>
          <w:szCs w:val="20"/>
          <w:color w:val="auto"/>
        </w:rPr>
      </w:pPr>
      <w:r>
        <w:rPr>
          <w:rFonts w:ascii="Courier New" w:cs="Courier New" w:eastAsia="Courier New" w:hAnsi="Courier New"/>
          <w:sz w:val="11"/>
          <w:szCs w:val="11"/>
          <w:color w:val="auto"/>
        </w:rPr>
        <w:t>If to the Holder: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Bank Hapoalim B.M.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Corporate Division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Zion Building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45 Rothschild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Tel-Aviv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ATTENTION: HEAD OF CORPORATE DIVISION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567 3728</w:t>
      </w:r>
    </w:p>
    <w:p>
      <w:pPr>
        <w:spacing w:after="0" w:line="139" w:lineRule="exact"/>
        <w:rPr>
          <w:sz w:val="20"/>
          <w:szCs w:val="20"/>
          <w:color w:val="auto"/>
        </w:rPr>
      </w:pPr>
    </w:p>
    <w:p>
      <w:pPr>
        <w:sectPr>
          <w:pgSz w:w="11900" w:h="16838" w:orient="portrait"/>
          <w:cols w:equalWidth="0" w:num="2">
            <w:col w:w="2347" w:space="720"/>
            <w:col w:w="7179"/>
          </w:cols>
          <w:pgMar w:left="213" w:top="669" w:right="1440" w:bottom="1440" w:gutter="0" w:footer="0" w:header="0"/>
          <w:type w:val="continuous"/>
        </w:sectPr>
      </w:pPr>
    </w:p>
    <w:p>
      <w:pPr>
        <w:spacing w:after="0" w:line="2" w:lineRule="exact"/>
        <w:rPr>
          <w:sz w:val="20"/>
          <w:szCs w:val="20"/>
          <w:color w:val="auto"/>
        </w:rPr>
      </w:pPr>
    </w:p>
    <w:p>
      <w:pPr>
        <w:ind w:left="1007"/>
        <w:spacing w:after="0"/>
        <w:rPr>
          <w:sz w:val="20"/>
          <w:szCs w:val="20"/>
          <w:color w:val="auto"/>
        </w:rPr>
      </w:pPr>
      <w:r>
        <w:rPr>
          <w:rFonts w:ascii="Courier New" w:cs="Courier New" w:eastAsia="Courier New" w:hAnsi="Courier New"/>
          <w:sz w:val="11"/>
          <w:szCs w:val="11"/>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 Box 619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Ramat Gabriel Industrial Zone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Migdal Haemek 23105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ATTENTION: CHIEF FINANCIAL OFFICER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(04) 654 6510</w:t>
      </w:r>
    </w:p>
    <w:p>
      <w:pPr>
        <w:spacing w:after="0" w:line="139" w:lineRule="exact"/>
        <w:rPr>
          <w:sz w:val="20"/>
          <w:szCs w:val="20"/>
          <w:color w:val="auto"/>
        </w:rPr>
      </w:pPr>
    </w:p>
    <w:p>
      <w:pPr>
        <w:sectPr>
          <w:pgSz w:w="11900" w:h="16838" w:orient="portrait"/>
          <w:cols w:equalWidth="0" w:num="2">
            <w:col w:w="2347" w:space="720"/>
            <w:col w:w="7179"/>
          </w:cols>
          <w:pgMar w:left="213" w:top="669" w:right="1440" w:bottom="1440" w:gutter="0" w:footer="0" w:header="0"/>
          <w:type w:val="continuous"/>
        </w:sectPr>
      </w:pPr>
    </w:p>
    <w:p>
      <w:pPr>
        <w:spacing w:after="0" w:line="2" w:lineRule="exact"/>
        <w:rPr>
          <w:sz w:val="20"/>
          <w:szCs w:val="20"/>
          <w:color w:val="auto"/>
        </w:rPr>
      </w:pPr>
    </w:p>
    <w:p>
      <w:pPr>
        <w:jc w:val="center"/>
        <w:ind w:left="727"/>
        <w:spacing w:after="0"/>
        <w:rPr>
          <w:sz w:val="20"/>
          <w:szCs w:val="20"/>
          <w:color w:val="auto"/>
        </w:rPr>
      </w:pPr>
      <w:r>
        <w:rPr>
          <w:rFonts w:ascii="Courier New" w:cs="Courier New" w:eastAsia="Courier New" w:hAnsi="Courier New"/>
          <w:sz w:val="11"/>
          <w:szCs w:val="1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Yigal Arnon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 Azrieli Center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ATTENTION: DAVID H. SCHAPIRO, ADV.</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FACSIMILE: (03) 608 7714</w:t>
      </w:r>
    </w:p>
    <w:p>
      <w:pPr>
        <w:spacing w:after="0" w:line="141" w:lineRule="exact"/>
        <w:rPr>
          <w:sz w:val="20"/>
          <w:szCs w:val="20"/>
          <w:color w:val="auto"/>
        </w:rPr>
      </w:pPr>
    </w:p>
    <w:p>
      <w:pPr>
        <w:sectPr>
          <w:pgSz w:w="11900" w:h="16838" w:orient="portrait"/>
          <w:cols w:equalWidth="0" w:num="2">
            <w:col w:w="2347" w:space="720"/>
            <w:col w:w="7179"/>
          </w:cols>
          <w:pgMar w:left="213" w:top="669" w:right="1440" w:bottom="1440" w:gutter="0" w:footer="0" w:header="0"/>
          <w:type w:val="continuous"/>
        </w:sectPr>
      </w:pPr>
    </w:p>
    <w:p>
      <w:pPr>
        <w:ind w:left="367" w:right="4679"/>
        <w:spacing w:after="0" w:line="239" w:lineRule="auto"/>
        <w:rPr>
          <w:sz w:val="20"/>
          <w:szCs w:val="20"/>
          <w:color w:val="auto"/>
        </w:rPr>
      </w:pPr>
      <w:r>
        <w:rPr>
          <w:rFonts w:ascii="Courier New" w:cs="Courier New" w:eastAsia="Courier New" w:hAnsi="Courier New"/>
          <w:sz w:val="12"/>
          <w:szCs w:val="12"/>
          <w:color w:val="auto"/>
        </w:rPr>
        <w:t>Each of the above addressees may change its address for purposes of this paragraph by giving to the other addressees notice of such new address in conformance with this paragraph.</w:t>
      </w:r>
    </w:p>
    <w:p>
      <w:pPr>
        <w:sectPr>
          <w:pgSz w:w="11900" w:h="16838" w:orient="portrait"/>
          <w:cols w:equalWidth="0" w:num="1">
            <w:col w:w="10246"/>
          </w:cols>
          <w:pgMar w:left="213" w:top="669" w:right="1440" w:bottom="1440" w:gutter="0" w:footer="0" w:header="0"/>
          <w:type w:val="continuous"/>
        </w:sectPr>
      </w:pPr>
    </w:p>
    <w:bookmarkStart w:id="103" w:name="page104"/>
    <w:bookmarkEnd w:id="103"/>
    <w:p>
      <w:pPr>
        <w:ind w:left="367" w:hanging="367"/>
        <w:spacing w:after="0"/>
        <w:tabs>
          <w:tab w:leader="none" w:pos="367" w:val="left"/>
        </w:tabs>
        <w:numPr>
          <w:ilvl w:val="0"/>
          <w:numId w:val="1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APPLICABLE LAW; JURISDICTION</w:t>
      </w:r>
    </w:p>
    <w:p>
      <w:pPr>
        <w:spacing w:after="0" w:line="141" w:lineRule="exact"/>
        <w:rPr>
          <w:rFonts w:ascii="Courier New" w:cs="Courier New" w:eastAsia="Courier New" w:hAnsi="Courier New"/>
          <w:sz w:val="12"/>
          <w:szCs w:val="12"/>
          <w:color w:val="auto"/>
        </w:rPr>
      </w:pPr>
    </w:p>
    <w:p>
      <w:pPr>
        <w:ind w:left="367"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Warrant shall be governed by and construed in accordance with the laws of the State of Israel as applicable to contracts between two residents of the State of Israel entered into and to be performed entirely within the State of Israel. Any dispute arising under or in relation to this Warrant shall be resolved in the competent court for Tel Aviv-Jaffa district, and each of the parties hereby submits irrevocably to the jurisdiction of such court.</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Dated: August 4, 2005</w:t>
      </w:r>
    </w:p>
    <w:p>
      <w:pPr>
        <w:sectPr>
          <w:pgSz w:w="11900" w:h="16838" w:orient="portrait"/>
          <w:cols w:equalWidth="0" w:num="1">
            <w:col w:w="10246"/>
          </w:cols>
          <w:pgMar w:left="213" w:top="669" w:right="1440" w:bottom="1440" w:gutter="0" w:footer="0" w:header="0"/>
        </w:sectPr>
      </w:pPr>
    </w:p>
    <w:p>
      <w:pPr>
        <w:spacing w:after="0" w:line="141"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for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TOWER SEMICONDUCTOR LTD.</w:t>
      </w:r>
    </w:p>
    <w:p>
      <w:pPr>
        <w:spacing w:after="0" w:line="150" w:lineRule="exact"/>
        <w:rPr>
          <w:sz w:val="20"/>
          <w:szCs w:val="20"/>
          <w:color w:val="auto"/>
        </w:rPr>
      </w:pPr>
    </w:p>
    <w:p>
      <w:pPr>
        <w:sectPr>
          <w:pgSz w:w="11900" w:h="16838" w:orient="portrait"/>
          <w:cols w:equalWidth="0" w:num="2">
            <w:col w:w="207" w:space="300"/>
            <w:col w:w="9739"/>
          </w:cols>
          <w:pgMar w:left="213" w:top="669" w:right="1440" w:bottom="1440" w:gutter="0" w:footer="0" w:header="0"/>
          <w:type w:val="continuous"/>
        </w:sectPr>
      </w:pPr>
    </w:p>
    <w:p>
      <w:pPr>
        <w:ind w:left="7"/>
        <w:spacing w:after="0"/>
        <w:rPr>
          <w:sz w:val="20"/>
          <w:szCs w:val="20"/>
          <w:color w:val="auto"/>
        </w:rPr>
      </w:pPr>
      <w:r>
        <w:rPr>
          <w:rFonts w:ascii="Courier New" w:cs="Courier New" w:eastAsia="Courier New" w:hAnsi="Courier New"/>
          <w:sz w:val="11"/>
          <w:szCs w:val="11"/>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_____________________________</w:t>
      </w:r>
    </w:p>
    <w:p>
      <w:pPr>
        <w:spacing w:after="0" w:line="150" w:lineRule="exact"/>
        <w:rPr>
          <w:sz w:val="20"/>
          <w:szCs w:val="20"/>
          <w:color w:val="auto"/>
        </w:rPr>
      </w:pPr>
    </w:p>
    <w:p>
      <w:pPr>
        <w:sectPr>
          <w:pgSz w:w="11900" w:h="16838" w:orient="portrait"/>
          <w:cols w:equalWidth="0" w:num="2">
            <w:col w:w="207" w:space="300"/>
            <w:col w:w="9739"/>
          </w:cols>
          <w:pgMar w:left="213" w:top="669" w:right="1440" w:bottom="1440" w:gutter="0" w:footer="0" w:header="0"/>
          <w:type w:val="continuous"/>
        </w:sectPr>
      </w:pPr>
    </w:p>
    <w:p>
      <w:pPr>
        <w:ind w:left="7"/>
        <w:spacing w:after="0"/>
        <w:rPr>
          <w:sz w:val="20"/>
          <w:szCs w:val="20"/>
          <w:color w:val="auto"/>
        </w:rPr>
      </w:pPr>
      <w:r>
        <w:rPr>
          <w:rFonts w:ascii="Courier New" w:cs="Courier New" w:eastAsia="Courier New" w:hAnsi="Courier New"/>
          <w:sz w:val="11"/>
          <w:szCs w:val="11"/>
          <w:color w:val="auto"/>
        </w:rPr>
        <w:t>Title: _____________________________</w:t>
      </w:r>
    </w:p>
    <w:p>
      <w:pPr>
        <w:sectPr>
          <w:pgSz w:w="11900" w:h="16838" w:orient="portrait"/>
          <w:cols w:equalWidth="0" w:num="1">
            <w:col w:w="10246"/>
          </w:cols>
          <w:pgMar w:left="213" w:top="669" w:right="1440" w:bottom="1440" w:gutter="0" w:footer="0" w:header="0"/>
          <w:type w:val="continuous"/>
        </w:sectPr>
      </w:pPr>
    </w:p>
    <w:bookmarkStart w:id="104" w:name="page105"/>
    <w:bookmarkEnd w:id="104"/>
    <w:p>
      <w:pPr>
        <w:ind w:left="2207"/>
        <w:spacing w:after="0"/>
        <w:rPr>
          <w:sz w:val="20"/>
          <w:szCs w:val="20"/>
          <w:color w:val="auto"/>
        </w:rPr>
      </w:pPr>
      <w:r>
        <w:rPr>
          <w:rFonts w:ascii="Courier New" w:cs="Courier New" w:eastAsia="Courier New" w:hAnsi="Courier New"/>
          <w:sz w:val="12"/>
          <w:szCs w:val="12"/>
          <w:color w:val="auto"/>
        </w:rPr>
        <w:t>NOTICE OF EXERCISE</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TO:</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[________________]</w:t>
      </w:r>
    </w:p>
    <w:p>
      <w:pPr>
        <w:spacing w:after="0" w:line="141"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1"/>
          <w:szCs w:val="11"/>
          <w:color w:val="auto"/>
        </w:rPr>
        <w:t>[1.</w:t>
        <w:tab/>
        <w:t>The undersigned hereby elects to purchase ______ (________) Ordinary Shares</w:t>
      </w:r>
    </w:p>
    <w:p>
      <w:pPr>
        <w:spacing w:after="0" w:line="13" w:lineRule="exact"/>
        <w:rPr>
          <w:sz w:val="20"/>
          <w:szCs w:val="20"/>
          <w:color w:val="auto"/>
        </w:rPr>
      </w:pPr>
    </w:p>
    <w:p>
      <w:pPr>
        <w:jc w:val="both"/>
        <w:ind w:left="367" w:right="4539"/>
        <w:spacing w:after="0" w:line="280" w:lineRule="auto"/>
        <w:rPr>
          <w:sz w:val="20"/>
          <w:szCs w:val="20"/>
          <w:color w:val="auto"/>
        </w:rPr>
      </w:pPr>
      <w:r>
        <w:rPr>
          <w:rFonts w:ascii="Courier New" w:cs="Courier New" w:eastAsia="Courier New" w:hAnsi="Courier New"/>
          <w:sz w:val="11"/>
          <w:szCs w:val="11"/>
          <w:color w:val="auto"/>
        </w:rPr>
        <w:t>of Tower Semiconductor Ltd., pursuant to the terms of the attached Warrant, and tenders herewith payment of the purchase price for such shares in full.</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[OR</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The undersigned hereby elects to exchange the attached Warrant for ______</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(____________) [INSERT NUMBER OF WARRANT SHARES] Ordinary Shares of Tower</w:t>
      </w:r>
    </w:p>
    <w:p>
      <w:pPr>
        <w:spacing w:after="0" w:line="4" w:lineRule="exact"/>
        <w:rPr>
          <w:sz w:val="20"/>
          <w:szCs w:val="20"/>
          <w:color w:val="auto"/>
        </w:rPr>
      </w:pPr>
    </w:p>
    <w:p>
      <w:pPr>
        <w:ind w:left="367" w:right="4679"/>
        <w:spacing w:after="0" w:line="280" w:lineRule="auto"/>
        <w:rPr>
          <w:sz w:val="20"/>
          <w:szCs w:val="20"/>
          <w:color w:val="auto"/>
        </w:rPr>
      </w:pPr>
      <w:r>
        <w:rPr>
          <w:rFonts w:ascii="Courier New" w:cs="Courier New" w:eastAsia="Courier New" w:hAnsi="Courier New"/>
          <w:sz w:val="11"/>
          <w:szCs w:val="11"/>
          <w:color w:val="auto"/>
        </w:rPr>
        <w:t>Semiconductor Ltd. on a Net Exercise basis, pursuant to clause 3.b of the attached Warrant and the other terms and conditions contained therein]</w:t>
      </w:r>
    </w:p>
    <w:p>
      <w:pPr>
        <w:spacing w:after="0" w:line="121" w:lineRule="exact"/>
        <w:rPr>
          <w:sz w:val="20"/>
          <w:szCs w:val="20"/>
          <w:color w:val="auto"/>
        </w:rPr>
      </w:pPr>
    </w:p>
    <w:p>
      <w:pPr>
        <w:ind w:left="367" w:right="4539" w:hanging="367"/>
        <w:spacing w:after="0" w:line="241" w:lineRule="auto"/>
        <w:tabs>
          <w:tab w:leader="none" w:pos="367" w:val="left"/>
        </w:tabs>
        <w:numPr>
          <w:ilvl w:val="0"/>
          <w:numId w:val="1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exercising this Warrant, the undersigned hereby confirms and acknowledges that the Ordinary Shares are being acquired solely for the account of the undersigned and not as a nominee for any other party, or for investment, and that the undersigned will not offer, sell or otherwise dispose of any such Ordinary Shares except under circumstances that will not result in a violation of the Securities Act of 1933, as amended, or any state securities laws.</w:t>
      </w:r>
    </w:p>
    <w:p>
      <w:pPr>
        <w:spacing w:after="0" w:line="142" w:lineRule="exact"/>
        <w:rPr>
          <w:rFonts w:ascii="Courier New" w:cs="Courier New" w:eastAsia="Courier New" w:hAnsi="Courier New"/>
          <w:sz w:val="12"/>
          <w:szCs w:val="12"/>
          <w:color w:val="auto"/>
        </w:rPr>
      </w:pPr>
    </w:p>
    <w:p>
      <w:pPr>
        <w:ind w:left="367" w:right="4539" w:hanging="367"/>
        <w:spacing w:after="0" w:line="238" w:lineRule="auto"/>
        <w:tabs>
          <w:tab w:leader="none" w:pos="367" w:val="left"/>
        </w:tabs>
        <w:numPr>
          <w:ilvl w:val="0"/>
          <w:numId w:val="1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Please issue a certificate representing said Ordinary Shares in the name of the undersigned.</w:t>
      </w:r>
    </w:p>
    <w:p>
      <w:pPr>
        <w:spacing w:after="0" w:line="142" w:lineRule="exact"/>
        <w:rPr>
          <w:rFonts w:ascii="Courier New" w:cs="Courier New" w:eastAsia="Courier New" w:hAnsi="Courier New"/>
          <w:sz w:val="12"/>
          <w:szCs w:val="12"/>
          <w:color w:val="auto"/>
        </w:rPr>
      </w:pPr>
    </w:p>
    <w:p>
      <w:pPr>
        <w:ind w:left="367" w:right="4899" w:hanging="367"/>
        <w:spacing w:after="0" w:line="238" w:lineRule="auto"/>
        <w:tabs>
          <w:tab w:leader="none" w:pos="367" w:val="left"/>
        </w:tabs>
        <w:numPr>
          <w:ilvl w:val="0"/>
          <w:numId w:val="1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Please issue a new Warrant for the unexercised portion of the attached Warrant in the name of the undersigned.</w:t>
      </w:r>
    </w:p>
    <w:p>
      <w:pPr>
        <w:sectPr>
          <w:pgSz w:w="11900" w:h="16838" w:orient="portrait"/>
          <w:cols w:equalWidth="0" w:num="1">
            <w:col w:w="10246"/>
          </w:cols>
          <w:pgMar w:left="213" w:top="669" w:right="1440" w:bottom="1440" w:gutter="0" w:footer="0" w:header="0"/>
        </w:sectPr>
      </w:pPr>
    </w:p>
    <w:p>
      <w:pPr>
        <w:spacing w:after="0" w:line="142"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______________________</w:t>
      </w:r>
    </w:p>
    <w:p>
      <w:pPr>
        <w:spacing w:after="0" w:line="1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(Date)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_________________________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(Print Name)</w:t>
      </w:r>
    </w:p>
    <w:p>
      <w:pPr>
        <w:spacing w:after="0" w:line="141" w:lineRule="exact"/>
        <w:rPr>
          <w:sz w:val="20"/>
          <w:szCs w:val="20"/>
          <w:color w:val="auto"/>
        </w:rPr>
      </w:pPr>
    </w:p>
    <w:p>
      <w:pPr>
        <w:sectPr>
          <w:pgSz w:w="11900" w:h="16838" w:orient="portrait"/>
          <w:cols w:equalWidth="0" w:num="2">
            <w:col w:w="3207" w:space="720"/>
            <w:col w:w="6319"/>
          </w:cols>
          <w:pgMar w:left="213" w:top="669" w:right="1440" w:bottom="1440" w:gutter="0" w:footer="0" w:header="0"/>
          <w:type w:val="continuous"/>
        </w:sectPr>
      </w:pPr>
    </w:p>
    <w:p>
      <w:pPr>
        <w:ind w:left="3927"/>
        <w:spacing w:after="0"/>
        <w:rPr>
          <w:sz w:val="20"/>
          <w:szCs w:val="20"/>
          <w:color w:val="auto"/>
        </w:rPr>
      </w:pPr>
      <w:r>
        <w:rPr>
          <w:rFonts w:ascii="Courier New" w:cs="Courier New" w:eastAsia="Courier New" w:hAnsi="Courier New"/>
          <w:sz w:val="11"/>
          <w:szCs w:val="11"/>
          <w:color w:val="auto"/>
        </w:rPr>
        <w:t>_________________________</w:t>
      </w:r>
    </w:p>
    <w:p>
      <w:pPr>
        <w:spacing w:after="0" w:line="10" w:lineRule="exact"/>
        <w:rPr>
          <w:sz w:val="20"/>
          <w:szCs w:val="20"/>
          <w:color w:val="auto"/>
        </w:rPr>
      </w:pPr>
    </w:p>
    <w:p>
      <w:pPr>
        <w:ind w:left="3927"/>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0246"/>
          </w:cols>
          <w:pgMar w:left="213" w:top="669" w:right="1440" w:bottom="1440" w:gutter="0" w:footer="0" w:header="0"/>
          <w:type w:val="continuous"/>
        </w:sectPr>
      </w:pPr>
    </w:p>
    <w:bookmarkStart w:id="105" w:name="page106"/>
    <w:bookmarkEnd w:id="105"/>
    <w:p>
      <w:pPr>
        <w:ind w:left="7" w:right="4539"/>
        <w:spacing w:after="0" w:line="241" w:lineRule="auto"/>
        <w:rPr>
          <w:sz w:val="20"/>
          <w:szCs w:val="20"/>
          <w:color w:val="auto"/>
        </w:rPr>
      </w:pPr>
      <w:r>
        <w:rPr>
          <w:rFonts w:ascii="Courier New" w:cs="Courier New" w:eastAsia="Courier New" w:hAnsi="Courier New"/>
          <w:sz w:val="12"/>
          <w:szCs w:val="12"/>
          <w:color w:val="auto"/>
        </w:rPr>
        <w:t>THIS WARRANT AND THE SECURITIES ISSUABLE UPON EXERCISE OF THIS WARRANT HAVE NOT BEEN REGISTERED UNDER THE SECURITIES ACT OF 1933, AS AMENDED ("THE SECURITIES ACT") AND MAY NOT BE SOLD, TRANSFERRED, ASSIGNED OR HYPOTHECATED UNLESS THERE IS AN EFFECTIVE REGISTRATION STATEMENT UNDER THE SECURITIES ACT COVERING THIS WARRANT AND/OR SUCH SECURITIES, OR THIS WARRANT OR SUCH SECURITIES ARE SOLD ON THE TEL-AVIV STOCK EXCHANGE IN COMPLIANCE WITH REGULATION S UNDER THE SECURITIES ACT, OR THE HOLDER RECEIVES AN OPINION OF COUNSEL FOR THE HOLDER OF THE WARRANT AND/OR SUCH SECURITIES SATISFACTORY TO THE COMPANY STATING THAT SUCH SALE, TRANSFER, ASSIGNMENT OR HYPOTHECATION IS EXEMPT FROM THE REGISTRATION AND PROSPECTUS DELIVERY REQUIREMENTS OF THE SECURITIES ACT AND THE QUALIFICATION REQUIREMENTS UNDER APPLICABLE STATE OR FOREIGN LAW.</w:t>
      </w:r>
    </w:p>
    <w:p>
      <w:pPr>
        <w:spacing w:after="0" w:line="142" w:lineRule="exact"/>
        <w:rPr>
          <w:sz w:val="20"/>
          <w:szCs w:val="20"/>
          <w:color w:val="auto"/>
        </w:rPr>
      </w:pPr>
    </w:p>
    <w:p>
      <w:pPr>
        <w:ind w:left="1647"/>
        <w:spacing w:after="0"/>
        <w:rPr>
          <w:sz w:val="20"/>
          <w:szCs w:val="20"/>
          <w:color w:val="auto"/>
        </w:rPr>
      </w:pPr>
      <w:r>
        <w:rPr>
          <w:rFonts w:ascii="Courier New" w:cs="Courier New" w:eastAsia="Courier New" w:hAnsi="Courier New"/>
          <w:sz w:val="12"/>
          <w:szCs w:val="12"/>
          <w:color w:val="auto"/>
        </w:rPr>
        <w:t>WARRANT TO PURCHASE ORDINARY SHARES</w:t>
      </w:r>
    </w:p>
    <w:p>
      <w:pPr>
        <w:spacing w:after="0" w:line="141" w:lineRule="exact"/>
        <w:rPr>
          <w:sz w:val="20"/>
          <w:szCs w:val="20"/>
          <w:color w:val="auto"/>
        </w:rPr>
      </w:pPr>
    </w:p>
    <w:p>
      <w:pPr>
        <w:ind w:left="7" w:right="4679"/>
        <w:spacing w:after="0" w:line="264" w:lineRule="auto"/>
        <w:rPr>
          <w:sz w:val="20"/>
          <w:szCs w:val="20"/>
          <w:color w:val="auto"/>
        </w:rPr>
      </w:pPr>
      <w:r>
        <w:rPr>
          <w:rFonts w:ascii="Courier New" w:cs="Courier New" w:eastAsia="Courier New" w:hAnsi="Courier New"/>
          <w:sz w:val="11"/>
          <w:szCs w:val="11"/>
          <w:color w:val="auto"/>
        </w:rPr>
        <w:t>Tower Semiconductor Ltd., an Israeli company ("THE COMPANY"), whose shares are currently traded on Nasdaq and the Tel-Aviv Stock Exchange ("TASE") hereby grants to BANK LEUMI LE-ISRAEL B.M. ("THE HOLDER"), the right to purchase from the Company the number of Ordinary Shares of the Company, nominal value NIS.</w:t>
      </w:r>
    </w:p>
    <w:p>
      <w:pPr>
        <w:spacing w:after="0" w:line="1" w:lineRule="exact"/>
        <w:rPr>
          <w:sz w:val="20"/>
          <w:szCs w:val="20"/>
          <w:color w:val="auto"/>
        </w:rPr>
      </w:pPr>
    </w:p>
    <w:p>
      <w:pPr>
        <w:ind w:left="7" w:right="4539"/>
        <w:spacing w:after="0" w:line="241" w:lineRule="auto"/>
        <w:rPr>
          <w:sz w:val="20"/>
          <w:szCs w:val="20"/>
          <w:color w:val="auto"/>
        </w:rPr>
      </w:pPr>
      <w:r>
        <w:rPr>
          <w:rFonts w:ascii="Courier New" w:cs="Courier New" w:eastAsia="Courier New" w:hAnsi="Courier New"/>
          <w:sz w:val="12"/>
          <w:szCs w:val="12"/>
          <w:color w:val="auto"/>
        </w:rPr>
        <w:t>1.00 ("THE ORDINARY SHARES") specified below, subject to the terms and conditions set forth below, effective July 24, 2005 ("THE EFFECTIVE DATE"), the date upon which Bank Hapoalim B.M. and Bank Leumi Le-Israel B.M. ("THE BANKS") entered into the Ninth Amendment ("THE NINTH AMENDMENT") to the Facility Agreement dated January 18, 2001, as amended ("THE AGREEMENT"), by and among the Company and the Banks.</w:t>
      </w:r>
    </w:p>
    <w:p>
      <w:pPr>
        <w:spacing w:after="0" w:line="139" w:lineRule="exact"/>
        <w:rPr>
          <w:sz w:val="20"/>
          <w:szCs w:val="20"/>
          <w:color w:val="auto"/>
        </w:rPr>
      </w:pPr>
    </w:p>
    <w:p>
      <w:pPr>
        <w:ind w:left="367" w:hanging="367"/>
        <w:spacing w:after="0"/>
        <w:tabs>
          <w:tab w:leader="none" w:pos="367" w:val="left"/>
        </w:tabs>
        <w:numPr>
          <w:ilvl w:val="0"/>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ORDINARY SHARES AVAILABLE FOR PURCHASE</w:t>
      </w:r>
    </w:p>
    <w:p>
      <w:pPr>
        <w:spacing w:after="0" w:line="141" w:lineRule="exact"/>
        <w:rPr>
          <w:rFonts w:ascii="Courier New" w:cs="Courier New" w:eastAsia="Courier New" w:hAnsi="Courier New"/>
          <w:sz w:val="12"/>
          <w:szCs w:val="12"/>
          <w:color w:val="auto"/>
        </w:rPr>
      </w:pPr>
    </w:p>
    <w:p>
      <w:pPr>
        <w:ind w:left="367" w:right="467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Warrant may be exercised to purchase 4,132,232 (four million one hundred and thirty-two thousand, two hundred and thirty-two) of the Company's Ordinary Shares, with each Ordinary Share having a value calculated as set forth in Section 2 below, subject to adjustment under Section 7 of this Warrant ("THE WARRANT SHARES"), and all references to Warrant Shares or Ordinary Shares "purchaseable hereunder" shall refer to all 4,132,232 (four million one hundred and thirty-two thousand, two hundred and thirty-two) Warrant Shares, as such number may be adjusted under Section 7 of this Warrant, less Warrant Shares already purchased through exercise of this Warrant.</w:t>
      </w:r>
    </w:p>
    <w:p>
      <w:pPr>
        <w:sectPr>
          <w:pgSz w:w="11900" w:h="16838" w:orient="portrait"/>
          <w:cols w:equalWidth="0" w:num="1">
            <w:col w:w="10246"/>
          </w:cols>
          <w:pgMar w:left="213" w:top="672" w:right="1440" w:bottom="1440" w:gutter="0" w:footer="0" w:header="0"/>
        </w:sectPr>
      </w:pPr>
    </w:p>
    <w:bookmarkStart w:id="106" w:name="page107"/>
    <w:bookmarkEnd w:id="106"/>
    <w:p>
      <w:pPr>
        <w:ind w:left="367" w:hanging="367"/>
        <w:spacing w:after="0"/>
        <w:tabs>
          <w:tab w:leader="none" w:pos="367" w:val="left"/>
        </w:tabs>
        <w:numPr>
          <w:ilvl w:val="0"/>
          <w:numId w:val="1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EXERCISE PRICE</w:t>
      </w:r>
    </w:p>
    <w:p>
      <w:pPr>
        <w:spacing w:after="0" w:line="141" w:lineRule="exact"/>
        <w:rPr>
          <w:rFonts w:ascii="Courier New" w:cs="Courier New" w:eastAsia="Courier New" w:hAnsi="Courier New"/>
          <w:sz w:val="12"/>
          <w:szCs w:val="12"/>
          <w:color w:val="auto"/>
        </w:rPr>
      </w:pPr>
    </w:p>
    <w:p>
      <w:pPr>
        <w:ind w:left="367" w:right="453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exercise price for each Warrant Share purchasable hereunder shall be, subject to adjustment under Section 7 of this Warrant, US $1.21 (one United States Dollar and twenty-one US cents) per share ("THE WARRANT PRICE").</w:t>
      </w:r>
    </w:p>
    <w:p>
      <w:pPr>
        <w:spacing w:after="0" w:line="122"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2A.</w:t>
        <w:tab/>
        <w:t>EXERCISABILITY; TERM</w:t>
      </w:r>
    </w:p>
    <w:p>
      <w:pPr>
        <w:spacing w:after="0" w:line="141" w:lineRule="exact"/>
        <w:rPr>
          <w:sz w:val="20"/>
          <w:szCs w:val="20"/>
          <w:color w:val="auto"/>
        </w:rPr>
      </w:pPr>
    </w:p>
    <w:p>
      <w:pPr>
        <w:ind w:left="367" w:right="4539"/>
        <w:spacing w:after="0" w:line="264" w:lineRule="auto"/>
        <w:rPr>
          <w:sz w:val="20"/>
          <w:szCs w:val="20"/>
          <w:color w:val="auto"/>
        </w:rPr>
      </w:pPr>
      <w:r>
        <w:rPr>
          <w:rFonts w:ascii="Courier New" w:cs="Courier New" w:eastAsia="Courier New" w:hAnsi="Courier New"/>
          <w:sz w:val="11"/>
          <w:szCs w:val="11"/>
          <w:color w:val="auto"/>
        </w:rPr>
        <w:t>This Warrant may be exercised: (a) with respect to 2,066,116 (two million and sixty-six thousand, one hundred and sixteen) Warrant Shares, during the period beginning from the Ninth Amendment Closing Date (as defined in the Ninth Amendment) and ending on the date which is 5 (five) years following the Ninth Amendment Closing Date ("THE FIRST TRANCHE EXPIRATION DATE"); and</w:t>
      </w:r>
    </w:p>
    <w:p>
      <w:pPr>
        <w:spacing w:after="0" w:line="1" w:lineRule="exact"/>
        <w:rPr>
          <w:sz w:val="20"/>
          <w:szCs w:val="20"/>
          <w:color w:val="auto"/>
        </w:rPr>
      </w:pPr>
    </w:p>
    <w:p>
      <w:pPr>
        <w:ind w:left="367" w:right="4539" w:hanging="10"/>
        <w:spacing w:after="0" w:line="266" w:lineRule="auto"/>
        <w:tabs>
          <w:tab w:leader="none" w:pos="652" w:val="left"/>
        </w:tabs>
        <w:numPr>
          <w:ilvl w:val="1"/>
          <w:numId w:val="1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with respect to 2,066,116 (two million and sixty-six thousand, one hundred and sixteen) Warrant Shares, during the period beginning from the date of signature by the Company and the Banks of an agreement by the Banks to reschedule the repayment dates of the Interest Payment Loans (as defined in the Ninth Amendment) ("THE SECOND TRANCHE EXERCISABILITY DATE") and ending on the date which is 5 (five) years following the Second Tranche Exercisability Date ("THE SECOND TRANCHE EXPIRATION DATE"). The "First Tranche Expiration Date" and the "Second Tranche Expiration Date" are sometimes hereinafter collectively referred to as "THE EXPIRATION DATE".</w:t>
      </w:r>
    </w:p>
    <w:p>
      <w:pPr>
        <w:spacing w:after="0" w:line="126" w:lineRule="exact"/>
        <w:rPr>
          <w:rFonts w:ascii="Courier New" w:cs="Courier New" w:eastAsia="Courier New" w:hAnsi="Courier New"/>
          <w:sz w:val="11"/>
          <w:szCs w:val="11"/>
          <w:color w:val="auto"/>
        </w:rPr>
      </w:pPr>
    </w:p>
    <w:p>
      <w:pPr>
        <w:ind w:left="367" w:hanging="367"/>
        <w:spacing w:after="0"/>
        <w:tabs>
          <w:tab w:leader="none" w:pos="367" w:val="left"/>
        </w:tabs>
        <w:numPr>
          <w:ilvl w:val="0"/>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EXERCISE OF WARRANT</w:t>
      </w:r>
    </w:p>
    <w:p>
      <w:pPr>
        <w:spacing w:after="0" w:line="141" w:lineRule="exact"/>
        <w:rPr>
          <w:rFonts w:ascii="Courier New" w:cs="Courier New" w:eastAsia="Courier New" w:hAnsi="Courier New"/>
          <w:sz w:val="12"/>
          <w:szCs w:val="12"/>
          <w:color w:val="auto"/>
        </w:rPr>
      </w:pPr>
    </w:p>
    <w:p>
      <w:pPr>
        <w:ind w:left="367"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Warrant may be exercised in whole or in part, on one or more occasions during its term, provided that only up to 2,066,116 (two million and sixty-six thousand, one hundred and sixteen) Warrant Shares may be exercised prior to the Second Tranche Exercisability Date and, provided further, that if the Second Tranche Exercisability Date does not occur, no more than 2,066,116 (two million and sixty-six thousand, one hundred and sixteen) Warrant Shares will be exercisable during the term of this Warrant. The Warrant may be exercised by the surrender of the Warrant to the Company at its principal office together with the Notice of Exercise annexed hereto duly completed and executed on behalf of the Holder.</w:t>
      </w:r>
    </w:p>
    <w:p>
      <w:pPr>
        <w:sectPr>
          <w:pgSz w:w="11900" w:h="16838" w:orient="portrait"/>
          <w:cols w:equalWidth="0" w:num="1">
            <w:col w:w="10246"/>
          </w:cols>
          <w:pgMar w:left="213" w:top="669" w:right="1440" w:bottom="1440" w:gutter="0" w:footer="0" w:header="0"/>
        </w:sectPr>
      </w:pPr>
    </w:p>
    <w:bookmarkStart w:id="107" w:name="page108"/>
    <w:bookmarkEnd w:id="107"/>
    <w:p>
      <w:pPr>
        <w:ind w:left="350" w:hanging="350"/>
        <w:spacing w:after="0"/>
        <w:tabs>
          <w:tab w:leader="none" w:pos="350" w:val="left"/>
        </w:tabs>
        <w:numPr>
          <w:ilvl w:val="0"/>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EXERCISE FOR CASH</w:t>
      </w:r>
    </w:p>
    <w:p>
      <w:pPr>
        <w:spacing w:after="0" w:line="141" w:lineRule="exact"/>
        <w:rPr>
          <w:rFonts w:ascii="Courier New" w:cs="Courier New" w:eastAsia="Courier New" w:hAnsi="Courier New"/>
          <w:sz w:val="12"/>
          <w:szCs w:val="12"/>
          <w:color w:val="auto"/>
        </w:rPr>
      </w:pPr>
    </w:p>
    <w:p>
      <w:pPr>
        <w:ind w:left="350" w:right="467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To exercise for cash, the Notice of Exercise must be accompanied by payment in full of the amount of the aggregate purchase price of the Warrant Shares being purchased upon such exercise in immediately available funds.</w:t>
      </w:r>
    </w:p>
    <w:p>
      <w:pPr>
        <w:spacing w:after="0" w:line="139"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EXERCISE</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lieu of the payment method set forth in Section 3(a) above, the Holder may elect to exchange the Warrant for a number of Warrant Shares equal to the increase in value of the Warrant Shares otherwise purchasable hereunder on the date of exchange. If the Holder elects to exchange this Warrant as provided in this Section 3(b), the Holder shall tender to the Company the Warrant along with the Notice of Exercise and the Company shall issue to the Holder the number of Warrant Shares computed using the following formula:</w:t>
      </w:r>
    </w:p>
    <w:p>
      <w:pPr>
        <w:sectPr>
          <w:pgSz w:w="11900" w:h="16838" w:orient="portrait"/>
          <w:cols w:equalWidth="0" w:num="1">
            <w:col w:w="9889"/>
          </w:cols>
          <w:pgMar w:left="570" w:top="669" w:right="1440" w:bottom="1440" w:gutter="0" w:footer="0" w:header="0"/>
        </w:sectPr>
      </w:pPr>
    </w:p>
    <w:p>
      <w:pPr>
        <w:spacing w:after="0" w:line="277" w:lineRule="exact"/>
        <w:rPr>
          <w:sz w:val="20"/>
          <w:szCs w:val="20"/>
          <w:color w:val="auto"/>
        </w:rPr>
      </w:pPr>
    </w:p>
    <w:p>
      <w:pPr>
        <w:ind w:left="1070"/>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1"/>
          <w:szCs w:val="11"/>
          <w:color w:val="auto"/>
        </w:rPr>
        <w:t>Y (A - B)</w:t>
      </w:r>
    </w:p>
    <w:p>
      <w:pPr>
        <w:spacing w:after="0" w:line="1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2"/>
          <w:szCs w:val="12"/>
          <w:color w:val="auto"/>
        </w:rPr>
        <w:t>A</w:t>
      </w:r>
    </w:p>
    <w:p>
      <w:pPr>
        <w:spacing w:after="0" w:line="139" w:lineRule="exact"/>
        <w:rPr>
          <w:sz w:val="20"/>
          <w:szCs w:val="20"/>
          <w:color w:val="auto"/>
        </w:rPr>
      </w:pPr>
    </w:p>
    <w:p>
      <w:pPr>
        <w:sectPr>
          <w:pgSz w:w="11900" w:h="16838" w:orient="portrait"/>
          <w:cols w:equalWidth="0" w:num="3">
            <w:col w:w="1150" w:space="280"/>
            <w:col w:w="60" w:space="720"/>
            <w:col w:w="7679"/>
          </w:cols>
          <w:pgMar w:left="570" w:top="669" w:right="1440" w:bottom="1440" w:gutter="0" w:footer="0" w:header="0"/>
          <w:type w:val="continuous"/>
        </w:sectPr>
      </w:pPr>
    </w:p>
    <w:p>
      <w:pPr>
        <w:ind w:left="350"/>
        <w:spacing w:after="0"/>
        <w:rPr>
          <w:sz w:val="20"/>
          <w:szCs w:val="20"/>
          <w:color w:val="auto"/>
        </w:rPr>
      </w:pPr>
      <w:r>
        <w:rPr>
          <w:rFonts w:ascii="Courier New" w:cs="Courier New" w:eastAsia="Courier New" w:hAnsi="Courier New"/>
          <w:sz w:val="12"/>
          <w:szCs w:val="12"/>
          <w:color w:val="auto"/>
        </w:rPr>
        <w:t>WHERE:</w:t>
      </w:r>
    </w:p>
    <w:p>
      <w:pPr>
        <w:spacing w:after="0" w:line="139" w:lineRule="exact"/>
        <w:rPr>
          <w:sz w:val="20"/>
          <w:szCs w:val="20"/>
          <w:color w:val="auto"/>
        </w:rPr>
      </w:pPr>
    </w:p>
    <w:p>
      <w:pPr>
        <w:ind w:left="710" w:hanging="353"/>
        <w:spacing w:after="0"/>
        <w:tabs>
          <w:tab w:leader="none" w:pos="710" w:val="left"/>
        </w:tabs>
        <w:numPr>
          <w:ilvl w:val="0"/>
          <w:numId w:val="1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r>
        <w:rPr>
          <w:rFonts w:ascii="Courier New" w:cs="Courier New" w:eastAsia="Courier New" w:hAnsi="Courier New"/>
          <w:sz w:val="11"/>
          <w:szCs w:val="11"/>
          <w:color w:val="auto"/>
        </w:rPr>
        <w:t>the number of Warrant Shares to be issued to the Holder;</w:t>
      </w:r>
    </w:p>
    <w:p>
      <w:pPr>
        <w:spacing w:after="0" w:line="141" w:lineRule="exact"/>
        <w:rPr>
          <w:sz w:val="20"/>
          <w:szCs w:val="20"/>
          <w:color w:val="auto"/>
        </w:rPr>
      </w:pPr>
    </w:p>
    <w:p>
      <w:pPr>
        <w:ind w:left="1070" w:right="4539" w:hanging="713"/>
        <w:spacing w:after="0"/>
        <w:tabs>
          <w:tab w:leader="none" w:pos="713" w:val="left"/>
        </w:tabs>
        <w:numPr>
          <w:ilvl w:val="0"/>
          <w:numId w:val="1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number of Warrant Shares purchasable under this Warrant or, if only a portion of the Warrant is being exercised, the number of Warrant Shares being exercised under the Warrant (as adjusted to the date of such calculation);</w:t>
      </w:r>
    </w:p>
    <w:p>
      <w:pPr>
        <w:spacing w:after="0" w:line="142" w:lineRule="exact"/>
        <w:rPr>
          <w:sz w:val="20"/>
          <w:szCs w:val="20"/>
          <w:color w:val="auto"/>
        </w:rPr>
      </w:pPr>
    </w:p>
    <w:p>
      <w:pPr>
        <w:ind w:left="1070" w:right="4539" w:hanging="713"/>
        <w:spacing w:after="0" w:line="238" w:lineRule="auto"/>
        <w:tabs>
          <w:tab w:leader="none" w:pos="713" w:val="left"/>
        </w:tabs>
        <w:numPr>
          <w:ilvl w:val="0"/>
          <w:numId w:val="1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Fair Market Value (as defined below) of one (1) Ordinary Share; and</w:t>
      </w:r>
    </w:p>
    <w:p>
      <w:pPr>
        <w:spacing w:after="0" w:line="142" w:lineRule="exact"/>
        <w:rPr>
          <w:sz w:val="20"/>
          <w:szCs w:val="20"/>
          <w:color w:val="auto"/>
        </w:rPr>
      </w:pPr>
    </w:p>
    <w:p>
      <w:pPr>
        <w:ind w:left="1070" w:right="4599" w:hanging="713"/>
        <w:spacing w:after="0" w:line="238" w:lineRule="auto"/>
        <w:tabs>
          <w:tab w:leader="none" w:pos="713" w:val="left"/>
        </w:tabs>
        <w:numPr>
          <w:ilvl w:val="0"/>
          <w:numId w:val="1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 Price (for the removal of doubt, as adjusted to the date of such calculation).</w:t>
      </w:r>
    </w:p>
    <w:p>
      <w:pPr>
        <w:spacing w:after="0" w:line="139" w:lineRule="exact"/>
        <w:rPr>
          <w:sz w:val="20"/>
          <w:szCs w:val="20"/>
          <w:color w:val="auto"/>
        </w:rPr>
      </w:pPr>
    </w:p>
    <w:p>
      <w:pPr>
        <w:ind w:left="350"/>
        <w:spacing w:after="0"/>
        <w:rPr>
          <w:sz w:val="20"/>
          <w:szCs w:val="20"/>
          <w:color w:val="auto"/>
        </w:rPr>
      </w:pPr>
      <w:r>
        <w:rPr>
          <w:rFonts w:ascii="Courier New" w:cs="Courier New" w:eastAsia="Courier New" w:hAnsi="Courier New"/>
          <w:sz w:val="12"/>
          <w:szCs w:val="12"/>
          <w:color w:val="auto"/>
        </w:rPr>
        <w:t>"FAIR MARKET VALUE" of an Ordinary Share shall mean:</w:t>
      </w:r>
    </w:p>
    <w:p>
      <w:pPr>
        <w:sectPr>
          <w:pgSz w:w="11900" w:h="16838" w:orient="portrait"/>
          <w:cols w:equalWidth="0" w:num="1">
            <w:col w:w="9889"/>
          </w:cols>
          <w:pgMar w:left="570" w:top="669" w:right="1440" w:bottom="1440" w:gutter="0" w:footer="0" w:header="0"/>
          <w:type w:val="continuous"/>
        </w:sectPr>
      </w:pPr>
    </w:p>
    <w:bookmarkStart w:id="108" w:name="page109"/>
    <w:bookmarkEnd w:id="108"/>
    <w:p>
      <w:pPr>
        <w:ind w:left="710" w:right="4599" w:hanging="353"/>
        <w:spacing w:after="0" w:line="266" w:lineRule="auto"/>
        <w:tabs>
          <w:tab w:leader="none" w:pos="710" w:val="left"/>
        </w:tabs>
        <w:numPr>
          <w:ilvl w:val="0"/>
          <w:numId w:val="1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the Ordinary Shares are listed on a national securities exchange or are quoted on the Nasdaq National Market (NASDAQ/NMS), then the closing or last sale price, respectively, reported on the last trading day immediately preceding the exercise date, as reported by Nasdaq or the principal national securities exchange upon which the Ordinary Shares are listed or traded; provided that, if the Ordinary Shares are listed on Nasdaq and another national securities exchange, the applicable price shall be the price reported by Nasdaq;</w:t>
      </w:r>
    </w:p>
    <w:p>
      <w:pPr>
        <w:spacing w:after="0" w:line="267" w:lineRule="exact"/>
        <w:rPr>
          <w:rFonts w:ascii="Courier New" w:cs="Courier New" w:eastAsia="Courier New" w:hAnsi="Courier New"/>
          <w:sz w:val="11"/>
          <w:szCs w:val="11"/>
          <w:color w:val="auto"/>
        </w:rPr>
      </w:pPr>
    </w:p>
    <w:p>
      <w:pPr>
        <w:ind w:left="710" w:right="4759" w:hanging="353"/>
        <w:spacing w:after="0" w:line="241" w:lineRule="auto"/>
        <w:tabs>
          <w:tab w:leader="none" w:pos="710" w:val="left"/>
        </w:tabs>
        <w:numPr>
          <w:ilvl w:val="0"/>
          <w:numId w:val="1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Ordinary Shares are not listed on a national securities exchange or quoted on NASDAQ/NMS, but are traded in the over-the-counter market, then the mean of the closing bid and asked prices as reported on the last trading day immediately preceding the exercise date; and</w:t>
      </w:r>
    </w:p>
    <w:p>
      <w:pPr>
        <w:spacing w:after="0" w:line="140" w:lineRule="exact"/>
        <w:rPr>
          <w:rFonts w:ascii="Courier New" w:cs="Courier New" w:eastAsia="Courier New" w:hAnsi="Courier New"/>
          <w:sz w:val="12"/>
          <w:szCs w:val="12"/>
          <w:color w:val="auto"/>
        </w:rPr>
      </w:pPr>
    </w:p>
    <w:p>
      <w:pPr>
        <w:ind w:left="710" w:right="4819" w:hanging="353"/>
        <w:spacing w:after="0" w:line="280" w:lineRule="auto"/>
        <w:tabs>
          <w:tab w:leader="none" w:pos="781" w:val="left"/>
        </w:tabs>
        <w:numPr>
          <w:ilvl w:val="0"/>
          <w:numId w:val="1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the Ordinary Shares are not publicly traded, then as determined by the Company's Board of Directors in good faith.</w:t>
      </w:r>
    </w:p>
    <w:p>
      <w:pPr>
        <w:spacing w:after="0" w:line="118" w:lineRule="exact"/>
        <w:rPr>
          <w:sz w:val="20"/>
          <w:szCs w:val="20"/>
          <w:color w:val="auto"/>
        </w:rPr>
      </w:pPr>
    </w:p>
    <w:p>
      <w:pPr>
        <w:ind w:left="350"/>
        <w:spacing w:after="0"/>
        <w:rPr>
          <w:sz w:val="20"/>
          <w:szCs w:val="20"/>
          <w:color w:val="auto"/>
        </w:rPr>
      </w:pPr>
      <w:r>
        <w:rPr>
          <w:rFonts w:ascii="Courier New" w:cs="Courier New" w:eastAsia="Courier New" w:hAnsi="Courier New"/>
          <w:sz w:val="12"/>
          <w:szCs w:val="12"/>
          <w:color w:val="auto"/>
        </w:rPr>
        <w:t>The exchange of this Warrant as provided in this Section 3(b) may not</w:t>
      </w:r>
    </w:p>
    <w:p>
      <w:pPr>
        <w:spacing w:after="0" w:line="1" w:lineRule="exact"/>
        <w:rPr>
          <w:sz w:val="20"/>
          <w:szCs w:val="20"/>
          <w:color w:val="auto"/>
        </w:rPr>
      </w:pPr>
    </w:p>
    <w:p>
      <w:pPr>
        <w:ind w:left="350"/>
        <w:spacing w:after="0"/>
        <w:rPr>
          <w:sz w:val="20"/>
          <w:szCs w:val="20"/>
          <w:color w:val="auto"/>
        </w:rPr>
      </w:pPr>
      <w:r>
        <w:rPr>
          <w:rFonts w:ascii="Courier New" w:cs="Courier New" w:eastAsia="Courier New" w:hAnsi="Courier New"/>
          <w:sz w:val="12"/>
          <w:szCs w:val="12"/>
          <w:color w:val="auto"/>
        </w:rPr>
        <w:t>be utilized on more than 9 (nine) occasions.</w:t>
      </w:r>
    </w:p>
    <w:p>
      <w:pPr>
        <w:spacing w:after="0" w:line="139" w:lineRule="exact"/>
        <w:rPr>
          <w:sz w:val="20"/>
          <w:szCs w:val="20"/>
          <w:color w:val="auto"/>
        </w:rPr>
      </w:pPr>
    </w:p>
    <w:p>
      <w:pPr>
        <w:ind w:left="350" w:hanging="350"/>
        <w:spacing w:after="0"/>
        <w:tabs>
          <w:tab w:leader="none" w:pos="350" w:val="left"/>
        </w:tabs>
        <w:numPr>
          <w:ilvl w:val="0"/>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SHARES ON EXERCISE</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agrees that the Warrant Shares so purchased shall be issued as soon as practicable thereafter, and that the Holder shall be deemed the record owner of such Warrant Shares as of and from the close of business on the date on which this Warrant shall be surrendered, together with payment in full as required pursuant to subsection a. above or when surrendered for exchange pursuant to subsection b. above. In the event of a partial exercise, the Company shall concurrently issue to the Holder a replacement Warrant on the same terms and conditions as this Warrant, but representing the number of Warrant Shares remaining after such partial exercise.</w:t>
      </w:r>
    </w:p>
    <w:p>
      <w:pPr>
        <w:sectPr>
          <w:pgSz w:w="11900" w:h="16838" w:orient="portrait"/>
          <w:cols w:equalWidth="0" w:num="1">
            <w:col w:w="9889"/>
          </w:cols>
          <w:pgMar w:left="570" w:top="672" w:right="1440" w:bottom="1440" w:gutter="0" w:footer="0" w:header="0"/>
        </w:sectPr>
      </w:pPr>
    </w:p>
    <w:bookmarkStart w:id="109" w:name="page110"/>
    <w:bookmarkEnd w:id="109"/>
    <w:p>
      <w:pPr>
        <w:ind w:left="367" w:hanging="367"/>
        <w:spacing w:after="0"/>
        <w:tabs>
          <w:tab w:leader="none" w:pos="367" w:val="left"/>
        </w:tabs>
        <w:numPr>
          <w:ilvl w:val="0"/>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FRACTIONAL INTEREST</w:t>
      </w:r>
    </w:p>
    <w:p>
      <w:pPr>
        <w:spacing w:after="0" w:line="141" w:lineRule="exact"/>
        <w:rPr>
          <w:rFonts w:ascii="Courier New" w:cs="Courier New" w:eastAsia="Courier New" w:hAnsi="Courier New"/>
          <w:sz w:val="12"/>
          <w:szCs w:val="12"/>
          <w:color w:val="auto"/>
        </w:rPr>
      </w:pPr>
    </w:p>
    <w:p>
      <w:pPr>
        <w:ind w:left="367"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 fractional shares will be issued in connection with any exercise hereunder, but in lieu of such fractional shares, the Company shall make a cash payment therefor upon the basis of the current market price of such shares then in effect as determined in good faith by the Company's Board of Directors.</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 CONFERS NO RIGHTS OF SHAREHOLDER</w:t>
      </w:r>
    </w:p>
    <w:p>
      <w:pPr>
        <w:spacing w:after="0" w:line="141" w:lineRule="exact"/>
        <w:rPr>
          <w:rFonts w:ascii="Courier New" w:cs="Courier New" w:eastAsia="Courier New" w:hAnsi="Courier New"/>
          <w:sz w:val="12"/>
          <w:szCs w:val="12"/>
          <w:color w:val="auto"/>
        </w:rPr>
      </w:pPr>
    </w:p>
    <w:p>
      <w:pPr>
        <w:ind w:left="367" w:right="475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Except as otherwise set forth in this Warrant, the Holder shall not have any rights as a shareholder of the Company with regard to the Warrant Shares prior to actual exercise resulting in the purchase of any Warrant Shares.</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REPRESENTATION</w:t>
      </w:r>
    </w:p>
    <w:p>
      <w:pPr>
        <w:spacing w:after="0" w:line="141" w:lineRule="exact"/>
        <w:rPr>
          <w:rFonts w:ascii="Courier New" w:cs="Courier New" w:eastAsia="Courier New" w:hAnsi="Courier New"/>
          <w:sz w:val="12"/>
          <w:szCs w:val="12"/>
          <w:color w:val="auto"/>
        </w:rPr>
      </w:pPr>
    </w:p>
    <w:p>
      <w:pPr>
        <w:ind w:left="367" w:right="45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Neither this Warrant nor the Warrant Shares issuable upon the exercise of this Warrant have been registered under the Securities Act, or any other securities laws. The Holder acknowledges by acceptance of the Warrant that</w:t>
      </w:r>
    </w:p>
    <w:p>
      <w:pPr>
        <w:ind w:left="367" w:right="4539" w:hanging="10"/>
        <w:spacing w:after="0" w:line="242" w:lineRule="auto"/>
        <w:tabs>
          <w:tab w:leader="none" w:pos="652" w:val="left"/>
        </w:tabs>
        <w:numPr>
          <w:ilvl w:val="1"/>
          <w:numId w:val="1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it has acquired this Warrant for investment and not with a view to distribution; (b) it has either a pre-existing personal or business relationship with the Company, or its executive officers, or by reason of its business or financial experience, it has the capacity to protect its own interests in connection with the transaction; and (c) it is an accredited investor as that term is defined in Regulation D promulgated under the Securities Act. The Holder agrees that any Warrant Shares issuable upon exercise of this Warrant will be acquired for investment and not with a view to distribution and, unless the Warrant Shares are theretofore registered, including following the exercise of the Holder of its registration rights under Section 9 below, such Warrant Shares will not be registered under the Securities Act and applicable state securities laws and that such Warrant Shares may have to be held indefinitely unless they are subsequently registered or qualified under the Securities Act and applicable state securities laws, or based on an opinion of counsel reasonably satisfactory to the Company, an exemption from such registration and qualification is available. The Holder, by acceptance hereof, consents to the placement of legend(s) on all securities hereunder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ectPr>
          <w:pgSz w:w="11900" w:h="16838" w:orient="portrait"/>
          <w:cols w:equalWidth="0" w:num="1">
            <w:col w:w="10246"/>
          </w:cols>
          <w:pgMar w:left="213" w:top="669" w:right="1440" w:bottom="1440" w:gutter="0" w:footer="0" w:header="0"/>
        </w:sectPr>
      </w:pPr>
    </w:p>
    <w:bookmarkStart w:id="110" w:name="page111"/>
    <w:bookmarkEnd w:id="110"/>
    <w:p>
      <w:pPr>
        <w:ind w:left="367" w:hanging="367"/>
        <w:spacing w:after="0"/>
        <w:tabs>
          <w:tab w:leader="none" w:pos="367" w:val="left"/>
        </w:tabs>
        <w:numPr>
          <w:ilvl w:val="0"/>
          <w:numId w:val="1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OF WARRANT PRICE AND NUMBER OF SHARES</w:t>
      </w:r>
    </w:p>
    <w:p>
      <w:pPr>
        <w:spacing w:after="0" w:line="141" w:lineRule="exact"/>
        <w:rPr>
          <w:rFonts w:ascii="Courier New" w:cs="Courier New" w:eastAsia="Courier New" w:hAnsi="Courier New"/>
          <w:sz w:val="12"/>
          <w:szCs w:val="12"/>
          <w:color w:val="auto"/>
        </w:rPr>
      </w:pPr>
    </w:p>
    <w:p>
      <w:pPr>
        <w:jc w:val="both"/>
        <w:ind w:left="367" w:right="467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number and kind of securities purchasable initially upon the exercise of this Warrant and the Warrant Price shall be subject to adjustment from time to time upon the occurrence of certain events, as follows:</w:t>
      </w:r>
    </w:p>
    <w:p>
      <w:pPr>
        <w:spacing w:after="0" w:line="122"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1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FOR SHARES SPLITS AND COMBINATIONS</w:t>
      </w:r>
    </w:p>
    <w:p>
      <w:pPr>
        <w:spacing w:after="0" w:line="141" w:lineRule="exact"/>
        <w:rPr>
          <w:rFonts w:ascii="Courier New" w:cs="Courier New" w:eastAsia="Courier New" w:hAnsi="Courier New"/>
          <w:sz w:val="12"/>
          <w:szCs w:val="12"/>
          <w:color w:val="auto"/>
        </w:rPr>
      </w:pPr>
    </w:p>
    <w:p>
      <w:pPr>
        <w:ind w:left="707" w:right="45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If the Company at any time or from time to time effects a subdivision of the outstanding Ordinary Shares, the number of Warrant Shares purchaseable hereunder immediately before the subdivision shall be proportionately increased, and conversely, if the Company at any time or from time to time combines the outstanding Ordinary Shares, the number of Warrant Shares purchaseable hereunder immediately before the combination shall be proportionately decreased. Any adjustment under this Section 7(a) shall become effective at the close of business on the date the subdivision or combination becomes effective.</w:t>
      </w:r>
    </w:p>
    <w:p>
      <w:pPr>
        <w:spacing w:after="0" w:line="126"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1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FOR CERTAIN DIVIDENDS AND DISTRIBUTIONS</w:t>
      </w:r>
    </w:p>
    <w:p>
      <w:pPr>
        <w:spacing w:after="0" w:line="141" w:lineRule="exact"/>
        <w:rPr>
          <w:rFonts w:ascii="Courier New" w:cs="Courier New" w:eastAsia="Courier New" w:hAnsi="Courier New"/>
          <w:sz w:val="12"/>
          <w:szCs w:val="12"/>
          <w:color w:val="auto"/>
        </w:rPr>
      </w:pPr>
    </w:p>
    <w:p>
      <w:pPr>
        <w:ind w:left="707" w:right="4539"/>
        <w:spacing w:after="0" w:line="242"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the Company at any time, or from time to time, makes or fixes a record date for the determination of holders of Ordinary Shares entitled to receive a dividend or other distribution payable in additional shares of Ordinary Shares, then and in each such event, the number of Ordinary Shares purchaseable hereunder shall be increased as of the time of such issuance or, in the event such a record date is fixed, as of the close of business on such record date, by multiplying the number of Ordinary Shares issuable upon exercise of this Warrant by a fraction: (i) the numerator of which shall be the total number of Ordinary Shares issued and outstanding immediately prior to the time of such issuance or the close of business on such record date plus the number of Ordinary Shares issuable in payment of such dividend or distribution; and (ii) the denominator of which is the total number of Ordinary Shares issued and outstanding immediately prior to the time of such issuance or the close of business on such record date; provided, however, that if such record date is fixed and such dividend is not fully paid or if such distribution is not fully made on the date fixed thereof, the number of Ordinary Shares purchaseable hereunder shall be recomputed accordingly as of the close of business on such record date and thereafter the number of Ordinary Shares purchaseable hereunder shall be adjusted pursuant to this Section 7(b) as of the time of the actual payment of such dividends or distribution.</w:t>
      </w:r>
    </w:p>
    <w:p>
      <w:pPr>
        <w:sectPr>
          <w:pgSz w:w="11900" w:h="16838" w:orient="portrait"/>
          <w:cols w:equalWidth="0" w:num="1">
            <w:col w:w="10246"/>
          </w:cols>
          <w:pgMar w:left="213" w:top="669" w:right="1440" w:bottom="1440" w:gutter="0" w:footer="0" w:header="0"/>
        </w:sectPr>
      </w:pPr>
    </w:p>
    <w:bookmarkStart w:id="111" w:name="page112"/>
    <w:bookmarkEnd w:id="111"/>
    <w:p>
      <w:pPr>
        <w:ind w:left="350" w:hanging="350"/>
        <w:spacing w:after="0"/>
        <w:tabs>
          <w:tab w:leader="none" w:pos="350" w:val="left"/>
        </w:tabs>
        <w:numPr>
          <w:ilvl w:val="0"/>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ADJUSTMENTS FOR OTHER DIVIDENDS AND DISTRIBUTIONS</w:t>
      </w:r>
    </w:p>
    <w:p>
      <w:pPr>
        <w:spacing w:after="0" w:line="141" w:lineRule="exact"/>
        <w:rPr>
          <w:rFonts w:ascii="Courier New" w:cs="Courier New" w:eastAsia="Courier New" w:hAnsi="Courier New"/>
          <w:sz w:val="12"/>
          <w:szCs w:val="12"/>
          <w:color w:val="auto"/>
        </w:rPr>
      </w:pPr>
    </w:p>
    <w:p>
      <w:pPr>
        <w:ind w:left="35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then in each such event provision shall be made so that the Holder shall receive upon exercise of this Warrant, in addition to the number of Ordinary Shares receivable thereupon, the amount of securities of the Company that the Holder would have received had this Warrant been exercised to purchase all Ordinary Shares purchaseable hereunder immediately prior to such event (or the record date for such event) and had the Holder thereafter, during the period from the date of such event to and including the date of exercise, retained such securities receivable by it as aforesaid during such period, subject to all other adjustments called for during such period under this Section and the Company's Articles of Association with respect to the rights of the Holder.</w:t>
      </w:r>
    </w:p>
    <w:p>
      <w:pPr>
        <w:spacing w:after="0" w:line="266"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FOR RECLASSIFICATION, EXCHANGE AND SUBSTITUTION</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the Ordinary Shares purchaseable hereunder are changed into the same or a different number of shares of any class or classes of shares, whether by recapitalization, reclassification or otherwise (other than a subdivision or combination of shares or shares dividend or a reorganization, merger, consolidation or sale of assets, provided for elsewhere in this Section), then and in any such event the Holder shall have the right thereafter to exercise this Warrant into the kind and amount of shares and other securities receivable upon such recapitalization, reclassification or other change, by holders of the number of shares of Ordinary Shares for which this Warrant might have been exercised with respect to all Ordinary Shares purchaseable hereunder immediately prior to such recapitalization, reclassification or change, all subject to further adjustment as provided herein and under the Company's Articles of Association.</w:t>
      </w:r>
    </w:p>
    <w:p>
      <w:pPr>
        <w:sectPr>
          <w:pgSz w:w="11900" w:h="16838" w:orient="portrait"/>
          <w:cols w:equalWidth="0" w:num="1">
            <w:col w:w="9889"/>
          </w:cols>
          <w:pgMar w:left="570" w:top="669" w:right="1440" w:bottom="1440" w:gutter="0" w:footer="0" w:header="0"/>
        </w:sectPr>
      </w:pPr>
    </w:p>
    <w:bookmarkStart w:id="112" w:name="page113"/>
    <w:bookmarkEnd w:id="112"/>
    <w:p>
      <w:pPr>
        <w:ind w:left="350" w:hanging="350"/>
        <w:spacing w:after="0"/>
        <w:tabs>
          <w:tab w:leader="none" w:pos="350" w:val="left"/>
        </w:tabs>
        <w:numPr>
          <w:ilvl w:val="0"/>
          <w:numId w:val="1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REORGANIZATION, MERGERS, CONSOLIDATIONS OR SALES OF ASSETS</w:t>
      </w:r>
    </w:p>
    <w:p>
      <w:pPr>
        <w:spacing w:after="0" w:line="141" w:lineRule="exact"/>
        <w:rPr>
          <w:rFonts w:ascii="Courier New" w:cs="Courier New" w:eastAsia="Courier New" w:hAnsi="Courier New"/>
          <w:sz w:val="12"/>
          <w:szCs w:val="12"/>
          <w:color w:val="auto"/>
        </w:rPr>
      </w:pPr>
    </w:p>
    <w:p>
      <w:pPr>
        <w:ind w:left="350" w:right="4539"/>
        <w:spacing w:after="0" w:line="242"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at any time or from time to time there is a capital reorganization of the Ordinary Shares (other than a recapitalization, subdivision, combination, reclassification or exchange of shares as provided for elsewhere in this subsection),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exercise of this Warrant, the number of shares or other securities or property of the Company, or of the successor corporation resulting from such merger or consolidation or sale, to which a holder of Ordinary Shares deliverable upon conversion would have been entitled on such capital reorganization, merger, consolidation or sale. In any such case (except to the extent any cash or property is received in such transaction), appropriate adjustment shall be made in the application of the provisions of this subsection and the Company's Articles of Association with respect to the rights of the Holder after the reorganization, merger, consolidation or sale to the end that the provisions of this subsection and the Company's Articles of Association (including adjustment of the number of Ordinary Shares purchaseable hereunder) shall be applicable after that event and be as nearly equivalent to the provisions hereof as may be practicable.</w:t>
      </w:r>
    </w:p>
    <w:p>
      <w:pPr>
        <w:spacing w:after="0" w:line="138"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TRANSACTIONS</w:t>
      </w:r>
    </w:p>
    <w:p>
      <w:pPr>
        <w:spacing w:after="0" w:line="141" w:lineRule="exact"/>
        <w:rPr>
          <w:rFonts w:ascii="Courier New" w:cs="Courier New" w:eastAsia="Courier New" w:hAnsi="Courier New"/>
          <w:sz w:val="12"/>
          <w:szCs w:val="12"/>
          <w:color w:val="auto"/>
        </w:rPr>
      </w:pPr>
    </w:p>
    <w:p>
      <w:pPr>
        <w:ind w:left="350" w:right="4539"/>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Warrant Shares or by procuring that the Holder shall be entitled, on economically proportionate terms, to acquire additional shares of the spun-off or split-off entities.</w:t>
      </w:r>
    </w:p>
    <w:p>
      <w:pPr>
        <w:spacing w:after="0" w:line="124"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PROTECTION</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ectPr>
          <w:pgSz w:w="11900" w:h="16838" w:orient="portrait"/>
          <w:cols w:equalWidth="0" w:num="1">
            <w:col w:w="9889"/>
          </w:cols>
          <w:pgMar w:left="570" w:top="669" w:right="1440" w:bottom="1440" w:gutter="0" w:footer="0" w:header="0"/>
        </w:sectPr>
      </w:pPr>
    </w:p>
    <w:bookmarkStart w:id="113" w:name="page114"/>
    <w:bookmarkEnd w:id="113"/>
    <w:p>
      <w:pPr>
        <w:ind w:left="350" w:hanging="350"/>
        <w:spacing w:after="0"/>
        <w:tabs>
          <w:tab w:leader="none" w:pos="350" w:val="left"/>
        </w:tabs>
        <w:numPr>
          <w:ilvl w:val="0"/>
          <w:numId w:val="1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 OF CAPITAL CHANGES</w:t>
      </w:r>
    </w:p>
    <w:p>
      <w:pPr>
        <w:spacing w:after="0" w:line="141" w:lineRule="exact"/>
        <w:rPr>
          <w:rFonts w:ascii="Courier New" w:cs="Courier New" w:eastAsia="Courier New" w:hAnsi="Courier New"/>
          <w:sz w:val="12"/>
          <w:szCs w:val="12"/>
          <w:color w:val="auto"/>
        </w:rPr>
      </w:pPr>
    </w:p>
    <w:p>
      <w:pPr>
        <w:ind w:left="35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If at any time the Company shall offer for subscription pro rata to the holders of Ordinary Shares any additional shares of any class, other rights or any equity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Section 7, then, in any one or more of the said cases, the Company shall give the Holder written notice, by registered or certified mail, postage prepaid, of the date on which: (i) a record shall be taken for such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w:t>
      </w:r>
    </w:p>
    <w:p>
      <w:pPr>
        <w:spacing w:after="0" w:line="127" w:lineRule="exact"/>
        <w:rPr>
          <w:rFonts w:ascii="Courier New" w:cs="Courier New" w:eastAsia="Courier New" w:hAnsi="Courier New"/>
          <w:sz w:val="12"/>
          <w:szCs w:val="12"/>
          <w:color w:val="auto"/>
        </w:rPr>
      </w:pPr>
    </w:p>
    <w:p>
      <w:pPr>
        <w:ind w:left="35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(fourteen) days prior to the record date in respect thereto.</w:t>
      </w:r>
    </w:p>
    <w:p>
      <w:pPr>
        <w:spacing w:after="0" w:line="138"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ADJUSTMENT OF WARRANT PRICE</w:t>
      </w:r>
    </w:p>
    <w:p>
      <w:pPr>
        <w:spacing w:after="0" w:line="141" w:lineRule="exact"/>
        <w:rPr>
          <w:rFonts w:ascii="Courier New" w:cs="Courier New" w:eastAsia="Courier New" w:hAnsi="Courier New"/>
          <w:sz w:val="12"/>
          <w:szCs w:val="12"/>
          <w:color w:val="auto"/>
        </w:rPr>
      </w:pPr>
    </w:p>
    <w:p>
      <w:pPr>
        <w:ind w:left="35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each adjustment in the number of Ordinary Shares purchasable hereunder, the Warrant Price shall be proportionately increased or decreased, as the case may be, in a manner that is the inverse of the manner in which the number of Ordinary Shares purchasable hereunder shall be adjusted.</w:t>
      </w:r>
    </w:p>
    <w:p>
      <w:pPr>
        <w:spacing w:after="0" w:line="138"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 OF ADJUSTMENTS</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Whenever the Warrant Price or the number of Ordinary Shares purchasable hereunder shall be adjusted pursuant to Section 7 hereof, the Company shall prepare a certificate signed by the chief financial officer of the Company setting forth, in reasonable detail, the event requiring the adjustment, the amount of the adjustment, the method by which such adjustment was calculated, and the Warrant Price and the number of Ordinary Shares purchasable hereunder after giving effect to such adjustment, and shall cause copies of such certificate to be mailed (by first class mail, postage prepaid) to the Holder.</w:t>
      </w:r>
    </w:p>
    <w:p>
      <w:pPr>
        <w:sectPr>
          <w:pgSz w:w="11900" w:h="16838" w:orient="portrait"/>
          <w:cols w:equalWidth="0" w:num="1">
            <w:col w:w="9889"/>
          </w:cols>
          <w:pgMar w:left="570" w:top="669" w:right="1440" w:bottom="1440" w:gutter="0" w:footer="0" w:header="0"/>
        </w:sectPr>
      </w:pPr>
    </w:p>
    <w:bookmarkStart w:id="114" w:name="page115"/>
    <w:bookmarkEnd w:id="114"/>
    <w:p>
      <w:pPr>
        <w:ind w:left="707" w:hanging="350"/>
        <w:spacing w:after="0"/>
        <w:tabs>
          <w:tab w:leader="none" w:pos="707" w:val="left"/>
        </w:tabs>
        <w:numPr>
          <w:ilvl w:val="1"/>
          <w:numId w:val="1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ASSUMED EXERCISABILITY</w:t>
      </w:r>
    </w:p>
    <w:p>
      <w:pPr>
        <w:spacing w:after="0" w:line="141" w:lineRule="exact"/>
        <w:rPr>
          <w:rFonts w:ascii="Courier New" w:cs="Courier New" w:eastAsia="Courier New" w:hAnsi="Courier New"/>
          <w:sz w:val="12"/>
          <w:szCs w:val="12"/>
          <w:color w:val="auto"/>
        </w:rPr>
      </w:pPr>
    </w:p>
    <w:p>
      <w:pPr>
        <w:ind w:left="707" w:right="4679"/>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the avoidance of doubt, the fact that an adjustment event described in this Section 7 occurs prior to the time this Warrant is fully exercisable by the Holder shall not be taken into account and, for purposes of determining any adjustment or other actions to be taken by the Company pursuant to this Section 7, it shall be assumed that this Warrant is fully exercisable as of the Effective Date.</w:t>
      </w:r>
    </w:p>
    <w:p>
      <w:pPr>
        <w:spacing w:after="0" w:line="125"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TRANSFER OF THIS WARRANT OR SHARES</w:t>
      </w:r>
    </w:p>
    <w:p>
      <w:pPr>
        <w:spacing w:after="0" w:line="141" w:lineRule="exact"/>
        <w:rPr>
          <w:rFonts w:ascii="Courier New" w:cs="Courier New" w:eastAsia="Courier New" w:hAnsi="Courier New"/>
          <w:sz w:val="12"/>
          <w:szCs w:val="12"/>
          <w:color w:val="auto"/>
        </w:rPr>
      </w:pPr>
    </w:p>
    <w:p>
      <w:pPr>
        <w:ind w:left="707" w:right="4539" w:hanging="350"/>
        <w:spacing w:after="0" w:line="242" w:lineRule="auto"/>
        <w:tabs>
          <w:tab w:leader="none" w:pos="707" w:val="left"/>
        </w:tabs>
        <w:numPr>
          <w:ilvl w:val="1"/>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any offer, sale or other disposition of this Warrant or securities purchaseable hereunder, the Holder will give written notice to the Company prior thereto, describing briefly the manner thereof, together with, if reasonably requested by the Company, a written opinion of such Holder's counsel, to the effect that such offer, sale or other distribution may be effected without registration or qualification (under any federal or state law then in effect); provided, however, that no legal opinion shall be required if the transfer will be effected on TASE and the Holder represents to the Company that the applicable conditions under Regulation S under the Securities Act have been satisfied. If the proposed transfer is intended to rely on a Regulation D exemption under the Securities Act, such opinion letter and all such transferees must warrant and represent that they are an "accredited" investor as that term is defined under Regulation D of the Securities Act. Promptly, as practicable, upon receiving such written notice and opinion and warranties and representations, if so requested, the Company, as promptly as practicable, shall deliver to the Holder one or more replacement Warrant certificates on the same terms and conditions as this Warrant for delivery to the transferees. Each Warrant thus transferred and each certificate representing the securities thus transferred shall bear legend(s) as to the applicable restrictions on transferability in order to ensure compliance with the Securities Act, unless in the opinion of counsel for the Company such legend is not required in order to ensure compliance with the Securities Act. The Company may issue stop transfer instructions to its transfer agent in connection with such restrictions. Any provision of this Warrant to the contrary notwithstanding, the Holder may not offer, sell or otherwise dispose of this Warrant to any third party, other than: (i) to a wholly owned subsidiary of Bank Hapoalim B.M.; or (ii) to any other transferee approved by the Company in writing with such approval not to be unreasonably withheld.</w:t>
      </w:r>
    </w:p>
    <w:p>
      <w:pPr>
        <w:sectPr>
          <w:pgSz w:w="11900" w:h="16838" w:orient="portrait"/>
          <w:cols w:equalWidth="0" w:num="1">
            <w:col w:w="10246"/>
          </w:cols>
          <w:pgMar w:left="213" w:top="669" w:right="1440" w:bottom="1440" w:gutter="0" w:footer="0" w:header="0"/>
        </w:sectPr>
      </w:pPr>
    </w:p>
    <w:bookmarkStart w:id="115" w:name="page116"/>
    <w:bookmarkEnd w:id="115"/>
    <w:p>
      <w:pPr>
        <w:jc w:val="both"/>
        <w:ind w:left="707" w:right="4599" w:hanging="350"/>
        <w:spacing w:after="0" w:line="241" w:lineRule="auto"/>
        <w:tabs>
          <w:tab w:leader="none" w:pos="707" w:val="left"/>
        </w:tabs>
        <w:numPr>
          <w:ilvl w:val="1"/>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REGISTRATION RIGHTS</w:t>
      </w:r>
    </w:p>
    <w:p>
      <w:pPr>
        <w:spacing w:after="0" w:line="138" w:lineRule="exact"/>
        <w:rPr>
          <w:rFonts w:ascii="Courier New" w:cs="Courier New" w:eastAsia="Courier New" w:hAnsi="Courier New"/>
          <w:sz w:val="12"/>
          <w:szCs w:val="12"/>
          <w:color w:val="auto"/>
        </w:rPr>
      </w:pPr>
    </w:p>
    <w:p>
      <w:pPr>
        <w:ind w:left="36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covenants and agrees as follows:</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w:t>
      </w:r>
    </w:p>
    <w:p>
      <w:pPr>
        <w:spacing w:after="0" w:line="138" w:lineRule="exact"/>
        <w:rPr>
          <w:rFonts w:ascii="Courier New" w:cs="Courier New" w:eastAsia="Courier New" w:hAnsi="Courier New"/>
          <w:sz w:val="12"/>
          <w:szCs w:val="12"/>
          <w:color w:val="auto"/>
        </w:rPr>
      </w:pPr>
    </w:p>
    <w:p>
      <w:pPr>
        <w:ind w:left="70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this Section 9:</w:t>
      </w:r>
    </w:p>
    <w:p>
      <w:pPr>
        <w:spacing w:after="0" w:line="141" w:lineRule="exact"/>
        <w:rPr>
          <w:rFonts w:ascii="Courier New" w:cs="Courier New" w:eastAsia="Courier New" w:hAnsi="Courier New"/>
          <w:sz w:val="12"/>
          <w:szCs w:val="12"/>
          <w:color w:val="auto"/>
        </w:rPr>
      </w:pPr>
    </w:p>
    <w:p>
      <w:pPr>
        <w:ind w:left="1067" w:right="4539" w:hanging="353"/>
        <w:spacing w:after="0" w:line="241" w:lineRule="auto"/>
        <w:tabs>
          <w:tab w:leader="none" w:pos="1067" w:val="left"/>
        </w:tabs>
        <w:numPr>
          <w:ilvl w:val="2"/>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"REGISTRABLE SHARES" means: (1) the Warrant Shares; and (2) any Ordinary Shares of the Company issued as (or issuable upon the conversion or exercise of any warrant, right or other security that is issued as) a dividend or other distribution with respect to, or in exchange for or in replacement of, such Warrant Shares; provided, however, that any exercise of this Warrant in connection with an exercise of rights to registration under this Section 9 may be made conditional upon the closing of the offering contemplated by such registration;</w:t>
      </w:r>
    </w:p>
    <w:p>
      <w:pPr>
        <w:spacing w:after="0" w:line="143" w:lineRule="exact"/>
        <w:rPr>
          <w:rFonts w:ascii="Courier New" w:cs="Courier New" w:eastAsia="Courier New" w:hAnsi="Courier New"/>
          <w:sz w:val="12"/>
          <w:szCs w:val="12"/>
          <w:color w:val="auto"/>
        </w:rPr>
      </w:pPr>
    </w:p>
    <w:p>
      <w:pPr>
        <w:ind w:left="1067" w:right="4759" w:hanging="353"/>
        <w:spacing w:after="0" w:line="241" w:lineRule="auto"/>
        <w:tabs>
          <w:tab w:leader="none" w:pos="1067" w:val="left"/>
        </w:tabs>
        <w:numPr>
          <w:ilvl w:val="2"/>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"REGISTER", "REGISTERED" and "REGISTRATION" refer to a registration effected by filing a registration statement in compliance with the Securities Act and the declaration or ordering by the SEC of effectiveness of such registration statement, or the equivalent actions under the laws of another jurisdiction;</w:t>
      </w:r>
    </w:p>
    <w:p>
      <w:pPr>
        <w:spacing w:after="0" w:line="141" w:lineRule="exact"/>
        <w:rPr>
          <w:rFonts w:ascii="Courier New" w:cs="Courier New" w:eastAsia="Courier New" w:hAnsi="Courier New"/>
          <w:sz w:val="12"/>
          <w:szCs w:val="12"/>
          <w:color w:val="auto"/>
        </w:rPr>
      </w:pPr>
    </w:p>
    <w:p>
      <w:pPr>
        <w:ind w:left="1067" w:right="4539" w:hanging="353"/>
        <w:spacing w:after="0" w:line="241" w:lineRule="auto"/>
        <w:tabs>
          <w:tab w:leader="none" w:pos="1138" w:val="left"/>
        </w:tabs>
        <w:numPr>
          <w:ilvl w:val="2"/>
          <w:numId w:val="1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"INVESTOR HOLDERS" refers to SanDisk Corporation, Alliance Semiconductor Corp., Macronix International Co., Ltd., QuickLogic Corporation, and The Israel Corporation Ltd. and any additional parties that entered into share purchase agreements with the Company prior to the closing of and that closed simultaneously with the Share Purchase Agreement dated as of July 4, 2000 by and between the Company and SanDisk Corporation or any successors thereto or permitted assignees thereof;</w:t>
      </w:r>
    </w:p>
    <w:p>
      <w:pPr>
        <w:spacing w:after="0" w:line="143"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1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"1934 ACT" means the Securities Exchange Act of 1934, as amended;</w:t>
      </w:r>
    </w:p>
    <w:p>
      <w:pPr>
        <w:sectPr>
          <w:pgSz w:w="11900" w:h="16838" w:orient="portrait"/>
          <w:cols w:equalWidth="0" w:num="1">
            <w:col w:w="10246"/>
          </w:cols>
          <w:pgMar w:left="213" w:top="672" w:right="1440" w:bottom="1440" w:gutter="0" w:footer="0" w:header="0"/>
        </w:sectPr>
      </w:pPr>
    </w:p>
    <w:bookmarkStart w:id="116" w:name="page117"/>
    <w:bookmarkEnd w:id="116"/>
    <w:p>
      <w:pPr>
        <w:ind w:left="710" w:hanging="353"/>
        <w:spacing w:after="0"/>
        <w:tabs>
          <w:tab w:leader="none" w:pos="710" w:val="left"/>
        </w:tabs>
        <w:numPr>
          <w:ilvl w:val="1"/>
          <w:numId w:val="1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"SEC" means the United States Securities and Exchange Commission.</w:t>
      </w:r>
    </w:p>
    <w:p>
      <w:pPr>
        <w:spacing w:after="0" w:line="146" w:lineRule="exact"/>
        <w:rPr>
          <w:rFonts w:ascii="Courier New" w:cs="Courier New" w:eastAsia="Courier New" w:hAnsi="Courier New"/>
          <w:sz w:val="11"/>
          <w:szCs w:val="11"/>
          <w:color w:val="auto"/>
        </w:rPr>
      </w:pPr>
    </w:p>
    <w:p>
      <w:pPr>
        <w:ind w:left="350" w:hanging="350"/>
        <w:spacing w:after="0"/>
        <w:tabs>
          <w:tab w:leader="none" w:pos="350" w:val="left"/>
        </w:tabs>
        <w:numPr>
          <w:ilvl w:val="0"/>
          <w:numId w:val="1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INCIDENTAL REGISTRATION</w:t>
      </w:r>
    </w:p>
    <w:p>
      <w:pPr>
        <w:spacing w:after="0" w:line="141" w:lineRule="exact"/>
        <w:rPr>
          <w:rFonts w:ascii="Courier New" w:cs="Courier New" w:eastAsia="Courier New" w:hAnsi="Courier New"/>
          <w:sz w:val="12"/>
          <w:szCs w:val="12"/>
          <w:color w:val="auto"/>
        </w:rPr>
      </w:pPr>
    </w:p>
    <w:p>
      <w:pPr>
        <w:ind w:left="350"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If the Company at any time proposes to register any of its securities (other than a registration of securities to be offered to employees, directors or consultants pursuant to a benefit plan on Form S-8 or a registration in connection with a merger, an exchange offer or any acquisition), it shall give notice to the Holder of such intention. Upon the written request of the Holder given within 20 (twenty) days after receipt of any such notice, the Company shall include in such registration all of the Registrable Shares indicated in such request, so as to permit the disposition of the shares so registered at the expense of the Company.</w:t>
      </w:r>
    </w:p>
    <w:p>
      <w:pPr>
        <w:spacing w:after="0" w:line="144" w:lineRule="exact"/>
        <w:rPr>
          <w:rFonts w:ascii="Courier New" w:cs="Courier New" w:eastAsia="Courier New" w:hAnsi="Courier New"/>
          <w:sz w:val="12"/>
          <w:szCs w:val="12"/>
          <w:color w:val="auto"/>
        </w:rPr>
      </w:pPr>
    </w:p>
    <w:p>
      <w:pPr>
        <w:ind w:left="350" w:right="45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Notwithstanding any other provision of this Section 9(b), in the event that the Company is undertaking a registration of its securities and the managing underwriter advises the Company in writing that marketing factors require a limitation of the number of Ordinary Shares to be underwritten, then there shall be excluded from such registration and underwriting, to the extent necessary to satisfy such limitation, Ordinary Shares held by any shareholders other than the Investor Holders pro rata to their respective shareholdings in the Company.</w:t>
      </w:r>
    </w:p>
    <w:p>
      <w:pPr>
        <w:spacing w:after="0" w:line="127"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ASSIGNMENT OF REGISTRATION RIGHTS</w:t>
      </w:r>
    </w:p>
    <w:p>
      <w:pPr>
        <w:spacing w:after="0" w:line="141" w:lineRule="exact"/>
        <w:rPr>
          <w:rFonts w:ascii="Courier New" w:cs="Courier New" w:eastAsia="Courier New" w:hAnsi="Courier New"/>
          <w:sz w:val="12"/>
          <w:szCs w:val="12"/>
          <w:color w:val="auto"/>
        </w:rPr>
      </w:pPr>
    </w:p>
    <w:p>
      <w:pPr>
        <w:ind w:left="350" w:right="459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rights to cause the Company to register Registrable Shares pursuant to the Registration Rights may be assigned by a Holder to a transferee or assignee of such shares to the same extent as permitted by Section 8 of this Warrant.</w:t>
      </w:r>
    </w:p>
    <w:p>
      <w:pPr>
        <w:spacing w:after="0" w:line="139"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CONFLICTING AGREEMENTS</w:t>
      </w:r>
    </w:p>
    <w:p>
      <w:pPr>
        <w:spacing w:after="0" w:line="141" w:lineRule="exact"/>
        <w:rPr>
          <w:rFonts w:ascii="Courier New" w:cs="Courier New" w:eastAsia="Courier New" w:hAnsi="Courier New"/>
          <w:sz w:val="12"/>
          <w:szCs w:val="12"/>
          <w:color w:val="auto"/>
        </w:rPr>
      </w:pPr>
    </w:p>
    <w:p>
      <w:pPr>
        <w:ind w:left="350"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and warrants to the Holder that the Company is not a party to any agreement that conflicts in any manner with the Holder's rights to cause the Company to register Registrable Shares pursuant to the Registration Rights. The Company covenants and agrees that it shall not, without the prior written consent of the holders of a majority of the outstanding Registrable Shares, amend, modify or restate the Registration Rights if the Holder would be adversely affected by the amendment in a different manner than other holders of "Registrable Shares" similarly situated.</w:t>
      </w:r>
    </w:p>
    <w:p>
      <w:pPr>
        <w:sectPr>
          <w:pgSz w:w="11900" w:h="16838" w:orient="portrait"/>
          <w:cols w:equalWidth="0" w:num="1">
            <w:col w:w="9889"/>
          </w:cols>
          <w:pgMar w:left="570" w:top="672" w:right="1440" w:bottom="1440" w:gutter="0" w:footer="0" w:header="0"/>
        </w:sectPr>
      </w:pPr>
    </w:p>
    <w:bookmarkStart w:id="117" w:name="page118"/>
    <w:bookmarkEnd w:id="117"/>
    <w:p>
      <w:pPr>
        <w:ind w:left="350" w:hanging="350"/>
        <w:spacing w:after="0"/>
        <w:tabs>
          <w:tab w:leader="none" w:pos="350"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AND OBLIGATIONS SURVIVE EXERCISE AND EXPIRATION OF WARRANT</w:t>
      </w:r>
    </w:p>
    <w:p>
      <w:pPr>
        <w:spacing w:after="0" w:line="141" w:lineRule="exact"/>
        <w:rPr>
          <w:rFonts w:ascii="Courier New" w:cs="Courier New" w:eastAsia="Courier New" w:hAnsi="Courier New"/>
          <w:sz w:val="12"/>
          <w:szCs w:val="12"/>
          <w:color w:val="auto"/>
        </w:rPr>
      </w:pPr>
    </w:p>
    <w:p>
      <w:pPr>
        <w:ind w:left="350" w:right="459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rights and obligations of the Company and the Holder set forth in this Section 9 and in the Registration Rights shall survive the exercise, conversion and expiration of this Warrant.</w:t>
      </w:r>
    </w:p>
    <w:p>
      <w:pPr>
        <w:spacing w:after="0" w:line="139"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STAND-OFF PERIOD</w:t>
      </w:r>
    </w:p>
    <w:p>
      <w:pPr>
        <w:spacing w:after="0" w:line="141" w:lineRule="exact"/>
        <w:rPr>
          <w:rFonts w:ascii="Courier New" w:cs="Courier New" w:eastAsia="Courier New" w:hAnsi="Courier New"/>
          <w:sz w:val="12"/>
          <w:szCs w:val="12"/>
          <w:color w:val="auto"/>
        </w:rPr>
      </w:pPr>
    </w:p>
    <w:p>
      <w:pPr>
        <w:ind w:left="350" w:right="4539"/>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Holder, if requested by the Company and the underwriters of the Company's securities, shall enter into an agreement ("THE MARKET STAND-OFF AGREEMENT") not to sell, sell any option, or otherwise transfer or dispose of any Registrable Shares held by the Holder during the 90-day period (or such shorter period as is required by the underwriters) following the effective date of a registration statement of the Company filed under the Securities Act, provided that such restrictions shall not apply to Ordinary Shares or other securities of the Company that are included in such registration statement and the Holder shall not be obligated to enter into a Market Stand-off Agreement if any officer, director or holder of 5% (five percent) or more of the outstanding Ordinary Shares of the Company is not subject to a Market Stand-off Agreement with substantially similar terms. The underwriters in connection with such registration statement are intended third party beneficiaries of this provision.</w:t>
      </w:r>
    </w:p>
    <w:p>
      <w:pPr>
        <w:spacing w:after="0" w:line="266" w:lineRule="exact"/>
        <w:rPr>
          <w:rFonts w:ascii="Courier New" w:cs="Courier New" w:eastAsia="Courier New" w:hAnsi="Courier New"/>
          <w:sz w:val="12"/>
          <w:szCs w:val="12"/>
          <w:color w:val="auto"/>
        </w:rPr>
      </w:pPr>
    </w:p>
    <w:p>
      <w:pPr>
        <w:ind w:left="350" w:hanging="350"/>
        <w:spacing w:after="0"/>
        <w:tabs>
          <w:tab w:leader="none" w:pos="350"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INDEMNIFICATION</w:t>
      </w:r>
    </w:p>
    <w:p>
      <w:pPr>
        <w:spacing w:after="0" w:line="141" w:lineRule="exact"/>
        <w:rPr>
          <w:rFonts w:ascii="Courier New" w:cs="Courier New" w:eastAsia="Courier New" w:hAnsi="Courier New"/>
          <w:sz w:val="12"/>
          <w:szCs w:val="12"/>
          <w:color w:val="auto"/>
        </w:rPr>
      </w:pPr>
    </w:p>
    <w:p>
      <w:pPr>
        <w:ind w:left="350" w:right="48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any Registrable Shares are included in a registration statement in accordance herewith:</w:t>
      </w:r>
    </w:p>
    <w:p>
      <w:pPr>
        <w:sectPr>
          <w:pgSz w:w="11900" w:h="16838" w:orient="portrait"/>
          <w:cols w:equalWidth="0" w:num="1">
            <w:col w:w="9889"/>
          </w:cols>
          <w:pgMar w:left="570" w:top="669" w:right="1440" w:bottom="1440" w:gutter="0" w:footer="0" w:header="0"/>
        </w:sectPr>
      </w:pPr>
    </w:p>
    <w:bookmarkStart w:id="118" w:name="page119"/>
    <w:bookmarkEnd w:id="118"/>
    <w:p>
      <w:pPr>
        <w:ind w:right="4539"/>
        <w:spacing w:after="0" w:line="242" w:lineRule="auto"/>
        <w:rPr>
          <w:sz w:val="20"/>
          <w:szCs w:val="20"/>
          <w:color w:val="auto"/>
        </w:rPr>
      </w:pPr>
      <w:r>
        <w:rPr>
          <w:rFonts w:ascii="Courier New" w:cs="Courier New" w:eastAsia="Courier New" w:hAnsi="Courier New"/>
          <w:sz w:val="12"/>
          <w:szCs w:val="12"/>
          <w:color w:val="auto"/>
        </w:rPr>
        <w:t>To the extent permitted by law, the Company will indemnify and hold harmless the Holder, its officers and directors, any underwriter (as defined in the Securities Act) for any Holder and each person, if any, who controls any Holder or underwriter within the meaning of the Securities Act or the 1934 Act against any losses, claims, damages, or liabilities to which they may become subject under the Securities Act, the 1934 Act or other United States federal or state law or the securities laws of the State of Israel, insofar as such losses, claims, damages, or liabilities (or actions in respect thereof) arise out of or are based upon any of the following statements, omissions or violations (collectively a "VIOLATION"): (i) any untrue statement of a material fact contained in such registration statement, including any preliminary prospectus or final prospectus contained therein or any amendments or supplements thereto; (ii) the omission to state therein a material fact required to be stated therein, or necessary to make the statements therein not misleading in light of the circumstances under which they were made; or (iii) any violation by the Company of the Securities Act, the 1934 Act, any state securities law or any rule or regulation promulgated under the Securities Act, the 1934 Act or any state securities law, or any of the securities laws of the State of Israel or any rule or regulation thereunder; and the Company will reimburse each such Holder, officer or director, underwriter or controlling person for any legal or other expenses reasonably incurred by them in connection with investigating or defending any such loss, claim, damage, liability, or action; provided, however, that the indemnity agreement contained in this Section 9(g), shall not apply to amounts paid in settlement of any such loss, claim, damage, liability, or action if such settlement is effected without the consent of the Company (which consent shall not be unreasonably withheld), nor shall the Company be liable to the Holder, underwriter or controlling person in any such case for any such loss, claim, damage, liability, or action to the extent that it arises out of or is based upon a Violation which occurs in reliance upon and in conformity with written information furnished to the Company expressly for use in connection with such registration by the Holder, underwriter or controlling person. Such indemnity shall remain in full force and effect regardless of any investigation made by or on behalf of the Holder, the underwriter or any controlling person of the Holder or the underwriter, and regardless of any sale in connection with such offering by the Holder.</w:t>
      </w:r>
    </w:p>
    <w:p>
      <w:pPr>
        <w:sectPr>
          <w:pgSz w:w="11900" w:h="16838" w:orient="portrait"/>
          <w:cols w:equalWidth="0" w:num="1">
            <w:col w:w="9539"/>
          </w:cols>
          <w:pgMar w:left="920" w:top="672" w:right="1440" w:bottom="1440" w:gutter="0" w:footer="0" w:header="0"/>
        </w:sectPr>
      </w:pPr>
    </w:p>
    <w:bookmarkStart w:id="119" w:name="page120"/>
    <w:bookmarkEnd w:id="119"/>
    <w:p>
      <w:pPr>
        <w:ind w:right="4539"/>
        <w:spacing w:after="0" w:line="242" w:lineRule="auto"/>
        <w:rPr>
          <w:sz w:val="20"/>
          <w:szCs w:val="20"/>
          <w:color w:val="auto"/>
        </w:rPr>
      </w:pPr>
      <w:r>
        <w:rPr>
          <w:rFonts w:ascii="Courier New" w:cs="Courier New" w:eastAsia="Courier New" w:hAnsi="Courier New"/>
          <w:sz w:val="12"/>
          <w:szCs w:val="12"/>
          <w:color w:val="auto"/>
        </w:rPr>
        <w:t>To the extent permitted by law, the Holder will indemnify and hold harmless the Company, each of its directors, each of its officers who have signed the registration statement, each person, if any, who controls the Company within the meaning of the Securities Act, any underwriter (within the meaning of the Securities Act) for the Company, any person who controls such underwriter, and any other parties selling securities in such registration statement or any directors or officers or any persons controlling such parties, against any losses, claims, damages, or liabilities to which the Company or any such director, officer, controlling person, or underwriter or controlling person may become subject under the Securities Act, the 1934 Act or other United States federal or state law, or any of the securities laws of the State of Israel, insofar as such losses, claims, damages, liabilities (or actions in respect hereto) arise out of or are based upon any Violation, in each case to the extent (and only to the extent) that such Violation occurs in reliance upon and in conformity with written information furnished to the Company by the Holder expressly for use in connection with such registration statement; and the Holder will reimburse any legal or other expenses reasonably incurred by the Company or any such director, officer, controlling person, underwriter or controlling person, in connection with investigating or defending any such loss, claim, damage, liability or action attributable to such Violation or alleged Violation; provided, however, that the indemnity agreement contained in this Section 9(g) shall not apply to amounts paid in settlement of any such loss, claim, damage, liability or action if such settlement is effected without the consent of the Holder, which consent shall not be unreasonably withheld. In no event shall the liability of the Holder hereunder exceed the net proceeds from the offering received by the Holder.</w:t>
      </w:r>
    </w:p>
    <w:p>
      <w:pPr>
        <w:spacing w:after="0" w:line="142" w:lineRule="exact"/>
        <w:rPr>
          <w:sz w:val="20"/>
          <w:szCs w:val="20"/>
          <w:color w:val="auto"/>
        </w:rPr>
      </w:pPr>
    </w:p>
    <w:p>
      <w:pPr>
        <w:ind w:right="4539"/>
        <w:spacing w:after="0" w:line="242" w:lineRule="auto"/>
        <w:rPr>
          <w:sz w:val="20"/>
          <w:szCs w:val="20"/>
          <w:color w:val="auto"/>
        </w:rPr>
      </w:pPr>
      <w:r>
        <w:rPr>
          <w:rFonts w:ascii="Courier New" w:cs="Courier New" w:eastAsia="Courier New" w:hAnsi="Courier New"/>
          <w:sz w:val="12"/>
          <w:szCs w:val="12"/>
          <w:color w:val="auto"/>
        </w:rPr>
        <w:t>Promptly after receipt by an indemnified party under this Section 9(g) of notice of the commencement of any action (including any governmental action), such indemnified party will, if a claim in respect thereof is to be made against any indemnifying party under this Section 9(g),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notify an indemnifying party within a reasonable time of the commencement of any such action, if prejudicial to its ability to defend such action, shall relieve such indemnifying party of any liability to the indemnifying party under this Section 9(g), but the omission to so notify the indemnifying party will not relieve such indemnifying party of any liability that it may have to any indemnified party otherwise than under this Section 9(g).</w:t>
      </w:r>
    </w:p>
    <w:p>
      <w:pPr>
        <w:sectPr>
          <w:pgSz w:w="11900" w:h="16838" w:orient="portrait"/>
          <w:cols w:equalWidth="0" w:num="1">
            <w:col w:w="9539"/>
          </w:cols>
          <w:pgMar w:left="920" w:top="672" w:right="1440" w:bottom="1440" w:gutter="0" w:footer="0" w:header="0"/>
        </w:sectPr>
      </w:pPr>
    </w:p>
    <w:bookmarkStart w:id="120" w:name="page121"/>
    <w:bookmarkEnd w:id="120"/>
    <w:p>
      <w:pPr>
        <w:spacing w:after="0"/>
        <w:tabs>
          <w:tab w:leader="none" w:pos="340" w:val="left"/>
        </w:tabs>
        <w:rPr>
          <w:sz w:val="20"/>
          <w:szCs w:val="20"/>
          <w:color w:val="auto"/>
        </w:rPr>
      </w:pPr>
      <w:r>
        <w:rPr>
          <w:rFonts w:ascii="Courier New" w:cs="Courier New" w:eastAsia="Courier New" w:hAnsi="Courier New"/>
          <w:sz w:val="12"/>
          <w:szCs w:val="12"/>
          <w:color w:val="auto"/>
        </w:rPr>
        <w:t>9A.</w:t>
        <w:tab/>
        <w:t>OBLIGATIONS OF THE COMPANY</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Whenever the Company files a registration statement with respect to any</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Registrable Shares, the Company, at its expense, shall:</w:t>
      </w:r>
    </w:p>
    <w:p>
      <w:pPr>
        <w:spacing w:after="0" w:line="141" w:lineRule="exact"/>
        <w:rPr>
          <w:sz w:val="20"/>
          <w:szCs w:val="20"/>
          <w:color w:val="auto"/>
        </w:rPr>
      </w:pPr>
    </w:p>
    <w:p>
      <w:pPr>
        <w:ind w:left="700" w:right="4599" w:hanging="356"/>
        <w:spacing w:after="0" w:line="272" w:lineRule="auto"/>
        <w:rPr>
          <w:sz w:val="20"/>
          <w:szCs w:val="20"/>
          <w:color w:val="auto"/>
        </w:rPr>
      </w:pPr>
      <w:r>
        <w:rPr>
          <w:rFonts w:ascii="Courier New" w:cs="Courier New" w:eastAsia="Courier New" w:hAnsi="Courier New"/>
          <w:sz w:val="11"/>
          <w:szCs w:val="11"/>
          <w:color w:val="auto"/>
        </w:rPr>
        <w:t>9A.1 prepare and file with the SEC (or other relevant body) a registration statement with respect to such Registrable Shares and use its best efforts to cause such registration statement to become effective.</w:t>
      </w:r>
    </w:p>
    <w:p>
      <w:pPr>
        <w:spacing w:after="0" w:line="125" w:lineRule="exact"/>
        <w:rPr>
          <w:sz w:val="20"/>
          <w:szCs w:val="20"/>
          <w:color w:val="auto"/>
        </w:rPr>
      </w:pPr>
    </w:p>
    <w:p>
      <w:pPr>
        <w:ind w:left="700" w:right="4599" w:hanging="356"/>
        <w:spacing w:after="0" w:line="241" w:lineRule="auto"/>
        <w:rPr>
          <w:sz w:val="20"/>
          <w:szCs w:val="20"/>
          <w:color w:val="auto"/>
        </w:rPr>
      </w:pPr>
      <w:r>
        <w:rPr>
          <w:rFonts w:ascii="Courier New" w:cs="Courier New" w:eastAsia="Courier New" w:hAnsi="Courier New"/>
          <w:sz w:val="12"/>
          <w:szCs w:val="12"/>
          <w:color w:val="auto"/>
        </w:rPr>
        <w:t>9A.2 promptly prepare and file with the SEC (or other relevant body) such amendments and supplements to such registration statement and the prospectus used in connection with such registration statement as may be necessary to comply with the provisions of the Securities Act (or other relevant legislation) with respect to the disposition of all securities covered by such registration statement.</w:t>
      </w:r>
    </w:p>
    <w:p>
      <w:pPr>
        <w:spacing w:after="0" w:line="142" w:lineRule="exact"/>
        <w:rPr>
          <w:sz w:val="20"/>
          <w:szCs w:val="20"/>
          <w:color w:val="auto"/>
        </w:rPr>
      </w:pPr>
    </w:p>
    <w:p>
      <w:pPr>
        <w:ind w:left="700" w:right="4539" w:hanging="356"/>
        <w:spacing w:after="0" w:line="241" w:lineRule="auto"/>
        <w:rPr>
          <w:sz w:val="20"/>
          <w:szCs w:val="20"/>
          <w:color w:val="auto"/>
        </w:rPr>
      </w:pPr>
      <w:r>
        <w:rPr>
          <w:rFonts w:ascii="Courier New" w:cs="Courier New" w:eastAsia="Courier New" w:hAnsi="Courier New"/>
          <w:sz w:val="12"/>
          <w:szCs w:val="12"/>
          <w:color w:val="auto"/>
        </w:rPr>
        <w:t>9A.3 furnish to the Holder such number of copies of a prospectus, including a preliminary prospectus, in conformity with the requirements of the Securities Act (or other relevant legislation), and such other documents as it may reasonably request in order to facilitate the disposition of Registrable Shares owned by it.</w:t>
      </w:r>
    </w:p>
    <w:p>
      <w:pPr>
        <w:spacing w:after="0" w:line="141" w:lineRule="exact"/>
        <w:rPr>
          <w:sz w:val="20"/>
          <w:szCs w:val="20"/>
          <w:color w:val="auto"/>
        </w:rPr>
      </w:pPr>
    </w:p>
    <w:p>
      <w:pPr>
        <w:ind w:left="700" w:right="4539" w:hanging="356"/>
        <w:spacing w:after="0" w:line="241" w:lineRule="auto"/>
        <w:rPr>
          <w:sz w:val="20"/>
          <w:szCs w:val="20"/>
          <w:color w:val="auto"/>
        </w:rPr>
      </w:pPr>
      <w:r>
        <w:rPr>
          <w:rFonts w:ascii="Courier New" w:cs="Courier New" w:eastAsia="Courier New" w:hAnsi="Courier New"/>
          <w:sz w:val="12"/>
          <w:szCs w:val="12"/>
          <w:color w:val="auto"/>
        </w:rPr>
        <w:t>9A.4 register and qualify the securities covered by such registration statement under such other securities or blue sky laws of such jurisdictions as shall be reasonably requested by the Holder, provided, however, that the Company shall not be required to qualify to do business as a foreign corporation or to file any general consent to service of process in any jurisdiction in which it has not already so qualified or filed.</w:t>
      </w:r>
    </w:p>
    <w:p>
      <w:pPr>
        <w:spacing w:after="0" w:line="142" w:lineRule="exact"/>
        <w:rPr>
          <w:sz w:val="20"/>
          <w:szCs w:val="20"/>
          <w:color w:val="auto"/>
        </w:rPr>
      </w:pPr>
    </w:p>
    <w:p>
      <w:pPr>
        <w:ind w:left="700" w:right="4539" w:hanging="356"/>
        <w:spacing w:after="0" w:line="241" w:lineRule="auto"/>
        <w:rPr>
          <w:sz w:val="20"/>
          <w:szCs w:val="20"/>
          <w:color w:val="auto"/>
        </w:rPr>
      </w:pPr>
      <w:r>
        <w:rPr>
          <w:rFonts w:ascii="Courier New" w:cs="Courier New" w:eastAsia="Courier New" w:hAnsi="Courier New"/>
          <w:sz w:val="12"/>
          <w:szCs w:val="12"/>
          <w:color w:val="auto"/>
        </w:rPr>
        <w:t>9A.5 in the event of any underwritten public offering, enter into and perform its obligations under an underwriting agreement with usual and customary terms that are generally satisfactory to the managing underwriter of such offer. The Holder shall also enter into and perform their obligations under such an agreement (the terms of which must be satisfactory to the Holder if the Holder is to participate in such offering).</w:t>
      </w:r>
    </w:p>
    <w:p>
      <w:pPr>
        <w:spacing w:after="0" w:line="142" w:lineRule="exact"/>
        <w:rPr>
          <w:sz w:val="20"/>
          <w:szCs w:val="20"/>
          <w:color w:val="auto"/>
        </w:rPr>
      </w:pPr>
    </w:p>
    <w:p>
      <w:pPr>
        <w:ind w:left="700" w:right="4599" w:hanging="356"/>
        <w:spacing w:after="0" w:line="241" w:lineRule="auto"/>
        <w:rPr>
          <w:sz w:val="20"/>
          <w:szCs w:val="20"/>
          <w:color w:val="auto"/>
        </w:rPr>
      </w:pPr>
      <w:r>
        <w:rPr>
          <w:rFonts w:ascii="Courier New" w:cs="Courier New" w:eastAsia="Courier New" w:hAnsi="Courier New"/>
          <w:sz w:val="12"/>
          <w:szCs w:val="12"/>
          <w:color w:val="auto"/>
        </w:rPr>
        <w:t>9A.6 notify the Holder at any time when a prospectus relating to a registration statement filed pursuant hereto is required to be delivered under the Securities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in which event the Holder shall forthwith discontinue disposition of its Registrable Shares pursuant to such prospectus until it is advised in writing by the Company that the use of such prospectus may be resumed or until such holder receives copies of any supplement or amendment to such prospectus.</w:t>
      </w:r>
    </w:p>
    <w:p>
      <w:pPr>
        <w:sectPr>
          <w:pgSz w:w="11900" w:h="16838" w:orient="portrait"/>
          <w:cols w:equalWidth="0" w:num="1">
            <w:col w:w="10239"/>
          </w:cols>
          <w:pgMar w:left="220" w:top="669" w:right="1440" w:bottom="1440" w:gutter="0" w:footer="0" w:header="0"/>
        </w:sectPr>
      </w:pPr>
    </w:p>
    <w:bookmarkStart w:id="121" w:name="page122"/>
    <w:bookmarkEnd w:id="121"/>
    <w:p>
      <w:pPr>
        <w:ind w:right="4599" w:hanging="356"/>
        <w:spacing w:after="0" w:line="239" w:lineRule="auto"/>
        <w:rPr>
          <w:sz w:val="20"/>
          <w:szCs w:val="20"/>
          <w:color w:val="auto"/>
        </w:rPr>
      </w:pPr>
      <w:r>
        <w:rPr>
          <w:rFonts w:ascii="Courier New" w:cs="Courier New" w:eastAsia="Courier New" w:hAnsi="Courier New"/>
          <w:sz w:val="12"/>
          <w:szCs w:val="12"/>
          <w:color w:val="auto"/>
        </w:rPr>
        <w:t>9A.7 cause all Registrable Shares registered pursuant thereunder to be listed on each securities exchange on which similar securities issued by the Company are then listed.</w:t>
      </w:r>
    </w:p>
    <w:p>
      <w:pPr>
        <w:spacing w:after="0" w:line="143" w:lineRule="exact"/>
        <w:rPr>
          <w:sz w:val="20"/>
          <w:szCs w:val="20"/>
          <w:color w:val="auto"/>
        </w:rPr>
      </w:pPr>
    </w:p>
    <w:p>
      <w:pPr>
        <w:ind w:right="4899" w:hanging="356"/>
        <w:spacing w:after="0"/>
        <w:rPr>
          <w:sz w:val="20"/>
          <w:szCs w:val="20"/>
          <w:color w:val="auto"/>
        </w:rPr>
      </w:pPr>
      <w:r>
        <w:rPr>
          <w:rFonts w:ascii="Courier New" w:cs="Courier New" w:eastAsia="Courier New" w:hAnsi="Courier New"/>
          <w:sz w:val="12"/>
          <w:szCs w:val="12"/>
          <w:color w:val="auto"/>
        </w:rPr>
        <w:t>9A.8 provide a transfer agent and registrar for all Registrable Shares registered pursuant hereunder and a CUSIP number for all such Registrable Share not later than the effective date of such registration.</w:t>
      </w:r>
    </w:p>
    <w:p>
      <w:pPr>
        <w:spacing w:after="0" w:line="142" w:lineRule="exact"/>
        <w:rPr>
          <w:sz w:val="20"/>
          <w:szCs w:val="20"/>
          <w:color w:val="auto"/>
        </w:rPr>
      </w:pPr>
    </w:p>
    <w:p>
      <w:pPr>
        <w:ind w:right="4539" w:hanging="356"/>
        <w:spacing w:after="0" w:line="241" w:lineRule="auto"/>
        <w:rPr>
          <w:sz w:val="20"/>
          <w:szCs w:val="20"/>
          <w:color w:val="auto"/>
        </w:rPr>
      </w:pPr>
      <w:r>
        <w:rPr>
          <w:rFonts w:ascii="Courier New" w:cs="Courier New" w:eastAsia="Courier New" w:hAnsi="Courier New"/>
          <w:sz w:val="12"/>
          <w:szCs w:val="12"/>
          <w:color w:val="auto"/>
        </w:rPr>
        <w:t>9A.9 afford the Holder and its representatives the opportunity to make such examination of the business affairs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142" w:lineRule="exact"/>
        <w:rPr>
          <w:sz w:val="20"/>
          <w:szCs w:val="20"/>
          <w:color w:val="auto"/>
        </w:rPr>
      </w:pPr>
    </w:p>
    <w:p>
      <w:pPr>
        <w:ind w:right="4599" w:hanging="356"/>
        <w:spacing w:after="0" w:line="265" w:lineRule="auto"/>
        <w:rPr>
          <w:sz w:val="20"/>
          <w:szCs w:val="20"/>
          <w:color w:val="auto"/>
        </w:rPr>
      </w:pPr>
      <w:r>
        <w:rPr>
          <w:rFonts w:ascii="Courier New" w:cs="Courier New" w:eastAsia="Courier New" w:hAnsi="Courier New"/>
          <w:sz w:val="11"/>
          <w:szCs w:val="11"/>
          <w:color w:val="auto"/>
        </w:rPr>
        <w:t>9A.10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ectPr>
          <w:pgSz w:w="11900" w:h="16838" w:orient="portrait"/>
          <w:cols w:equalWidth="0" w:num="1">
            <w:col w:w="9539"/>
          </w:cols>
          <w:pgMar w:left="920" w:top="672" w:right="1440" w:bottom="1440" w:gutter="0" w:footer="0" w:header="0"/>
        </w:sectPr>
      </w:pPr>
    </w:p>
    <w:bookmarkStart w:id="122" w:name="page123"/>
    <w:bookmarkEnd w:id="122"/>
    <w:p>
      <w:pPr>
        <w:ind w:left="7"/>
        <w:spacing w:after="0"/>
        <w:tabs>
          <w:tab w:leader="none" w:pos="346" w:val="left"/>
        </w:tabs>
        <w:rPr>
          <w:sz w:val="20"/>
          <w:szCs w:val="20"/>
          <w:color w:val="auto"/>
        </w:rPr>
      </w:pPr>
      <w:r>
        <w:rPr>
          <w:rFonts w:ascii="Courier New" w:cs="Courier New" w:eastAsia="Courier New" w:hAnsi="Courier New"/>
          <w:sz w:val="12"/>
          <w:szCs w:val="12"/>
          <w:color w:val="auto"/>
        </w:rPr>
        <w:t>9B.</w:t>
        <w:tab/>
        <w:t>RULE 144 REPORTING</w:t>
      </w:r>
    </w:p>
    <w:p>
      <w:pPr>
        <w:spacing w:after="0" w:line="141" w:lineRule="exact"/>
        <w:rPr>
          <w:sz w:val="20"/>
          <w:szCs w:val="20"/>
          <w:color w:val="auto"/>
        </w:rPr>
      </w:pPr>
    </w:p>
    <w:p>
      <w:pPr>
        <w:ind w:left="367" w:right="4679"/>
        <w:spacing w:after="0"/>
        <w:rPr>
          <w:sz w:val="20"/>
          <w:szCs w:val="20"/>
          <w:color w:val="auto"/>
        </w:rPr>
      </w:pPr>
      <w:r>
        <w:rPr>
          <w:rFonts w:ascii="Courier New" w:cs="Courier New" w:eastAsia="Courier New" w:hAnsi="Courier New"/>
          <w:sz w:val="12"/>
          <w:szCs w:val="12"/>
          <w:color w:val="auto"/>
        </w:rPr>
        <w:t>With a view to making available the benefits of certain rules and regulations of the SEC that may permit the sale of the Registrable Shares to the public without registration, the Company agrees to use its best efforts to:</w:t>
      </w:r>
    </w:p>
    <w:p>
      <w:pPr>
        <w:spacing w:after="0" w:line="142" w:lineRule="exact"/>
        <w:rPr>
          <w:sz w:val="20"/>
          <w:szCs w:val="20"/>
          <w:color w:val="auto"/>
        </w:rPr>
      </w:pPr>
    </w:p>
    <w:p>
      <w:pPr>
        <w:ind w:left="707" w:right="4759" w:hanging="356"/>
        <w:spacing w:after="0" w:line="239" w:lineRule="auto"/>
        <w:rPr>
          <w:sz w:val="20"/>
          <w:szCs w:val="20"/>
          <w:color w:val="auto"/>
        </w:rPr>
      </w:pPr>
      <w:r>
        <w:rPr>
          <w:rFonts w:ascii="Courier New" w:cs="Courier New" w:eastAsia="Courier New" w:hAnsi="Courier New"/>
          <w:sz w:val="12"/>
          <w:szCs w:val="12"/>
          <w:color w:val="auto"/>
        </w:rPr>
        <w:t>9B.1 make and keep public information regarding the Company available as those terms are understood and defined in Rule 144 under the Securities Act, at all times;</w:t>
      </w:r>
    </w:p>
    <w:p>
      <w:pPr>
        <w:spacing w:after="0" w:line="143" w:lineRule="exact"/>
        <w:rPr>
          <w:sz w:val="20"/>
          <w:szCs w:val="20"/>
          <w:color w:val="auto"/>
        </w:rPr>
      </w:pPr>
    </w:p>
    <w:p>
      <w:pPr>
        <w:jc w:val="both"/>
        <w:ind w:left="707" w:right="4679" w:hanging="356"/>
        <w:spacing w:after="0" w:line="272" w:lineRule="auto"/>
        <w:rPr>
          <w:sz w:val="20"/>
          <w:szCs w:val="20"/>
          <w:color w:val="auto"/>
        </w:rPr>
      </w:pPr>
      <w:r>
        <w:rPr>
          <w:rFonts w:ascii="Courier New" w:cs="Courier New" w:eastAsia="Courier New" w:hAnsi="Courier New"/>
          <w:sz w:val="11"/>
          <w:szCs w:val="11"/>
          <w:color w:val="auto"/>
        </w:rPr>
        <w:t>9B.2 file with the SEC in a timely manner all reports and other documents required of the Company under the Securities Act and the 1934 Act at any time after it has become subject to such reporting requirements;</w:t>
      </w:r>
    </w:p>
    <w:p>
      <w:pPr>
        <w:spacing w:after="0" w:line="125" w:lineRule="exact"/>
        <w:rPr>
          <w:sz w:val="20"/>
          <w:szCs w:val="20"/>
          <w:color w:val="auto"/>
        </w:rPr>
      </w:pPr>
    </w:p>
    <w:p>
      <w:pPr>
        <w:ind w:left="707" w:right="4539" w:hanging="356"/>
        <w:spacing w:after="0" w:line="241" w:lineRule="auto"/>
        <w:rPr>
          <w:sz w:val="20"/>
          <w:szCs w:val="20"/>
          <w:color w:val="auto"/>
        </w:rPr>
      </w:pPr>
      <w:r>
        <w:rPr>
          <w:rFonts w:ascii="Courier New" w:cs="Courier New" w:eastAsia="Courier New" w:hAnsi="Courier New"/>
          <w:sz w:val="12"/>
          <w:szCs w:val="12"/>
          <w:color w:val="auto"/>
        </w:rPr>
        <w:t>9B.3 so long as the Holder owns any Registrable Shares, furnish to the Holder forthwith upon written request a written statement by the Company as to its compliance with the reporting requirements of Rule 144, and of the Securities Act and the 1934 Act, a copy of the most recent annual or quarterly report of the Company, and such other reports and documents so filed as the Holder may reasonably request in availing itself of any rule or regulation of the SEC allowing the Holder to sell any such securities without registration.</w:t>
      </w:r>
    </w:p>
    <w:p>
      <w:pPr>
        <w:spacing w:after="0" w:line="140"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9C.</w:t>
        <w:tab/>
        <w:t>EXPENSES OF REGISTRATION</w:t>
      </w:r>
    </w:p>
    <w:p>
      <w:pPr>
        <w:spacing w:after="0" w:line="141" w:lineRule="exact"/>
        <w:rPr>
          <w:sz w:val="20"/>
          <w:szCs w:val="20"/>
          <w:color w:val="auto"/>
        </w:rPr>
      </w:pPr>
    </w:p>
    <w:p>
      <w:pPr>
        <w:ind w:left="367" w:right="4599"/>
        <w:spacing w:after="0" w:line="241" w:lineRule="auto"/>
        <w:rPr>
          <w:sz w:val="20"/>
          <w:szCs w:val="20"/>
          <w:color w:val="auto"/>
        </w:rPr>
      </w:pPr>
      <w:r>
        <w:rPr>
          <w:rFonts w:ascii="Courier New" w:cs="Courier New" w:eastAsia="Courier New" w:hAnsi="Courier New"/>
          <w:sz w:val="12"/>
          <w:szCs w:val="12"/>
          <w:color w:val="auto"/>
        </w:rPr>
        <w:t>All expenses incurred by the Company in connection with any registration pursuant to this Agreement (other than underwriter's commissions and fees) including without limitation all registration, filing and qualification fees, printers' and accounting fees and fees and disbursements of counsel for the Company and fees and disbursements of one counsel for the Holder, shall be borne by the Company.</w:t>
      </w:r>
    </w:p>
    <w:p>
      <w:pPr>
        <w:spacing w:after="0" w:line="139" w:lineRule="exact"/>
        <w:rPr>
          <w:sz w:val="20"/>
          <w:szCs w:val="20"/>
          <w:color w:val="auto"/>
        </w:rPr>
      </w:pPr>
    </w:p>
    <w:p>
      <w:pPr>
        <w:ind w:left="367" w:hanging="367"/>
        <w:spacing w:after="0"/>
        <w:tabs>
          <w:tab w:leader="none" w:pos="367" w:val="left"/>
        </w:tabs>
        <w:numPr>
          <w:ilvl w:val="0"/>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WARRANTIES AND COVENANTS</w:t>
      </w:r>
    </w:p>
    <w:p>
      <w:pPr>
        <w:spacing w:after="0" w:line="138" w:lineRule="exact"/>
        <w:rPr>
          <w:rFonts w:ascii="Courier New" w:cs="Courier New" w:eastAsia="Courier New" w:hAnsi="Courier New"/>
          <w:sz w:val="12"/>
          <w:szCs w:val="12"/>
          <w:color w:val="auto"/>
        </w:rPr>
      </w:pPr>
    </w:p>
    <w:p>
      <w:pPr>
        <w:ind w:left="36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represents, warrants and covenants to the Holder as follows:</w:t>
      </w:r>
    </w:p>
    <w:p>
      <w:pPr>
        <w:spacing w:after="0" w:line="141" w:lineRule="exact"/>
        <w:rPr>
          <w:rFonts w:ascii="Courier New" w:cs="Courier New" w:eastAsia="Courier New" w:hAnsi="Courier New"/>
          <w:sz w:val="12"/>
          <w:szCs w:val="12"/>
          <w:color w:val="auto"/>
        </w:rPr>
      </w:pPr>
    </w:p>
    <w:p>
      <w:pPr>
        <w:ind w:left="707" w:right="4599" w:hanging="350"/>
        <w:spacing w:after="0" w:line="239" w:lineRule="auto"/>
        <w:tabs>
          <w:tab w:leader="none" w:pos="707"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Warrant has been duly authorized and executed by the Company and is a valid and binding obligation of the Company enforceable in accordance with its terms;</w:t>
      </w:r>
    </w:p>
    <w:p>
      <w:pPr>
        <w:spacing w:after="0" w:line="142" w:lineRule="exact"/>
        <w:rPr>
          <w:rFonts w:ascii="Courier New" w:cs="Courier New" w:eastAsia="Courier New" w:hAnsi="Courier New"/>
          <w:sz w:val="12"/>
          <w:szCs w:val="12"/>
          <w:color w:val="auto"/>
        </w:rPr>
      </w:pPr>
    </w:p>
    <w:p>
      <w:pPr>
        <w:ind w:left="707" w:right="4539" w:hanging="350"/>
        <w:spacing w:after="0"/>
        <w:tabs>
          <w:tab w:leader="none" w:pos="707" w:val="left"/>
        </w:tabs>
        <w:numPr>
          <w:ilvl w:val="1"/>
          <w:numId w:val="2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Warrant Shares are duly authorized and reserved for issuance by the Company and, when issued in accordance with the terms hereof, will be validly issued, fully paid and non-assessable and not subject to any pre-emptive rights;</w:t>
      </w:r>
    </w:p>
    <w:p>
      <w:pPr>
        <w:sectPr>
          <w:pgSz w:w="11900" w:h="16838" w:orient="portrait"/>
          <w:cols w:equalWidth="0" w:num="1">
            <w:col w:w="10246"/>
          </w:cols>
          <w:pgMar w:left="213" w:top="669" w:right="1440" w:bottom="1440" w:gutter="0" w:footer="0" w:header="0"/>
        </w:sectPr>
      </w:pPr>
    </w:p>
    <w:bookmarkStart w:id="123" w:name="page124"/>
    <w:bookmarkEnd w:id="123"/>
    <w:p>
      <w:pPr>
        <w:ind w:left="707" w:right="4539" w:hanging="350"/>
        <w:spacing w:after="0" w:line="241" w:lineRule="auto"/>
        <w:tabs>
          <w:tab w:leader="none" w:pos="707" w:val="left"/>
        </w:tabs>
        <w:numPr>
          <w:ilvl w:val="1"/>
          <w:numId w:val="2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execution and delivery of this Warrant are not, and the issuance of the Warrant Shares upon exercise of this Warrant in accordance with the terms hereof will not be, inconsistent with the Company's Certificate of Incorporation, Memorandum of Association or Articles of Association, do not and will not contravene any law, governmental rule or regulation, judgment or order applicable to the Company and, except for consents that have already been obtained by the Company,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with or the taking of any action in respect of or by, any federal, state or local governmental authority or agency or other person; and</w:t>
      </w:r>
    </w:p>
    <w:p>
      <w:pPr>
        <w:spacing w:after="0" w:line="147" w:lineRule="exact"/>
        <w:rPr>
          <w:rFonts w:ascii="Courier New" w:cs="Courier New" w:eastAsia="Courier New" w:hAnsi="Courier New"/>
          <w:sz w:val="12"/>
          <w:szCs w:val="12"/>
          <w:color w:val="auto"/>
        </w:rPr>
      </w:pPr>
    </w:p>
    <w:p>
      <w:pPr>
        <w:ind w:left="707" w:right="4679" w:hanging="350"/>
        <w:spacing w:after="0" w:line="280" w:lineRule="auto"/>
        <w:tabs>
          <w:tab w:leader="none" w:pos="707" w:val="left"/>
        </w:tabs>
        <w:numPr>
          <w:ilvl w:val="1"/>
          <w:numId w:val="2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that it shall, upon the request of the Holder, procure the approvals required in order to list the Warrant Shares for trading on TASE.</w:t>
      </w:r>
    </w:p>
    <w:p>
      <w:pPr>
        <w:spacing w:after="0" w:line="118" w:lineRule="exact"/>
        <w:rPr>
          <w:rFonts w:ascii="Courier New" w:cs="Courier New" w:eastAsia="Courier New" w:hAnsi="Courier New"/>
          <w:sz w:val="11"/>
          <w:szCs w:val="11"/>
          <w:color w:val="auto"/>
        </w:rPr>
      </w:pPr>
    </w:p>
    <w:p>
      <w:pPr>
        <w:ind w:left="367" w:hanging="367"/>
        <w:spacing w:after="0"/>
        <w:tabs>
          <w:tab w:leader="none" w:pos="367" w:val="left"/>
        </w:tabs>
        <w:numPr>
          <w:ilvl w:val="0"/>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EXPENSES</w:t>
      </w:r>
    </w:p>
    <w:p>
      <w:pPr>
        <w:spacing w:after="0" w:line="141" w:lineRule="exact"/>
        <w:rPr>
          <w:rFonts w:ascii="Courier New" w:cs="Courier New" w:eastAsia="Courier New" w:hAnsi="Courier New"/>
          <w:sz w:val="12"/>
          <w:szCs w:val="12"/>
          <w:color w:val="auto"/>
        </w:rPr>
      </w:pPr>
    </w:p>
    <w:p>
      <w:pPr>
        <w:ind w:left="367" w:right="459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will pay the Israeli Stamp Duty on the issuance of the Warrant Shares, and will notify the Israeli Companies Registrar of such issuance within the time period required by law. The Stamp Duty on this Warrant, if any, will be paid in full by the Company.</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THEFT, DESTRUCTION OR MUTILATION OF WARRANT</w:t>
      </w:r>
    </w:p>
    <w:p>
      <w:pPr>
        <w:spacing w:after="0" w:line="141" w:lineRule="exact"/>
        <w:rPr>
          <w:rFonts w:ascii="Courier New" w:cs="Courier New" w:eastAsia="Courier New" w:hAnsi="Courier New"/>
          <w:sz w:val="12"/>
          <w:szCs w:val="12"/>
          <w:color w:val="auto"/>
        </w:rPr>
      </w:pPr>
    </w:p>
    <w:p>
      <w:pPr>
        <w:ind w:left="367"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receipt by the Company of evidence reasonably satisfactory to it of the loss, theft, destruction or mutilation of any Warrant or Shares certificate, and in case of loss, theft or destruction, of indemnity, or security reasonably satisfactory to it, and upon reimbursement to the Company of all reasonable expenses incidental thereto, and upon surrender and cancellation of such Warrant or Shares certificate, if mutilated, the Company will make and deliver a new Warrant or Shares certificate of like tenor and dated as of such cancellation, in lieu of such Warrant or Shares certificate.</w:t>
      </w:r>
    </w:p>
    <w:p>
      <w:pPr>
        <w:sectPr>
          <w:pgSz w:w="11900" w:h="16838" w:orient="portrait"/>
          <w:cols w:equalWidth="0" w:num="1">
            <w:col w:w="10246"/>
          </w:cols>
          <w:pgMar w:left="213" w:top="672" w:right="1440" w:bottom="1440" w:gutter="0" w:footer="0" w:header="0"/>
        </w:sectPr>
      </w:pPr>
    </w:p>
    <w:bookmarkStart w:id="124" w:name="page125"/>
    <w:bookmarkEnd w:id="124"/>
    <w:p>
      <w:pPr>
        <w:ind w:left="367" w:hanging="367"/>
        <w:spacing w:after="0"/>
        <w:tabs>
          <w:tab w:leader="none" w:pos="367" w:val="left"/>
        </w:tabs>
        <w:numPr>
          <w:ilvl w:val="0"/>
          <w:numId w:val="2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w:t>
      </w:r>
    </w:p>
    <w:p>
      <w:pPr>
        <w:spacing w:after="0" w:line="141" w:lineRule="exact"/>
        <w:rPr>
          <w:sz w:val="20"/>
          <w:szCs w:val="20"/>
          <w:color w:val="auto"/>
        </w:rPr>
      </w:pPr>
    </w:p>
    <w:p>
      <w:pPr>
        <w:ind w:left="367" w:right="4539"/>
        <w:spacing w:after="0"/>
        <w:rPr>
          <w:sz w:val="20"/>
          <w:szCs w:val="20"/>
          <w:color w:val="auto"/>
        </w:rPr>
      </w:pPr>
      <w:r>
        <w:rPr>
          <w:rFonts w:ascii="Courier New" w:cs="Courier New" w:eastAsia="Courier New" w:hAnsi="Courier New"/>
          <w:sz w:val="12"/>
          <w:szCs w:val="12"/>
          <w:color w:val="auto"/>
        </w:rPr>
        <w:t>Any notice or other communication hereunder shall be in writing and shall be deemed to have been given upon delivery, if personally delivered or 3 (three) business days after deposit if deposited in the mail for mailing by certified mail, postage prepaid, and addressed as follows:</w:t>
      </w:r>
    </w:p>
    <w:p>
      <w:pPr>
        <w:spacing w:after="0" w:line="140" w:lineRule="exact"/>
        <w:rPr>
          <w:sz w:val="20"/>
          <w:szCs w:val="20"/>
          <w:color w:val="auto"/>
        </w:rPr>
      </w:pPr>
    </w:p>
    <w:tbl>
      <w:tblPr>
        <w:tblLayout w:type="fixed"/>
        <w:tblInd w:w="1007" w:type="dxa"/>
        <w:tblCellMar>
          <w:top w:w="0" w:type="dxa"/>
          <w:left w:w="0" w:type="dxa"/>
          <w:bottom w:w="0" w:type="dxa"/>
          <w:right w:w="0" w:type="dxa"/>
        </w:tblCellMar>
      </w:tblPr>
      <w:tr>
        <w:trPr>
          <w:trHeight w:val="136"/>
        </w:trPr>
        <w:tc>
          <w:tcPr>
            <w:tcW w:w="1780" w:type="dxa"/>
            <w:vAlign w:val="bottom"/>
          </w:tcPr>
          <w:p>
            <w:pPr>
              <w:spacing w:after="0"/>
              <w:rPr>
                <w:sz w:val="20"/>
                <w:szCs w:val="20"/>
                <w:color w:val="auto"/>
              </w:rPr>
            </w:pPr>
            <w:r>
              <w:rPr>
                <w:rFonts w:ascii="Courier New" w:cs="Courier New" w:eastAsia="Courier New" w:hAnsi="Courier New"/>
                <w:sz w:val="12"/>
                <w:szCs w:val="12"/>
                <w:color w:val="auto"/>
              </w:rPr>
              <w:t>If to the Holder:</w:t>
            </w:r>
          </w:p>
        </w:tc>
        <w:tc>
          <w:tcPr>
            <w:tcW w:w="1240" w:type="dxa"/>
            <w:vAlign w:val="bottom"/>
          </w:tcPr>
          <w:p>
            <w:pPr>
              <w:ind w:left="500"/>
              <w:spacing w:after="0"/>
              <w:rPr>
                <w:sz w:val="20"/>
                <w:szCs w:val="20"/>
                <w:color w:val="auto"/>
              </w:rPr>
            </w:pPr>
            <w:r>
              <w:rPr>
                <w:rFonts w:ascii="Courier New" w:cs="Courier New" w:eastAsia="Courier New" w:hAnsi="Courier New"/>
                <w:sz w:val="12"/>
                <w:szCs w:val="12"/>
                <w:color w:val="auto"/>
                <w:w w:val="99"/>
              </w:rPr>
              <w:t>Bank Leumi</w:t>
            </w:r>
          </w:p>
        </w:tc>
        <w:tc>
          <w:tcPr>
            <w:tcW w:w="1680" w:type="dxa"/>
            <w:vAlign w:val="bottom"/>
          </w:tcPr>
          <w:p>
            <w:pPr>
              <w:ind w:left="40"/>
              <w:spacing w:after="0"/>
              <w:rPr>
                <w:sz w:val="20"/>
                <w:szCs w:val="20"/>
                <w:color w:val="auto"/>
              </w:rPr>
            </w:pPr>
            <w:r>
              <w:rPr>
                <w:rFonts w:ascii="Courier New" w:cs="Courier New" w:eastAsia="Courier New" w:hAnsi="Courier New"/>
                <w:sz w:val="12"/>
                <w:szCs w:val="12"/>
                <w:color w:val="auto"/>
              </w:rPr>
              <w:t>Le-Israel B.M.</w:t>
            </w: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Corporate Division</w:t>
            </w: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34 Yehuda Halevi Street</w:t>
            </w:r>
          </w:p>
        </w:tc>
      </w:tr>
      <w:tr>
        <w:trPr>
          <w:trHeight w:val="137"/>
        </w:trPr>
        <w:tc>
          <w:tcPr>
            <w:tcW w:w="1780" w:type="dxa"/>
            <w:vAlign w:val="bottom"/>
          </w:tcPr>
          <w:p>
            <w:pPr>
              <w:spacing w:after="0"/>
              <w:rPr>
                <w:sz w:val="11"/>
                <w:szCs w:val="1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2"/>
                <w:szCs w:val="12"/>
                <w:color w:val="auto"/>
              </w:rPr>
              <w:t>Tel-Aviv</w:t>
            </w:r>
          </w:p>
        </w:tc>
        <w:tc>
          <w:tcPr>
            <w:tcW w:w="1680" w:type="dxa"/>
            <w:vAlign w:val="bottom"/>
          </w:tcPr>
          <w:p>
            <w:pPr>
              <w:spacing w:after="0"/>
              <w:rPr>
                <w:sz w:val="11"/>
                <w:szCs w:val="11"/>
                <w:color w:val="auto"/>
              </w:rPr>
            </w:pP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ATTENTION: MANAGER OF HI-TECH</w:t>
            </w:r>
          </w:p>
        </w:tc>
      </w:tr>
      <w:tr>
        <w:trPr>
          <w:trHeight w:val="137"/>
        </w:trPr>
        <w:tc>
          <w:tcPr>
            <w:tcW w:w="1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2"/>
                <w:szCs w:val="12"/>
                <w:color w:val="auto"/>
              </w:rPr>
              <w:t>INDUSTRIES SECTION</w:t>
            </w:r>
          </w:p>
        </w:tc>
      </w:tr>
      <w:tr>
        <w:trPr>
          <w:trHeight w:val="137"/>
        </w:trPr>
        <w:tc>
          <w:tcPr>
            <w:tcW w:w="1780" w:type="dxa"/>
            <w:vAlign w:val="bottom"/>
          </w:tcPr>
          <w:p>
            <w:pPr>
              <w:spacing w:after="0"/>
              <w:rPr>
                <w:sz w:val="11"/>
                <w:szCs w:val="1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2"/>
                <w:szCs w:val="12"/>
                <w:color w:val="auto"/>
                <w:w w:val="99"/>
              </w:rPr>
              <w:t>FACSIMILE:</w:t>
            </w:r>
          </w:p>
        </w:tc>
        <w:tc>
          <w:tcPr>
            <w:tcW w:w="1680" w:type="dxa"/>
            <w:vAlign w:val="bottom"/>
          </w:tcPr>
          <w:p>
            <w:pPr>
              <w:ind w:left="40"/>
              <w:spacing w:after="0"/>
              <w:rPr>
                <w:sz w:val="20"/>
                <w:szCs w:val="20"/>
                <w:color w:val="auto"/>
              </w:rPr>
            </w:pPr>
            <w:r>
              <w:rPr>
                <w:rFonts w:ascii="Courier New" w:cs="Courier New" w:eastAsia="Courier New" w:hAnsi="Courier New"/>
                <w:sz w:val="12"/>
                <w:szCs w:val="12"/>
                <w:color w:val="auto"/>
              </w:rPr>
              <w:t>(03) 514 9017</w:t>
            </w:r>
          </w:p>
        </w:tc>
      </w:tr>
      <w:tr>
        <w:trPr>
          <w:trHeight w:val="274"/>
        </w:trPr>
        <w:tc>
          <w:tcPr>
            <w:tcW w:w="1780" w:type="dxa"/>
            <w:vAlign w:val="bottom"/>
          </w:tcPr>
          <w:p>
            <w:pPr>
              <w:spacing w:after="0"/>
              <w:rPr>
                <w:sz w:val="20"/>
                <w:szCs w:val="20"/>
                <w:color w:val="auto"/>
              </w:rPr>
            </w:pPr>
            <w:r>
              <w:rPr>
                <w:rFonts w:ascii="Courier New" w:cs="Courier New" w:eastAsia="Courier New" w:hAnsi="Courier New"/>
                <w:sz w:val="12"/>
                <w:szCs w:val="12"/>
                <w:color w:val="auto"/>
              </w:rPr>
              <w:t>If to the Company:</w:t>
            </w: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Tower Semiconductor Ltd.</w:t>
            </w: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P.O. Box 619</w:t>
            </w: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Ramat Gabriel Industrial Zone</w:t>
            </w: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Migdal Haemek 23105</w:t>
            </w:r>
          </w:p>
        </w:tc>
      </w:tr>
      <w:tr>
        <w:trPr>
          <w:trHeight w:val="137"/>
        </w:trPr>
        <w:tc>
          <w:tcPr>
            <w:tcW w:w="1780" w:type="dxa"/>
            <w:vAlign w:val="bottom"/>
          </w:tcPr>
          <w:p>
            <w:pPr>
              <w:spacing w:after="0"/>
              <w:rPr>
                <w:sz w:val="11"/>
                <w:szCs w:val="1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2"/>
                <w:szCs w:val="12"/>
                <w:color w:val="auto"/>
              </w:rPr>
              <w:t>Israel</w:t>
            </w:r>
          </w:p>
        </w:tc>
        <w:tc>
          <w:tcPr>
            <w:tcW w:w="1680" w:type="dxa"/>
            <w:vAlign w:val="bottom"/>
          </w:tcPr>
          <w:p>
            <w:pPr>
              <w:spacing w:after="0"/>
              <w:rPr>
                <w:sz w:val="11"/>
                <w:szCs w:val="11"/>
                <w:color w:val="auto"/>
              </w:rPr>
            </w:pP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w w:val="98"/>
              </w:rPr>
              <w:t>ATTENTION: CHIEF FINANCIAL OFFICER</w:t>
            </w:r>
          </w:p>
        </w:tc>
      </w:tr>
      <w:tr>
        <w:trPr>
          <w:trHeight w:val="137"/>
        </w:trPr>
        <w:tc>
          <w:tcPr>
            <w:tcW w:w="1780" w:type="dxa"/>
            <w:vAlign w:val="bottom"/>
          </w:tcPr>
          <w:p>
            <w:pPr>
              <w:spacing w:after="0"/>
              <w:rPr>
                <w:sz w:val="11"/>
                <w:szCs w:val="1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2"/>
                <w:szCs w:val="12"/>
                <w:color w:val="auto"/>
                <w:w w:val="99"/>
              </w:rPr>
              <w:t>FACSIMILE:</w:t>
            </w:r>
          </w:p>
        </w:tc>
        <w:tc>
          <w:tcPr>
            <w:tcW w:w="1680" w:type="dxa"/>
            <w:vAlign w:val="bottom"/>
          </w:tcPr>
          <w:p>
            <w:pPr>
              <w:ind w:left="40"/>
              <w:spacing w:after="0"/>
              <w:rPr>
                <w:sz w:val="20"/>
                <w:szCs w:val="20"/>
                <w:color w:val="auto"/>
              </w:rPr>
            </w:pPr>
            <w:r>
              <w:rPr>
                <w:rFonts w:ascii="Courier New" w:cs="Courier New" w:eastAsia="Courier New" w:hAnsi="Courier New"/>
                <w:sz w:val="12"/>
                <w:szCs w:val="12"/>
                <w:color w:val="auto"/>
              </w:rPr>
              <w:t>(04) 654 6510</w:t>
            </w:r>
          </w:p>
        </w:tc>
      </w:tr>
      <w:tr>
        <w:trPr>
          <w:trHeight w:val="274"/>
        </w:trPr>
        <w:tc>
          <w:tcPr>
            <w:tcW w:w="1780" w:type="dxa"/>
            <w:vAlign w:val="bottom"/>
          </w:tcPr>
          <w:p>
            <w:pPr>
              <w:spacing w:after="0"/>
              <w:rPr>
                <w:sz w:val="20"/>
                <w:szCs w:val="20"/>
                <w:color w:val="auto"/>
              </w:rPr>
            </w:pPr>
            <w:r>
              <w:rPr>
                <w:rFonts w:ascii="Courier New" w:cs="Courier New" w:eastAsia="Courier New" w:hAnsi="Courier New"/>
                <w:sz w:val="12"/>
                <w:szCs w:val="12"/>
                <w:color w:val="auto"/>
              </w:rPr>
              <w:t>WITH A COPY TO:</w:t>
            </w: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Yigal Arnon &amp; Co.</w:t>
            </w: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1 Azrieli Center</w:t>
            </w:r>
          </w:p>
        </w:tc>
      </w:tr>
      <w:tr>
        <w:trPr>
          <w:trHeight w:val="137"/>
        </w:trPr>
        <w:tc>
          <w:tcPr>
            <w:tcW w:w="1780" w:type="dxa"/>
            <w:vAlign w:val="bottom"/>
          </w:tcPr>
          <w:p>
            <w:pPr>
              <w:spacing w:after="0"/>
              <w:rPr>
                <w:sz w:val="11"/>
                <w:szCs w:val="1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2"/>
                <w:szCs w:val="12"/>
                <w:color w:val="auto"/>
              </w:rPr>
              <w:t>Tel Aviv</w:t>
            </w:r>
          </w:p>
        </w:tc>
        <w:tc>
          <w:tcPr>
            <w:tcW w:w="1680" w:type="dxa"/>
            <w:vAlign w:val="bottom"/>
          </w:tcPr>
          <w:p>
            <w:pPr>
              <w:spacing w:after="0"/>
              <w:rPr>
                <w:sz w:val="11"/>
                <w:szCs w:val="11"/>
                <w:color w:val="auto"/>
              </w:rPr>
            </w:pPr>
          </w:p>
        </w:tc>
      </w:tr>
      <w:tr>
        <w:trPr>
          <w:trHeight w:val="137"/>
        </w:trPr>
        <w:tc>
          <w:tcPr>
            <w:tcW w:w="1780" w:type="dxa"/>
            <w:vAlign w:val="bottom"/>
          </w:tcPr>
          <w:p>
            <w:pPr>
              <w:spacing w:after="0"/>
              <w:rPr>
                <w:sz w:val="11"/>
                <w:szCs w:val="1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2"/>
                <w:szCs w:val="12"/>
                <w:color w:val="auto"/>
              </w:rPr>
              <w:t>Israel</w:t>
            </w:r>
          </w:p>
        </w:tc>
        <w:tc>
          <w:tcPr>
            <w:tcW w:w="1680" w:type="dxa"/>
            <w:vAlign w:val="bottom"/>
          </w:tcPr>
          <w:p>
            <w:pPr>
              <w:spacing w:after="0"/>
              <w:rPr>
                <w:sz w:val="11"/>
                <w:szCs w:val="11"/>
                <w:color w:val="auto"/>
              </w:rPr>
            </w:pPr>
          </w:p>
        </w:tc>
      </w:tr>
      <w:tr>
        <w:trPr>
          <w:trHeight w:val="137"/>
        </w:trPr>
        <w:tc>
          <w:tcPr>
            <w:tcW w:w="1780" w:type="dxa"/>
            <w:vAlign w:val="bottom"/>
          </w:tcPr>
          <w:p>
            <w:pPr>
              <w:spacing w:after="0"/>
              <w:rPr>
                <w:sz w:val="11"/>
                <w:szCs w:val="11"/>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2"/>
                <w:szCs w:val="12"/>
                <w:color w:val="auto"/>
                <w:w w:val="98"/>
              </w:rPr>
              <w:t>ATTENTION: DAVID H. SCHAPIRO, ADV.</w:t>
            </w:r>
          </w:p>
        </w:tc>
      </w:tr>
      <w:tr>
        <w:trPr>
          <w:trHeight w:val="137"/>
        </w:trPr>
        <w:tc>
          <w:tcPr>
            <w:tcW w:w="1780" w:type="dxa"/>
            <w:vAlign w:val="bottom"/>
          </w:tcPr>
          <w:p>
            <w:pPr>
              <w:spacing w:after="0"/>
              <w:rPr>
                <w:sz w:val="11"/>
                <w:szCs w:val="11"/>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2"/>
                <w:szCs w:val="12"/>
                <w:color w:val="auto"/>
                <w:w w:val="99"/>
              </w:rPr>
              <w:t>FACSIMILE:</w:t>
            </w:r>
          </w:p>
        </w:tc>
        <w:tc>
          <w:tcPr>
            <w:tcW w:w="1680" w:type="dxa"/>
            <w:vAlign w:val="bottom"/>
          </w:tcPr>
          <w:p>
            <w:pPr>
              <w:ind w:left="40"/>
              <w:spacing w:after="0"/>
              <w:rPr>
                <w:sz w:val="20"/>
                <w:szCs w:val="20"/>
                <w:color w:val="auto"/>
              </w:rPr>
            </w:pPr>
            <w:r>
              <w:rPr>
                <w:rFonts w:ascii="Courier New" w:cs="Courier New" w:eastAsia="Courier New" w:hAnsi="Courier New"/>
                <w:sz w:val="12"/>
                <w:szCs w:val="12"/>
                <w:color w:val="auto"/>
              </w:rPr>
              <w:t>(03) 608 7714</w:t>
            </w:r>
          </w:p>
        </w:tc>
      </w:tr>
    </w:tbl>
    <w:p>
      <w:pPr>
        <w:spacing w:after="0" w:line="141" w:lineRule="exact"/>
        <w:rPr>
          <w:sz w:val="20"/>
          <w:szCs w:val="20"/>
          <w:color w:val="auto"/>
        </w:rPr>
      </w:pPr>
    </w:p>
    <w:p>
      <w:pPr>
        <w:ind w:left="367" w:right="4679"/>
        <w:spacing w:after="0" w:line="239" w:lineRule="auto"/>
        <w:rPr>
          <w:sz w:val="20"/>
          <w:szCs w:val="20"/>
          <w:color w:val="auto"/>
        </w:rPr>
      </w:pPr>
      <w:r>
        <w:rPr>
          <w:rFonts w:ascii="Courier New" w:cs="Courier New" w:eastAsia="Courier New" w:hAnsi="Courier New"/>
          <w:sz w:val="12"/>
          <w:szCs w:val="12"/>
          <w:color w:val="auto"/>
        </w:rPr>
        <w:t>Each of the above addressees may change its address for purposes of this paragraph by giving to the other addressees notice of such new address in conformance with this paragraph.</w:t>
      </w:r>
    </w:p>
    <w:p>
      <w:pPr>
        <w:sectPr>
          <w:pgSz w:w="11900" w:h="16838" w:orient="portrait"/>
          <w:cols w:equalWidth="0" w:num="1">
            <w:col w:w="10246"/>
          </w:cols>
          <w:pgMar w:left="213" w:top="669" w:right="1440" w:bottom="1440" w:gutter="0" w:footer="0" w:header="0"/>
        </w:sectPr>
      </w:pPr>
    </w:p>
    <w:bookmarkStart w:id="125" w:name="page126"/>
    <w:bookmarkEnd w:id="125"/>
    <w:p>
      <w:pPr>
        <w:ind w:left="367" w:hanging="367"/>
        <w:spacing w:after="0"/>
        <w:tabs>
          <w:tab w:leader="none" w:pos="367" w:val="left"/>
        </w:tabs>
        <w:numPr>
          <w:ilvl w:val="0"/>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APPLICABLE LAW; JURISDICTION</w:t>
      </w:r>
    </w:p>
    <w:p>
      <w:pPr>
        <w:spacing w:after="0" w:line="141" w:lineRule="exact"/>
        <w:rPr>
          <w:rFonts w:ascii="Courier New" w:cs="Courier New" w:eastAsia="Courier New" w:hAnsi="Courier New"/>
          <w:sz w:val="12"/>
          <w:szCs w:val="12"/>
          <w:color w:val="auto"/>
        </w:rPr>
      </w:pPr>
    </w:p>
    <w:p>
      <w:pPr>
        <w:ind w:left="367"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Warrant shall be governed by and construed in accordance with the laws of the State of Israel as applicable to contracts between two residents of the State of Israel entered into and to be performed entirely within the State of Israel. Any dispute arising under or in relation to this Warrant shall be resolved in the competent court for Tel Aviv-Jaffa district, and each of the parties hereby submits irrevocably to the jurisdiction of such court.</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Dated: August 4, 2005</w:t>
      </w:r>
    </w:p>
    <w:p>
      <w:pPr>
        <w:sectPr>
          <w:pgSz w:w="11900" w:h="16838" w:orient="portrait"/>
          <w:cols w:equalWidth="0" w:num="1">
            <w:col w:w="10246"/>
          </w:cols>
          <w:pgMar w:left="213" w:top="669" w:right="1440" w:bottom="1440" w:gutter="0" w:footer="0" w:header="0"/>
        </w:sectPr>
      </w:pPr>
    </w:p>
    <w:p>
      <w:pPr>
        <w:spacing w:after="0" w:line="141"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for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TOWER SEMICONDUCTOR LTD.</w:t>
      </w:r>
    </w:p>
    <w:p>
      <w:pPr>
        <w:spacing w:after="0" w:line="150" w:lineRule="exact"/>
        <w:rPr>
          <w:sz w:val="20"/>
          <w:szCs w:val="20"/>
          <w:color w:val="auto"/>
        </w:rPr>
      </w:pPr>
    </w:p>
    <w:p>
      <w:pPr>
        <w:sectPr>
          <w:pgSz w:w="11900" w:h="16838" w:orient="portrait"/>
          <w:cols w:equalWidth="0" w:num="2">
            <w:col w:w="207" w:space="300"/>
            <w:col w:w="9739"/>
          </w:cols>
          <w:pgMar w:left="213" w:top="669" w:right="1440" w:bottom="1440" w:gutter="0" w:footer="0" w:header="0"/>
          <w:type w:val="continuous"/>
        </w:sectPr>
      </w:pPr>
    </w:p>
    <w:p>
      <w:pPr>
        <w:ind w:left="7"/>
        <w:spacing w:after="0"/>
        <w:rPr>
          <w:sz w:val="20"/>
          <w:szCs w:val="20"/>
          <w:color w:val="auto"/>
        </w:rPr>
      </w:pPr>
      <w:r>
        <w:rPr>
          <w:rFonts w:ascii="Courier New" w:cs="Courier New" w:eastAsia="Courier New" w:hAnsi="Courier New"/>
          <w:sz w:val="11"/>
          <w:szCs w:val="11"/>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_____________________________</w:t>
      </w:r>
    </w:p>
    <w:p>
      <w:pPr>
        <w:spacing w:after="0" w:line="150" w:lineRule="exact"/>
        <w:rPr>
          <w:sz w:val="20"/>
          <w:szCs w:val="20"/>
          <w:color w:val="auto"/>
        </w:rPr>
      </w:pPr>
    </w:p>
    <w:p>
      <w:pPr>
        <w:sectPr>
          <w:pgSz w:w="11900" w:h="16838" w:orient="portrait"/>
          <w:cols w:equalWidth="0" w:num="2">
            <w:col w:w="207" w:space="300"/>
            <w:col w:w="9739"/>
          </w:cols>
          <w:pgMar w:left="213" w:top="669" w:right="1440" w:bottom="1440" w:gutter="0" w:footer="0" w:header="0"/>
          <w:type w:val="continuous"/>
        </w:sectPr>
      </w:pPr>
    </w:p>
    <w:p>
      <w:pPr>
        <w:ind w:left="7"/>
        <w:spacing w:after="0"/>
        <w:rPr>
          <w:sz w:val="20"/>
          <w:szCs w:val="20"/>
          <w:color w:val="auto"/>
        </w:rPr>
      </w:pPr>
      <w:r>
        <w:rPr>
          <w:rFonts w:ascii="Courier New" w:cs="Courier New" w:eastAsia="Courier New" w:hAnsi="Courier New"/>
          <w:sz w:val="11"/>
          <w:szCs w:val="11"/>
          <w:color w:val="auto"/>
        </w:rPr>
        <w:t>Title: _____________________________</w:t>
      </w:r>
    </w:p>
    <w:p>
      <w:pPr>
        <w:sectPr>
          <w:pgSz w:w="11900" w:h="16838" w:orient="portrait"/>
          <w:cols w:equalWidth="0" w:num="1">
            <w:col w:w="10246"/>
          </w:cols>
          <w:pgMar w:left="213" w:top="669" w:right="1440" w:bottom="1440" w:gutter="0" w:footer="0" w:header="0"/>
          <w:type w:val="continuous"/>
        </w:sectPr>
      </w:pPr>
    </w:p>
    <w:bookmarkStart w:id="126" w:name="page127"/>
    <w:bookmarkEnd w:id="126"/>
    <w:p>
      <w:pPr>
        <w:ind w:left="2207"/>
        <w:spacing w:after="0"/>
        <w:rPr>
          <w:sz w:val="20"/>
          <w:szCs w:val="20"/>
          <w:color w:val="auto"/>
        </w:rPr>
      </w:pPr>
      <w:r>
        <w:rPr>
          <w:rFonts w:ascii="Courier New" w:cs="Courier New" w:eastAsia="Courier New" w:hAnsi="Courier New"/>
          <w:sz w:val="12"/>
          <w:szCs w:val="12"/>
          <w:color w:val="auto"/>
        </w:rPr>
        <w:t>NOTICE OF EXERCISE</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TO:</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[________________]</w:t>
      </w:r>
    </w:p>
    <w:p>
      <w:pPr>
        <w:spacing w:after="0" w:line="141"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1"/>
          <w:szCs w:val="11"/>
          <w:color w:val="auto"/>
        </w:rPr>
        <w:t>[1.</w:t>
        <w:tab/>
        <w:t>The undersigned hereby elects to purchase ______ (________) Ordinary Shares</w:t>
      </w:r>
    </w:p>
    <w:p>
      <w:pPr>
        <w:spacing w:after="0" w:line="13" w:lineRule="exact"/>
        <w:rPr>
          <w:sz w:val="20"/>
          <w:szCs w:val="20"/>
          <w:color w:val="auto"/>
        </w:rPr>
      </w:pPr>
    </w:p>
    <w:p>
      <w:pPr>
        <w:jc w:val="both"/>
        <w:ind w:left="367" w:right="4539"/>
        <w:spacing w:after="0" w:line="280" w:lineRule="auto"/>
        <w:rPr>
          <w:sz w:val="20"/>
          <w:szCs w:val="20"/>
          <w:color w:val="auto"/>
        </w:rPr>
      </w:pPr>
      <w:r>
        <w:rPr>
          <w:rFonts w:ascii="Courier New" w:cs="Courier New" w:eastAsia="Courier New" w:hAnsi="Courier New"/>
          <w:sz w:val="11"/>
          <w:szCs w:val="11"/>
          <w:color w:val="auto"/>
        </w:rPr>
        <w:t>of Tower Semiconductor Ltd., pursuant to the terms of the attached Warrant, and tenders herewith payment of the purchase price for such shares in full.</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[OR</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The undersigned hereby elects to exchange the attached Warrant for ______</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(____________) [INSERT NUMBER OF WARRANT SHARES] Ordinary Shares of Tower</w:t>
      </w:r>
    </w:p>
    <w:p>
      <w:pPr>
        <w:spacing w:after="0" w:line="4" w:lineRule="exact"/>
        <w:rPr>
          <w:sz w:val="20"/>
          <w:szCs w:val="20"/>
          <w:color w:val="auto"/>
        </w:rPr>
      </w:pPr>
    </w:p>
    <w:p>
      <w:pPr>
        <w:ind w:left="367" w:right="4679"/>
        <w:spacing w:after="0" w:line="280" w:lineRule="auto"/>
        <w:rPr>
          <w:sz w:val="20"/>
          <w:szCs w:val="20"/>
          <w:color w:val="auto"/>
        </w:rPr>
      </w:pPr>
      <w:r>
        <w:rPr>
          <w:rFonts w:ascii="Courier New" w:cs="Courier New" w:eastAsia="Courier New" w:hAnsi="Courier New"/>
          <w:sz w:val="11"/>
          <w:szCs w:val="11"/>
          <w:color w:val="auto"/>
        </w:rPr>
        <w:t>Semiconductor Ltd. on a Net Exercise basis, pursuant to clause 3.b of the attached Warrant and the other terms and conditions contained therein]</w:t>
      </w:r>
    </w:p>
    <w:p>
      <w:pPr>
        <w:spacing w:after="0" w:line="121" w:lineRule="exact"/>
        <w:rPr>
          <w:sz w:val="20"/>
          <w:szCs w:val="20"/>
          <w:color w:val="auto"/>
        </w:rPr>
      </w:pPr>
    </w:p>
    <w:p>
      <w:pPr>
        <w:ind w:left="367" w:right="4539" w:hanging="367"/>
        <w:spacing w:after="0" w:line="241" w:lineRule="auto"/>
        <w:tabs>
          <w:tab w:leader="none" w:pos="367" w:val="left"/>
        </w:tabs>
        <w:numPr>
          <w:ilvl w:val="0"/>
          <w:numId w:val="2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exercising this Warrant, the undersigned hereby confirms and acknowledges that the Ordinary Shares are being acquired solely for the account of the undersigned and not as a nominee for any other party, or for investment, and that the undersigned will not offer, sell or otherwise dispose of any such Ordinary Shares except under circumstances that will not result in a violation of the Securities Act of 1933, as amended, or any state securities laws.</w:t>
      </w:r>
    </w:p>
    <w:p>
      <w:pPr>
        <w:spacing w:after="0" w:line="142" w:lineRule="exact"/>
        <w:rPr>
          <w:rFonts w:ascii="Courier New" w:cs="Courier New" w:eastAsia="Courier New" w:hAnsi="Courier New"/>
          <w:sz w:val="12"/>
          <w:szCs w:val="12"/>
          <w:color w:val="auto"/>
        </w:rPr>
      </w:pPr>
    </w:p>
    <w:p>
      <w:pPr>
        <w:ind w:left="367" w:right="4539" w:hanging="367"/>
        <w:spacing w:after="0" w:line="238" w:lineRule="auto"/>
        <w:tabs>
          <w:tab w:leader="none" w:pos="367" w:val="left"/>
        </w:tabs>
        <w:numPr>
          <w:ilvl w:val="0"/>
          <w:numId w:val="2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Please issue a certificate representing said Ordinary Shares in the name of the undersigned.</w:t>
      </w:r>
    </w:p>
    <w:p>
      <w:pPr>
        <w:spacing w:after="0" w:line="142" w:lineRule="exact"/>
        <w:rPr>
          <w:rFonts w:ascii="Courier New" w:cs="Courier New" w:eastAsia="Courier New" w:hAnsi="Courier New"/>
          <w:sz w:val="12"/>
          <w:szCs w:val="12"/>
          <w:color w:val="auto"/>
        </w:rPr>
      </w:pPr>
    </w:p>
    <w:p>
      <w:pPr>
        <w:ind w:left="367" w:right="4899" w:hanging="367"/>
        <w:spacing w:after="0" w:line="238" w:lineRule="auto"/>
        <w:tabs>
          <w:tab w:leader="none" w:pos="367" w:val="left"/>
        </w:tabs>
        <w:numPr>
          <w:ilvl w:val="0"/>
          <w:numId w:val="2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Please issue a new Warrant for the unexercised portion of the attached Warrant in the name of the undersigned.</w:t>
      </w:r>
    </w:p>
    <w:p>
      <w:pPr>
        <w:sectPr>
          <w:pgSz w:w="11900" w:h="16838" w:orient="portrait"/>
          <w:cols w:equalWidth="0" w:num="1">
            <w:col w:w="10246"/>
          </w:cols>
          <w:pgMar w:left="213" w:top="669" w:right="1440" w:bottom="1440" w:gutter="0" w:footer="0" w:header="0"/>
        </w:sectPr>
      </w:pPr>
    </w:p>
    <w:p>
      <w:pPr>
        <w:spacing w:after="0" w:line="142"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______________________</w:t>
      </w:r>
    </w:p>
    <w:p>
      <w:pPr>
        <w:spacing w:after="0" w:line="1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(Date)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_________________________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(Print Name)</w:t>
      </w:r>
    </w:p>
    <w:p>
      <w:pPr>
        <w:spacing w:after="0" w:line="141" w:lineRule="exact"/>
        <w:rPr>
          <w:sz w:val="20"/>
          <w:szCs w:val="20"/>
          <w:color w:val="auto"/>
        </w:rPr>
      </w:pPr>
    </w:p>
    <w:p>
      <w:pPr>
        <w:sectPr>
          <w:pgSz w:w="11900" w:h="16838" w:orient="portrait"/>
          <w:cols w:equalWidth="0" w:num="2">
            <w:col w:w="3207" w:space="720"/>
            <w:col w:w="6319"/>
          </w:cols>
          <w:pgMar w:left="213" w:top="669" w:right="1440" w:bottom="1440" w:gutter="0" w:footer="0" w:header="0"/>
          <w:type w:val="continuous"/>
        </w:sectPr>
      </w:pPr>
    </w:p>
    <w:p>
      <w:pPr>
        <w:ind w:left="3927"/>
        <w:spacing w:after="0"/>
        <w:rPr>
          <w:sz w:val="20"/>
          <w:szCs w:val="20"/>
          <w:color w:val="auto"/>
        </w:rPr>
      </w:pPr>
      <w:r>
        <w:rPr>
          <w:rFonts w:ascii="Courier New" w:cs="Courier New" w:eastAsia="Courier New" w:hAnsi="Courier New"/>
          <w:sz w:val="11"/>
          <w:szCs w:val="11"/>
          <w:color w:val="auto"/>
        </w:rPr>
        <w:t>_________________________</w:t>
      </w:r>
    </w:p>
    <w:p>
      <w:pPr>
        <w:spacing w:after="0" w:line="10" w:lineRule="exact"/>
        <w:rPr>
          <w:sz w:val="20"/>
          <w:szCs w:val="20"/>
          <w:color w:val="auto"/>
        </w:rPr>
      </w:pPr>
    </w:p>
    <w:p>
      <w:pPr>
        <w:ind w:left="3927"/>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0246"/>
          </w:cols>
          <w:pgMar w:left="213" w:top="669" w:right="1440" w:bottom="1440" w:gutter="0" w:footer="0" w:header="0"/>
          <w:type w:val="continuous"/>
        </w:sectPr>
      </w:pPr>
    </w:p>
    <w:bookmarkStart w:id="127" w:name="page128"/>
    <w:bookmarkEnd w:id="127"/>
    <w:p>
      <w:pPr>
        <w:jc w:val="center"/>
        <w:ind w:right="-307"/>
        <w:spacing w:after="0"/>
        <w:rPr>
          <w:sz w:val="20"/>
          <w:szCs w:val="20"/>
          <w:color w:val="auto"/>
        </w:rPr>
      </w:pPr>
      <w:r>
        <w:rPr>
          <w:rFonts w:ascii="Courier New" w:cs="Courier New" w:eastAsia="Courier New" w:hAnsi="Courier New"/>
          <w:sz w:val="11"/>
          <w:szCs w:val="11"/>
          <w:color w:val="auto"/>
        </w:rPr>
        <w:t>EXHIBIT 4.52</w:t>
      </w:r>
    </w:p>
    <w:p>
      <w:pPr>
        <w:spacing w:after="0" w:line="147" w:lineRule="exact"/>
        <w:rPr>
          <w:sz w:val="20"/>
          <w:szCs w:val="20"/>
          <w:color w:val="auto"/>
        </w:rPr>
      </w:pPr>
    </w:p>
    <w:p>
      <w:pPr>
        <w:ind w:left="2147"/>
        <w:spacing w:after="0"/>
        <w:rPr>
          <w:sz w:val="20"/>
          <w:szCs w:val="20"/>
          <w:color w:val="auto"/>
        </w:rPr>
      </w:pPr>
      <w:r>
        <w:rPr>
          <w:rFonts w:ascii="Courier New" w:cs="Courier New" w:eastAsia="Courier New" w:hAnsi="Courier New"/>
          <w:sz w:val="12"/>
          <w:szCs w:val="12"/>
          <w:color w:val="auto"/>
        </w:rPr>
        <w:t>THIRTEENTH AMENDMENT</w:t>
      </w:r>
    </w:p>
    <w:p>
      <w:pPr>
        <w:spacing w:after="0" w:line="1" w:lineRule="exact"/>
        <w:rPr>
          <w:sz w:val="20"/>
          <w:szCs w:val="20"/>
          <w:color w:val="auto"/>
        </w:rPr>
      </w:pPr>
    </w:p>
    <w:p>
      <w:pPr>
        <w:ind w:left="2007"/>
        <w:spacing w:after="0"/>
        <w:rPr>
          <w:sz w:val="20"/>
          <w:szCs w:val="20"/>
          <w:color w:val="auto"/>
        </w:rPr>
      </w:pPr>
      <w:r>
        <w:rPr>
          <w:rFonts w:ascii="Courier New" w:cs="Courier New" w:eastAsia="Courier New" w:hAnsi="Courier New"/>
          <w:sz w:val="12"/>
          <w:szCs w:val="12"/>
          <w:color w:val="auto"/>
        </w:rPr>
        <w:t>TO THE FACILITY AGREEMENT</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Made and entered into on this 1st day of May 2006, by and between:</w:t>
      </w:r>
    </w:p>
    <w:p>
      <w:pPr>
        <w:spacing w:after="0" w:line="139" w:lineRule="exact"/>
        <w:rPr>
          <w:sz w:val="20"/>
          <w:szCs w:val="20"/>
          <w:color w:val="auto"/>
        </w:rPr>
      </w:pPr>
    </w:p>
    <w:p>
      <w:pPr>
        <w:ind w:left="1067" w:hanging="353"/>
        <w:spacing w:after="0"/>
        <w:tabs>
          <w:tab w:leader="none" w:pos="1067" w:val="left"/>
        </w:tabs>
        <w:numPr>
          <w:ilvl w:val="0"/>
          <w:numId w:val="2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("THE BORROWER")</w:t>
      </w:r>
    </w:p>
    <w:p>
      <w:pPr>
        <w:spacing w:after="0" w:line="138" w:lineRule="exact"/>
        <w:rPr>
          <w:rFonts w:ascii="Courier New" w:cs="Courier New" w:eastAsia="Courier New" w:hAnsi="Courier New"/>
          <w:sz w:val="12"/>
          <w:szCs w:val="12"/>
          <w:color w:val="auto"/>
        </w:rPr>
      </w:pPr>
    </w:p>
    <w:p>
      <w:pPr>
        <w:ind w:left="70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and</w:t>
      </w:r>
    </w:p>
    <w:p>
      <w:pPr>
        <w:spacing w:after="0" w:line="138" w:lineRule="exact"/>
        <w:rPr>
          <w:rFonts w:ascii="Courier New" w:cs="Courier New" w:eastAsia="Courier New" w:hAnsi="Courier New"/>
          <w:sz w:val="12"/>
          <w:szCs w:val="12"/>
          <w:color w:val="auto"/>
        </w:rPr>
      </w:pPr>
    </w:p>
    <w:p>
      <w:pPr>
        <w:ind w:left="1067" w:hanging="353"/>
        <w:spacing w:after="0"/>
        <w:tabs>
          <w:tab w:leader="none" w:pos="1067" w:val="left"/>
        </w:tabs>
        <w:numPr>
          <w:ilvl w:val="0"/>
          <w:numId w:val="2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LEUMI LE-ISRAEL B.M. and BANK HAPOALIM B.M. ("THE BANKS")</w:t>
      </w:r>
    </w:p>
    <w:p>
      <w:pPr>
        <w:sectPr>
          <w:pgSz w:w="11900" w:h="16838" w:orient="portrait"/>
          <w:cols w:equalWidth="0" w:num="1">
            <w:col w:w="10246"/>
          </w:cols>
          <w:pgMar w:left="213" w:top="278" w:right="1440" w:bottom="1440" w:gutter="0" w:footer="0" w:header="0"/>
        </w:sect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Borrower, on the one hand, and the Banks, on the other hand,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are parties to a Facility Agreement dated January 18, 2001,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amended pursuant to a letter dated January 29, 2001, a Second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Amendment dated January 10, 2002, a letter dated March 7, 2002,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letter dated April 29, 2002, a letter dated September 18,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amended on October 22, 2002, a letter dated June 10, 2003,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Seventh Amendment dated November 11, 2003, a letter dated January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30, 2005, a Ninth Amendment dated July 24, 2005, a Tenth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Amendment dated September 29, 2005, an Eleventh Amendment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October 27, 2005 and a Twelfth Amendment dated November 30, 2005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Facility Agreement, as amended as aforesaid, hereinafter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FACILITY AGREEMENT"); and</w:t>
      </w:r>
    </w:p>
    <w:p>
      <w:pPr>
        <w:spacing w:after="0" w:line="141" w:lineRule="exact"/>
        <w:rPr>
          <w:sz w:val="20"/>
          <w:szCs w:val="20"/>
          <w:color w:val="auto"/>
        </w:rPr>
      </w:pPr>
    </w:p>
    <w:p>
      <w:pPr>
        <w:sectPr>
          <w:pgSz w:w="11900" w:h="16838" w:orient="portrait"/>
          <w:cols w:equalWidth="0" w:num="2">
            <w:col w:w="567" w:space="500"/>
            <w:col w:w="9179"/>
          </w:cols>
          <w:pgMar w:left="213" w:top="278" w:right="1440" w:bottom="1440" w:gutter="0" w:footer="0" w:header="0"/>
          <w:type w:val="continuous"/>
        </w:sectPr>
      </w:pPr>
    </w:p>
    <w:p>
      <w:pPr>
        <w:ind w:left="7"/>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the Borrower has requested that the Banks postpone the Borrower's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obligation to make certain repayments of principal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Facility Agreement; and</w:t>
      </w:r>
    </w:p>
    <w:p>
      <w:pPr>
        <w:spacing w:after="0" w:line="141" w:lineRule="exact"/>
        <w:rPr>
          <w:sz w:val="20"/>
          <w:szCs w:val="20"/>
          <w:color w:val="auto"/>
        </w:rPr>
      </w:pPr>
    </w:p>
    <w:p>
      <w:pPr>
        <w:sectPr>
          <w:pgSz w:w="11900" w:h="16838" w:orient="portrait"/>
          <w:cols w:equalWidth="0" w:num="2">
            <w:col w:w="567" w:space="500"/>
            <w:col w:w="9179"/>
          </w:cols>
          <w:pgMar w:left="213" w:top="278" w:right="1440" w:bottom="1440" w:gutter="0" w:footer="0" w:header="0"/>
          <w:type w:val="continuous"/>
        </w:sectPr>
      </w:pPr>
    </w:p>
    <w:p>
      <w:pPr>
        <w:ind w:left="7"/>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following the Borrower's request, the Borrower and the Banks have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agreed to amend the Facility Agreement in the manner set out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below ("THIS THIRTEENTH AMENDMENT"),</w:t>
      </w:r>
    </w:p>
    <w:p>
      <w:pPr>
        <w:spacing w:after="0" w:line="200" w:lineRule="exact"/>
        <w:rPr>
          <w:sz w:val="20"/>
          <w:szCs w:val="20"/>
          <w:color w:val="auto"/>
        </w:rPr>
      </w:pPr>
    </w:p>
    <w:p>
      <w:pPr>
        <w:sectPr>
          <w:pgSz w:w="11900" w:h="16838" w:orient="portrait"/>
          <w:cols w:equalWidth="0" w:num="2">
            <w:col w:w="567" w:space="500"/>
            <w:col w:w="9179"/>
          </w:cols>
          <w:pgMar w:left="213" w:top="278"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NOW, THEREFORE, IT IS HEREBY AGREED AS FOLLOWS:</w:t>
      </w:r>
    </w:p>
    <w:p>
      <w:pPr>
        <w:spacing w:after="0" w:line="139" w:lineRule="exact"/>
        <w:rPr>
          <w:sz w:val="20"/>
          <w:szCs w:val="20"/>
          <w:color w:val="auto"/>
        </w:rPr>
      </w:pPr>
    </w:p>
    <w:p>
      <w:pPr>
        <w:ind w:left="367" w:hanging="367"/>
        <w:spacing w:after="0"/>
        <w:tabs>
          <w:tab w:leader="none" w:pos="367" w:val="left"/>
        </w:tabs>
        <w:numPr>
          <w:ilvl w:val="0"/>
          <w:numId w:val="2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41" w:lineRule="exact"/>
        <w:rPr>
          <w:rFonts w:ascii="Courier New" w:cs="Courier New" w:eastAsia="Courier New" w:hAnsi="Courier New"/>
          <w:sz w:val="12"/>
          <w:szCs w:val="12"/>
          <w:color w:val="auto"/>
        </w:rPr>
      </w:pPr>
    </w:p>
    <w:p>
      <w:pPr>
        <w:ind w:left="367" w:right="4679"/>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Unless the context specifies otherwise, terms and expressions defined in the Facility Agreement shall have the same meanings when used in this Thirteenth Amendment. References herein to clauses and paragraphs, are to clauses and paragraphs of the Facility Agreement.</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w:t>
      </w:r>
    </w:p>
    <w:p>
      <w:pPr>
        <w:spacing w:after="0" w:line="138" w:lineRule="exact"/>
        <w:rPr>
          <w:rFonts w:ascii="Courier New" w:cs="Courier New" w:eastAsia="Courier New" w:hAnsi="Courier New"/>
          <w:sz w:val="12"/>
          <w:szCs w:val="12"/>
          <w:color w:val="auto"/>
        </w:rPr>
      </w:pPr>
    </w:p>
    <w:p>
      <w:pPr>
        <w:ind w:left="36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Facility Agreement is hereby amended as follows: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2.1. In clause 1 (INTERPRETATION), paragraph (e) of clause 1.1.97 ("LOAN</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MATURITY DATE") shall be amended to read in its entirety as follows:</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"(e) each Interest Payment Loan, the first Business Day in July</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2007;".</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2.2. Clause 6.1 (REPAYMENT OF LOANS) shall be amended to read as follows:</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2.2.1. by adding the following to the end of the second paragraph of</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clause 6.1.1:</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 provided that, the Borrower shall be permitted to pay the</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first and second quarterly principal instalments on the first</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Business Day in July 2007 rather than on March 31, 2007 and the</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last Business Day in June 2007, respectively. For the avoidance</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of doubt, all subsequent quarterly principal instalments shall</w:t>
      </w:r>
    </w:p>
    <w:p>
      <w:pPr>
        <w:spacing w:after="0" w:line="4" w:lineRule="exact"/>
        <w:rPr>
          <w:sz w:val="20"/>
          <w:szCs w:val="20"/>
          <w:color w:val="auto"/>
        </w:rPr>
      </w:pPr>
    </w:p>
    <w:p>
      <w:pPr>
        <w:ind w:left="1067"/>
        <w:spacing w:after="0"/>
        <w:rPr>
          <w:sz w:val="20"/>
          <w:szCs w:val="20"/>
          <w:color w:val="auto"/>
        </w:rPr>
      </w:pPr>
      <w:r>
        <w:rPr>
          <w:rFonts w:ascii="Courier New" w:cs="Courier New" w:eastAsia="Courier New" w:hAnsi="Courier New"/>
          <w:sz w:val="11"/>
          <w:szCs w:val="11"/>
          <w:color w:val="auto"/>
        </w:rPr>
        <w:t>continue to be due and payable by the Borrower in accordance with</w:t>
      </w:r>
    </w:p>
    <w:p>
      <w:pPr>
        <w:spacing w:after="0" w:line="10"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the repayment provisions set forth in this clause 6.1.1 above."</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and</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2.2.2. by adding the following to the end of clause 6.1.2:</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"provided that with respect to Advances made to the Borrower</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during the second Quarter of 2004 ("THE SECOND QUARTER 2004</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ADVANCES"), the Borrower shall be permitted to pay the first</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quarterly principal instalment on the first Business Day in July</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2007, rather than on the last Business Day in June 2007 and for</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the avoidance of doubt:</w:t>
      </w:r>
    </w:p>
    <w:p>
      <w:pPr>
        <w:spacing w:after="0" w:line="141" w:lineRule="exact"/>
        <w:rPr>
          <w:sz w:val="20"/>
          <w:szCs w:val="20"/>
          <w:color w:val="auto"/>
        </w:rPr>
      </w:pPr>
    </w:p>
    <w:p>
      <w:pPr>
        <w:ind w:left="1427" w:right="4539" w:hanging="356"/>
        <w:spacing w:after="0"/>
        <w:tabs>
          <w:tab w:leader="none" w:pos="1427" w:val="left"/>
        </w:tabs>
        <w:numPr>
          <w:ilvl w:val="0"/>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subsequent quarterly principal instalments shall continue to be due and payable by the Borrower in accordance with the repayment provisions set forth in this clause 6.1.2 above; and</w:t>
      </w:r>
    </w:p>
    <w:p>
      <w:pPr>
        <w:spacing w:after="0" w:line="139" w:lineRule="exact"/>
        <w:rPr>
          <w:rFonts w:ascii="Courier New" w:cs="Courier New" w:eastAsia="Courier New" w:hAnsi="Courier New"/>
          <w:sz w:val="12"/>
          <w:szCs w:val="12"/>
          <w:color w:val="auto"/>
        </w:rPr>
      </w:pPr>
    </w:p>
    <w:p>
      <w:pPr>
        <w:ind w:left="2787" w:hanging="146"/>
        <w:spacing w:after="0"/>
        <w:tabs>
          <w:tab w:leader="none" w:pos="2787" w:val="left"/>
        </w:tabs>
        <w:numPr>
          <w:ilvl w:val="1"/>
          <w:numId w:val="2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ectPr>
          <w:pgSz w:w="11900" w:h="16838" w:orient="portrait"/>
          <w:cols w:equalWidth="0" w:num="1">
            <w:col w:w="10246"/>
          </w:cols>
          <w:pgMar w:left="213" w:top="278" w:right="1440" w:bottom="1440" w:gutter="0" w:footer="0" w:header="0"/>
          <w:type w:val="continuous"/>
        </w:sectPr>
      </w:pPr>
    </w:p>
    <w:bookmarkStart w:id="128" w:name="page129"/>
    <w:bookmarkEnd w:id="128"/>
    <w:p>
      <w:pPr>
        <w:ind w:left="1427" w:right="4819" w:hanging="356"/>
        <w:spacing w:after="0" w:line="241" w:lineRule="auto"/>
        <w:tabs>
          <w:tab w:leader="none" w:pos="1427" w:val="left"/>
        </w:tabs>
        <w:numPr>
          <w:ilvl w:val="0"/>
          <w:numId w:val="2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Advances made to the Borrower as described in this clause 6.1.2 above subsequent to the Second Quarter 2004 Advances shall continue to be due and payable by the Borrower in accordance with the repayment provisions set forth in this clause 6.1.2 above."</w:t>
      </w:r>
    </w:p>
    <w:p>
      <w:pPr>
        <w:spacing w:after="0" w:line="138"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2.3. Clause 11 (Commissions, Fees and Expenses) shall be amended as</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follows:</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2.3.1. Clause 11.1 shall be amended to read as follows:</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"11.1 THIRTEENTH AMENDMENT FEES</w:t>
      </w:r>
    </w:p>
    <w:p>
      <w:pPr>
        <w:spacing w:after="0" w:line="139" w:lineRule="exact"/>
        <w:rPr>
          <w:sz w:val="20"/>
          <w:szCs w:val="20"/>
          <w:color w:val="auto"/>
        </w:rPr>
      </w:pPr>
    </w:p>
    <w:p>
      <w:pPr>
        <w:ind w:left="1427"/>
        <w:spacing w:after="0"/>
        <w:rPr>
          <w:sz w:val="20"/>
          <w:szCs w:val="20"/>
          <w:color w:val="auto"/>
        </w:rPr>
      </w:pPr>
      <w:r>
        <w:rPr>
          <w:rFonts w:ascii="Courier New" w:cs="Courier New" w:eastAsia="Courier New" w:hAnsi="Courier New"/>
          <w:sz w:val="12"/>
          <w:szCs w:val="12"/>
          <w:color w:val="auto"/>
        </w:rPr>
        <w:t>The Borrower shall pay to each of the Banks, in accordance</w:t>
      </w:r>
    </w:p>
    <w:p>
      <w:pPr>
        <w:spacing w:after="0" w:line="4" w:lineRule="exact"/>
        <w:rPr>
          <w:sz w:val="20"/>
          <w:szCs w:val="20"/>
          <w:color w:val="auto"/>
        </w:rPr>
      </w:pPr>
    </w:p>
    <w:p>
      <w:pPr>
        <w:ind w:left="1427"/>
        <w:spacing w:after="0"/>
        <w:rPr>
          <w:sz w:val="20"/>
          <w:szCs w:val="20"/>
          <w:color w:val="auto"/>
        </w:rPr>
      </w:pPr>
      <w:r>
        <w:rPr>
          <w:rFonts w:ascii="Courier New" w:cs="Courier New" w:eastAsia="Courier New" w:hAnsi="Courier New"/>
          <w:sz w:val="11"/>
          <w:szCs w:val="11"/>
          <w:color w:val="auto"/>
        </w:rPr>
        <w:t>with, and on the dates set forth in, the fee letters between</w:t>
      </w:r>
    </w:p>
    <w:p>
      <w:pPr>
        <w:spacing w:after="0" w:line="10" w:lineRule="exact"/>
        <w:rPr>
          <w:sz w:val="20"/>
          <w:szCs w:val="20"/>
          <w:color w:val="auto"/>
        </w:rPr>
      </w:pPr>
    </w:p>
    <w:p>
      <w:pPr>
        <w:ind w:left="1427"/>
        <w:spacing w:after="0"/>
        <w:rPr>
          <w:sz w:val="20"/>
          <w:szCs w:val="20"/>
          <w:color w:val="auto"/>
        </w:rPr>
      </w:pPr>
      <w:r>
        <w:rPr>
          <w:rFonts w:ascii="Courier New" w:cs="Courier New" w:eastAsia="Courier New" w:hAnsi="Courier New"/>
          <w:sz w:val="12"/>
          <w:szCs w:val="12"/>
          <w:color w:val="auto"/>
        </w:rPr>
        <w:t>the Borrower and the Banks ("THE THIRTEENTH AMENDMENT FEE</w:t>
      </w:r>
    </w:p>
    <w:p>
      <w:pPr>
        <w:spacing w:after="0" w:line="1" w:lineRule="exact"/>
        <w:rPr>
          <w:sz w:val="20"/>
          <w:szCs w:val="20"/>
          <w:color w:val="auto"/>
        </w:rPr>
      </w:pPr>
    </w:p>
    <w:p>
      <w:pPr>
        <w:ind w:left="1427"/>
        <w:spacing w:after="0"/>
        <w:rPr>
          <w:sz w:val="20"/>
          <w:szCs w:val="20"/>
          <w:color w:val="auto"/>
        </w:rPr>
      </w:pPr>
      <w:r>
        <w:rPr>
          <w:rFonts w:ascii="Courier New" w:cs="Courier New" w:eastAsia="Courier New" w:hAnsi="Courier New"/>
          <w:sz w:val="12"/>
          <w:szCs w:val="12"/>
          <w:color w:val="auto"/>
        </w:rPr>
        <w:t>LETTERS"), the fees set out in the Thirteenth Amendment Fee</w:t>
      </w:r>
    </w:p>
    <w:p>
      <w:pPr>
        <w:spacing w:after="0" w:line="1" w:lineRule="exact"/>
        <w:rPr>
          <w:sz w:val="20"/>
          <w:szCs w:val="20"/>
          <w:color w:val="auto"/>
        </w:rPr>
      </w:pPr>
    </w:p>
    <w:p>
      <w:pPr>
        <w:ind w:left="1427"/>
        <w:spacing w:after="0"/>
        <w:rPr>
          <w:sz w:val="20"/>
          <w:szCs w:val="20"/>
          <w:color w:val="auto"/>
        </w:rPr>
      </w:pPr>
      <w:r>
        <w:rPr>
          <w:rFonts w:ascii="Courier New" w:cs="Courier New" w:eastAsia="Courier New" w:hAnsi="Courier New"/>
          <w:sz w:val="12"/>
          <w:szCs w:val="12"/>
          <w:color w:val="auto"/>
        </w:rPr>
        <w:t>Letters."</w:t>
      </w:r>
    </w:p>
    <w:p>
      <w:pPr>
        <w:spacing w:after="0" w:line="139" w:lineRule="exact"/>
        <w:rPr>
          <w:sz w:val="20"/>
          <w:szCs w:val="20"/>
          <w:color w:val="auto"/>
        </w:rPr>
      </w:pPr>
    </w:p>
    <w:p>
      <w:pPr>
        <w:ind w:left="367" w:hanging="367"/>
        <w:spacing w:after="0"/>
        <w:tabs>
          <w:tab w:leader="none" w:pos="367" w:val="left"/>
        </w:tabs>
        <w:numPr>
          <w:ilvl w:val="0"/>
          <w:numId w:val="2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PAYMENTS</w:t>
      </w:r>
    </w:p>
    <w:p>
      <w:pPr>
        <w:spacing w:after="0" w:line="141" w:lineRule="exact"/>
        <w:rPr>
          <w:rFonts w:ascii="Courier New" w:cs="Courier New" w:eastAsia="Courier New" w:hAnsi="Courier New"/>
          <w:sz w:val="12"/>
          <w:szCs w:val="12"/>
          <w:color w:val="auto"/>
        </w:rPr>
      </w:pPr>
    </w:p>
    <w:p>
      <w:pPr>
        <w:ind w:left="367" w:right="459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the avoidance of doubt, all Interest on each Advance (including the Second Quarter 2004 Advances) and each Loan (including Interest Payment Loans) shall continue to be due and payable in accordance with clause 9.3.</w:t>
      </w:r>
    </w:p>
    <w:p>
      <w:pPr>
        <w:spacing w:after="0" w:line="122"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NINTH AMENDMENT WARRANTS</w:t>
      </w:r>
    </w:p>
    <w:p>
      <w:pPr>
        <w:spacing w:after="0" w:line="141" w:lineRule="exact"/>
        <w:rPr>
          <w:rFonts w:ascii="Courier New" w:cs="Courier New" w:eastAsia="Courier New" w:hAnsi="Courier New"/>
          <w:sz w:val="12"/>
          <w:szCs w:val="12"/>
          <w:color w:val="auto"/>
        </w:rPr>
      </w:pPr>
    </w:p>
    <w:p>
      <w:pPr>
        <w:ind w:left="367" w:right="45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Thirteenth Amendment shall not derogate from Section 7 of the Ninth Amendment and does not constitute an agreement by the Banks to reschedule the repayment dates of the Interest Payment Loans as contemplated by the Warrants issued to each of the Banks on August 4, 2005 in connection with the Ninth Amendment and, as such, as of the date hereof, each of such Warrants is only exercisable with respect to 2,066,116 (two million and sixty-six thousand, one hundred and sixteen) Warrant Shares (as defined in such Warrants).</w:t>
      </w:r>
    </w:p>
    <w:p>
      <w:pPr>
        <w:spacing w:after="0" w:line="277" w:lineRule="exact"/>
        <w:rPr>
          <w:rFonts w:ascii="Courier New" w:cs="Courier New" w:eastAsia="Courier New" w:hAnsi="Courier New"/>
          <w:sz w:val="12"/>
          <w:szCs w:val="12"/>
          <w:color w:val="auto"/>
        </w:rPr>
      </w:pPr>
    </w:p>
    <w:p>
      <w:pPr>
        <w:ind w:left="2787" w:hanging="146"/>
        <w:spacing w:after="0"/>
        <w:tabs>
          <w:tab w:leader="none" w:pos="2787" w:val="left"/>
        </w:tabs>
        <w:numPr>
          <w:ilvl w:val="1"/>
          <w:numId w:val="2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ectPr>
          <w:pgSz w:w="11900" w:h="16838" w:orient="portrait"/>
          <w:cols w:equalWidth="0" w:num="1">
            <w:col w:w="10246"/>
          </w:cols>
          <w:pgMar w:left="213" w:top="534" w:right="1440" w:bottom="1440" w:gutter="0" w:footer="0" w:header="0"/>
        </w:sectPr>
      </w:pPr>
    </w:p>
    <w:bookmarkStart w:id="129" w:name="page130"/>
    <w:bookmarkEnd w:id="129"/>
    <w:p>
      <w:pPr>
        <w:ind w:left="367" w:hanging="367"/>
        <w:spacing w:after="0"/>
        <w:tabs>
          <w:tab w:leader="none" w:pos="367" w:val="left"/>
        </w:tabs>
        <w:numPr>
          <w:ilvl w:val="0"/>
          <w:numId w:val="2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FULL FORCE AND EFFECT OF FACILITY AGREEMENT</w:t>
      </w:r>
    </w:p>
    <w:p>
      <w:pPr>
        <w:spacing w:after="0" w:line="141" w:lineRule="exact"/>
        <w:rPr>
          <w:rFonts w:ascii="Courier New" w:cs="Courier New" w:eastAsia="Courier New" w:hAnsi="Courier New"/>
          <w:sz w:val="12"/>
          <w:szCs w:val="12"/>
          <w:color w:val="auto"/>
        </w:rPr>
      </w:pPr>
    </w:p>
    <w:p>
      <w:pPr>
        <w:ind w:left="367" w:right="489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Facility Agreement is hereby amended as expressly set out in this Thirteenth Amendment above. This Thirteenth Amendment shall be read together with the Facility Agreement as one agreement and, save as expressly amended by this Thirteenth Amendment, the Facility Agreement shall remain unaltered and in full force and effect.</w:t>
      </w:r>
    </w:p>
    <w:p>
      <w:pPr>
        <w:spacing w:after="0" w:line="141" w:lineRule="exact"/>
        <w:rPr>
          <w:sz w:val="20"/>
          <w:szCs w:val="20"/>
          <w:color w:val="auto"/>
        </w:rPr>
      </w:pPr>
    </w:p>
    <w:p>
      <w:pPr>
        <w:ind w:left="7" w:right="4819"/>
        <w:spacing w:after="0" w:line="238" w:lineRule="auto"/>
        <w:rPr>
          <w:sz w:val="20"/>
          <w:szCs w:val="20"/>
          <w:color w:val="auto"/>
        </w:rPr>
      </w:pPr>
      <w:r>
        <w:rPr>
          <w:rFonts w:ascii="Courier New" w:cs="Courier New" w:eastAsia="Courier New" w:hAnsi="Courier New"/>
          <w:sz w:val="12"/>
          <w:szCs w:val="12"/>
          <w:color w:val="auto"/>
        </w:rPr>
        <w:t>IN WITNESS WHEREOF, THE PARTIES HAVE SIGNED THIS THIRTEENTH AMENDMENT ON THE DATE FIRST MENTIONED ABOVE.</w:t>
      </w: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46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rPr>
              <w:t>TOWER SEMICONDUCTOR LTD.</w:t>
            </w:r>
          </w:p>
        </w:tc>
        <w:tc>
          <w:tcPr>
            <w:tcW w:w="13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74"/>
        </w:trPr>
        <w:tc>
          <w:tcPr>
            <w:tcW w:w="46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w w:val="98"/>
              </w:rPr>
              <w:t>______________________________</w:t>
            </w:r>
          </w:p>
        </w:tc>
        <w:tc>
          <w:tcPr>
            <w:tcW w:w="13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4"/>
        </w:trPr>
        <w:tc>
          <w:tcPr>
            <w:tcW w:w="460" w:type="dxa"/>
            <w:vAlign w:val="bottom"/>
          </w:tcPr>
          <w:p>
            <w:pPr>
              <w:spacing w:after="0"/>
              <w:rPr>
                <w:sz w:val="20"/>
                <w:szCs w:val="20"/>
                <w:color w:val="auto"/>
              </w:rPr>
            </w:pPr>
            <w:r>
              <w:rPr>
                <w:rFonts w:ascii="Courier New" w:cs="Courier New" w:eastAsia="Courier New" w:hAnsi="Courier New"/>
                <w:sz w:val="12"/>
                <w:szCs w:val="12"/>
                <w:color w:val="auto"/>
              </w:rPr>
              <w:t>Title:</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w w:val="98"/>
              </w:rPr>
              <w:t>______________________________</w:t>
            </w:r>
          </w:p>
        </w:tc>
        <w:tc>
          <w:tcPr>
            <w:tcW w:w="13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412"/>
        </w:trPr>
        <w:tc>
          <w:tcPr>
            <w:tcW w:w="46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rPr>
              <w:t>BANK LEUMI LE-ISRAEL B.M.</w:t>
            </w:r>
          </w:p>
        </w:tc>
        <w:tc>
          <w:tcPr>
            <w:tcW w:w="1320" w:type="dxa"/>
            <w:vAlign w:val="bottom"/>
          </w:tcPr>
          <w:p>
            <w:pPr>
              <w:ind w:left="920"/>
              <w:spacing w:after="0"/>
              <w:rPr>
                <w:sz w:val="20"/>
                <w:szCs w:val="20"/>
                <w:color w:val="auto"/>
              </w:rPr>
            </w:pPr>
            <w:r>
              <w:rPr>
                <w:rFonts w:ascii="Courier New" w:cs="Courier New" w:eastAsia="Courier New" w:hAnsi="Courier New"/>
                <w:sz w:val="12"/>
                <w:szCs w:val="12"/>
                <w:color w:val="auto"/>
              </w:rPr>
              <w:t>for:</w:t>
            </w:r>
          </w:p>
        </w:tc>
        <w:tc>
          <w:tcPr>
            <w:tcW w:w="1680" w:type="dxa"/>
            <w:vAlign w:val="bottom"/>
          </w:tcPr>
          <w:p>
            <w:pPr>
              <w:ind w:left="100"/>
              <w:spacing w:after="0"/>
              <w:rPr>
                <w:sz w:val="20"/>
                <w:szCs w:val="20"/>
                <w:color w:val="auto"/>
              </w:rPr>
            </w:pPr>
            <w:r>
              <w:rPr>
                <w:rFonts w:ascii="Courier New" w:cs="Courier New" w:eastAsia="Courier New" w:hAnsi="Courier New"/>
                <w:sz w:val="12"/>
                <w:szCs w:val="12"/>
                <w:color w:val="auto"/>
              </w:rPr>
              <w:t>BANK HAPOALIM B.M.</w:t>
            </w:r>
          </w:p>
        </w:tc>
      </w:tr>
      <w:tr>
        <w:trPr>
          <w:trHeight w:val="274"/>
        </w:trPr>
        <w:tc>
          <w:tcPr>
            <w:tcW w:w="46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w w:val="98"/>
              </w:rPr>
              <w:t>______________________________</w:t>
            </w:r>
          </w:p>
        </w:tc>
        <w:tc>
          <w:tcPr>
            <w:tcW w:w="1320" w:type="dxa"/>
            <w:vAlign w:val="bottom"/>
          </w:tcPr>
          <w:p>
            <w:pPr>
              <w:ind w:left="920"/>
              <w:spacing w:after="0"/>
              <w:rPr>
                <w:sz w:val="20"/>
                <w:szCs w:val="20"/>
                <w:color w:val="auto"/>
              </w:rPr>
            </w:pPr>
            <w:r>
              <w:rPr>
                <w:rFonts w:ascii="Courier New" w:cs="Courier New" w:eastAsia="Courier New" w:hAnsi="Courier New"/>
                <w:sz w:val="12"/>
                <w:szCs w:val="12"/>
                <w:color w:val="auto"/>
              </w:rPr>
              <w:t>By:</w:t>
            </w:r>
          </w:p>
        </w:tc>
        <w:tc>
          <w:tcPr>
            <w:tcW w:w="1680" w:type="dxa"/>
            <w:vAlign w:val="bottom"/>
          </w:tcPr>
          <w:p>
            <w:pPr>
              <w:ind w:left="100"/>
              <w:spacing w:after="0"/>
              <w:rPr>
                <w:sz w:val="20"/>
                <w:szCs w:val="20"/>
                <w:color w:val="auto"/>
              </w:rPr>
            </w:pPr>
            <w:r>
              <w:rPr>
                <w:rFonts w:ascii="Courier New" w:cs="Courier New" w:eastAsia="Courier New" w:hAnsi="Courier New"/>
                <w:sz w:val="12"/>
                <w:szCs w:val="12"/>
                <w:color w:val="auto"/>
                <w:w w:val="98"/>
              </w:rPr>
              <w:t>______________________</w:t>
            </w:r>
          </w:p>
        </w:tc>
      </w:tr>
      <w:tr>
        <w:trPr>
          <w:trHeight w:val="274"/>
        </w:trPr>
        <w:tc>
          <w:tcPr>
            <w:tcW w:w="2640" w:type="dxa"/>
            <w:vAlign w:val="bottom"/>
            <w:gridSpan w:val="2"/>
          </w:tcPr>
          <w:p>
            <w:pPr>
              <w:spacing w:after="0"/>
              <w:rPr>
                <w:sz w:val="20"/>
                <w:szCs w:val="20"/>
                <w:color w:val="auto"/>
              </w:rPr>
            </w:pPr>
            <w:r>
              <w:rPr>
                <w:rFonts w:ascii="Courier New" w:cs="Courier New" w:eastAsia="Courier New" w:hAnsi="Courier New"/>
                <w:sz w:val="12"/>
                <w:szCs w:val="12"/>
                <w:color w:val="auto"/>
                <w:w w:val="98"/>
              </w:rPr>
              <w:t>Title: ______________________________</w:t>
            </w:r>
          </w:p>
        </w:tc>
        <w:tc>
          <w:tcPr>
            <w:tcW w:w="3000" w:type="dxa"/>
            <w:vAlign w:val="bottom"/>
            <w:gridSpan w:val="2"/>
          </w:tcPr>
          <w:p>
            <w:pPr>
              <w:ind w:left="920"/>
              <w:spacing w:after="0"/>
              <w:rPr>
                <w:sz w:val="20"/>
                <w:szCs w:val="20"/>
                <w:color w:val="auto"/>
              </w:rPr>
            </w:pPr>
            <w:r>
              <w:rPr>
                <w:rFonts w:ascii="Courier New" w:cs="Courier New" w:eastAsia="Courier New" w:hAnsi="Courier New"/>
                <w:sz w:val="12"/>
                <w:szCs w:val="12"/>
                <w:color w:val="auto"/>
                <w:w w:val="98"/>
              </w:rPr>
              <w:t>Title: ______________________</w:t>
            </w:r>
          </w:p>
        </w:tc>
      </w:tr>
      <w:tr>
        <w:trPr>
          <w:trHeight w:val="412"/>
        </w:trPr>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20" w:type="dxa"/>
            <w:vAlign w:val="bottom"/>
          </w:tcPr>
          <w:p>
            <w:pPr>
              <w:jc w:val="right"/>
              <w:ind w:right="901"/>
              <w:spacing w:after="0"/>
              <w:rPr>
                <w:sz w:val="20"/>
                <w:szCs w:val="20"/>
                <w:color w:val="auto"/>
              </w:rPr>
            </w:pPr>
            <w:r>
              <w:rPr>
                <w:rFonts w:ascii="Courier New" w:cs="Courier New" w:eastAsia="Courier New" w:hAnsi="Courier New"/>
                <w:sz w:val="12"/>
                <w:szCs w:val="12"/>
                <w:color w:val="auto"/>
                <w:w w:val="94"/>
              </w:rPr>
              <w:t>- 4 -</w:t>
            </w:r>
          </w:p>
        </w:tc>
        <w:tc>
          <w:tcPr>
            <w:tcW w:w="1680" w:type="dxa"/>
            <w:vAlign w:val="bottom"/>
          </w:tcPr>
          <w:p>
            <w:pPr>
              <w:spacing w:after="0"/>
              <w:rPr>
                <w:sz w:val="24"/>
                <w:szCs w:val="24"/>
                <w:color w:val="auto"/>
              </w:rPr>
            </w:pPr>
          </w:p>
        </w:tc>
      </w:tr>
    </w:tbl>
    <w:p>
      <w:pPr>
        <w:sectPr>
          <w:pgSz w:w="11900" w:h="16838" w:orient="portrait"/>
          <w:cols w:equalWidth="0" w:num="1">
            <w:col w:w="10246"/>
          </w:cols>
          <w:pgMar w:left="213" w:top="669" w:right="1440" w:bottom="1440" w:gutter="0" w:footer="0" w:header="0"/>
        </w:sectPr>
      </w:pPr>
    </w:p>
    <w:bookmarkStart w:id="130" w:name="page131"/>
    <w:bookmarkEnd w:id="130"/>
    <w:p>
      <w:pPr>
        <w:jc w:val="center"/>
        <w:ind w:right="-307"/>
        <w:spacing w:after="0"/>
        <w:rPr>
          <w:sz w:val="20"/>
          <w:szCs w:val="20"/>
          <w:color w:val="auto"/>
        </w:rPr>
      </w:pPr>
      <w:r>
        <w:rPr>
          <w:rFonts w:ascii="Courier New" w:cs="Courier New" w:eastAsia="Courier New" w:hAnsi="Courier New"/>
          <w:sz w:val="11"/>
          <w:szCs w:val="11"/>
          <w:color w:val="auto"/>
        </w:rPr>
        <w:t>EXHIBIT 4.53</w:t>
      </w:r>
    </w:p>
    <w:p>
      <w:pPr>
        <w:spacing w:after="0" w:line="147" w:lineRule="exact"/>
        <w:rPr>
          <w:sz w:val="20"/>
          <w:szCs w:val="20"/>
          <w:color w:val="auto"/>
        </w:rPr>
      </w:pPr>
    </w:p>
    <w:p>
      <w:pPr>
        <w:ind w:left="2147"/>
        <w:spacing w:after="0"/>
        <w:rPr>
          <w:sz w:val="20"/>
          <w:szCs w:val="20"/>
          <w:color w:val="auto"/>
        </w:rPr>
      </w:pPr>
      <w:r>
        <w:rPr>
          <w:rFonts w:ascii="Courier New" w:cs="Courier New" w:eastAsia="Courier New" w:hAnsi="Courier New"/>
          <w:sz w:val="12"/>
          <w:szCs w:val="12"/>
          <w:color w:val="auto"/>
        </w:rPr>
        <w:t>FOURTEENTH AMENDMENT</w:t>
      </w:r>
    </w:p>
    <w:p>
      <w:pPr>
        <w:spacing w:after="0" w:line="1" w:lineRule="exact"/>
        <w:rPr>
          <w:sz w:val="20"/>
          <w:szCs w:val="20"/>
          <w:color w:val="auto"/>
        </w:rPr>
      </w:pPr>
    </w:p>
    <w:p>
      <w:pPr>
        <w:ind w:left="2007"/>
        <w:spacing w:after="0"/>
        <w:rPr>
          <w:sz w:val="20"/>
          <w:szCs w:val="20"/>
          <w:color w:val="auto"/>
        </w:rPr>
      </w:pPr>
      <w:r>
        <w:rPr>
          <w:rFonts w:ascii="Courier New" w:cs="Courier New" w:eastAsia="Courier New" w:hAnsi="Courier New"/>
          <w:sz w:val="12"/>
          <w:szCs w:val="12"/>
          <w:color w:val="auto"/>
        </w:rPr>
        <w:t>TO THE FACILITY AGREEMENT</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Made and entered into on this 30th day of May, 2006, by and between:</w:t>
      </w:r>
    </w:p>
    <w:p>
      <w:pPr>
        <w:spacing w:after="0" w:line="139" w:lineRule="exact"/>
        <w:rPr>
          <w:sz w:val="20"/>
          <w:szCs w:val="20"/>
          <w:color w:val="auto"/>
        </w:rPr>
      </w:pPr>
    </w:p>
    <w:p>
      <w:pPr>
        <w:ind w:left="1067" w:hanging="353"/>
        <w:spacing w:after="0"/>
        <w:tabs>
          <w:tab w:leader="none" w:pos="1067" w:val="left"/>
        </w:tabs>
        <w:numPr>
          <w:ilvl w:val="0"/>
          <w:numId w:val="2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("THE BORROWER")</w:t>
      </w:r>
    </w:p>
    <w:p>
      <w:pPr>
        <w:spacing w:after="0" w:line="138" w:lineRule="exact"/>
        <w:rPr>
          <w:rFonts w:ascii="Courier New" w:cs="Courier New" w:eastAsia="Courier New" w:hAnsi="Courier New"/>
          <w:sz w:val="12"/>
          <w:szCs w:val="12"/>
          <w:color w:val="auto"/>
        </w:rPr>
      </w:pPr>
    </w:p>
    <w:p>
      <w:pPr>
        <w:ind w:left="70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and</w:t>
      </w:r>
    </w:p>
    <w:p>
      <w:pPr>
        <w:spacing w:after="0" w:line="138" w:lineRule="exact"/>
        <w:rPr>
          <w:rFonts w:ascii="Courier New" w:cs="Courier New" w:eastAsia="Courier New" w:hAnsi="Courier New"/>
          <w:sz w:val="12"/>
          <w:szCs w:val="12"/>
          <w:color w:val="auto"/>
        </w:rPr>
      </w:pPr>
    </w:p>
    <w:p>
      <w:pPr>
        <w:ind w:left="1067" w:hanging="353"/>
        <w:spacing w:after="0"/>
        <w:tabs>
          <w:tab w:leader="none" w:pos="1067" w:val="left"/>
        </w:tabs>
        <w:numPr>
          <w:ilvl w:val="0"/>
          <w:numId w:val="2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LEUMI LE-ISRAEL B.M. and BANK HAPOALIM B.M. ("THE BANKS")</w:t>
      </w:r>
    </w:p>
    <w:p>
      <w:pPr>
        <w:sectPr>
          <w:pgSz w:w="11900" w:h="16838" w:orient="portrait"/>
          <w:cols w:equalWidth="0" w:num="1">
            <w:col w:w="10246"/>
          </w:cols>
          <w:pgMar w:left="213" w:top="278" w:right="1440" w:bottom="1440" w:gutter="0" w:footer="0" w:header="0"/>
        </w:sectPr>
      </w:pPr>
    </w:p>
    <w:p>
      <w:pPr>
        <w:spacing w:after="0" w:line="141"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Borrower, on the one hand, and the Banks, on the other hand,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are parties to a Facility Agreement dated January 18, 2001,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amended pursuant to a letter dated January 29, 2001, a Second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Amendment dated January 10, 2002, a letter dated March 7, 2002,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letter dated April 29, 2002, a letter dated September 18,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amended on October 22, 2002, a letter dated June 10, 2003,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Seventh Amendment dated November 11, 2003, a letter dated January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30, 2005, a Ninth Amendment dated July 24, 2005, a Tenth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Amendment dated September 29, 2005, an Eleventh Amendment 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October 27, 2005, a Twelfth Amendment dated November 30, 2005 and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 Thirteenth Amendment dated May 1, 2006 (the Facility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amended as aforesaid, hereinafter "THE FACILITY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w:t>
      </w:r>
    </w:p>
    <w:p>
      <w:pPr>
        <w:spacing w:after="0" w:line="141" w:lineRule="exact"/>
        <w:rPr>
          <w:sz w:val="20"/>
          <w:szCs w:val="20"/>
          <w:color w:val="auto"/>
        </w:rPr>
      </w:pPr>
    </w:p>
    <w:p>
      <w:pPr>
        <w:sectPr>
          <w:pgSz w:w="11900" w:h="16838" w:orient="portrait"/>
          <w:cols w:equalWidth="0" w:num="2">
            <w:col w:w="567" w:space="500"/>
            <w:col w:w="9179"/>
          </w:cols>
          <w:pgMar w:left="213" w:top="278" w:right="1440" w:bottom="1440" w:gutter="0" w:footer="0" w:header="0"/>
          <w:type w:val="continuous"/>
        </w:sectPr>
      </w:pPr>
    </w:p>
    <w:p>
      <w:pPr>
        <w:ind w:left="7"/>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following the Borrower's request, the Borrower and the Banks have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agreed to amend the Facility Agreement in the manner set out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below ("THIS FOURTEENTH AMENDMENT"),</w:t>
      </w:r>
    </w:p>
    <w:p>
      <w:pPr>
        <w:spacing w:after="0" w:line="139" w:lineRule="exact"/>
        <w:rPr>
          <w:sz w:val="20"/>
          <w:szCs w:val="20"/>
          <w:color w:val="auto"/>
        </w:rPr>
      </w:pPr>
    </w:p>
    <w:p>
      <w:pPr>
        <w:sectPr>
          <w:pgSz w:w="11900" w:h="16838" w:orient="portrait"/>
          <w:cols w:equalWidth="0" w:num="2">
            <w:col w:w="567" w:space="500"/>
            <w:col w:w="9179"/>
          </w:cols>
          <w:pgMar w:left="213" w:top="278" w:right="1440" w:bottom="1440" w:gutter="0" w:footer="0" w:header="0"/>
          <w:type w:val="continuous"/>
        </w:sectPr>
      </w:pPr>
    </w:p>
    <w:p>
      <w:pPr>
        <w:ind w:left="7"/>
        <w:spacing w:after="0"/>
        <w:rPr>
          <w:sz w:val="20"/>
          <w:szCs w:val="20"/>
          <w:color w:val="auto"/>
        </w:rPr>
      </w:pPr>
      <w:r>
        <w:rPr>
          <w:rFonts w:ascii="Courier New" w:cs="Courier New" w:eastAsia="Courier New" w:hAnsi="Courier New"/>
          <w:sz w:val="12"/>
          <w:szCs w:val="12"/>
          <w:color w:val="auto"/>
        </w:rPr>
        <w:t>NOW, THEREFORE, IT IS HEREBY AGREED AS FOLLOWS:</w:t>
      </w:r>
    </w:p>
    <w:p>
      <w:pPr>
        <w:spacing w:after="0" w:line="141" w:lineRule="exact"/>
        <w:rPr>
          <w:sz w:val="20"/>
          <w:szCs w:val="20"/>
          <w:color w:val="auto"/>
        </w:rPr>
      </w:pPr>
    </w:p>
    <w:p>
      <w:pPr>
        <w:ind w:left="367" w:right="4539" w:hanging="367"/>
        <w:spacing w:after="0" w:line="239" w:lineRule="auto"/>
        <w:tabs>
          <w:tab w:leader="none" w:pos="367" w:val="left"/>
        </w:tabs>
        <w:numPr>
          <w:ilvl w:val="0"/>
          <w:numId w:val="2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Facility Agreement is hereby amended by deleting the reference to "June 30, 2006" in clause 16.27.2 and substituting therefor, "September 30, 2006".</w:t>
      </w:r>
    </w:p>
    <w:p>
      <w:pPr>
        <w:spacing w:after="0" w:line="142" w:lineRule="exact"/>
        <w:rPr>
          <w:rFonts w:ascii="Courier New" w:cs="Courier New" w:eastAsia="Courier New" w:hAnsi="Courier New"/>
          <w:sz w:val="12"/>
          <w:szCs w:val="12"/>
          <w:color w:val="auto"/>
        </w:rPr>
      </w:pPr>
    </w:p>
    <w:p>
      <w:pPr>
        <w:ind w:left="367" w:right="4899" w:hanging="367"/>
        <w:spacing w:after="0" w:line="241" w:lineRule="auto"/>
        <w:tabs>
          <w:tab w:leader="none" w:pos="367" w:val="left"/>
        </w:tabs>
        <w:numPr>
          <w:ilvl w:val="0"/>
          <w:numId w:val="2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Facility Agreement is hereby amended as expressly set out in this Fourteenth Amendment above. This Fourteenth Amendment shall be read together with the Facility Agreement as one agreement and, save as expressly amended by this Fourteenth Amendment, the Facility Agreement shall remain unaltered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 w:right="4819"/>
        <w:spacing w:after="0" w:line="238" w:lineRule="auto"/>
        <w:rPr>
          <w:sz w:val="20"/>
          <w:szCs w:val="20"/>
          <w:color w:val="auto"/>
        </w:rPr>
      </w:pPr>
      <w:r>
        <w:rPr>
          <w:rFonts w:ascii="Courier New" w:cs="Courier New" w:eastAsia="Courier New" w:hAnsi="Courier New"/>
          <w:sz w:val="12"/>
          <w:szCs w:val="12"/>
          <w:color w:val="auto"/>
        </w:rPr>
        <w:t>IN WITNESS WHEREOF, THE PARTIES HAVE SIGNED THIS FOURTEENTH AMENDMENT ON THE DATE FIRST MENTIONED ABOVE.</w:t>
      </w: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46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rPr>
              <w:t>TOWER SEMICONDUCTOR LTD.</w:t>
            </w:r>
          </w:p>
        </w:tc>
        <w:tc>
          <w:tcPr>
            <w:tcW w:w="13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74"/>
        </w:trPr>
        <w:tc>
          <w:tcPr>
            <w:tcW w:w="46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w w:val="98"/>
              </w:rPr>
              <w:t>______________________________</w:t>
            </w:r>
          </w:p>
        </w:tc>
        <w:tc>
          <w:tcPr>
            <w:tcW w:w="13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4"/>
        </w:trPr>
        <w:tc>
          <w:tcPr>
            <w:tcW w:w="460" w:type="dxa"/>
            <w:vAlign w:val="bottom"/>
          </w:tcPr>
          <w:p>
            <w:pPr>
              <w:spacing w:after="0"/>
              <w:rPr>
                <w:sz w:val="20"/>
                <w:szCs w:val="20"/>
                <w:color w:val="auto"/>
              </w:rPr>
            </w:pPr>
            <w:r>
              <w:rPr>
                <w:rFonts w:ascii="Courier New" w:cs="Courier New" w:eastAsia="Courier New" w:hAnsi="Courier New"/>
                <w:sz w:val="12"/>
                <w:szCs w:val="12"/>
                <w:color w:val="auto"/>
              </w:rPr>
              <w:t>Title:</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w w:val="98"/>
              </w:rPr>
              <w:t>______________________________</w:t>
            </w:r>
          </w:p>
        </w:tc>
        <w:tc>
          <w:tcPr>
            <w:tcW w:w="13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412"/>
        </w:trPr>
        <w:tc>
          <w:tcPr>
            <w:tcW w:w="46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rPr>
              <w:t>BANK LEUMI LE-ISRAEL B.M.</w:t>
            </w:r>
          </w:p>
        </w:tc>
        <w:tc>
          <w:tcPr>
            <w:tcW w:w="1380" w:type="dxa"/>
            <w:vAlign w:val="bottom"/>
          </w:tcPr>
          <w:p>
            <w:pPr>
              <w:ind w:left="1000"/>
              <w:spacing w:after="0"/>
              <w:rPr>
                <w:sz w:val="20"/>
                <w:szCs w:val="20"/>
                <w:color w:val="auto"/>
              </w:rPr>
            </w:pPr>
            <w:r>
              <w:rPr>
                <w:rFonts w:ascii="Courier New" w:cs="Courier New" w:eastAsia="Courier New" w:hAnsi="Courier New"/>
                <w:sz w:val="12"/>
                <w:szCs w:val="12"/>
                <w:color w:val="auto"/>
              </w:rPr>
              <w:t>for:</w:t>
            </w:r>
          </w:p>
        </w:tc>
        <w:tc>
          <w:tcPr>
            <w:tcW w:w="1680" w:type="dxa"/>
            <w:vAlign w:val="bottom"/>
          </w:tcPr>
          <w:p>
            <w:pPr>
              <w:ind w:left="120"/>
              <w:spacing w:after="0"/>
              <w:rPr>
                <w:sz w:val="20"/>
                <w:szCs w:val="20"/>
                <w:color w:val="auto"/>
              </w:rPr>
            </w:pPr>
            <w:r>
              <w:rPr>
                <w:rFonts w:ascii="Courier New" w:cs="Courier New" w:eastAsia="Courier New" w:hAnsi="Courier New"/>
                <w:sz w:val="12"/>
                <w:szCs w:val="12"/>
                <w:color w:val="auto"/>
              </w:rPr>
              <w:t>BANK HAPOALIM B.M.</w:t>
            </w:r>
          </w:p>
        </w:tc>
      </w:tr>
      <w:tr>
        <w:trPr>
          <w:trHeight w:val="274"/>
        </w:trPr>
        <w:tc>
          <w:tcPr>
            <w:tcW w:w="46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180" w:type="dxa"/>
            <w:vAlign w:val="bottom"/>
          </w:tcPr>
          <w:p>
            <w:pPr>
              <w:ind w:left="40"/>
              <w:spacing w:after="0"/>
              <w:rPr>
                <w:sz w:val="20"/>
                <w:szCs w:val="20"/>
                <w:color w:val="auto"/>
              </w:rPr>
            </w:pPr>
            <w:r>
              <w:rPr>
                <w:rFonts w:ascii="Courier New" w:cs="Courier New" w:eastAsia="Courier New" w:hAnsi="Courier New"/>
                <w:sz w:val="12"/>
                <w:szCs w:val="12"/>
                <w:color w:val="auto"/>
                <w:w w:val="98"/>
              </w:rPr>
              <w:t>______________________________</w:t>
            </w:r>
          </w:p>
        </w:tc>
        <w:tc>
          <w:tcPr>
            <w:tcW w:w="1380" w:type="dxa"/>
            <w:vAlign w:val="bottom"/>
          </w:tcPr>
          <w:p>
            <w:pPr>
              <w:ind w:left="1000"/>
              <w:spacing w:after="0"/>
              <w:rPr>
                <w:sz w:val="20"/>
                <w:szCs w:val="20"/>
                <w:color w:val="auto"/>
              </w:rPr>
            </w:pPr>
            <w:r>
              <w:rPr>
                <w:rFonts w:ascii="Courier New" w:cs="Courier New" w:eastAsia="Courier New" w:hAnsi="Courier New"/>
                <w:sz w:val="12"/>
                <w:szCs w:val="12"/>
                <w:color w:val="auto"/>
              </w:rPr>
              <w:t>By:</w:t>
            </w:r>
          </w:p>
        </w:tc>
        <w:tc>
          <w:tcPr>
            <w:tcW w:w="1680" w:type="dxa"/>
            <w:vAlign w:val="bottom"/>
          </w:tcPr>
          <w:p>
            <w:pPr>
              <w:ind w:left="120"/>
              <w:spacing w:after="0"/>
              <w:rPr>
                <w:sz w:val="20"/>
                <w:szCs w:val="20"/>
                <w:color w:val="auto"/>
              </w:rPr>
            </w:pPr>
            <w:r>
              <w:rPr>
                <w:rFonts w:ascii="Courier New" w:cs="Courier New" w:eastAsia="Courier New" w:hAnsi="Courier New"/>
                <w:sz w:val="12"/>
                <w:szCs w:val="12"/>
                <w:color w:val="auto"/>
                <w:w w:val="97"/>
              </w:rPr>
              <w:t>______________________</w:t>
            </w:r>
          </w:p>
        </w:tc>
      </w:tr>
      <w:tr>
        <w:trPr>
          <w:trHeight w:val="274"/>
        </w:trPr>
        <w:tc>
          <w:tcPr>
            <w:tcW w:w="2640" w:type="dxa"/>
            <w:vAlign w:val="bottom"/>
            <w:gridSpan w:val="2"/>
          </w:tcPr>
          <w:p>
            <w:pPr>
              <w:spacing w:after="0"/>
              <w:rPr>
                <w:sz w:val="20"/>
                <w:szCs w:val="20"/>
                <w:color w:val="auto"/>
              </w:rPr>
            </w:pPr>
            <w:r>
              <w:rPr>
                <w:rFonts w:ascii="Courier New" w:cs="Courier New" w:eastAsia="Courier New" w:hAnsi="Courier New"/>
                <w:sz w:val="12"/>
                <w:szCs w:val="12"/>
                <w:color w:val="auto"/>
                <w:w w:val="98"/>
              </w:rPr>
              <w:t>Title: ______________________________</w:t>
            </w:r>
          </w:p>
        </w:tc>
        <w:tc>
          <w:tcPr>
            <w:tcW w:w="3060" w:type="dxa"/>
            <w:vAlign w:val="bottom"/>
            <w:gridSpan w:val="2"/>
          </w:tcPr>
          <w:p>
            <w:pPr>
              <w:ind w:left="1000"/>
              <w:spacing w:after="0"/>
              <w:rPr>
                <w:sz w:val="20"/>
                <w:szCs w:val="20"/>
                <w:color w:val="auto"/>
              </w:rPr>
            </w:pPr>
            <w:r>
              <w:rPr>
                <w:rFonts w:ascii="Courier New" w:cs="Courier New" w:eastAsia="Courier New" w:hAnsi="Courier New"/>
                <w:sz w:val="12"/>
                <w:szCs w:val="12"/>
                <w:color w:val="auto"/>
                <w:w w:val="97"/>
              </w:rPr>
              <w:t>Title: ______________________</w:t>
            </w:r>
          </w:p>
        </w:tc>
      </w:tr>
      <w:tr>
        <w:trPr>
          <w:trHeight w:val="549"/>
        </w:trPr>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Pr>
          <w:p>
            <w:pPr>
              <w:jc w:val="right"/>
              <w:ind w:right="961"/>
              <w:spacing w:after="0"/>
              <w:rPr>
                <w:sz w:val="20"/>
                <w:szCs w:val="20"/>
                <w:color w:val="auto"/>
              </w:rPr>
            </w:pPr>
            <w:r>
              <w:rPr>
                <w:rFonts w:ascii="Courier New" w:cs="Courier New" w:eastAsia="Courier New" w:hAnsi="Courier New"/>
                <w:sz w:val="12"/>
                <w:szCs w:val="12"/>
                <w:color w:val="auto"/>
                <w:w w:val="94"/>
              </w:rPr>
              <w:t>- 2 -</w:t>
            </w:r>
          </w:p>
        </w:tc>
        <w:tc>
          <w:tcPr>
            <w:tcW w:w="1680" w:type="dxa"/>
            <w:vAlign w:val="bottom"/>
          </w:tcPr>
          <w:p>
            <w:pPr>
              <w:spacing w:after="0"/>
              <w:rPr>
                <w:sz w:val="24"/>
                <w:szCs w:val="24"/>
                <w:color w:val="auto"/>
              </w:rPr>
            </w:pPr>
          </w:p>
        </w:tc>
      </w:tr>
    </w:tbl>
    <w:p>
      <w:pPr>
        <w:sectPr>
          <w:pgSz w:w="11900" w:h="16838" w:orient="portrait"/>
          <w:cols w:equalWidth="0" w:num="1">
            <w:col w:w="10246"/>
          </w:cols>
          <w:pgMar w:left="213" w:top="278" w:right="1440" w:bottom="1440" w:gutter="0" w:footer="0" w:header="0"/>
          <w:type w:val="continuous"/>
        </w:sectPr>
      </w:pPr>
    </w:p>
    <w:bookmarkStart w:id="131" w:name="page132"/>
    <w:bookmarkEnd w:id="131"/>
    <w:p>
      <w:pPr>
        <w:jc w:val="center"/>
        <w:ind w:right="-307"/>
        <w:spacing w:after="0"/>
        <w:rPr>
          <w:sz w:val="20"/>
          <w:szCs w:val="20"/>
          <w:color w:val="auto"/>
        </w:rPr>
      </w:pPr>
      <w:r>
        <w:rPr>
          <w:rFonts w:ascii="Courier New" w:cs="Courier New" w:eastAsia="Courier New" w:hAnsi="Courier New"/>
          <w:sz w:val="11"/>
          <w:szCs w:val="11"/>
          <w:color w:val="auto"/>
        </w:rPr>
        <w:t>EXHIBIT 4.54</w:t>
      </w:r>
    </w:p>
    <w:p>
      <w:pPr>
        <w:spacing w:after="0" w:line="147" w:lineRule="exact"/>
        <w:rPr>
          <w:sz w:val="20"/>
          <w:szCs w:val="20"/>
          <w:color w:val="auto"/>
        </w:rPr>
      </w:pPr>
    </w:p>
    <w:p>
      <w:pPr>
        <w:ind w:left="7"/>
        <w:spacing w:after="0"/>
        <w:tabs>
          <w:tab w:leader="none" w:pos="486" w:val="left"/>
        </w:tabs>
        <w:rPr>
          <w:sz w:val="20"/>
          <w:szCs w:val="20"/>
          <w:color w:val="auto"/>
        </w:rPr>
      </w:pPr>
      <w:r>
        <w:rPr>
          <w:rFonts w:ascii="Courier New" w:cs="Courier New" w:eastAsia="Courier New" w:hAnsi="Courier New"/>
          <w:sz w:val="12"/>
          <w:szCs w:val="12"/>
          <w:color w:val="auto"/>
        </w:rPr>
        <w:t>FROM:</w:t>
        <w:tab/>
        <w:t>TOWER SEMICONDUCTOR LTD.</w:t>
      </w:r>
    </w:p>
    <w:p>
      <w:pPr>
        <w:spacing w:after="0" w:line="1" w:lineRule="exact"/>
        <w:rPr>
          <w:sz w:val="20"/>
          <w:szCs w:val="20"/>
          <w:color w:val="auto"/>
        </w:rPr>
      </w:pPr>
    </w:p>
    <w:p>
      <w:pPr>
        <w:ind w:left="7"/>
        <w:spacing w:after="0"/>
        <w:tabs>
          <w:tab w:leader="none" w:pos="486" w:val="left"/>
        </w:tabs>
        <w:rPr>
          <w:sz w:val="20"/>
          <w:szCs w:val="20"/>
          <w:color w:val="auto"/>
        </w:rPr>
      </w:pPr>
      <w:r>
        <w:rPr>
          <w:rFonts w:ascii="Courier New" w:cs="Courier New" w:eastAsia="Courier New" w:hAnsi="Courier New"/>
          <w:sz w:val="12"/>
          <w:szCs w:val="12"/>
          <w:color w:val="auto"/>
        </w:rPr>
        <w:t>TO:</w:t>
      </w:r>
      <w:r>
        <w:rPr>
          <w:sz w:val="20"/>
          <w:szCs w:val="20"/>
          <w:color w:val="auto"/>
        </w:rPr>
        <w:tab/>
      </w:r>
      <w:r>
        <w:rPr>
          <w:rFonts w:ascii="Courier New" w:cs="Courier New" w:eastAsia="Courier New" w:hAnsi="Courier New"/>
          <w:sz w:val="12"/>
          <w:szCs w:val="12"/>
          <w:color w:val="auto"/>
        </w:rPr>
        <w:t>BANK HAPOALIM B.M. AND BANK LEUMI LE-ISRAEL B.M.</w:t>
      </w:r>
    </w:p>
    <w:p>
      <w:pPr>
        <w:spacing w:after="0" w:line="1" w:lineRule="exact"/>
        <w:rPr>
          <w:sz w:val="20"/>
          <w:szCs w:val="20"/>
          <w:color w:val="auto"/>
        </w:rPr>
      </w:pPr>
    </w:p>
    <w:p>
      <w:pPr>
        <w:ind w:left="7"/>
        <w:spacing w:after="0"/>
        <w:tabs>
          <w:tab w:leader="none" w:pos="486" w:val="left"/>
        </w:tabs>
        <w:rPr>
          <w:sz w:val="20"/>
          <w:szCs w:val="20"/>
          <w:color w:val="auto"/>
        </w:rPr>
      </w:pPr>
      <w:r>
        <w:rPr>
          <w:rFonts w:ascii="Courier New" w:cs="Courier New" w:eastAsia="Courier New" w:hAnsi="Courier New"/>
          <w:sz w:val="12"/>
          <w:szCs w:val="12"/>
          <w:color w:val="auto"/>
        </w:rPr>
        <w:t>DATE:</w:t>
        <w:tab/>
        <w:t>JUNE 14, 2006</w:t>
      </w:r>
    </w:p>
    <w:p>
      <w:pPr>
        <w:spacing w:after="0" w:line="141"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w:t>
      </w:r>
    </w:p>
    <w:p>
      <w:pPr>
        <w:spacing w:after="0" w:line="147"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Dear Sirs,</w:t>
      </w:r>
    </w:p>
    <w:p>
      <w:pPr>
        <w:spacing w:after="0" w:line="141" w:lineRule="exact"/>
        <w:rPr>
          <w:sz w:val="20"/>
          <w:szCs w:val="20"/>
          <w:color w:val="auto"/>
        </w:rPr>
      </w:pPr>
    </w:p>
    <w:p>
      <w:pPr>
        <w:ind w:left="7" w:right="4599"/>
        <w:spacing w:after="0" w:line="241" w:lineRule="auto"/>
        <w:rPr>
          <w:sz w:val="20"/>
          <w:szCs w:val="20"/>
          <w:color w:val="auto"/>
        </w:rPr>
      </w:pPr>
      <w:r>
        <w:rPr>
          <w:rFonts w:ascii="Courier New" w:cs="Courier New" w:eastAsia="Courier New" w:hAnsi="Courier New"/>
          <w:sz w:val="12"/>
          <w:szCs w:val="12"/>
          <w:color w:val="auto"/>
        </w:rPr>
        <w:t>We refer to the Facility Agreement dated January 18, 2001, as amended, made between Bank Hapoalim B.M. and Bank Leumi Le-Israel B.M., on the one hand ("THE BANKS") and Tower Semiconductor Ltd. ("THE BORROWER"), on the other hand ("THE FACILITY AGREEMENT"). We confirm that this letter agreement is a Finance Document and shall be deemed to be the Fifteenth Amendment to the Facility Agreement.</w:t>
      </w:r>
    </w:p>
    <w:p>
      <w:pPr>
        <w:spacing w:after="0" w:line="142" w:lineRule="exact"/>
        <w:rPr>
          <w:sz w:val="20"/>
          <w:szCs w:val="20"/>
          <w:color w:val="auto"/>
        </w:rPr>
      </w:pPr>
    </w:p>
    <w:p>
      <w:pPr>
        <w:ind w:left="7" w:right="4959"/>
        <w:spacing w:after="0" w:line="238" w:lineRule="auto"/>
        <w:rPr>
          <w:sz w:val="20"/>
          <w:szCs w:val="20"/>
          <w:color w:val="auto"/>
        </w:rPr>
      </w:pPr>
      <w:r>
        <w:rPr>
          <w:rFonts w:ascii="Courier New" w:cs="Courier New" w:eastAsia="Courier New" w:hAnsi="Courier New"/>
          <w:sz w:val="12"/>
          <w:szCs w:val="12"/>
          <w:color w:val="auto"/>
        </w:rPr>
        <w:t>We hereby confirm that, at the request of the Borrower, it has been agreed between us as follows:</w:t>
      </w:r>
    </w:p>
    <w:p>
      <w:pPr>
        <w:spacing w:after="0" w:line="139" w:lineRule="exact"/>
        <w:rPr>
          <w:sz w:val="20"/>
          <w:szCs w:val="20"/>
          <w:color w:val="auto"/>
        </w:rPr>
      </w:pPr>
    </w:p>
    <w:p>
      <w:pPr>
        <w:ind w:left="367" w:hanging="367"/>
        <w:spacing w:after="0"/>
        <w:tabs>
          <w:tab w:leader="none" w:pos="367" w:val="left"/>
        </w:tabs>
        <w:numPr>
          <w:ilvl w:val="0"/>
          <w:numId w:val="2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Notwithstanding anything to the contrary in the Facility Agreement:</w:t>
      </w:r>
    </w:p>
    <w:p>
      <w:pPr>
        <w:spacing w:after="0" w:line="141" w:lineRule="exact"/>
        <w:rPr>
          <w:rFonts w:ascii="Courier New" w:cs="Courier New" w:eastAsia="Courier New" w:hAnsi="Courier New"/>
          <w:sz w:val="12"/>
          <w:szCs w:val="12"/>
          <w:color w:val="auto"/>
        </w:rPr>
      </w:pPr>
    </w:p>
    <w:p>
      <w:pPr>
        <w:ind w:left="707" w:right="4599" w:hanging="357"/>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1.1. All references to Equity Convertible Debentures in clause 1.1.118(j) may apply to Permitted Subordinated Debt issued by the Borrower in a proposed public offering in Israel only that may take place after the date hereof but no later than three months after the date hereof, in an aggregate principal amount not to exceed US $50,000,000 (fifty million US dollars) ("THE FIFTEENTH AMENDMENT SUBORDINATED DEBT").</w:t>
      </w:r>
    </w:p>
    <w:p>
      <w:pPr>
        <w:spacing w:after="0" w:line="128" w:lineRule="exact"/>
        <w:rPr>
          <w:rFonts w:ascii="Courier New" w:cs="Courier New" w:eastAsia="Courier New" w:hAnsi="Courier New"/>
          <w:sz w:val="12"/>
          <w:szCs w:val="12"/>
          <w:color w:val="auto"/>
        </w:rPr>
      </w:pPr>
    </w:p>
    <w:p>
      <w:pPr>
        <w:ind w:left="707" w:right="4539" w:hanging="357"/>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1.2. No principal, Interest or any other amount on account of the Fifteenth Amendment Subordinated Debt may be repayable or repaid by the Borrower prior to December 2011.</w:t>
      </w:r>
    </w:p>
    <w:p>
      <w:pPr>
        <w:spacing w:after="0" w:line="142" w:lineRule="exact"/>
        <w:rPr>
          <w:rFonts w:ascii="Courier New" w:cs="Courier New" w:eastAsia="Courier New" w:hAnsi="Courier New"/>
          <w:sz w:val="12"/>
          <w:szCs w:val="12"/>
          <w:color w:val="auto"/>
        </w:rPr>
      </w:pPr>
    </w:p>
    <w:p>
      <w:pPr>
        <w:ind w:left="707" w:right="4539" w:hanging="357"/>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1.3. The Fifteenth Amendment Subordinated Debt (net of discounts, but not net of commissions, fees and other issuance costs) may be taken into account towards the Borrower's obligations to raise funds pursuant to clause 16.27.2. The Borrower shall, within 10 (ten) days after each investment in the Fifteenth Amendment Subordinated Debt, submit to the Banks a certificate from the Auditors (such certificate to be in a form satisfactory to the Banks), confirming the amount of such Fifteenth Amendment Subordinated Debt actually received by the Borrower.</w:t>
      </w:r>
    </w:p>
    <w:p>
      <w:pPr>
        <w:spacing w:after="0" w:line="143" w:lineRule="exact"/>
        <w:rPr>
          <w:rFonts w:ascii="Courier New" w:cs="Courier New" w:eastAsia="Courier New" w:hAnsi="Courier New"/>
          <w:sz w:val="12"/>
          <w:szCs w:val="12"/>
          <w:color w:val="auto"/>
        </w:rPr>
      </w:pPr>
    </w:p>
    <w:p>
      <w:pPr>
        <w:ind w:left="707" w:right="5259" w:hanging="357"/>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1.4. Clause 1.1.118(e) shall not apply to the Fifteenth Amendment Subordinated Debt.</w:t>
      </w:r>
    </w:p>
    <w:p>
      <w:pPr>
        <w:spacing w:after="0" w:line="142" w:lineRule="exact"/>
        <w:rPr>
          <w:rFonts w:ascii="Courier New" w:cs="Courier New" w:eastAsia="Courier New" w:hAnsi="Courier New"/>
          <w:sz w:val="12"/>
          <w:szCs w:val="12"/>
          <w:color w:val="auto"/>
        </w:rPr>
      </w:pPr>
    </w:p>
    <w:p>
      <w:pPr>
        <w:ind w:left="367" w:right="5099" w:hanging="367"/>
        <w:spacing w:after="0" w:line="238" w:lineRule="auto"/>
        <w:tabs>
          <w:tab w:leader="none" w:pos="367" w:val="left"/>
        </w:tabs>
        <w:numPr>
          <w:ilvl w:val="0"/>
          <w:numId w:val="2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the removal of doubt, nothing herein shall derogate from clause 1.1.118(a).</w:t>
      </w:r>
    </w:p>
    <w:p>
      <w:pPr>
        <w:spacing w:after="0" w:line="142" w:lineRule="exact"/>
        <w:rPr>
          <w:rFonts w:ascii="Courier New" w:cs="Courier New" w:eastAsia="Courier New" w:hAnsi="Courier New"/>
          <w:sz w:val="12"/>
          <w:szCs w:val="12"/>
          <w:color w:val="auto"/>
        </w:rPr>
      </w:pPr>
    </w:p>
    <w:p>
      <w:pPr>
        <w:ind w:left="367" w:right="4599" w:hanging="367"/>
        <w:spacing w:after="0" w:line="241" w:lineRule="auto"/>
        <w:tabs>
          <w:tab w:leader="none" w:pos="367" w:val="left"/>
        </w:tabs>
        <w:numPr>
          <w:ilvl w:val="0"/>
          <w:numId w:val="2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Unless the context specifies otherwise, terms and expressions defined in the Facility Agreement shall have the same meanings when used in this letter agreement. References herein to clauses and paragraphs, are to clauses and paragraphs of the Facility Agreement. Except for the amendment specifically set forth herein, the Banks are not making any other amendments to any other provisions of the Facility Agreement or of any of the Schedules thereto. Save as expressly agreed to by the Banks in this letter agreement, the Facility Agreement and the Schedules thereto shall remain unaltered and in full force and effect.</w:t>
      </w:r>
    </w:p>
    <w:p>
      <w:pPr>
        <w:spacing w:after="0" w:line="141" w:lineRule="exact"/>
        <w:rPr>
          <w:sz w:val="20"/>
          <w:szCs w:val="20"/>
          <w:color w:val="auto"/>
        </w:rPr>
      </w:pPr>
    </w:p>
    <w:p>
      <w:pPr>
        <w:ind w:left="2287"/>
        <w:spacing w:after="0"/>
        <w:rPr>
          <w:sz w:val="20"/>
          <w:szCs w:val="20"/>
          <w:color w:val="auto"/>
        </w:rPr>
      </w:pPr>
      <w:r>
        <w:rPr>
          <w:rFonts w:ascii="Courier New" w:cs="Courier New" w:eastAsia="Courier New" w:hAnsi="Courier New"/>
          <w:sz w:val="12"/>
          <w:szCs w:val="12"/>
          <w:color w:val="auto"/>
        </w:rPr>
        <w:t>Yours faithfully,</w:t>
      </w:r>
    </w:p>
    <w:p>
      <w:pPr>
        <w:spacing w:after="0" w:line="139" w:lineRule="exact"/>
        <w:rPr>
          <w:sz w:val="20"/>
          <w:szCs w:val="20"/>
          <w:color w:val="auto"/>
        </w:rPr>
      </w:pPr>
    </w:p>
    <w:p>
      <w:pPr>
        <w:ind w:left="2007"/>
        <w:spacing w:after="0"/>
        <w:rPr>
          <w:sz w:val="20"/>
          <w:szCs w:val="20"/>
          <w:color w:val="auto"/>
        </w:rPr>
      </w:pPr>
      <w:r>
        <w:rPr>
          <w:rFonts w:ascii="Courier New" w:cs="Courier New" w:eastAsia="Courier New" w:hAnsi="Courier New"/>
          <w:sz w:val="12"/>
          <w:szCs w:val="12"/>
          <w:color w:val="auto"/>
        </w:rPr>
        <w:t>TOWER SEMICONDUCTOR LTD.</w:t>
      </w:r>
    </w:p>
    <w:p>
      <w:pPr>
        <w:spacing w:after="0" w:line="139"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By: _______________________</w:t>
      </w:r>
    </w:p>
    <w:p>
      <w:pPr>
        <w:spacing w:after="0" w:line="276"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We hereby confirm and agree to the above.</w:t>
      </w:r>
    </w:p>
    <w:p>
      <w:pPr>
        <w:sectPr>
          <w:pgSz w:w="11900" w:h="16838" w:orient="portrait"/>
          <w:cols w:equalWidth="0" w:num="1">
            <w:col w:w="10246"/>
          </w:cols>
          <w:pgMar w:left="213" w:top="278" w:right="1440" w:bottom="1440" w:gutter="0" w:footer="0" w:header="0"/>
        </w:sectPr>
      </w:pPr>
    </w:p>
    <w:p>
      <w:pPr>
        <w:spacing w:after="0" w:line="141"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____________________</w:t>
      </w:r>
    </w:p>
    <w:p>
      <w:pPr>
        <w:spacing w:after="0" w:line="1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BANK HAPOALIM B.M.</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__________________________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BANK LEUMI LE-ISRAEL B.M.</w:t>
      </w:r>
    </w:p>
    <w:p>
      <w:pPr>
        <w:sectPr>
          <w:pgSz w:w="11900" w:h="16838" w:orient="portrait"/>
          <w:cols w:equalWidth="0" w:num="2">
            <w:col w:w="2987" w:space="720"/>
            <w:col w:w="6539"/>
          </w:cols>
          <w:pgMar w:left="213" w:top="278" w:right="1440" w:bottom="1440" w:gutter="0" w:footer="0" w:header="0"/>
          <w:type w:val="continuous"/>
        </w:sectPr>
      </w:pPr>
    </w:p>
    <w:bookmarkStart w:id="132" w:name="page133"/>
    <w:bookmarkEnd w:id="132"/>
    <w:p>
      <w:pPr>
        <w:ind w:left="4847"/>
        <w:spacing w:after="0"/>
        <w:rPr>
          <w:sz w:val="20"/>
          <w:szCs w:val="20"/>
          <w:color w:val="auto"/>
        </w:rPr>
      </w:pPr>
      <w:r>
        <w:rPr>
          <w:rFonts w:ascii="Courier New" w:cs="Courier New" w:eastAsia="Courier New" w:hAnsi="Courier New"/>
          <w:sz w:val="11"/>
          <w:szCs w:val="11"/>
          <w:color w:val="auto"/>
        </w:rPr>
        <w:t>EXHIBIT 4.57</w:t>
      </w:r>
    </w:p>
    <w:p>
      <w:pPr>
        <w:spacing w:after="0" w:line="150" w:lineRule="exact"/>
        <w:rPr>
          <w:sz w:val="20"/>
          <w:szCs w:val="20"/>
          <w:color w:val="auto"/>
        </w:rPr>
      </w:pPr>
    </w:p>
    <w:p>
      <w:pPr>
        <w:ind w:left="7" w:right="4679"/>
        <w:spacing w:after="0" w:line="280" w:lineRule="auto"/>
        <w:rPr>
          <w:sz w:val="20"/>
          <w:szCs w:val="20"/>
          <w:color w:val="auto"/>
        </w:rPr>
      </w:pPr>
      <w:r>
        <w:rPr>
          <w:rFonts w:ascii="Courier New" w:cs="Courier New" w:eastAsia="Courier New" w:hAnsi="Courier New"/>
          <w:sz w:val="11"/>
          <w:szCs w:val="11"/>
          <w:color w:val="auto"/>
        </w:rPr>
        <w:t>CONFIDENTIAL PORTIONS OF THIS AGREEMENT HAVE BEEN OMITTED AND FILED SEPARATELY WITH THE COMMISSION PURSUANT TO A REQUEST FOR CONFIDENTIAL TREATMENT.</w:t>
      </w:r>
    </w:p>
    <w:p>
      <w:pPr>
        <w:spacing w:after="0" w:line="118" w:lineRule="exact"/>
        <w:rPr>
          <w:sz w:val="20"/>
          <w:szCs w:val="20"/>
          <w:color w:val="auto"/>
        </w:rPr>
      </w:pPr>
    </w:p>
    <w:p>
      <w:pPr>
        <w:jc w:val="center"/>
        <w:ind w:right="4472"/>
        <w:spacing w:after="0"/>
        <w:rPr>
          <w:sz w:val="20"/>
          <w:szCs w:val="20"/>
          <w:color w:val="auto"/>
        </w:rPr>
      </w:pPr>
      <w:r>
        <w:rPr>
          <w:rFonts w:ascii="Courier New" w:cs="Courier New" w:eastAsia="Courier New" w:hAnsi="Courier New"/>
          <w:sz w:val="12"/>
          <w:szCs w:val="12"/>
          <w:color w:val="auto"/>
        </w:rPr>
        <w:t>DEVELOPMENT AGREEMENT</w:t>
      </w:r>
    </w:p>
    <w:p>
      <w:pPr>
        <w:spacing w:after="0" w:line="141" w:lineRule="exact"/>
        <w:rPr>
          <w:sz w:val="20"/>
          <w:szCs w:val="20"/>
          <w:color w:val="auto"/>
        </w:rPr>
      </w:pPr>
    </w:p>
    <w:p>
      <w:pPr>
        <w:ind w:left="7" w:right="4679" w:firstLine="357"/>
        <w:spacing w:after="0" w:line="264" w:lineRule="auto"/>
        <w:rPr>
          <w:sz w:val="20"/>
          <w:szCs w:val="20"/>
          <w:color w:val="auto"/>
        </w:rPr>
      </w:pPr>
      <w:r>
        <w:rPr>
          <w:rFonts w:ascii="Courier New" w:cs="Courier New" w:eastAsia="Courier New" w:hAnsi="Courier New"/>
          <w:sz w:val="11"/>
          <w:szCs w:val="11"/>
          <w:color w:val="auto"/>
        </w:rPr>
        <w:t>This Development Agreement (this "AGREEMENT") is made and entered into as of July _____, 2005 (the "EFFECTIVE DATE") by and between, Tower Semiconductor</w:t>
      </w:r>
    </w:p>
    <w:p>
      <w:pPr>
        <w:ind w:left="7" w:right="4539"/>
        <w:spacing w:after="0" w:line="272" w:lineRule="auto"/>
        <w:rPr>
          <w:sz w:val="20"/>
          <w:szCs w:val="20"/>
          <w:color w:val="auto"/>
        </w:rPr>
      </w:pPr>
      <w:r>
        <w:rPr>
          <w:rFonts w:ascii="Courier New" w:cs="Courier New" w:eastAsia="Courier New" w:hAnsi="Courier New"/>
          <w:sz w:val="11"/>
          <w:szCs w:val="11"/>
          <w:color w:val="auto"/>
        </w:rPr>
        <w:t>Ltd, an Israeli company, located at Ramat Gavriel Industrial Area, P.O. Box 619 Migdal Haemek 230105, Israel ("TOWER") and Impinj, Inc., a Delaware corporation, located at 701 N 34th Street, Suite 300 Seattle, WA 98103 ("DEVELOPER").</w:t>
      </w:r>
    </w:p>
    <w:p>
      <w:pPr>
        <w:spacing w:after="0" w:line="122"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A. Developer designs and develops AEON and/or AEFuse products.</w:t>
      </w:r>
    </w:p>
    <w:p>
      <w:pPr>
        <w:spacing w:after="0" w:line="141" w:lineRule="exact"/>
        <w:rPr>
          <w:sz w:val="20"/>
          <w:szCs w:val="20"/>
          <w:color w:val="auto"/>
        </w:rPr>
      </w:pPr>
    </w:p>
    <w:p>
      <w:pPr>
        <w:ind w:left="7" w:right="5039" w:firstLine="357"/>
        <w:spacing w:after="0" w:line="238" w:lineRule="auto"/>
        <w:rPr>
          <w:sz w:val="20"/>
          <w:szCs w:val="20"/>
          <w:color w:val="auto"/>
        </w:rPr>
      </w:pPr>
      <w:r>
        <w:rPr>
          <w:rFonts w:ascii="Courier New" w:cs="Courier New" w:eastAsia="Courier New" w:hAnsi="Courier New"/>
          <w:sz w:val="12"/>
          <w:szCs w:val="12"/>
          <w:color w:val="auto"/>
        </w:rPr>
        <w:t>B. TOWER is a dedicated foundry providing high quality manufacturing services for semiconductor companies worldwide.</w:t>
      </w:r>
    </w:p>
    <w:p>
      <w:pPr>
        <w:spacing w:after="0" w:line="142" w:lineRule="exact"/>
        <w:rPr>
          <w:sz w:val="20"/>
          <w:szCs w:val="20"/>
          <w:color w:val="auto"/>
        </w:rPr>
      </w:pPr>
    </w:p>
    <w:p>
      <w:pPr>
        <w:ind w:left="7" w:right="4819" w:firstLine="357"/>
        <w:spacing w:after="0" w:line="239" w:lineRule="auto"/>
        <w:rPr>
          <w:sz w:val="20"/>
          <w:szCs w:val="20"/>
          <w:color w:val="auto"/>
        </w:rPr>
      </w:pPr>
      <w:r>
        <w:rPr>
          <w:rFonts w:ascii="Courier New" w:cs="Courier New" w:eastAsia="Courier New" w:hAnsi="Courier New"/>
          <w:sz w:val="12"/>
          <w:szCs w:val="12"/>
          <w:color w:val="auto"/>
        </w:rPr>
        <w:t>C. The parties desire to provide TOWER and Developer customers with the capability to produce semiconductors incorporating Developer Technology at TOWER's foundry.</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The parties agree as follows:</w:t>
      </w:r>
    </w:p>
    <w:p>
      <w:pPr>
        <w:spacing w:after="0" w:line="139" w:lineRule="exact"/>
        <w:rPr>
          <w:sz w:val="20"/>
          <w:szCs w:val="20"/>
          <w:color w:val="auto"/>
        </w:rPr>
      </w:pPr>
    </w:p>
    <w:p>
      <w:pPr>
        <w:ind w:left="367" w:hanging="367"/>
        <w:spacing w:after="0"/>
        <w:tabs>
          <w:tab w:leader="none" w:pos="367" w:val="left"/>
        </w:tabs>
        <w:numPr>
          <w:ilvl w:val="0"/>
          <w:numId w:val="2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"ACCEPTANCE CRITERIA" means the acceptance criteria for Developer</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Deliverables and/or Developed Technology listed in a SOW.</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"AEFUSE" means a family of multi-time programmable memory modules and related Technology that is created by Developer using Self Adaptive Silicon, and that is structured by Developer to look similar to a semiconductor fuse architecture with data available at the output after power up without providing an address. AEFuse supports total bit sizes up to 256bits with a single controller and higher bit counts with multiple instantiations.</w:t>
      </w:r>
    </w:p>
    <w:p>
      <w:pPr>
        <w:spacing w:after="0" w:line="142"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"AEON" means a family of multi-time programmable memory modules and related Technology that is created by Developer using Self Adaptive Silicon, and that is structured by Developer to be similar to an EEPROM architecture with row/column addressing. AEON supports various total bit sizes from 64bits to 16kbits with configurable page size, word width, and memory sizes.</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"AFFILIATE" means an entity as to which a party to this Agreement owns or controls, directly or indirectly controls, is under common control with, or is controlled by such party (with "control" meaning ownership of more than fifty percent (50%) of the voting stock of the entity or, in the case of a noncorporate entity, an equivalent interest), but only during such times as such ownership or control exists, and which entity has agreed in writing to be bound to the terms of this agreement. Prior to the exercise of any rights of any TOWER Affiliate under this Agreement, TOWER shall provide written notice to Developer of the name of such TOWER Affiliate.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"CONFIDENTIAL INFORMATION" means any information disclosed by one party to the other in connection with the performance of this Agreement, including Technology and other information that relates to the disclosing party's products, designs, business plans, business opportunities, finances, research, development, know-how, personnel, or third-party confidential information disclosed to the receiving party by the disclosing party in any form whatsoever (including, but limited to, disclosure made in writing, orally or in the form of samples, models, computer programs or otherwise), and the terms and conditions of this Agreement, provided that such information is at the time of disclosure either designated as "confidential", "proprietary," or similar legend or reasonably should be known to the receiving party to be confidential. Confidential Information does and will not include material that:</w:t>
      </w:r>
    </w:p>
    <w:p>
      <w:pPr>
        <w:spacing w:after="0" w:line="146" w:lineRule="exact"/>
        <w:rPr>
          <w:sz w:val="20"/>
          <w:szCs w:val="20"/>
          <w:color w:val="auto"/>
        </w:rPr>
      </w:pPr>
    </w:p>
    <w:p>
      <w:pPr>
        <w:ind w:left="707" w:right="4539" w:hanging="350"/>
        <w:spacing w:after="0" w:line="239" w:lineRule="auto"/>
        <w:tabs>
          <w:tab w:leader="none" w:pos="707" w:val="left"/>
        </w:tabs>
        <w:numPr>
          <w:ilvl w:val="0"/>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now or subsequently becomes generally available to the public or is disclosed to third parties without restriction on its use or disclosure;</w:t>
      </w:r>
    </w:p>
    <w:p>
      <w:pPr>
        <w:spacing w:after="0" w:line="142" w:lineRule="exact"/>
        <w:rPr>
          <w:rFonts w:ascii="Courier New" w:cs="Courier New" w:eastAsia="Courier New" w:hAnsi="Courier New"/>
          <w:sz w:val="12"/>
          <w:szCs w:val="12"/>
          <w:color w:val="auto"/>
        </w:rPr>
      </w:pPr>
    </w:p>
    <w:p>
      <w:pPr>
        <w:ind w:left="707" w:right="5179" w:hanging="350"/>
        <w:spacing w:after="0" w:line="238" w:lineRule="auto"/>
        <w:tabs>
          <w:tab w:leader="none" w:pos="707" w:val="left"/>
        </w:tabs>
        <w:numPr>
          <w:ilvl w:val="0"/>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receiving party had rightfully in its possession prior to disclosure by the disclosing party;</w:t>
      </w:r>
    </w:p>
    <w:p>
      <w:pPr>
        <w:spacing w:after="0" w:line="142" w:lineRule="exact"/>
        <w:rPr>
          <w:rFonts w:ascii="Courier New" w:cs="Courier New" w:eastAsia="Courier New" w:hAnsi="Courier New"/>
          <w:sz w:val="12"/>
          <w:szCs w:val="12"/>
          <w:color w:val="auto"/>
        </w:rPr>
      </w:pPr>
    </w:p>
    <w:p>
      <w:pPr>
        <w:ind w:left="707" w:right="4679" w:hanging="350"/>
        <w:spacing w:after="0" w:line="238" w:lineRule="auto"/>
        <w:tabs>
          <w:tab w:leader="none" w:pos="707" w:val="left"/>
        </w:tabs>
        <w:numPr>
          <w:ilvl w:val="0"/>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developed independently by or for the receiving party without the use of any Confidential Information of the disclosing party;</w:t>
      </w:r>
    </w:p>
    <w:p>
      <w:pPr>
        <w:spacing w:after="0" w:line="142" w:lineRule="exact"/>
        <w:rPr>
          <w:rFonts w:ascii="Courier New" w:cs="Courier New" w:eastAsia="Courier New" w:hAnsi="Courier New"/>
          <w:sz w:val="12"/>
          <w:szCs w:val="12"/>
          <w:color w:val="auto"/>
        </w:rPr>
      </w:pPr>
    </w:p>
    <w:p>
      <w:pPr>
        <w:ind w:left="707" w:right="4899" w:hanging="350"/>
        <w:spacing w:after="0" w:line="238" w:lineRule="auto"/>
        <w:tabs>
          <w:tab w:leader="none" w:pos="707" w:val="left"/>
        </w:tabs>
        <w:numPr>
          <w:ilvl w:val="0"/>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receiving party rightfully obtains without restriction from a third party who has the right to transfer or disclose it; or</w:t>
      </w:r>
    </w:p>
    <w:p>
      <w:pPr>
        <w:spacing w:after="0" w:line="142" w:lineRule="exact"/>
        <w:rPr>
          <w:rFonts w:ascii="Courier New" w:cs="Courier New" w:eastAsia="Courier New" w:hAnsi="Courier New"/>
          <w:sz w:val="12"/>
          <w:szCs w:val="12"/>
          <w:color w:val="auto"/>
        </w:rPr>
      </w:pPr>
    </w:p>
    <w:p>
      <w:pPr>
        <w:ind w:left="707" w:right="4759" w:hanging="350"/>
        <w:spacing w:after="0" w:line="238" w:lineRule="auto"/>
        <w:tabs>
          <w:tab w:leader="none" w:pos="707" w:val="left"/>
        </w:tabs>
        <w:numPr>
          <w:ilvl w:val="0"/>
          <w:numId w:val="2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disclosed with the disclosing party's prior written approval for public disclosure.</w:t>
      </w:r>
    </w:p>
    <w:p>
      <w:pPr>
        <w:spacing w:after="0" w:line="142" w:lineRule="exact"/>
        <w:rPr>
          <w:sz w:val="20"/>
          <w:szCs w:val="20"/>
          <w:color w:val="auto"/>
        </w:rPr>
      </w:pPr>
    </w:p>
    <w:p>
      <w:pPr>
        <w:ind w:left="7" w:right="4759" w:firstLine="357"/>
        <w:spacing w:after="0" w:line="238" w:lineRule="auto"/>
        <w:rPr>
          <w:sz w:val="20"/>
          <w:szCs w:val="20"/>
          <w:color w:val="auto"/>
        </w:rPr>
      </w:pPr>
      <w:r>
        <w:rPr>
          <w:rFonts w:ascii="Courier New" w:cs="Courier New" w:eastAsia="Courier New" w:hAnsi="Courier New"/>
          <w:sz w:val="12"/>
          <w:szCs w:val="12"/>
          <w:color w:val="auto"/>
        </w:rPr>
        <w:t>"DELIVERABLES" means the deliverables to be provided by one party to the other party pursuant to this Agreement, as set forth in a SOW.</w:t>
      </w:r>
    </w:p>
    <w:p>
      <w:pPr>
        <w:spacing w:after="0" w:line="142" w:lineRule="exact"/>
        <w:rPr>
          <w:sz w:val="20"/>
          <w:szCs w:val="20"/>
          <w:color w:val="auto"/>
        </w:rPr>
      </w:pPr>
    </w:p>
    <w:p>
      <w:pPr>
        <w:ind w:left="7" w:right="5039" w:firstLine="357"/>
        <w:spacing w:after="0" w:line="238" w:lineRule="auto"/>
        <w:rPr>
          <w:sz w:val="20"/>
          <w:szCs w:val="20"/>
          <w:color w:val="auto"/>
        </w:rPr>
      </w:pPr>
      <w:r>
        <w:rPr>
          <w:rFonts w:ascii="Courier New" w:cs="Courier New" w:eastAsia="Courier New" w:hAnsi="Courier New"/>
          <w:sz w:val="12"/>
          <w:szCs w:val="12"/>
          <w:color w:val="auto"/>
        </w:rPr>
        <w:t>"DESIGNATED TOWER PROCESS(ES)" means the TOWER Processes and process variants thereof, each as listed in a SOW.</w:t>
      </w:r>
    </w:p>
    <w:p>
      <w:pPr>
        <w:spacing w:after="0" w:line="142" w:lineRule="exact"/>
        <w:rPr>
          <w:sz w:val="20"/>
          <w:szCs w:val="20"/>
          <w:color w:val="auto"/>
        </w:rPr>
      </w:pPr>
    </w:p>
    <w:p>
      <w:pPr>
        <w:ind w:left="7" w:right="4539" w:firstLine="357"/>
        <w:spacing w:after="0" w:line="239" w:lineRule="auto"/>
        <w:rPr>
          <w:sz w:val="20"/>
          <w:szCs w:val="20"/>
          <w:color w:val="auto"/>
        </w:rPr>
      </w:pPr>
      <w:r>
        <w:rPr>
          <w:rFonts w:ascii="Courier New" w:cs="Courier New" w:eastAsia="Courier New" w:hAnsi="Courier New"/>
          <w:sz w:val="12"/>
          <w:szCs w:val="12"/>
          <w:color w:val="auto"/>
        </w:rPr>
        <w:t>"DEVELOPED TECHNOLOGY" means the Technology set forth in a given SOW, which Developer is to develop and license in accordance with this Agreement and the applicable SOW.</w:t>
      </w:r>
    </w:p>
    <w:p>
      <w:pPr>
        <w:spacing w:after="0" w:line="143" w:lineRule="exact"/>
        <w:rPr>
          <w:sz w:val="20"/>
          <w:szCs w:val="20"/>
          <w:color w:val="auto"/>
        </w:rPr>
      </w:pPr>
    </w:p>
    <w:p>
      <w:pPr>
        <w:ind w:left="7" w:right="4539" w:firstLine="357"/>
        <w:spacing w:after="0" w:line="238" w:lineRule="auto"/>
        <w:rPr>
          <w:sz w:val="20"/>
          <w:szCs w:val="20"/>
          <w:color w:val="auto"/>
        </w:rPr>
      </w:pPr>
      <w:r>
        <w:rPr>
          <w:rFonts w:ascii="Courier New" w:cs="Courier New" w:eastAsia="Courier New" w:hAnsi="Courier New"/>
          <w:sz w:val="12"/>
          <w:szCs w:val="12"/>
          <w:color w:val="auto"/>
        </w:rPr>
        <w:t>"DEVELOPER DELIVERABLES" means the deliverables to be provided by Developer to TOWER pursuant to this Agreement, as set forth in a SOW.</w:t>
      </w:r>
    </w:p>
    <w:p>
      <w:pPr>
        <w:sectPr>
          <w:pgSz w:w="11900" w:h="16838" w:orient="portrait"/>
          <w:cols w:equalWidth="0" w:num="1">
            <w:col w:w="10246"/>
          </w:cols>
          <w:pgMar w:left="213" w:top="278" w:right="1440" w:bottom="1440" w:gutter="0" w:footer="0" w:header="0"/>
        </w:sectPr>
      </w:pPr>
    </w:p>
    <w:bookmarkStart w:id="133" w:name="page134"/>
    <w:bookmarkEnd w:id="133"/>
    <w:p>
      <w:pPr>
        <w:ind w:left="7" w:right="4539" w:firstLine="357"/>
        <w:spacing w:after="0" w:line="241" w:lineRule="auto"/>
        <w:rPr>
          <w:sz w:val="20"/>
          <w:szCs w:val="20"/>
          <w:color w:val="auto"/>
        </w:rPr>
      </w:pPr>
      <w:r>
        <w:rPr>
          <w:rFonts w:ascii="Courier New" w:cs="Courier New" w:eastAsia="Courier New" w:hAnsi="Courier New"/>
          <w:sz w:val="12"/>
          <w:szCs w:val="12"/>
          <w:color w:val="auto"/>
        </w:rPr>
        <w:t>"DEVELOPER COMPETITOR" means any entity or specific division of a larger entity that, as a material business, licenses to third parties any Technology manufactured using a logic process that is contains, incorporates, utilizes or is derived from nonvolatile memory Technology or that competes with AEON or AEFuse (including without limitation, any one-time programmable solutions). Upon TOWER's written (or email) request, Developer shall provide to TOWER a list of the then-current Developer Competitors. Developer Competitors as of the Effective Date are [***].</w:t>
      </w:r>
    </w:p>
    <w:p>
      <w:pPr>
        <w:spacing w:after="0" w:line="143" w:lineRule="exact"/>
        <w:rPr>
          <w:sz w:val="20"/>
          <w:szCs w:val="20"/>
          <w:color w:val="auto"/>
        </w:rPr>
      </w:pPr>
    </w:p>
    <w:p>
      <w:pPr>
        <w:ind w:left="7" w:right="4539" w:firstLine="357"/>
        <w:spacing w:after="0" w:line="266" w:lineRule="auto"/>
        <w:rPr>
          <w:sz w:val="20"/>
          <w:szCs w:val="20"/>
          <w:color w:val="auto"/>
        </w:rPr>
      </w:pPr>
      <w:r>
        <w:rPr>
          <w:rFonts w:ascii="Courier New" w:cs="Courier New" w:eastAsia="Courier New" w:hAnsi="Courier New"/>
          <w:sz w:val="11"/>
          <w:szCs w:val="11"/>
          <w:color w:val="auto"/>
        </w:rPr>
        <w:t>"INTELLECTUAL PROPERTY RIGHTS" means all copyright rights, patent rights (including reissues, divisions, renewals, extensions, provisionals, continuations and continuations-in-part thereof, and equivalent or similar rights anywhere in the world in inventions and discoveries), trademark rights, trade secret rights, moral rights, rights of publicity, authors' rights, semiconductor mask work rights, contract and licensing rights, goodwill and all other intellectual property rights as may exist now and/or hereafter come into existence and all applications therefor and registrations, renewals and extensions thereof, regardless of whether such rights arise under the law of the United States or any other state, country, jurisdiction or international treaty.</w:t>
      </w:r>
    </w:p>
    <w:p>
      <w:pPr>
        <w:spacing w:after="0" w:line="128" w:lineRule="exact"/>
        <w:rPr>
          <w:sz w:val="20"/>
          <w:szCs w:val="20"/>
          <w:color w:val="auto"/>
        </w:rPr>
      </w:pPr>
    </w:p>
    <w:p>
      <w:pPr>
        <w:ind w:left="7" w:right="4599" w:firstLine="357"/>
        <w:spacing w:after="0"/>
        <w:rPr>
          <w:sz w:val="20"/>
          <w:szCs w:val="20"/>
          <w:color w:val="auto"/>
        </w:rPr>
      </w:pPr>
      <w:r>
        <w:rPr>
          <w:rFonts w:ascii="Courier New" w:cs="Courier New" w:eastAsia="Courier New" w:hAnsi="Courier New"/>
          <w:sz w:val="12"/>
          <w:szCs w:val="12"/>
          <w:color w:val="auto"/>
        </w:rPr>
        <w:t>"LICENSED PRODUCTS" means integrated circuits manufactured by TOWER or a TOWER Affiliate, whether on a silicon wafer, separated, or packaged, that contain, incorporate, utilize or are derived (directly or indirectly) from Self Adaptive Silicon.</w:t>
      </w:r>
    </w:p>
    <w:p>
      <w:pPr>
        <w:spacing w:after="0" w:line="142" w:lineRule="exact"/>
        <w:rPr>
          <w:sz w:val="20"/>
          <w:szCs w:val="20"/>
          <w:color w:val="auto"/>
        </w:rPr>
      </w:pPr>
    </w:p>
    <w:p>
      <w:pPr>
        <w:ind w:left="7" w:right="4759" w:firstLine="357"/>
        <w:spacing w:after="0" w:line="238" w:lineRule="auto"/>
        <w:rPr>
          <w:sz w:val="20"/>
          <w:szCs w:val="20"/>
          <w:color w:val="auto"/>
        </w:rPr>
      </w:pPr>
      <w:r>
        <w:rPr>
          <w:rFonts w:ascii="Courier New" w:cs="Courier New" w:eastAsia="Courier New" w:hAnsi="Courier New"/>
          <w:sz w:val="12"/>
          <w:szCs w:val="12"/>
          <w:color w:val="auto"/>
        </w:rPr>
        <w:t>"MARKS" of a party shall mean the registered or unregistered trademarks, service marks, trade names or logos of such party.</w:t>
      </w:r>
    </w:p>
    <w:p>
      <w:pPr>
        <w:spacing w:after="0" w:line="142" w:lineRule="exact"/>
        <w:rPr>
          <w:sz w:val="20"/>
          <w:szCs w:val="20"/>
          <w:color w:val="auto"/>
        </w:rPr>
      </w:pPr>
    </w:p>
    <w:p>
      <w:pPr>
        <w:ind w:left="7" w:right="4819" w:firstLine="357"/>
        <w:spacing w:after="0" w:line="238" w:lineRule="auto"/>
        <w:rPr>
          <w:sz w:val="20"/>
          <w:szCs w:val="20"/>
          <w:color w:val="auto"/>
        </w:rPr>
      </w:pPr>
      <w:r>
        <w:rPr>
          <w:rFonts w:ascii="Courier New" w:cs="Courier New" w:eastAsia="Courier New" w:hAnsi="Courier New"/>
          <w:sz w:val="12"/>
          <w:szCs w:val="12"/>
          <w:color w:val="auto"/>
        </w:rPr>
        <w:t>"MILESTONE PAYMENTS" shall be any payment in any SOW or exhibit thereto identified as a 'Milestone Payment.'</w:t>
      </w:r>
    </w:p>
    <w:p>
      <w:pPr>
        <w:spacing w:after="0" w:line="142" w:lineRule="exact"/>
        <w:rPr>
          <w:sz w:val="20"/>
          <w:szCs w:val="20"/>
          <w:color w:val="auto"/>
        </w:rPr>
      </w:pPr>
    </w:p>
    <w:p>
      <w:pPr>
        <w:ind w:left="7" w:right="4539" w:firstLine="357"/>
        <w:spacing w:after="0"/>
        <w:rPr>
          <w:sz w:val="20"/>
          <w:szCs w:val="20"/>
          <w:color w:val="auto"/>
        </w:rPr>
      </w:pPr>
      <w:r>
        <w:rPr>
          <w:rFonts w:ascii="Courier New" w:cs="Courier New" w:eastAsia="Courier New" w:hAnsi="Courier New"/>
          <w:sz w:val="12"/>
          <w:szCs w:val="12"/>
          <w:color w:val="auto"/>
        </w:rPr>
        <w:t>"PROCESS" means recipes, modules and other semiconductor manufacturing process Technology used to fabricate integrated circuits and other semiconductor devices and products, including variants of such Technology and any improvements, updates or revisions thereto.</w:t>
      </w:r>
    </w:p>
    <w:p>
      <w:pPr>
        <w:spacing w:after="0" w:line="142" w:lineRule="exact"/>
        <w:rPr>
          <w:sz w:val="20"/>
          <w:szCs w:val="20"/>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"RESIDUAL INFORMATION" means information that is incidentally retained in the unaided memories of the receiving party's employees who lawfully have had access to the disclosing party`s Confidential Information pursuant to the terms of this Agreement and that employee's specific responsibilities. An employee's memory is unaided if the employee has not intentionally memorized the information for the purpose of retaining and subsequently using or disclosing it, and has not recorded the information.</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"SCHEDULE" means the development schedule set forth in a SOW.</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"SELF ADAPTIVE SILICON" means Developer's p-channel floating gate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non-volatile memory cell technology.</w:t>
      </w:r>
    </w:p>
    <w:p>
      <w:pPr>
        <w:spacing w:after="0" w:line="141" w:lineRule="exact"/>
        <w:rPr>
          <w:sz w:val="20"/>
          <w:szCs w:val="20"/>
          <w:color w:val="auto"/>
        </w:rPr>
      </w:pPr>
    </w:p>
    <w:p>
      <w:pPr>
        <w:ind w:left="7" w:right="4679" w:firstLine="357"/>
        <w:spacing w:after="0" w:line="238" w:lineRule="auto"/>
        <w:rPr>
          <w:sz w:val="20"/>
          <w:szCs w:val="20"/>
          <w:color w:val="auto"/>
        </w:rPr>
      </w:pPr>
      <w:r>
        <w:rPr>
          <w:rFonts w:ascii="Courier New" w:cs="Courier New" w:eastAsia="Courier New" w:hAnsi="Courier New"/>
          <w:sz w:val="12"/>
          <w:szCs w:val="12"/>
          <w:color w:val="auto"/>
        </w:rPr>
        <w:t>"SPECIFICATION" means the specification for the Developed Technology that is set forth in a SOW.</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34" w:name="page135"/>
    <w:bookmarkEnd w:id="134"/>
    <w:p>
      <w:pPr>
        <w:ind w:left="7" w:right="4959" w:firstLine="357"/>
        <w:spacing w:after="0" w:line="280" w:lineRule="auto"/>
        <w:rPr>
          <w:sz w:val="20"/>
          <w:szCs w:val="20"/>
          <w:color w:val="auto"/>
        </w:rPr>
      </w:pPr>
      <w:r>
        <w:rPr>
          <w:rFonts w:ascii="Courier New" w:cs="Courier New" w:eastAsia="Courier New" w:hAnsi="Courier New"/>
          <w:sz w:val="11"/>
          <w:szCs w:val="11"/>
          <w:color w:val="auto"/>
        </w:rPr>
        <w:t>"STATEMENT OF WORK (SOW)" means each separate statement of work to be mutually agreed upon by Developer and TOWER as set forth in SECTION 2.1.</w:t>
      </w:r>
    </w:p>
    <w:p>
      <w:pPr>
        <w:spacing w:after="0" w:line="121" w:lineRule="exact"/>
        <w:rPr>
          <w:sz w:val="20"/>
          <w:szCs w:val="20"/>
          <w:color w:val="auto"/>
        </w:rPr>
      </w:pPr>
    </w:p>
    <w:p>
      <w:pPr>
        <w:ind w:left="7" w:right="4599" w:firstLine="357"/>
        <w:spacing w:after="0" w:line="267" w:lineRule="auto"/>
        <w:rPr>
          <w:sz w:val="20"/>
          <w:szCs w:val="20"/>
          <w:color w:val="auto"/>
        </w:rPr>
      </w:pPr>
      <w:r>
        <w:rPr>
          <w:rFonts w:ascii="Courier New" w:cs="Courier New" w:eastAsia="Courier New" w:hAnsi="Courier New"/>
          <w:sz w:val="11"/>
          <w:szCs w:val="11"/>
          <w:color w:val="auto"/>
        </w:rPr>
        <w:t>"TECHNOLOGY" means all circuit designs, hardware description language coding, software (including firmware), simulation models, schematics, layout topologies, cells, libraries, data, formulas, designs, software, other original works of authorship, applications, processes, products, know-how, techniques, programs, improvements, test protocols, test structures, characterization and test results, methods and patterns, specifications and other technical information, whether or not patentable or otherwise protectable.</w:t>
      </w:r>
    </w:p>
    <w:p>
      <w:pPr>
        <w:spacing w:after="0" w:line="127" w:lineRule="exact"/>
        <w:rPr>
          <w:sz w:val="20"/>
          <w:szCs w:val="20"/>
          <w:color w:val="auto"/>
        </w:rPr>
      </w:pPr>
    </w:p>
    <w:p>
      <w:pPr>
        <w:ind w:left="7" w:right="4599" w:firstLine="357"/>
        <w:spacing w:after="0" w:line="239" w:lineRule="auto"/>
        <w:rPr>
          <w:sz w:val="20"/>
          <w:szCs w:val="20"/>
          <w:color w:val="auto"/>
        </w:rPr>
      </w:pPr>
      <w:r>
        <w:rPr>
          <w:rFonts w:ascii="Courier New" w:cs="Courier New" w:eastAsia="Courier New" w:hAnsi="Courier New"/>
          <w:sz w:val="12"/>
          <w:szCs w:val="12"/>
          <w:color w:val="auto"/>
        </w:rPr>
        <w:t>"TOWER CUSTOMER" means any entity that TOWER identifies as a customer or a potential customer for the integrated circuit fabrication services of TOWER or TOWER Affiliates.</w:t>
      </w:r>
    </w:p>
    <w:p>
      <w:pPr>
        <w:spacing w:after="0" w:line="140" w:lineRule="exact"/>
        <w:rPr>
          <w:sz w:val="20"/>
          <w:szCs w:val="20"/>
          <w:color w:val="auto"/>
        </w:rPr>
      </w:pPr>
    </w:p>
    <w:p>
      <w:pPr>
        <w:ind w:left="367" w:hanging="367"/>
        <w:spacing w:after="0"/>
        <w:tabs>
          <w:tab w:leader="none" w:pos="367" w:val="left"/>
        </w:tabs>
        <w:numPr>
          <w:ilvl w:val="0"/>
          <w:numId w:val="2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DEVELOPMENT</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2.1 STATEMENTS OF WORK. From time to time during the term and under the terms and conditions of this Agreement, the parties may enter into separate SOW's for the development of Developed Technology by Developer using a Designated TOWER Process. Each Statement of Work shall set forth: (a) the Developed Technology to be developed or customized thereunder, the Specification, the Schedule, the Developer Deliverables, the Designated TOWER Process(es) to be utilized, the TOWER Deliverables, the Acceptance Criteria, the consideration to be paid by TOWER, the payment schedule, development milestones and the parties' respective tasks and responsibilities, including in the design, evaluation, characterization, testing, qualification and debugging of prototypes. An SOW may specify each party's contributions of employee, engineering and design resources, equipment, supplies, capital, Technology and Intellectual Property Rights.</w:t>
      </w:r>
    </w:p>
    <w:p>
      <w:pPr>
        <w:spacing w:after="0" w:line="147" w:lineRule="exact"/>
        <w:rPr>
          <w:sz w:val="20"/>
          <w:szCs w:val="20"/>
          <w:color w:val="auto"/>
        </w:rPr>
      </w:pPr>
    </w:p>
    <w:p>
      <w:pPr>
        <w:ind w:left="7" w:right="4679" w:firstLine="357"/>
        <w:spacing w:after="0" w:line="241" w:lineRule="auto"/>
        <w:rPr>
          <w:sz w:val="20"/>
          <w:szCs w:val="20"/>
          <w:color w:val="auto"/>
        </w:rPr>
      </w:pPr>
      <w:r>
        <w:rPr>
          <w:rFonts w:ascii="Courier New" w:cs="Courier New" w:eastAsia="Courier New" w:hAnsi="Courier New"/>
          <w:sz w:val="12"/>
          <w:szCs w:val="12"/>
          <w:color w:val="auto"/>
        </w:rPr>
        <w:t>2.2 PERFORMANCE PER SCHEDULE. Each party agrees to use commercially reasonable efforts to perform its responsibilities as set forth under each applicable SOW and to allocate reasonably sufficient resources to complete and deliver its Deliverables and complete its other tasks in accordance with the relevant Specifications and Schedule set forth in such SOW.</w:t>
      </w:r>
    </w:p>
    <w:p>
      <w:pPr>
        <w:sectPr>
          <w:pgSz w:w="11900" w:h="16838" w:orient="portrait"/>
          <w:cols w:equalWidth="0" w:num="1">
            <w:col w:w="10246"/>
          </w:cols>
          <w:pgMar w:left="213" w:top="672" w:right="1440" w:bottom="1440" w:gutter="0" w:footer="0" w:header="0"/>
        </w:sectPr>
      </w:pPr>
    </w:p>
    <w:bookmarkStart w:id="135" w:name="page136"/>
    <w:bookmarkEnd w:id="135"/>
    <w:p>
      <w:pPr>
        <w:ind w:left="7" w:right="4539" w:firstLine="357"/>
        <w:spacing w:after="0" w:line="264" w:lineRule="auto"/>
        <w:rPr>
          <w:sz w:val="20"/>
          <w:szCs w:val="20"/>
          <w:color w:val="auto"/>
        </w:rPr>
      </w:pPr>
      <w:r>
        <w:rPr>
          <w:rFonts w:ascii="Courier New" w:cs="Courier New" w:eastAsia="Courier New" w:hAnsi="Courier New"/>
          <w:sz w:val="11"/>
          <w:szCs w:val="11"/>
          <w:color w:val="auto"/>
        </w:rPr>
        <w:t>2.3 DELIVERY AND ACCEPTANCE. Developer shall deliver Developer Deliverables that it in good faith believes meet the Specifications and the applicable Acceptance Criteria. Upon receipt of any Developer Deliverable, TOWER shall have</w:t>
      </w:r>
    </w:p>
    <w:p>
      <w:pPr>
        <w:ind w:left="7" w:right="4539" w:hanging="7"/>
        <w:spacing w:after="0" w:line="265" w:lineRule="auto"/>
        <w:tabs>
          <w:tab w:leader="none" w:pos="435" w:val="left"/>
        </w:tabs>
        <w:numPr>
          <w:ilvl w:val="0"/>
          <w:numId w:val="2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from the date of receipt ("REVIEW PERIOD") in which TOWER may review such Developer Deliverable. Before the end of the Review Period, TOWER shall provide Developer with a written report (which may be delivered by e-mail) that specifies in detail TOWER's feedback on such Developer Deliverable. Within [***] from the date of submission of the report, the parties will discuss the TOWER feedback, and TOWER shall decide whether such Developer Deliverable is to be accepted by TOWER, rejected by TOWER or accepted by TOWER subject to a commitment by Developer to perform post-acceptance corrective measures with respect to such Developer Deliverable. For the purposes of this SECTION 2.3, the corrective action to be taken by Developer as part of a conditional acceptance shall be deemed to be a separate Developer Deliverable with an associated Schedule. TOWER shall only reject such Developer Deliverable if it does not substantially meet the applicable Acceptance Criteria for such Developer Deliverable set forth in the SOW. If TOWER does not send such a review report during the Review Period, the Developer Deliverable shall be deemed accepted. If TOWER sends a report during the Review Period, Developer shall use commercially reasonable efforts to correct any nonconformance(s) specified in the report and to deliver the corrected Developer Deliverable to TOWER. The process set forth in this SECTION 2.3 shall continue until the Developer Deliverable is fully accepted; provided that TOWER or Developer may terminate the applicable SOW</w:t>
      </w:r>
    </w:p>
    <w:p>
      <w:pPr>
        <w:spacing w:after="0" w:line="130" w:lineRule="exact"/>
        <w:rPr>
          <w:rFonts w:ascii="Courier New" w:cs="Courier New" w:eastAsia="Courier New" w:hAnsi="Courier New"/>
          <w:sz w:val="11"/>
          <w:szCs w:val="11"/>
          <w:color w:val="auto"/>
        </w:rPr>
      </w:pPr>
    </w:p>
    <w:p>
      <w:pPr>
        <w:ind w:left="7" w:right="4679" w:hanging="7"/>
        <w:spacing w:after="0" w:line="239" w:lineRule="auto"/>
        <w:tabs>
          <w:tab w:leader="none" w:pos="435" w:val="left"/>
        </w:tabs>
        <w:numPr>
          <w:ilvl w:val="0"/>
          <w:numId w:val="2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such process is [***] (unless otherwise set forth in a SOW) and the Developer Deliverable has not been accepted by TOWER. Such a termination shall not be deemed a termination for breach.</w:t>
      </w:r>
    </w:p>
    <w:p>
      <w:pPr>
        <w:spacing w:after="0" w:line="280"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2.4 DELIVERY. All deliveries of software or electronic files made pursuant to this Agreement shall be made electronically unless otherwise agreed to by the parties. Each party shall use commercially reasonable efforts to make all Deliverables available electronically, unless it is physically impossible to do so.</w:t>
      </w:r>
    </w:p>
    <w:p>
      <w:pPr>
        <w:spacing w:after="0" w:line="141" w:lineRule="exact"/>
        <w:rPr>
          <w:sz w:val="20"/>
          <w:szCs w:val="20"/>
          <w:color w:val="auto"/>
        </w:rPr>
      </w:pPr>
    </w:p>
    <w:p>
      <w:pPr>
        <w:ind w:left="7" w:right="4599" w:firstLine="357"/>
        <w:spacing w:after="0" w:line="267" w:lineRule="auto"/>
        <w:rPr>
          <w:sz w:val="20"/>
          <w:szCs w:val="20"/>
          <w:color w:val="auto"/>
        </w:rPr>
      </w:pPr>
      <w:r>
        <w:rPr>
          <w:rFonts w:ascii="Courier New" w:cs="Courier New" w:eastAsia="Courier New" w:hAnsi="Courier New"/>
          <w:sz w:val="11"/>
          <w:szCs w:val="11"/>
          <w:color w:val="auto"/>
        </w:rPr>
        <w:t>2.5 WATERMARKS. Unless otherwise specified in the relevant SOW, Developer may, in its sole discretion, incorporate watermarks in the Developed Technology it provides to TOWER Customers to uniquely identify such Developed Technology, provided that such watermarks shall not interfere with the performance of any Developed Technology. TOWER shall provide Developer any information that is required to write watermarks compatible with the Designated TOWER Process(es).</w:t>
      </w:r>
    </w:p>
    <w:p>
      <w:pPr>
        <w:spacing w:after="0" w:line="126" w:lineRule="exact"/>
        <w:rPr>
          <w:sz w:val="20"/>
          <w:szCs w:val="20"/>
          <w:color w:val="auto"/>
        </w:rPr>
      </w:pPr>
    </w:p>
    <w:p>
      <w:pPr>
        <w:ind w:left="367" w:hanging="367"/>
        <w:spacing w:after="0"/>
        <w:tabs>
          <w:tab w:leader="none" w:pos="367" w:val="left"/>
        </w:tabs>
        <w:numPr>
          <w:ilvl w:val="0"/>
          <w:numId w:val="2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GRANTS</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3.1 LICENSE TO TOWER. Subject to the terms and conditions of this Agreement, Developer grants to TOWER and TOWER's Affiliates, under Developer's Intellectual Property Rights in and to the Developed Technology (including, without limitation, in Self Adaptive Silicon, AEFuse and AEON as embodied therein), a personal, worldwide, non-exclusive, non-assignable (except as otherwise provided in SECTION 14.6), non-sublicensable, non-transferable (except as otherwise provided in SECTION 14.6) license solely to make Licensed Products using the Designated TOWER Process(es) for TOWER Customers that have licensed from Developer the right to have made Licensed Products at TOWER. The parties acknowledge and agree that the licenses set forth above shall not be read to grant to TOWER any license to any portion of the Licensed Products other than that portion implementing the Developer Technology.</w:t>
      </w:r>
    </w:p>
    <w:p>
      <w:pPr>
        <w:spacing w:after="0" w:line="143"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36" w:name="page137"/>
    <w:bookmarkEnd w:id="136"/>
    <w:p>
      <w:pPr>
        <w:ind w:left="7" w:right="4539" w:firstLine="357"/>
        <w:spacing w:after="0" w:line="242" w:lineRule="auto"/>
        <w:rPr>
          <w:sz w:val="20"/>
          <w:szCs w:val="20"/>
          <w:color w:val="auto"/>
        </w:rPr>
      </w:pPr>
      <w:r>
        <w:rPr>
          <w:rFonts w:ascii="Courier New" w:cs="Courier New" w:eastAsia="Courier New" w:hAnsi="Courier New"/>
          <w:sz w:val="12"/>
          <w:szCs w:val="12"/>
          <w:color w:val="auto"/>
        </w:rPr>
        <w:t>3.2 LICENSE TO THIRD PARTIES. Upon TOWER's request, Developer agrees to license the Developed Technology (or derivatives thereof developed under this Agreement) to TOWER Customers (and any third party design services companies providing design services to TOWER Customers) pursuant to the specific terms and conditions set forth in an Exhibit to an SOW (if any), and, to the extent not inconsistent with such specific terms and conditions (if any), under terms and conditions mutually agreeable to Developer and the third-party licensee; provided, however, that Developer shall not be required to (a) license the Developed Technology or derivatives thereof that have been designed to be manufactured on the Designated TOWER Process(es) to any TOWER Customer that is also a Developer Competitor, or (b) offer for license any derivatives of the Developed Technology that have been designed to be manufactured on the Designated TOWER Process(es) which Developer is contractually prohibited from offering generally or which Developer, [***]. To the extent that Developer and any such third-party licensee agree that such third-party licensee's royalties to Developer for the Developed Technology are based on [***] agrees to permit such third-party licensee to disclose [***] under confidentiality obligations similar to those set forth herein. Developer agrees to provide terms and conditions to TOWER Customers (other than a Developer Competitor) that are,</w:t>
      </w:r>
    </w:p>
    <w:p>
      <w:pPr>
        <w:spacing w:after="0" w:line="3" w:lineRule="exact"/>
        <w:rPr>
          <w:sz w:val="20"/>
          <w:szCs w:val="20"/>
          <w:color w:val="auto"/>
        </w:rPr>
      </w:pPr>
    </w:p>
    <w:p>
      <w:pPr>
        <w:ind w:left="7" w:right="4539" w:hanging="7"/>
        <w:spacing w:after="0" w:line="266" w:lineRule="auto"/>
        <w:tabs>
          <w:tab w:leader="none" w:pos="435" w:val="left"/>
        </w:tabs>
        <w:numPr>
          <w:ilvl w:val="0"/>
          <w:numId w:val="2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Developer shall, within a reasonable period after licensing Developed Technology to a TOWER Customer, notify TOWER in writing of the names of TOWER Customers who have licensed Developed Technology from Developer and the specific Developed Technology so licensed and shall obtain such TOWER Customer's consent for the reporting specified in SECTION 5.4. Developer acknowledges and agrees that TOWER Customers that have licensed the Developed Technology (or derivatives thereof developed under this Agreement) from Developer shall have the right to engage TOWER as a design services company to provide design and development services for Licensed Products on behalf of Tower Customers subject to the terms and conditions of the license agreements between Developer and Tower Customers.</w:t>
      </w:r>
    </w:p>
    <w:p>
      <w:pPr>
        <w:spacing w:after="0" w:line="126"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37" w:name="page138"/>
    <w:bookmarkEnd w:id="137"/>
    <w:p>
      <w:pPr>
        <w:ind w:right="4599" w:firstLine="357"/>
        <w:spacing w:after="0" w:line="241" w:lineRule="auto"/>
        <w:rPr>
          <w:sz w:val="20"/>
          <w:szCs w:val="20"/>
          <w:color w:val="auto"/>
        </w:rPr>
      </w:pPr>
      <w:r>
        <w:rPr>
          <w:rFonts w:ascii="Courier New" w:cs="Courier New" w:eastAsia="Courier New" w:hAnsi="Courier New"/>
          <w:sz w:val="12"/>
          <w:szCs w:val="12"/>
          <w:color w:val="auto"/>
        </w:rPr>
        <w:t>3.3 LICENSE TO DEVELOPED TECHNOLOGY AND CUSTOMER SUPPORT. Subject to the terms and conditions of this Agreement, Developer hereby grants TOWER a non-transferable, nonexclusive license to use, reproduce and prepare derivative works of the Deposit Materials (as defined in SECTION 13.1) during the term of this Agreement, and following its termination in the event of a Release Event (as defined in SECTION 13.3), solely as necessary for TOWER to support existing TOWER Customers that have already licensed the applicable Developed Technology from Developer (provided, such existing TOWER Customers pay all applicable license fees and royalties to Developer) and to deliver to new TOWER Customers the applicable Developed Technology (provided, such new TOWER Customers have agreed in writing to Developer's then-current terms and conditions and pay all applicable license fees and royalties to Developer). TOWER acknowledges that it shall have no right to access the Deposit Materials until the occurrence of a Release Event.</w:t>
      </w:r>
    </w:p>
    <w:p>
      <w:pPr>
        <w:spacing w:after="0" w:line="147"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3.4 TOWER DELIVERABLES. Subject to the terms and conditions of this Agreement, TOWER grants to Developer, under TOWER's Intellectual Property Rights in and to the TOWER Deliverables, a personal, worldwide, non-exclusive, non-assignable (except as otherwise provided in SECTION 14.6), non-sublicenseable, non-transferable (except as otherwise provided in SECTION 14.6) license to use the TOWER Deliverables solely for the purposes of developing, customizing and/or porting the Developed Technology to the Designated TOWER Process(es), developing derivatives of the Developed Technology solely to deliver to TOWER and TOWER Affiliates and license to TOWER Customers, and providing such Developed Technology (and the derivatives thereof) and support for such Developed Technology to TOWER, TOWER Affiliates and TOWER Customers (and, upon TOWER prior written consent and under NDA, any third party design services companies providing design services to TOWER Customers). No other license or right in the TOWER Deliverables is granted to Developer.</w:t>
      </w:r>
    </w:p>
    <w:p>
      <w:pPr>
        <w:spacing w:after="0" w:line="147" w:lineRule="exact"/>
        <w:rPr>
          <w:sz w:val="20"/>
          <w:szCs w:val="20"/>
          <w:color w:val="auto"/>
        </w:rPr>
      </w:pPr>
    </w:p>
    <w:p>
      <w:pPr>
        <w:ind w:right="4539" w:firstLine="357"/>
        <w:spacing w:after="0" w:line="265" w:lineRule="auto"/>
        <w:rPr>
          <w:sz w:val="20"/>
          <w:szCs w:val="20"/>
          <w:color w:val="auto"/>
        </w:rPr>
      </w:pPr>
      <w:r>
        <w:rPr>
          <w:rFonts w:ascii="Courier New" w:cs="Courier New" w:eastAsia="Courier New" w:hAnsi="Courier New"/>
          <w:sz w:val="11"/>
          <w:szCs w:val="11"/>
          <w:color w:val="auto"/>
        </w:rPr>
        <w:t>3.5 LICENSE GRANT RESTRICTIONS. Neither TOWER nor any TOWER Affiliates shall use the Developed Technology or Developer Deliverables for any purpose other than to promote, market, and distribute the Licensed Products manufactured at TOWER and TOWER Affiliates using the Designated TOWER Processes. In addition, except as otherwise expressly permitted and required under SECTION 3.3, TOWER and TOWER Affiliates shall not: (a) reverse engineer or otherwise attempt to gain access to logic, structure or design of any Developer Deliverable or Developed Technology except in the ordinary course of failure analysis, quality assurance, and other services incidental to and for the purpose of providing foundry services; (b) except with the prior written approval of Developer, modify or create derivative works of any Developer Deliverable or Developed Technology except as reasonably required for incorporating the Developer Deliverables without modification into Licensed Products as designed by TOWER Customers (or as designed by TOWER as part of design services performed by TOWER for such TOWER Customers) that have licensed the applicable Developed Technology from Developer and as provided to TOWER; (c) use or otherwise exploit any Developer Deliverable or Developed Technology, or any derivative work thereof, in whole or in part, except as expressly provided in this SECTION 3; (d) remove, alter, cover or obfuscate any mask work notices, watermarks or proprietary rights notices placed or embedded by Developer on or in any Developer Deliverable or Developed Technology, provided the same do not interfere with the functionality of Developer Deliverables or Developed Technology; or (e) cause or authorize any third party to do any of the foregoing.</w:t>
      </w:r>
    </w:p>
    <w:p>
      <w:pPr>
        <w:sectPr>
          <w:pgSz w:w="11900" w:h="16838" w:orient="portrait"/>
          <w:cols w:equalWidth="0" w:num="1">
            <w:col w:w="10239"/>
          </w:cols>
          <w:pgMar w:left="220" w:top="672" w:right="1440" w:bottom="1440" w:gutter="0" w:footer="0" w:header="0"/>
        </w:sectPr>
      </w:pPr>
    </w:p>
    <w:bookmarkStart w:id="138" w:name="page139"/>
    <w:bookmarkEnd w:id="138"/>
    <w:p>
      <w:pPr>
        <w:ind w:left="7" w:right="4539" w:firstLine="357"/>
        <w:spacing w:after="0"/>
        <w:rPr>
          <w:sz w:val="20"/>
          <w:szCs w:val="20"/>
          <w:color w:val="auto"/>
        </w:rPr>
      </w:pPr>
      <w:r>
        <w:rPr>
          <w:rFonts w:ascii="Courier New" w:cs="Courier New" w:eastAsia="Courier New" w:hAnsi="Courier New"/>
          <w:sz w:val="12"/>
          <w:szCs w:val="12"/>
          <w:color w:val="auto"/>
        </w:rPr>
        <w:t>3.6 RESERVATION OF RIGHTS. Either party reserves all rights not expressly granted in this Agreement, and no licenses are granted by either party to the other party under this Agreement, whether by implication, estoppel or otherwise, except as expressly set forth herein.</w:t>
      </w:r>
    </w:p>
    <w:p>
      <w:pPr>
        <w:spacing w:after="0" w:line="140" w:lineRule="exact"/>
        <w:rPr>
          <w:sz w:val="20"/>
          <w:szCs w:val="20"/>
          <w:color w:val="auto"/>
        </w:rPr>
      </w:pPr>
    </w:p>
    <w:p>
      <w:pPr>
        <w:ind w:left="367" w:hanging="367"/>
        <w:spacing w:after="0"/>
        <w:tabs>
          <w:tab w:leader="none" w:pos="367" w:val="left"/>
        </w:tabs>
        <w:numPr>
          <w:ilvl w:val="0"/>
          <w:numId w:val="2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SUPPORT</w:t>
      </w:r>
    </w:p>
    <w:p>
      <w:pPr>
        <w:spacing w:after="0" w:line="141" w:lineRule="exact"/>
        <w:rPr>
          <w:sz w:val="20"/>
          <w:szCs w:val="20"/>
          <w:color w:val="auto"/>
        </w:rPr>
      </w:pPr>
    </w:p>
    <w:p>
      <w:pPr>
        <w:ind w:left="7" w:right="4539" w:firstLine="357"/>
        <w:spacing w:after="0" w:line="264" w:lineRule="auto"/>
        <w:rPr>
          <w:sz w:val="20"/>
          <w:szCs w:val="20"/>
          <w:color w:val="auto"/>
        </w:rPr>
      </w:pPr>
      <w:r>
        <w:rPr>
          <w:rFonts w:ascii="Courier New" w:cs="Courier New" w:eastAsia="Courier New" w:hAnsi="Courier New"/>
          <w:sz w:val="11"/>
          <w:szCs w:val="11"/>
          <w:color w:val="auto"/>
        </w:rPr>
        <w:t>4.1 TOWER. Subject to payment by TOWER to Developer of the applicable maintenance and support fees, as set forth in an Exhibit to a SOW, Developer will provide the following maintenance and support services to TOWER and TOWER Affiliates during [***]beginning upon the expiration of the Warranty Period set forth in SECTION 8.2 for the first SOW entered into by the parties: (a) use commercially reasonable efforts to promptly deliver corrections of any failures by the Developed Technology to meet the applicable Specifications that are not attributable to changes in the Designated Tower Process for such Developed Technology; (b) with notice of improvements, modifications or enhancements to any Developed Technology (or derivative thereof developed pursuant to this Agreement) developed by Developer on a regular basis on and after the completion of the qualification of such Developed Technology; (c) a reasonable amount of telephone and email technical support for any Developed Technology to help resolve yield, quality, and other issues, similar in scope and quality to the technical support that Developer generally provides to its other foundries; and</w:t>
      </w:r>
    </w:p>
    <w:p>
      <w:pPr>
        <w:spacing w:after="0" w:line="2" w:lineRule="exact"/>
        <w:rPr>
          <w:sz w:val="20"/>
          <w:szCs w:val="20"/>
          <w:color w:val="auto"/>
        </w:rPr>
      </w:pPr>
    </w:p>
    <w:p>
      <w:pPr>
        <w:ind w:left="7" w:right="4899" w:hanging="7"/>
        <w:spacing w:after="0" w:line="238" w:lineRule="auto"/>
        <w:tabs>
          <w:tab w:leader="none" w:pos="292" w:val="left"/>
        </w:tabs>
        <w:numPr>
          <w:ilvl w:val="0"/>
          <w:numId w:val="2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quarterly update meetings regarding any Developed Technology to discuss yield, quality and other issues as mutually agreed.</w:t>
      </w:r>
    </w:p>
    <w:p>
      <w:pPr>
        <w:spacing w:after="0" w:line="142" w:lineRule="exact"/>
        <w:rPr>
          <w:sz w:val="20"/>
          <w:szCs w:val="20"/>
          <w:color w:val="auto"/>
        </w:rPr>
      </w:pPr>
    </w:p>
    <w:p>
      <w:pPr>
        <w:ind w:left="7" w:right="4599" w:firstLine="357"/>
        <w:spacing w:after="0"/>
        <w:rPr>
          <w:sz w:val="20"/>
          <w:szCs w:val="20"/>
          <w:color w:val="auto"/>
        </w:rPr>
      </w:pPr>
      <w:r>
        <w:rPr>
          <w:rFonts w:ascii="Courier New" w:cs="Courier New" w:eastAsia="Courier New" w:hAnsi="Courier New"/>
          <w:sz w:val="12"/>
          <w:szCs w:val="12"/>
          <w:color w:val="auto"/>
        </w:rPr>
        <w:t>4.2 TOWER CUSTOMERS. During the term of this Agreement, Developer will offer support services to TOWER Customers pursuant to terms and conditions mutually agreeable to Developer and such TOWER Customers. Developer shall offer such support [***].</w:t>
      </w:r>
    </w:p>
    <w:p>
      <w:pPr>
        <w:spacing w:after="0" w:line="140" w:lineRule="exact"/>
        <w:rPr>
          <w:sz w:val="20"/>
          <w:szCs w:val="20"/>
          <w:color w:val="auto"/>
        </w:rPr>
      </w:pPr>
    </w:p>
    <w:p>
      <w:pPr>
        <w:ind w:left="367" w:hanging="367"/>
        <w:spacing w:after="0"/>
        <w:tabs>
          <w:tab w:leader="none" w:pos="367" w:val="left"/>
        </w:tabs>
        <w:numPr>
          <w:ilvl w:val="0"/>
          <w:numId w:val="2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CONSIDERATION</w:t>
      </w:r>
    </w:p>
    <w:p>
      <w:pPr>
        <w:spacing w:after="0" w:line="141" w:lineRule="exact"/>
        <w:rPr>
          <w:sz w:val="20"/>
          <w:szCs w:val="20"/>
          <w:color w:val="auto"/>
        </w:rPr>
      </w:pPr>
    </w:p>
    <w:p>
      <w:pPr>
        <w:ind w:left="7" w:right="4539" w:firstLine="357"/>
        <w:spacing w:after="0" w:line="239" w:lineRule="auto"/>
        <w:rPr>
          <w:sz w:val="20"/>
          <w:szCs w:val="20"/>
          <w:color w:val="auto"/>
        </w:rPr>
      </w:pPr>
      <w:r>
        <w:rPr>
          <w:rFonts w:ascii="Courier New" w:cs="Courier New" w:eastAsia="Courier New" w:hAnsi="Courier New"/>
          <w:sz w:val="12"/>
          <w:szCs w:val="12"/>
          <w:color w:val="auto"/>
        </w:rPr>
        <w:t>5.1 PAYMENTS. The consideration to be paid by TOWER for the development of a Developed Technology by Developer under a SOW shall be set forth in an exhibit to such SOW.</w:t>
      </w:r>
    </w:p>
    <w:p>
      <w:pPr>
        <w:spacing w:after="0" w:line="143"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5.2 PAYMENT TERMS. All payments shall be made sixty (60) days after receipt by TOWER of an invoice generated after the applicable payment event unless otherwise set forth in the applicable SOW or exhibits thereto. All monetary amounts set forth in this Agreement refer to U.S. dollars. All payments due under this Agreement shall be made by check or bank wire transfer in immediately available funds to an account designated by Developer.</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39" w:name="page140"/>
    <w:bookmarkEnd w:id="139"/>
    <w:p>
      <w:pPr>
        <w:ind w:left="7" w:right="4679" w:firstLine="357"/>
        <w:spacing w:after="0" w:line="241" w:lineRule="auto"/>
        <w:rPr>
          <w:sz w:val="20"/>
          <w:szCs w:val="20"/>
          <w:color w:val="auto"/>
        </w:rPr>
      </w:pPr>
      <w:r>
        <w:rPr>
          <w:rFonts w:ascii="Courier New" w:cs="Courier New" w:eastAsia="Courier New" w:hAnsi="Courier New"/>
          <w:sz w:val="12"/>
          <w:szCs w:val="12"/>
          <w:color w:val="auto"/>
        </w:rPr>
        <w:t>5.3 TAXES. All amounts payable to Developer under SECTION 5.1 of this Agreement are exclusive of sales, or value added taxes imposed by the State of Israel but inclusive of any withholding taxes and all other taxes, levies, or duties of any kind which may be imposed in any jurisdiction with respect to transactions executed pursuant to this Agreement. Without limiting the generality of the sentence immediately above,</w:t>
      </w:r>
    </w:p>
    <w:p>
      <w:pPr>
        <w:spacing w:after="0" w:line="142" w:lineRule="exact"/>
        <w:rPr>
          <w:sz w:val="20"/>
          <w:szCs w:val="20"/>
          <w:color w:val="auto"/>
        </w:rPr>
      </w:pPr>
    </w:p>
    <w:p>
      <w:pPr>
        <w:ind w:left="7" w:right="4539"/>
        <w:spacing w:after="0" w:line="241" w:lineRule="auto"/>
        <w:rPr>
          <w:sz w:val="20"/>
          <w:szCs w:val="20"/>
          <w:color w:val="auto"/>
        </w:rPr>
      </w:pPr>
      <w:r>
        <w:rPr>
          <w:rFonts w:ascii="Courier New" w:cs="Courier New" w:eastAsia="Courier New" w:hAnsi="Courier New"/>
          <w:sz w:val="12"/>
          <w:szCs w:val="12"/>
          <w:color w:val="auto"/>
        </w:rPr>
        <w:t>in the event that TOWER is required to withhold tax at source from any amount payable to Developer, TOWER will remit the amount of such withholding tax to the appropriate tax authorities and the payment that the Developer shall be entitled to receive will be reduced by the amount so withheld. TOWER shall, upon request, furnish to Developer evidence of amounts withheld and paid to any tax authorities. If requested, TOWER shall make commercially reasonable efforts to assist Developer in making a claim for a reduced rate of withholding tax.. The parties agree to commercially reasonable efforts to cooperate to reduce the tax burden on each party.</w:t>
      </w:r>
    </w:p>
    <w:p>
      <w:pPr>
        <w:spacing w:after="0" w:line="144" w:lineRule="exact"/>
        <w:rPr>
          <w:sz w:val="20"/>
          <w:szCs w:val="20"/>
          <w:color w:val="auto"/>
        </w:rPr>
      </w:pPr>
    </w:p>
    <w:p>
      <w:pPr>
        <w:ind w:left="7" w:right="4539" w:firstLine="357"/>
        <w:spacing w:after="0" w:line="242" w:lineRule="auto"/>
        <w:rPr>
          <w:sz w:val="20"/>
          <w:szCs w:val="20"/>
          <w:color w:val="auto"/>
        </w:rPr>
      </w:pPr>
      <w:r>
        <w:rPr>
          <w:rFonts w:ascii="Courier New" w:cs="Courier New" w:eastAsia="Courier New" w:hAnsi="Courier New"/>
          <w:sz w:val="12"/>
          <w:szCs w:val="12"/>
          <w:color w:val="auto"/>
        </w:rPr>
        <w:t>5.4 ROYALTY REPORTS. TOWER and TOWER Affiliates agree to make, and to maintain until [***] after the last payment under this Agreement is due and paid, complete books, records and accounts with respect to the number and types of wafers containing Licensed Products manufactured by TOWER and TOWER Affiliates on a customer-by-customer basis. Developer acknowledges that (a) TOWER's only current source of information concerning whether a particular TOWER customer product is a Licensed Product (i.e., contains Developed Technology) is the TOWER customer's own reporting on such usage (whether directly to TOWER or through Developer); and (b) any Confidential Information regarding third parties (including TOWER customers) will only be disclosed to Developer as part of a periodic report or during an audit to the extent the prior written consent of such third party to such disclosure has been obtained. Developer shall have the right to audit such books and records for purposes of verification of such reports. Any such audit shall be conducted at Developer's expense by independent internationally recognized auditors selected by TOWER and approved by Developer, which approval shall not be unreasonably withheld or denied. The audit shall take place only during normal business hours, and TOWER shall cooperate fully with Developer or its representatives in any such audit. Upon Developer's request, within sixty (60) days after the end of each calendar quarter, TOWER shall provide Developer with a report of the number of wafers containing Licensed Products manufactured at TOWER on a customer-by-customer basis and any other information reasonably agreed by the parties as required by Developer for calculation of royalties due to Developer by TOWER Customers.</w:t>
      </w:r>
    </w:p>
    <w:p>
      <w:pPr>
        <w:spacing w:after="0" w:line="13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40" w:name="page141"/>
    <w:bookmarkEnd w:id="140"/>
    <w:p>
      <w:pPr>
        <w:ind w:left="367" w:hanging="367"/>
        <w:spacing w:after="0"/>
        <w:tabs>
          <w:tab w:leader="none" w:pos="367" w:val="left"/>
        </w:tabs>
        <w:numPr>
          <w:ilvl w:val="0"/>
          <w:numId w:val="2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PRESS RELEASES AND MARKETING</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6.1 PRESS RELEASES. Upon mutual consent, TOWER and Developer may issue a joint press release disclosing the nature of their relationship (but not the terms and conditions of this Agreement); provided, however, the parties agree to issue a joint press release within thirty (30) days of the date the Developed Technology in each SOW is qualified by the parties, or if such date would fall within a TOWER news blackout period mandated by law or regulation, the first date thereafter not falling within such a news blackout period. The parties shall issue no separate public announcements or press releases concerning this relationship until after the date of the joint press release. TOWER and Developer each have the right to separately and jointly market this relationship to their mutual and respective customers, the scope and intensity of such marketing to be determined by each party in its sole discretion. Nothing in this Agreement shall be interpreted as creating an exclusive marketing or other relationship between the parties. TOWER and Developer each shall bear their own costs for any marketing activities, sole or joint.</w:t>
      </w:r>
    </w:p>
    <w:p>
      <w:pPr>
        <w:spacing w:after="0" w:line="148" w:lineRule="exact"/>
        <w:rPr>
          <w:sz w:val="20"/>
          <w:szCs w:val="20"/>
          <w:color w:val="auto"/>
        </w:rPr>
      </w:pPr>
    </w:p>
    <w:p>
      <w:pPr>
        <w:ind w:left="7" w:right="4539" w:firstLine="357"/>
        <w:spacing w:after="0" w:line="265" w:lineRule="auto"/>
        <w:rPr>
          <w:sz w:val="20"/>
          <w:szCs w:val="20"/>
          <w:color w:val="auto"/>
        </w:rPr>
      </w:pPr>
      <w:r>
        <w:rPr>
          <w:rFonts w:ascii="Courier New" w:cs="Courier New" w:eastAsia="Courier New" w:hAnsi="Courier New"/>
          <w:sz w:val="11"/>
          <w:szCs w:val="11"/>
          <w:color w:val="auto"/>
        </w:rPr>
        <w:t>6.2 USE OF MARKS. Subject to the terms and conditions of this Agreement, each party (as a licensor party) grants to the other party (as a licensee party) the right during the term of this Agreement to use its Marks on documentation and materials associated with promoting the Developed Technology and TOWER's foundry services ("MARKETING MATERIALS"). All use of such Marks shall be in conformance with such written trademark usage guidelines as licensor party from time to time may provide licensee party. Upon licensor party's request, licensee party will provide licensor party with copies and samples of any materials bearing the licensor party's Marks that are distributed to any third parties, and will promptly remedy any failure of such materials to conform with such reasonable written trademark usage guidelines that are provided to licensee party by licensor party. Any other use of a licensor party's Marks shall be subject to the licensor party's prior written consent. Nothing herein shall grant to licensee party's any right, title or interest in licensor party's Marks and all use of the Marks shall inure solely to the benefit of licensor party.</w:t>
      </w:r>
    </w:p>
    <w:p>
      <w:pPr>
        <w:spacing w:after="0" w:line="269" w:lineRule="exact"/>
        <w:rPr>
          <w:sz w:val="20"/>
          <w:szCs w:val="20"/>
          <w:color w:val="auto"/>
        </w:rPr>
      </w:pPr>
    </w:p>
    <w:p>
      <w:pPr>
        <w:ind w:left="7" w:right="4759" w:firstLine="357"/>
        <w:spacing w:after="0" w:line="241" w:lineRule="auto"/>
        <w:rPr>
          <w:sz w:val="20"/>
          <w:szCs w:val="20"/>
          <w:color w:val="auto"/>
        </w:rPr>
      </w:pPr>
      <w:r>
        <w:rPr>
          <w:rFonts w:ascii="Courier New" w:cs="Courier New" w:eastAsia="Courier New" w:hAnsi="Courier New"/>
          <w:sz w:val="12"/>
          <w:szCs w:val="12"/>
          <w:color w:val="auto"/>
        </w:rPr>
        <w:t>6.3 RESTRICTIONS. Each party (as a licensee party) will not, and will ensure that its Affiliates will not, at any time, directly or indirectly, register in any country the Marks of the other party (as a licensor party) or any name or mark substantially similar, confusingly similar or identical thereto, or challenge the validity of the Marks of the other party. Upon termination of this Agreement, the licensee party shall cease and desist from use of licensor party's Marks in any manner.</w:t>
      </w:r>
    </w:p>
    <w:p>
      <w:pPr>
        <w:sectPr>
          <w:pgSz w:w="11900" w:h="16838" w:orient="portrait"/>
          <w:cols w:equalWidth="0" w:num="1">
            <w:col w:w="10246"/>
          </w:cols>
          <w:pgMar w:left="213" w:top="669" w:right="1440" w:bottom="1440" w:gutter="0" w:footer="0" w:header="0"/>
        </w:sectPr>
      </w:pPr>
    </w:p>
    <w:bookmarkStart w:id="141" w:name="page142"/>
    <w:bookmarkEnd w:id="141"/>
    <w:p>
      <w:pPr>
        <w:ind w:left="367" w:hanging="367"/>
        <w:spacing w:after="0"/>
        <w:tabs>
          <w:tab w:leader="none" w:pos="367" w:val="left"/>
        </w:tabs>
        <w:numPr>
          <w:ilvl w:val="0"/>
          <w:numId w:val="2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PROPRIETARY OWNERSHIP RIGHTS AND LICENSE</w:t>
      </w:r>
    </w:p>
    <w:p>
      <w:pPr>
        <w:spacing w:after="0" w:line="141" w:lineRule="exact"/>
        <w:rPr>
          <w:sz w:val="20"/>
          <w:szCs w:val="20"/>
          <w:color w:val="auto"/>
        </w:rPr>
      </w:pPr>
    </w:p>
    <w:p>
      <w:pPr>
        <w:ind w:left="7" w:right="4599" w:firstLine="357"/>
        <w:spacing w:after="0" w:line="264" w:lineRule="auto"/>
        <w:rPr>
          <w:sz w:val="20"/>
          <w:szCs w:val="20"/>
          <w:color w:val="auto"/>
        </w:rPr>
      </w:pPr>
      <w:r>
        <w:rPr>
          <w:rFonts w:ascii="Courier New" w:cs="Courier New" w:eastAsia="Courier New" w:hAnsi="Courier New"/>
          <w:sz w:val="11"/>
          <w:szCs w:val="11"/>
          <w:color w:val="auto"/>
        </w:rPr>
        <w:t>7.1 OWNERSHIP BY DEVELOPER. Except for the rights and licenses expressly granted to TOWER in this Agreement, and as between Developer and TOWER, Developer hereby reserves and retains all right, title and interest (including, without limitation, all Intellectual Property Rights) in and to: (a) the Developer Marks, (b) the Developed Technology and Developer Deliverables (subject to TOWER's rights in any underlying TOWER Deliverables, TOWER Confidential Information, and the Technology owned by Tower under Sub-Section</w:t>
      </w:r>
    </w:p>
    <w:p>
      <w:pPr>
        <w:spacing w:after="0" w:line="1" w:lineRule="exact"/>
        <w:rPr>
          <w:sz w:val="20"/>
          <w:szCs w:val="20"/>
          <w:color w:val="auto"/>
        </w:rPr>
      </w:pPr>
    </w:p>
    <w:p>
      <w:pPr>
        <w:ind w:left="7" w:right="4539"/>
        <w:spacing w:after="0" w:line="239" w:lineRule="auto"/>
        <w:rPr>
          <w:sz w:val="20"/>
          <w:szCs w:val="20"/>
          <w:color w:val="auto"/>
        </w:rPr>
      </w:pPr>
      <w:r>
        <w:rPr>
          <w:rFonts w:ascii="Courier New" w:cs="Courier New" w:eastAsia="Courier New" w:hAnsi="Courier New"/>
          <w:sz w:val="12"/>
          <w:szCs w:val="12"/>
          <w:color w:val="auto"/>
        </w:rPr>
        <w:t>7.2(c) below), (c) any improvement, modification or enhancement to the Developed Technology or Developer Deliverables [***] and (d) the Confidential Information of Developer.</w:t>
      </w:r>
    </w:p>
    <w:p>
      <w:pPr>
        <w:spacing w:after="0" w:line="143" w:lineRule="exact"/>
        <w:rPr>
          <w:sz w:val="20"/>
          <w:szCs w:val="20"/>
          <w:color w:val="auto"/>
        </w:rPr>
      </w:pPr>
    </w:p>
    <w:p>
      <w:pPr>
        <w:ind w:left="7" w:right="4679" w:firstLine="357"/>
        <w:spacing w:after="0" w:line="241" w:lineRule="auto"/>
        <w:rPr>
          <w:sz w:val="20"/>
          <w:szCs w:val="20"/>
          <w:color w:val="auto"/>
        </w:rPr>
      </w:pPr>
      <w:r>
        <w:rPr>
          <w:rFonts w:ascii="Courier New" w:cs="Courier New" w:eastAsia="Courier New" w:hAnsi="Courier New"/>
          <w:sz w:val="12"/>
          <w:szCs w:val="12"/>
          <w:color w:val="auto"/>
        </w:rPr>
        <w:t>7.2 OWNERSHIP BY TOWER. Except for the rights and licenses expressly granted to Developer in this Agreement, and as between Developer and TOWER, TOWER hereby reserves and retains all right, title and interest (including, without limitation, all Intellectual Property Rights) in and to: (a) the TOWER Marks, (b) the TOWER Deliverables, (c) any improvement, modification or enhancement to the TOWER Deliverables: [***] and (d) the Confidential Information of TOWER.</w:t>
      </w:r>
    </w:p>
    <w:p>
      <w:pPr>
        <w:spacing w:after="0" w:line="142" w:lineRule="exact"/>
        <w:rPr>
          <w:sz w:val="20"/>
          <w:szCs w:val="20"/>
          <w:color w:val="auto"/>
        </w:rPr>
      </w:pPr>
    </w:p>
    <w:p>
      <w:pPr>
        <w:ind w:left="7" w:right="4599" w:firstLine="357"/>
        <w:spacing w:after="0" w:line="266" w:lineRule="auto"/>
        <w:rPr>
          <w:sz w:val="20"/>
          <w:szCs w:val="20"/>
          <w:color w:val="auto"/>
        </w:rPr>
      </w:pPr>
      <w:r>
        <w:rPr>
          <w:rFonts w:ascii="Courier New" w:cs="Courier New" w:eastAsia="Courier New" w:hAnsi="Courier New"/>
          <w:sz w:val="11"/>
          <w:szCs w:val="11"/>
          <w:color w:val="auto"/>
        </w:rPr>
        <w:t>7.3 LICENSE TO TOWER. To the extent Tower creates or suggests any improvement, modification or enhancement to the Developed Technology or Developer Deliverables that [***] (each a "NON SELF ADAPTIVE SILICON IMPROVEMENT"), Developer hereby grants to TOWER, under Developer's Intellectual Property Rights in and to each such Non Self Adaptive Silicon Improvement, a perpetual, irrevocable, worldwide, [***], non-exclusive, non-transferable (except in connection with an assignment by TOWER as described in SECTION 14.6) license to use, reproduce, create derivative works of, distribute, make, have made, sell and offer to sell and import products and services based on or incorporating such Non Self Adaptive Silicon Improvements. For purposes of clarification, the foregoing license does not include any license rights to Developer's pre-existing Intellectual Property Rights.</w:t>
      </w:r>
    </w:p>
    <w:p>
      <w:pPr>
        <w:spacing w:after="0" w:line="265" w:lineRule="exact"/>
        <w:rPr>
          <w:sz w:val="20"/>
          <w:szCs w:val="20"/>
          <w:color w:val="auto"/>
        </w:rPr>
      </w:pPr>
    </w:p>
    <w:p>
      <w:pPr>
        <w:jc w:val="center"/>
        <w:ind w:right="4672"/>
        <w:spacing w:after="0" w:line="269" w:lineRule="auto"/>
        <w:rPr>
          <w:sz w:val="20"/>
          <w:szCs w:val="20"/>
          <w:color w:val="auto"/>
        </w:rPr>
      </w:pPr>
      <w:r>
        <w:rPr>
          <w:rFonts w:ascii="Courier New" w:cs="Courier New" w:eastAsia="Courier New" w:hAnsi="Courier New"/>
          <w:sz w:val="11"/>
          <w:szCs w:val="11"/>
          <w:color w:val="auto"/>
        </w:rPr>
        <w:t>7.4 FURTHER ACTIONS. Each party shall, without demanding any further consideration therefor, at the request and expense of the other party take all reasonably necessary actions and execute all reasonably necessary documents as requested by the other party, in order to effect the intent of this SECTION 7.</w:t>
      </w:r>
    </w:p>
    <w:p>
      <w:pPr>
        <w:spacing w:after="0" w:line="125" w:lineRule="exact"/>
        <w:rPr>
          <w:sz w:val="20"/>
          <w:szCs w:val="20"/>
          <w:color w:val="auto"/>
        </w:rPr>
      </w:pPr>
    </w:p>
    <w:p>
      <w:pPr>
        <w:ind w:left="367" w:hanging="367"/>
        <w:spacing w:after="0"/>
        <w:tabs>
          <w:tab w:leader="none" w:pos="367" w:val="left"/>
        </w:tabs>
        <w:numPr>
          <w:ilvl w:val="0"/>
          <w:numId w:val="2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8.1 NONINFRINGEMENT. Developer represents, warrants and covenants that, to Developer's knowledge, the Developer Deliverables and Developed Technology as provided by Developer to TOWER will not infringe any third party Intellectual Property Rights. Developer represents and warrants it has all the rights and licenses necessary to provide the Developer Deliverables and Developed Technology to TOWER pursuant to this Agreement and to grant the licenses granted in this Agreement. TOWER represents, warrants and covenants that, to TOWER's knowledge, the TOWER Deliverables provided by TOWER to Developer will not infringe any third party Intellectual Property Rights. TOWER represents and warrants it has all the rights and licenses necessary to provide the TOWER Deliverables to Developer pursuant to this Agreement and to grant the licenses granted in this Agreement.</w:t>
      </w:r>
    </w:p>
    <w:p>
      <w:pPr>
        <w:spacing w:after="0" w:line="143"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69" w:right="1440" w:bottom="1440" w:gutter="0" w:footer="0" w:header="0"/>
        </w:sectPr>
      </w:pPr>
    </w:p>
    <w:bookmarkStart w:id="142" w:name="page143"/>
    <w:bookmarkEnd w:id="142"/>
    <w:p>
      <w:pPr>
        <w:ind w:left="7" w:right="4539" w:firstLine="357"/>
        <w:spacing w:after="0" w:line="264" w:lineRule="auto"/>
        <w:rPr>
          <w:sz w:val="20"/>
          <w:szCs w:val="20"/>
          <w:color w:val="auto"/>
        </w:rPr>
      </w:pPr>
      <w:r>
        <w:rPr>
          <w:rFonts w:ascii="Courier New" w:cs="Courier New" w:eastAsia="Courier New" w:hAnsi="Courier New"/>
          <w:sz w:val="11"/>
          <w:szCs w:val="11"/>
          <w:color w:val="auto"/>
        </w:rPr>
        <w:t>8.2 LIMITED WARRANTY. For each item of Developed Technology, Developer warrants that beginning upon Tower's acceptance of each Developer Deliverable, to be provided under the SOW covering that Developed Technology and for a period</w:t>
      </w:r>
    </w:p>
    <w:p>
      <w:pPr>
        <w:ind w:left="7" w:right="4539" w:hanging="7"/>
        <w:spacing w:after="0" w:line="264" w:lineRule="auto"/>
        <w:tabs>
          <w:tab w:leader="none" w:pos="435" w:val="left"/>
        </w:tabs>
        <w:numPr>
          <w:ilvl w:val="0"/>
          <w:numId w:val="2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from the date of TOWER's acceptance of the final Developer Deliverable to be provided under such SOW ("WARRANTY PERIOD") that such Developed Technology (and, where applicable, each Developer Deliverable), as delivered, will substantially conform to the Specifications; provided, that TOWER has paid all applicable payments for such Developed Technology (and, where applicable, each Developer Deliverable) on or prior to the applicable due date(s). In the event of nonconformance of the Developed Technology with the above limited warranty, TOWER shall provide Developer with all available information in written or electronic form to aid Developer in the reproduction of the error. In the event of a breach of the warranty above, Developer shall, at its sole expense and as its sole obligation for such breach: (a) correct the Developed Technology within a commercially reasonable period so that it conforms with the Specifications,</w:t>
      </w:r>
    </w:p>
    <w:p>
      <w:pPr>
        <w:spacing w:after="0" w:line="1" w:lineRule="exact"/>
        <w:rPr>
          <w:rFonts w:ascii="Courier New" w:cs="Courier New" w:eastAsia="Courier New" w:hAnsi="Courier New"/>
          <w:sz w:val="11"/>
          <w:szCs w:val="11"/>
          <w:color w:val="auto"/>
        </w:rPr>
      </w:pPr>
    </w:p>
    <w:p>
      <w:pPr>
        <w:ind w:left="7" w:right="4539"/>
        <w:spacing w:after="0" w:line="264"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(b) promptly provide TOWER with a replacement for the defective Developed Technology which replacement meets the Specifications, or (c) if neither (a) nor</w:t>
      </w:r>
    </w:p>
    <w:p>
      <w:pPr>
        <w:ind w:left="7" w:right="4539"/>
        <w:spacing w:after="0" w:line="241"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(b) is available upon commercially reasonable terms, refund the amount paid by TOWER to Developer for the defective Developed Technology, and terminate the license for such Developed Technology, subject to SECTIONS 12.4(B). The warranty set forth above shall not apply to Developed Technology that: (x) has been damaged as a result of misuse, neglect, or accident; (y) has been installed improperly, wired improperly or repaired, modified or altered by anyone other than Developer; or (z) has been manufactured on any semiconductor manufacturing Process other than the exact Process and in same fabrication facility for which such Developed Technology was developed.</w:t>
      </w:r>
    </w:p>
    <w:p>
      <w:pPr>
        <w:spacing w:after="0" w:line="144" w:lineRule="exact"/>
        <w:rPr>
          <w:sz w:val="20"/>
          <w:szCs w:val="20"/>
          <w:color w:val="auto"/>
        </w:rPr>
      </w:pPr>
    </w:p>
    <w:p>
      <w:pPr>
        <w:ind w:left="7" w:right="4819" w:firstLine="357"/>
        <w:spacing w:after="0" w:line="238" w:lineRule="auto"/>
        <w:rPr>
          <w:sz w:val="20"/>
          <w:szCs w:val="20"/>
          <w:color w:val="auto"/>
        </w:rPr>
      </w:pPr>
      <w:r>
        <w:rPr>
          <w:rFonts w:ascii="Courier New" w:cs="Courier New" w:eastAsia="Courier New" w:hAnsi="Courier New"/>
          <w:sz w:val="12"/>
          <w:szCs w:val="12"/>
          <w:color w:val="auto"/>
        </w:rPr>
        <w:t>8.3 AUTHORITY. Each party represents and warrants that it possesses the right and capacity to enter into this Agreement.</w:t>
      </w:r>
    </w:p>
    <w:p>
      <w:pPr>
        <w:spacing w:after="0" w:line="142"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8.4 WARRANTY DISCLAIMERS. NEITHER PARTY MAKES ANY REPRESENTATIONS OR WARRANTIES OF ANY KIND (EXPRESSED, IMPLIED, STATUTORY OR OTHERWISE) WITH RESPECT TO ITS MARKS, INTELLECTUAL PROPERTY RIGHTS, DELIVERABLES OR TECHNOLOGY OR ANY ELEMENT OF THE FOREGOING OTHER THAN AS EXPLICITLY SET FORTH IN SECTION 8 OF THIS AGREEMENT. THE PARTIES EXPRESSLY DISCLAIM ANY OTHER WARRANTIES, EXPRESS OR IMPLIED, INCLUDING ANY IMPLIED WARRANTIES OF MERCHANTABILITY, FITNESS FOR A PARTICULAR PURPOSE AND NONINFRINGEMENT, WHETHER ARISING IN LAW, CUSTOM, CONDUCT OR OTHERWISE, AND THEIR EQUIVALENTS UNDER THE LAWS OF ANY JURISDICTION.</w:t>
      </w:r>
    </w:p>
    <w:p>
      <w:pPr>
        <w:spacing w:after="0" w:line="143"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8.5 NO REPRESENTATIONS OR WARRANTIES. TOWER shall not make any representations or warranties regarding the Developer Deliverables or Developed Technology unless otherwise authorized under this Agreement. Developer shall not make any representations or warranties regarding the TOWER Deliverables unless otherwise authorized under this Agreement.</w:t>
      </w:r>
    </w:p>
    <w:p>
      <w:pPr>
        <w:spacing w:after="0" w:line="13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3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43" w:name="page144"/>
    <w:bookmarkEnd w:id="143"/>
    <w:p>
      <w:pPr>
        <w:ind w:left="367" w:hanging="367"/>
        <w:spacing w:after="0"/>
        <w:tabs>
          <w:tab w:leader="none" w:pos="367" w:val="left"/>
        </w:tabs>
        <w:numPr>
          <w:ilvl w:val="0"/>
          <w:numId w:val="2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INDEMNIFICATION</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9.1 BY DEVELOPER. Developer will defend and/or settle any third party claim or action against TOWER and its Affiliates ("INDEMNIFIED PARTIES"), and hold the Indemnified Parties harmless from and against any and all damages, judgments, claims and expenses to the extent arising out of a claim by a third party that the Developer Deliverables or Developed Technology as used within the scope of this Agreement infringe or violate any [***] of a third party. TOWER agrees that Developer shall be released from the foregoing obligation unless the Indemnified Party provides Developer: (a) prompt written notification of the claim or action; (b) sole control and authority over the defense and settlement thereof; and (c) all reasonably available information, assistance and authority to settle and/or defend any such claim or action.</w:t>
      </w:r>
    </w:p>
    <w:p>
      <w:pPr>
        <w:spacing w:after="0" w:line="145" w:lineRule="exact"/>
        <w:rPr>
          <w:sz w:val="20"/>
          <w:szCs w:val="20"/>
          <w:color w:val="auto"/>
        </w:rPr>
      </w:pPr>
    </w:p>
    <w:p>
      <w:pPr>
        <w:ind w:left="7" w:right="4539" w:firstLine="357"/>
        <w:spacing w:after="0" w:line="242" w:lineRule="auto"/>
        <w:rPr>
          <w:sz w:val="20"/>
          <w:szCs w:val="20"/>
          <w:color w:val="auto"/>
        </w:rPr>
      </w:pPr>
      <w:r>
        <w:rPr>
          <w:rFonts w:ascii="Courier New" w:cs="Courier New" w:eastAsia="Courier New" w:hAnsi="Courier New"/>
          <w:sz w:val="12"/>
          <w:szCs w:val="12"/>
          <w:color w:val="auto"/>
        </w:rPr>
        <w:t>9.2 LIMITED REMEDIES. If any Developer Deliverable or Developed Technology becomes, or in Developer's opinion may become, the subject of an infringement action or claim, Developer may in its sole option: (a) procure, at no cost to TOWER, the right to continue using, the Developer Deliverable or Developed Technology; (b) replace or modify the Developer Deliverable to render it non-infringing, provided that there is no material loss of functionality and Developer performs without charge to the Indemnified Party, or fully reimburses the Indemnified Party costs associated with, all re-qualification, re-characterization or other work required as a result of such changes that Developer performed on the allegedly infringing Developer Deliverable or Developed Technology; or (c) if neither (a) or (b) are commercially feasible, terminate the license for that Developer Deliverable or Developed Technology and refund the unamortized portion of fees (including any support and maintenance amounts) paid by TOWER with respect to such Developer Deliverable and associated Developed Technology, provided that such termination shall not be effective until TOWER and TOWER Affiliates have had a commercially reasonable period of time to fulfill any outstanding binding orders to TOWER Customers to manufacture and deliver Licensed Products containing such Developer Deliverable and/or Developed Technology (which orders, such TOWER Customers have not requested to cancel), or to find a replacement therefor which is satisfactory to such TOWER Customers.</w:t>
      </w:r>
    </w:p>
    <w:p>
      <w:pPr>
        <w:spacing w:after="0" w:line="141" w:lineRule="exact"/>
        <w:rPr>
          <w:sz w:val="20"/>
          <w:szCs w:val="20"/>
          <w:color w:val="auto"/>
        </w:rPr>
      </w:pPr>
    </w:p>
    <w:p>
      <w:pPr>
        <w:ind w:left="7" w:right="4599" w:firstLine="357"/>
        <w:spacing w:after="0" w:line="264" w:lineRule="auto"/>
        <w:rPr>
          <w:sz w:val="20"/>
          <w:szCs w:val="20"/>
          <w:color w:val="auto"/>
        </w:rPr>
      </w:pPr>
      <w:r>
        <w:rPr>
          <w:rFonts w:ascii="Courier New" w:cs="Courier New" w:eastAsia="Courier New" w:hAnsi="Courier New"/>
          <w:sz w:val="11"/>
          <w:szCs w:val="11"/>
          <w:color w:val="auto"/>
        </w:rPr>
        <w:t>9.3 EXCEPTIONS. Developer will have no liability under this SECTION 9 for any claim or action where such claim or action would have been avoided but for:</w:t>
      </w:r>
    </w:p>
    <w:p>
      <w:pPr>
        <w:ind w:left="7" w:right="4539" w:hanging="7"/>
        <w:spacing w:after="0" w:line="241" w:lineRule="auto"/>
        <w:tabs>
          <w:tab w:leader="none" w:pos="292" w:val="left"/>
        </w:tabs>
        <w:numPr>
          <w:ilvl w:val="0"/>
          <w:numId w:val="2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modifications of the Developer Deliverable, Developed Technology or portions thereof, made other than by or for Developer, (b) use of the TOWER manufacturing Process to manufacture the Developer Deliverable or Developed Technology; (c) use of the Developer Deliverable or Developed Technology outside the scope of the licenses hereunder or in combination with other hardware, software or other technology not provided by Developer; or (d) arising out of the TOWER Deliverables.</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69" w:right="1440" w:bottom="1440" w:gutter="0" w:footer="0" w:header="0"/>
        </w:sectPr>
      </w:pPr>
    </w:p>
    <w:bookmarkStart w:id="144" w:name="page145"/>
    <w:bookmarkEnd w:id="144"/>
    <w:p>
      <w:pPr>
        <w:ind w:left="7" w:right="4539" w:firstLine="357"/>
        <w:spacing w:after="0" w:line="241" w:lineRule="auto"/>
        <w:rPr>
          <w:sz w:val="20"/>
          <w:szCs w:val="20"/>
          <w:color w:val="auto"/>
        </w:rPr>
      </w:pPr>
      <w:r>
        <w:rPr>
          <w:rFonts w:ascii="Courier New" w:cs="Courier New" w:eastAsia="Courier New" w:hAnsi="Courier New"/>
          <w:sz w:val="12"/>
          <w:szCs w:val="12"/>
          <w:color w:val="auto"/>
        </w:rPr>
        <w:t>9.4 BY TOWER. TOWER will defend and/or settle any third party claim or action against Developer, and hold the Developer harmless from and against any and all damages, judgments, claims and expenses to the extent arising out of a third party claim that the TOWER Deliverables as used within the scope of this Agreement infringe or violate any [***] of a third party. Developer agrees that TOWER shall be released from the foregoing obligation unless the Developer provides TOWER: (a) prompt written notification of the claim or action; (b) sole control and authority over the defense and settlement thereof; and (c) all reasonably available information, assistance and authority to settle and/or defend any such claim or action.</w:t>
      </w:r>
    </w:p>
    <w:p>
      <w:pPr>
        <w:spacing w:after="0" w:line="145"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9.5 LIMITED REMEDIES. If any TOWER Deliverable becomes, or in TOWER's opinion may become, the subject of an infringement action or claim, TOWER may in its sole option: (a) procure, at no cost to Developer, the right to continue using, the TOWER Deliverable; (b) replace or modify the TOWER Deliverable to render it non-infringing, provided that there is no material loss of functionality and TOWER performs without charge for the Developer or fully reimburse Developer costs associated with all re-qualification, re-characterization or other work required as a result of such changes that TOWER performed on the allegedly infringing TOWER Deliverable; or (c) if neither</w:t>
      </w:r>
    </w:p>
    <w:p>
      <w:pPr>
        <w:spacing w:after="0" w:line="7" w:lineRule="exact"/>
        <w:rPr>
          <w:sz w:val="20"/>
          <w:szCs w:val="20"/>
          <w:color w:val="auto"/>
        </w:rPr>
      </w:pPr>
    </w:p>
    <w:p>
      <w:pPr>
        <w:ind w:left="7" w:right="4959" w:hanging="7"/>
        <w:spacing w:after="0" w:line="238" w:lineRule="auto"/>
        <w:tabs>
          <w:tab w:leader="none" w:pos="292" w:val="left"/>
        </w:tabs>
        <w:numPr>
          <w:ilvl w:val="0"/>
          <w:numId w:val="2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or (b) are commercially feasible, terminate the license for that TOWER Deliverable.</w:t>
      </w:r>
    </w:p>
    <w:p>
      <w:pPr>
        <w:spacing w:after="0" w:line="142" w:lineRule="exact"/>
        <w:rPr>
          <w:sz w:val="20"/>
          <w:szCs w:val="20"/>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9.6 EXCEPTIONS. TOWER will have no liability under this SECTION 9 for any claim or action where such claim or action would have been avoided but for: (a) modifications of the TOWER Deliverable, or portions thereof, made other than by or for TOWER; (b) use of the TOWER Deliverables outside the scope of the licenses hereunder or in combination with other hardware, software or other technology not provided by TOWER; or (c) arising out of the Developer Deliverables or Developed Technology (excluding the portion attributable to the TOWER Deliverables).</w:t>
      </w:r>
    </w:p>
    <w:p>
      <w:pPr>
        <w:spacing w:after="0" w:line="143" w:lineRule="exact"/>
        <w:rPr>
          <w:sz w:val="20"/>
          <w:szCs w:val="20"/>
          <w:color w:val="auto"/>
        </w:rPr>
      </w:pPr>
    </w:p>
    <w:p>
      <w:pPr>
        <w:ind w:left="7" w:right="4539" w:firstLine="357"/>
        <w:spacing w:after="0"/>
        <w:rPr>
          <w:sz w:val="20"/>
          <w:szCs w:val="20"/>
          <w:color w:val="auto"/>
        </w:rPr>
      </w:pPr>
      <w:r>
        <w:rPr>
          <w:rFonts w:ascii="Courier New" w:cs="Courier New" w:eastAsia="Courier New" w:hAnsi="Courier New"/>
          <w:sz w:val="12"/>
          <w:szCs w:val="12"/>
          <w:color w:val="auto"/>
        </w:rPr>
        <w:t>9.7 DISCLAIMER. THE FOREGOING PROVISIONS OF THIS SECTION 9 STATE THE ENTIRE LIABILITY AND OBLIGATION (EXPRESS, STATUTORY, IMPLIED OR OTHERWISE) OF EACH PARTY, WITH RESPECT TO ANY ACTUAL OR ALLEGED INFRINGEMENT OF ANY INTELLECTUAL PROPERTY RIGHTS OR CLAIMS THEREOF.</w:t>
      </w:r>
    </w:p>
    <w:p>
      <w:pPr>
        <w:spacing w:after="0" w:line="140" w:lineRule="exact"/>
        <w:rPr>
          <w:sz w:val="20"/>
          <w:szCs w:val="20"/>
          <w:color w:val="auto"/>
        </w:rPr>
      </w:pPr>
    </w:p>
    <w:p>
      <w:pPr>
        <w:ind w:left="367" w:hanging="367"/>
        <w:spacing w:after="0"/>
        <w:tabs>
          <w:tab w:leader="none" w:pos="367" w:val="left"/>
        </w:tabs>
        <w:numPr>
          <w:ilvl w:val="0"/>
          <w:numId w:val="2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LIMITATION OF LIABILITY</w:t>
      </w:r>
    </w:p>
    <w:p>
      <w:pPr>
        <w:spacing w:after="0" w:line="141" w:lineRule="exact"/>
        <w:rPr>
          <w:sz w:val="20"/>
          <w:szCs w:val="20"/>
          <w:color w:val="auto"/>
        </w:rPr>
      </w:pPr>
    </w:p>
    <w:p>
      <w:pPr>
        <w:ind w:left="7" w:right="4539" w:firstLine="357"/>
        <w:spacing w:after="0" w:line="267" w:lineRule="auto"/>
        <w:rPr>
          <w:sz w:val="20"/>
          <w:szCs w:val="20"/>
          <w:color w:val="auto"/>
        </w:rPr>
      </w:pPr>
      <w:r>
        <w:rPr>
          <w:rFonts w:ascii="Courier New" w:cs="Courier New" w:eastAsia="Courier New" w:hAnsi="Courier New"/>
          <w:sz w:val="11"/>
          <w:szCs w:val="11"/>
          <w:color w:val="auto"/>
        </w:rPr>
        <w:t>10.1 EXCEPT FOR THE SPECIFIC LIABILITIES DESCRIBED IN SECTION 10.3 BELOW, UNDER NO CIRCUMSTANCES, SHALL EITHER PARTY BE LIABLE FOR ANY SPECIAL, INCIDENTAL OR CONSEQUENTIAL DAMAGES ARISING IN ANY WAY OUT OF THIS AGREEMENT OR THE USE OF THE DEVELOPER DELIVERABLES, DEVELOPED TECHNOLOGY OR TOWER DELIVERABLES, HOWEVER CAUSED, (WHETHER ARISING UNDER A THEORY OF CONTRACT, TORT (INCLUDING NEGLIGENCE); OR OTHERWISE), INCLUDING, WITHOUT LIMITATION, DAMAGES FOR LOST PROFITS, LOSS OF DATA, OR COSTS OF PROCUREMENT OF SUBSTITUTE GOODS OR SERVICES,</w:t>
      </w:r>
    </w:p>
    <w:p>
      <w:pPr>
        <w:spacing w:after="0" w:line="125"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45" w:name="page146"/>
    <w:bookmarkEnd w:id="145"/>
    <w:p>
      <w:pPr>
        <w:ind w:left="7" w:right="4539" w:firstLine="357"/>
        <w:spacing w:after="0" w:line="241" w:lineRule="auto"/>
        <w:rPr>
          <w:sz w:val="20"/>
          <w:szCs w:val="20"/>
          <w:color w:val="auto"/>
        </w:rPr>
      </w:pPr>
      <w:r>
        <w:rPr>
          <w:rFonts w:ascii="Courier New" w:cs="Courier New" w:eastAsia="Courier New" w:hAnsi="Courier New"/>
          <w:sz w:val="12"/>
          <w:szCs w:val="12"/>
          <w:color w:val="auto"/>
        </w:rPr>
        <w:t>10.2 EXCEPT FOR THE SPECIFIC LIABILITIES DESCRIBED IN SECTION 10.3 BELOW, EACH PARTY'S TOTAL LIABILITY ARISING OUT OF ANY SOW SHALL NOT EXCEED THE GREATER OF (A) THE TOTAL AMOUNTS PAID AND PAYABLE TO DEVELOPER PURSUANT TO SECTION 5 FOR SUCH SOW AND (B) [***] IF TOWER HAS NOT PAID DEVELOPER ANY MILESTONE PAYMENT UNDER SUCH SOW, [***] IF TOWER HAS PAID DEVELOPER ONE (1) MILESTONE PAYMENT UNDER SUCH SOW, [***] IF TOWER HAS PAID DEVELOPER TWO (2) MILESTONE PAYMENTS UNDER SUCH SOW, [***] IF TOWER HAS PAID DEVELOPER THREE (3) MILESTONE PAYMENTS UNDER SUCH SOW, AND [***] IF TOWER HAS PAID DEVELOPER FOUR (4) OR MORE MILESTONE PAYMENTS UNDER SUCH SOW.</w:t>
      </w:r>
    </w:p>
    <w:p>
      <w:pPr>
        <w:spacing w:after="0" w:line="144" w:lineRule="exact"/>
        <w:rPr>
          <w:sz w:val="20"/>
          <w:szCs w:val="20"/>
          <w:color w:val="auto"/>
        </w:rPr>
      </w:pPr>
    </w:p>
    <w:p>
      <w:pPr>
        <w:ind w:left="7" w:right="4759" w:firstLine="357"/>
        <w:spacing w:after="0" w:line="238" w:lineRule="auto"/>
        <w:rPr>
          <w:sz w:val="20"/>
          <w:szCs w:val="20"/>
          <w:color w:val="auto"/>
        </w:rPr>
      </w:pPr>
      <w:r>
        <w:rPr>
          <w:rFonts w:ascii="Courier New" w:cs="Courier New" w:eastAsia="Courier New" w:hAnsi="Courier New"/>
          <w:sz w:val="12"/>
          <w:szCs w:val="12"/>
          <w:color w:val="auto"/>
        </w:rPr>
        <w:t>10.3 IN THE CASE OF [***], EACH PARTY'S TOTAL LIABILITY SHALL NOT EXCEED [***], WHICH FIGURE MAY INCLUDED CONSEQUENTIAL AND INDIRECT DAMAGES.</w:t>
      </w:r>
    </w:p>
    <w:p>
      <w:pPr>
        <w:spacing w:after="0" w:line="142" w:lineRule="exact"/>
        <w:rPr>
          <w:sz w:val="20"/>
          <w:szCs w:val="20"/>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10.4 THE LIMITATIONS ON EITHER PARTY'S LIABILITY SET FORTH IN THIS SECTION 10 SHALL APPLY NOTWITHSTANDING THE SUCCESS OR EFFECTIVENESS OF OTHER REMEDIES. FOR PURPOSES OF CLARIFICATION, THE LIMITATIONS IN THIS SECTION 10 SHALL NOT APPLY TO ANY INFRINGEMENT OR MISAPPROPRIATION BY ONE PARTY OF THE OTHER PARTY'S INTELLECTUAL PROPERTY RIGHTS.</w:t>
      </w:r>
    </w:p>
    <w:p>
      <w:pPr>
        <w:spacing w:after="0" w:line="138" w:lineRule="exact"/>
        <w:rPr>
          <w:sz w:val="20"/>
          <w:szCs w:val="20"/>
          <w:color w:val="auto"/>
        </w:rPr>
      </w:pPr>
    </w:p>
    <w:p>
      <w:pPr>
        <w:ind w:left="367" w:hanging="367"/>
        <w:spacing w:after="0"/>
        <w:tabs>
          <w:tab w:leader="none" w:pos="367" w:val="left"/>
        </w:tabs>
        <w:numPr>
          <w:ilvl w:val="0"/>
          <w:numId w:val="2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CONFIDENTIALITY</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11.1 DUTY TO MAINTAIN CONFIDENTIALITY. Each party agrees to accept Confidential Information from the other party solely for use in connection with performance of its obligations and exercise of its express rights granted under this Agreement and that for a period of five (5) years from the date of disclosure it will hold in strict confidence and not disclose, publish, or disseminate such Confidential Information, to the extent it is not Residual Information, to anyone other than those of its employees and subcontractors with a need to know and have executed appropriate confidentiality agreements, nor use Confidential Information for its own or any third party's benefit, without the prior written approval of an authorized representative of originating party. The receiving party will protect Confidential Information of the disclosing party from disclosure, publication, dissemination and unauthorized use with the same degree of care the receiving party uses to protect its own confidential and proprietary information of similar nature, but in no event less than a reasonable degree of care.</w:t>
      </w:r>
    </w:p>
    <w:p>
      <w:pPr>
        <w:spacing w:after="0" w:line="145"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46" w:name="page147"/>
    <w:bookmarkEnd w:id="146"/>
    <w:p>
      <w:pPr>
        <w:ind w:left="7" w:right="4539" w:firstLine="357"/>
        <w:spacing w:after="0" w:line="241" w:lineRule="auto"/>
        <w:rPr>
          <w:sz w:val="20"/>
          <w:szCs w:val="20"/>
          <w:color w:val="auto"/>
        </w:rPr>
      </w:pPr>
      <w:r>
        <w:rPr>
          <w:rFonts w:ascii="Courier New" w:cs="Courier New" w:eastAsia="Courier New" w:hAnsi="Courier New"/>
          <w:sz w:val="12"/>
          <w:szCs w:val="12"/>
          <w:color w:val="auto"/>
        </w:rPr>
        <w:t>11.2 EXCEPTIONS. The receiving party may disclose Confidential Information if required by operation of law or any tribunal of competent jurisdiction, provided that it will take reasonable steps to first give the originating party sufficient prior notice to contest the order to disclose, and must cooperate with the originating party in any efforts by the originating party to obtain a protective order or other confidential treatment. The parties shall have the right to disclose the terms of this Agreement to attorneys, government agencies, financial advisors and potential investors and acquirers (of the party or the party's relevant foundry, division, or product line), subject to reasonable confidentiality provisions.</w:t>
      </w:r>
    </w:p>
    <w:p>
      <w:pPr>
        <w:spacing w:after="0" w:line="145"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11.3 RESIDUALS; NO LICENSES. The parties acknowledge that exposure to Confidential Information necessarily will mean that personnel of a receiving party will learn and may retain Residual Information. This Agreement shall not restrict use of Residual Information by employees of a receiving party; provided, however, that nothing in this SECTION 11 shall be deemed to grant any rights under disclosing party Intellectual Property Rights to the receiving party or their personnel in excess of those license rights expressly granted under SECTION 3 above. All Confidential Information remains the property of the disclosing party, unless otherwise conveyed under the terms of the Agreement and any license under Intellectual Property Rights must be express and in writing signed by both parties.</w:t>
      </w:r>
    </w:p>
    <w:p>
      <w:pPr>
        <w:spacing w:after="0" w:line="145"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11.4 INJUNCTIVE RELIEF. The parties acknowledge that any breach or threatened breach of the obligations of confidentiality contained in this SECTION 11 may cause substantial harm to the non-breaching party that may not be reasonably or adequately compensated with monetary damages. Accordingly, in addition to any other available remedies, the parties recognize each party's right to seek injunctive relief in connection with such breach or threatened breach.</w:t>
      </w:r>
    </w:p>
    <w:p>
      <w:pPr>
        <w:spacing w:after="0" w:line="139" w:lineRule="exact"/>
        <w:rPr>
          <w:sz w:val="20"/>
          <w:szCs w:val="20"/>
          <w:color w:val="auto"/>
        </w:rPr>
      </w:pPr>
    </w:p>
    <w:p>
      <w:pPr>
        <w:ind w:left="367" w:hanging="367"/>
        <w:spacing w:after="0"/>
        <w:tabs>
          <w:tab w:leader="none" w:pos="367" w:val="left"/>
        </w:tabs>
        <w:numPr>
          <w:ilvl w:val="0"/>
          <w:numId w:val="2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 AND TERMINATION</w:t>
      </w:r>
    </w:p>
    <w:p>
      <w:pPr>
        <w:spacing w:after="0" w:line="141" w:lineRule="exact"/>
        <w:rPr>
          <w:sz w:val="20"/>
          <w:szCs w:val="20"/>
          <w:color w:val="auto"/>
        </w:rPr>
      </w:pPr>
    </w:p>
    <w:p>
      <w:pPr>
        <w:ind w:left="7" w:right="4599" w:firstLine="357"/>
        <w:spacing w:after="0" w:line="264" w:lineRule="auto"/>
        <w:rPr>
          <w:sz w:val="20"/>
          <w:szCs w:val="20"/>
          <w:color w:val="auto"/>
        </w:rPr>
      </w:pPr>
      <w:r>
        <w:rPr>
          <w:rFonts w:ascii="Courier New" w:cs="Courier New" w:eastAsia="Courier New" w:hAnsi="Courier New"/>
          <w:sz w:val="11"/>
          <w:szCs w:val="11"/>
          <w:color w:val="auto"/>
        </w:rPr>
        <w:t>12.1 TERM. This Agreement will be in effect for [***] term commencing on the Effective Date unless earlier terminated in accordance with the terms of this Agreement. Unless terminated earlier, this Agreement will renew automatically for additional one (1) year terms unless either party delivers to the other party written notice of its intention not to renew at least thirty</w:t>
      </w:r>
    </w:p>
    <w:p>
      <w:pPr>
        <w:ind w:left="367" w:hanging="367"/>
        <w:spacing w:after="0" w:line="236" w:lineRule="auto"/>
        <w:tabs>
          <w:tab w:leader="none" w:pos="367" w:val="left"/>
        </w:tabs>
        <w:numPr>
          <w:ilvl w:val="0"/>
          <w:numId w:val="2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days prior to the end of the initial or any renewal term.</w:t>
      </w:r>
    </w:p>
    <w:p>
      <w:pPr>
        <w:spacing w:after="0" w:line="138" w:lineRule="exact"/>
        <w:rPr>
          <w:rFonts w:ascii="Courier New" w:cs="Courier New" w:eastAsia="Courier New" w:hAnsi="Courier New"/>
          <w:sz w:val="12"/>
          <w:szCs w:val="12"/>
          <w:color w:val="auto"/>
        </w:rPr>
      </w:pPr>
    </w:p>
    <w:p>
      <w:pPr>
        <w:ind w:left="36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12.2 TERMINATION FOR CAUSE.</w:t>
      </w:r>
    </w:p>
    <w:p>
      <w:pPr>
        <w:spacing w:after="0" w:line="141" w:lineRule="exact"/>
        <w:rPr>
          <w:rFonts w:ascii="Courier New" w:cs="Courier New" w:eastAsia="Courier New" w:hAnsi="Courier New"/>
          <w:sz w:val="12"/>
          <w:szCs w:val="12"/>
          <w:color w:val="auto"/>
        </w:rPr>
      </w:pPr>
    </w:p>
    <w:p>
      <w:pPr>
        <w:ind w:left="367" w:right="4679" w:firstLine="347"/>
        <w:spacing w:after="0" w:line="269" w:lineRule="auto"/>
        <w:tabs>
          <w:tab w:leader="none" w:pos="1009" w:val="left"/>
        </w:tabs>
        <w:numPr>
          <w:ilvl w:val="1"/>
          <w:numId w:val="24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Either party may terminate upon written notice this Agreement or any SOW hereunder if: the other party breaches any material provision of this Agreement or any SOW and fails to remedy such breach within [***] after receipt of the non-breaching party's written notice of such breach.</w:t>
      </w:r>
    </w:p>
    <w:p>
      <w:pPr>
        <w:spacing w:after="0" w:line="125"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47" w:name="page148"/>
    <w:bookmarkEnd w:id="147"/>
    <w:p>
      <w:pPr>
        <w:ind w:left="1000" w:hanging="293"/>
        <w:spacing w:after="0"/>
        <w:tabs>
          <w:tab w:leader="none" w:pos="1000" w:val="left"/>
        </w:tabs>
        <w:numPr>
          <w:ilvl w:val="0"/>
          <w:numId w:val="2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Either party may terminate upon written notice this Agreement if:</w:t>
      </w:r>
    </w:p>
    <w:p>
      <w:pPr>
        <w:spacing w:after="0" w:line="141" w:lineRule="exact"/>
        <w:rPr>
          <w:rFonts w:ascii="Courier New" w:cs="Courier New" w:eastAsia="Courier New" w:hAnsi="Courier New"/>
          <w:sz w:val="12"/>
          <w:szCs w:val="12"/>
          <w:color w:val="auto"/>
        </w:rPr>
      </w:pPr>
    </w:p>
    <w:p>
      <w:pPr>
        <w:ind w:left="700" w:right="4899" w:firstLine="364"/>
        <w:spacing w:after="0" w:line="238" w:lineRule="auto"/>
        <w:tabs>
          <w:tab w:leader="none" w:pos="1342" w:val="left"/>
        </w:tabs>
        <w:numPr>
          <w:ilvl w:val="1"/>
          <w:numId w:val="2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other party dissolves, becomes adjudged insolvent or makes a general assignment for the benefit of its creditors;</w:t>
      </w:r>
    </w:p>
    <w:p>
      <w:pPr>
        <w:spacing w:after="0" w:line="142" w:lineRule="exact"/>
        <w:rPr>
          <w:rFonts w:ascii="Courier New" w:cs="Courier New" w:eastAsia="Courier New" w:hAnsi="Courier New"/>
          <w:sz w:val="12"/>
          <w:szCs w:val="12"/>
          <w:color w:val="auto"/>
        </w:rPr>
      </w:pPr>
    </w:p>
    <w:p>
      <w:pPr>
        <w:ind w:left="700" w:right="4599" w:firstLine="364"/>
        <w:spacing w:after="0" w:line="241" w:lineRule="auto"/>
        <w:tabs>
          <w:tab w:leader="none" w:pos="1414" w:val="left"/>
        </w:tabs>
        <w:numPr>
          <w:ilvl w:val="1"/>
          <w:numId w:val="2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voluntary or involuntary petition or proceeding is commenced by or against the other party under the Federal Bankruptcy Act or any other statute of any state or country relating to insolvency or the protection of the rights of creditors, or any other insolvency or bankruptcy proceeding or other similar proceeding for the settlement of the other party's debt is instituted, and such petition or proceeding, if involuntary, is not dismissed within sixty (60) days of commencement; or</w:t>
      </w:r>
    </w:p>
    <w:p>
      <w:pPr>
        <w:spacing w:after="0" w:line="143" w:lineRule="exact"/>
        <w:rPr>
          <w:rFonts w:ascii="Courier New" w:cs="Courier New" w:eastAsia="Courier New" w:hAnsi="Courier New"/>
          <w:sz w:val="12"/>
          <w:szCs w:val="12"/>
          <w:color w:val="auto"/>
        </w:rPr>
      </w:pPr>
    </w:p>
    <w:p>
      <w:pPr>
        <w:ind w:left="700" w:right="4679" w:firstLine="364"/>
        <w:spacing w:after="0" w:line="238" w:lineRule="auto"/>
        <w:tabs>
          <w:tab w:leader="none" w:pos="1485" w:val="left"/>
        </w:tabs>
        <w:numPr>
          <w:ilvl w:val="1"/>
          <w:numId w:val="2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receiver of all or substantially all of the property of the other party is appointed.</w:t>
      </w:r>
    </w:p>
    <w:p>
      <w:pPr>
        <w:spacing w:after="0" w:line="142" w:lineRule="exact"/>
        <w:rPr>
          <w:sz w:val="20"/>
          <w:szCs w:val="20"/>
          <w:color w:val="auto"/>
        </w:rPr>
      </w:pPr>
    </w:p>
    <w:p>
      <w:pPr>
        <w:ind w:right="4599" w:firstLine="357"/>
        <w:spacing w:after="0" w:line="238" w:lineRule="auto"/>
        <w:rPr>
          <w:sz w:val="20"/>
          <w:szCs w:val="20"/>
          <w:color w:val="auto"/>
        </w:rPr>
      </w:pPr>
      <w:r>
        <w:rPr>
          <w:rFonts w:ascii="Courier New" w:cs="Courier New" w:eastAsia="Courier New" w:hAnsi="Courier New"/>
          <w:sz w:val="12"/>
          <w:szCs w:val="12"/>
          <w:color w:val="auto"/>
        </w:rPr>
        <w:t>12.3 Either party may terminate this Agreement pursuant to SECTION 2 above or SECTION 14.10 below.</w:t>
      </w:r>
    </w:p>
    <w:p>
      <w:pPr>
        <w:spacing w:after="0" w:line="142" w:lineRule="exact"/>
        <w:rPr>
          <w:sz w:val="20"/>
          <w:szCs w:val="20"/>
          <w:color w:val="auto"/>
        </w:rPr>
      </w:pPr>
    </w:p>
    <w:p>
      <w:pPr>
        <w:ind w:right="4539" w:firstLine="357"/>
        <w:spacing w:after="0" w:line="269" w:lineRule="auto"/>
        <w:rPr>
          <w:sz w:val="20"/>
          <w:szCs w:val="20"/>
          <w:color w:val="auto"/>
        </w:rPr>
      </w:pPr>
      <w:r>
        <w:rPr>
          <w:rFonts w:ascii="Courier New" w:cs="Courier New" w:eastAsia="Courier New" w:hAnsi="Courier New"/>
          <w:sz w:val="11"/>
          <w:szCs w:val="11"/>
          <w:color w:val="auto"/>
        </w:rPr>
        <w:t>12.4 EFFECT OF TERMINATION. Termination or expiration of this Agreement shall terminate all Statements of Work then in effect (but not any payment obligations accrued prior to termination), but the termination of a Statement of Work shall not affect this Agreement or other Statements of Work then in effect.</w:t>
      </w:r>
    </w:p>
    <w:p>
      <w:pPr>
        <w:spacing w:after="0" w:line="127" w:lineRule="exact"/>
        <w:rPr>
          <w:sz w:val="20"/>
          <w:szCs w:val="20"/>
          <w:color w:val="auto"/>
        </w:rPr>
      </w:pPr>
    </w:p>
    <w:p>
      <w:pPr>
        <w:ind w:right="4539" w:firstLine="350"/>
        <w:spacing w:after="0" w:line="241" w:lineRule="auto"/>
        <w:tabs>
          <w:tab w:leader="none" w:pos="642" w:val="left"/>
        </w:tabs>
        <w:numPr>
          <w:ilvl w:val="0"/>
          <w:numId w:val="2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TOWER's termination of this Agreement or any SOW for Developer's default, the licenses granted TOWER and TOWER Affiliates under SECTION 3 of this Agreement with respect to each item Developed Technology accepted by TOWER under this Agreement or the terminated SOW (as the case may be) will survive such termination until the expiration of the then-current term of this Agreement, subject to TOWER's full payment of all applicable amounts due for the acceptance of such Developed Technology and TOWER's compliance with the applicable terms and conditions of this Agreement. Upon the expiration of the then-current term of this Agreement the rights of TOWER and TOWER Affiliates in such Developed Technology shall be governed by SECTIONS 12.4(B) and 12.5.</w:t>
      </w:r>
    </w:p>
    <w:p>
      <w:pPr>
        <w:spacing w:after="0" w:line="144" w:lineRule="exact"/>
        <w:rPr>
          <w:rFonts w:ascii="Courier New" w:cs="Courier New" w:eastAsia="Courier New" w:hAnsi="Courier New"/>
          <w:sz w:val="12"/>
          <w:szCs w:val="12"/>
          <w:color w:val="auto"/>
        </w:rPr>
      </w:pPr>
    </w:p>
    <w:p>
      <w:pPr>
        <w:ind w:right="4539" w:firstLine="350"/>
        <w:spacing w:after="0" w:line="241" w:lineRule="auto"/>
        <w:tabs>
          <w:tab w:leader="none" w:pos="642" w:val="left"/>
        </w:tabs>
        <w:numPr>
          <w:ilvl w:val="0"/>
          <w:numId w:val="2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any expiration or termination of this Agreement or any specific Statement of Work other than TOWER's termination of this Agreement for Developer's default, all rights and licenses granted to TOWER and TOWER Affiliates under this Agreement for the Developed Technology provided under the terminated Agreement or SOW (as the case may be), and TOWER and TOWER Affiliates shall cease to design, develop, modify, translate, manufacture or use any such Developer Deliverables or Developed Technology, provided, however, that the rights and licenses granted to TOWER and TOWER Affiliates to manufacture Licensed Products that are then in production or design-in by TOWER Customers and that incorporate such Developer Deliverables or Developed Technology which have been licensed by such TOWER Customers from Impinj (collectively, the "EXISTING PRODUCTS") shall continue subject to TOWER's and TOWER Affiliates' compliance with all applicable terms and conditions of this Agreement, including without limitation, SECTION 3.5;</w:t>
      </w:r>
    </w:p>
    <w:p>
      <w:pPr>
        <w:sectPr>
          <w:pgSz w:w="11900" w:h="16838" w:orient="portrait"/>
          <w:cols w:equalWidth="0" w:num="1">
            <w:col w:w="10239"/>
          </w:cols>
          <w:pgMar w:left="220" w:top="669" w:right="1440" w:bottom="1440" w:gutter="0" w:footer="0" w:header="0"/>
        </w:sectPr>
      </w:pPr>
    </w:p>
    <w:bookmarkStart w:id="148" w:name="page149"/>
    <w:bookmarkEnd w:id="148"/>
    <w:p>
      <w:pPr>
        <w:ind w:left="7" w:right="4759" w:firstLine="350"/>
        <w:spacing w:after="0" w:line="238" w:lineRule="auto"/>
        <w:tabs>
          <w:tab w:leader="none" w:pos="649" w:val="left"/>
        </w:tabs>
        <w:numPr>
          <w:ilvl w:val="0"/>
          <w:numId w:val="2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any expiration or termination of this Agreement or any specific Statement of Work:</w:t>
      </w:r>
    </w:p>
    <w:p>
      <w:pPr>
        <w:spacing w:after="0" w:line="142" w:lineRule="exact"/>
        <w:rPr>
          <w:rFonts w:ascii="Courier New" w:cs="Courier New" w:eastAsia="Courier New" w:hAnsi="Courier New"/>
          <w:sz w:val="12"/>
          <w:szCs w:val="12"/>
          <w:color w:val="auto"/>
        </w:rPr>
      </w:pPr>
    </w:p>
    <w:p>
      <w:pPr>
        <w:ind w:left="367" w:right="4599" w:firstLine="347"/>
        <w:spacing w:after="0" w:line="241" w:lineRule="auto"/>
        <w:tabs>
          <w:tab w:leader="none" w:pos="1009" w:val="left"/>
        </w:tabs>
        <w:numPr>
          <w:ilvl w:val="1"/>
          <w:numId w:val="2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shall pay according to the terms of this Agreement any amounts due to Developer and relating to any terminated SOW outstanding at the time of such termination. Within thirty (30) days of termination, Developer shall invoice TOWER for any SOW milestones or other invoiceable SOW events that occurred prior to such termination, and TOWER shall pay such invoices according to the terms of this Agreement;</w:t>
      </w:r>
    </w:p>
    <w:p>
      <w:pPr>
        <w:spacing w:after="0" w:line="141" w:lineRule="exact"/>
        <w:rPr>
          <w:rFonts w:ascii="Courier New" w:cs="Courier New" w:eastAsia="Courier New" w:hAnsi="Courier New"/>
          <w:sz w:val="12"/>
          <w:szCs w:val="12"/>
          <w:color w:val="auto"/>
        </w:rPr>
      </w:pPr>
    </w:p>
    <w:p>
      <w:pPr>
        <w:ind w:left="367" w:right="4759" w:firstLine="347"/>
        <w:spacing w:after="0" w:line="269" w:lineRule="auto"/>
        <w:tabs>
          <w:tab w:leader="none" w:pos="1080" w:val="left"/>
        </w:tabs>
        <w:numPr>
          <w:ilvl w:val="1"/>
          <w:numId w:val="2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all rights and licenses granted to Developer will terminate, except that the rights and licenses granted to Developer to support and provide maintenance for Existing Products; provided, that Developer complies with all applicable terms and conditions of this Agreement; and</w:t>
      </w:r>
    </w:p>
    <w:p>
      <w:pPr>
        <w:spacing w:after="0" w:line="127" w:lineRule="exact"/>
        <w:rPr>
          <w:rFonts w:ascii="Courier New" w:cs="Courier New" w:eastAsia="Courier New" w:hAnsi="Courier New"/>
          <w:sz w:val="11"/>
          <w:szCs w:val="11"/>
          <w:color w:val="auto"/>
        </w:rPr>
      </w:pPr>
    </w:p>
    <w:p>
      <w:pPr>
        <w:ind w:left="367" w:right="4759" w:firstLine="347"/>
        <w:spacing w:after="0" w:line="241" w:lineRule="auto"/>
        <w:tabs>
          <w:tab w:leader="none" w:pos="1152" w:val="left"/>
        </w:tabs>
        <w:numPr>
          <w:ilvl w:val="1"/>
          <w:numId w:val="2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request by the other party, each party shall return or destroy within 30 days, at the other party's option, all Confidential Information it received from the other party relating to any terminated Statement of Work, and in the case of termination of the Agreement, all Confidential Information of the other party; provided however that in either case, each party shall be entitled to retain sufficient copies of those elements of the other party's Confidential Information as are reasonably necessary to exercise those of its rights which may survive under this SECTION 12.4 and SECTION 12.5.</w:t>
      </w:r>
    </w:p>
    <w:p>
      <w:pPr>
        <w:spacing w:after="0" w:line="144"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12.5 SURVIVAL. SECTIONS 1, 3.5, 3.6, 5.4, 6.3, 7, 8, 9, 10, 11, 12 and 14 and all unpaid but accrued obligations will survive any expiration or termination of this Agreement. Notwithstanding the foregoing, the termination of this Agreement will not relieve the parties of any liability or obligation that accrued prior to such termination.</w:t>
      </w:r>
    </w:p>
    <w:p>
      <w:pPr>
        <w:spacing w:after="0" w:line="138" w:lineRule="exact"/>
        <w:rPr>
          <w:sz w:val="20"/>
          <w:szCs w:val="20"/>
          <w:color w:val="auto"/>
        </w:rPr>
      </w:pPr>
    </w:p>
    <w:p>
      <w:pPr>
        <w:ind w:left="367" w:hanging="367"/>
        <w:spacing w:after="0"/>
        <w:tabs>
          <w:tab w:leader="none" w:pos="367" w:val="left"/>
        </w:tabs>
        <w:numPr>
          <w:ilvl w:val="0"/>
          <w:numId w:val="2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599" w:firstLine="357"/>
        <w:spacing w:after="0" w:line="238" w:lineRule="auto"/>
        <w:rPr>
          <w:sz w:val="20"/>
          <w:szCs w:val="20"/>
          <w:color w:val="auto"/>
        </w:rPr>
      </w:pPr>
      <w:r>
        <w:rPr>
          <w:rFonts w:ascii="Courier New" w:cs="Courier New" w:eastAsia="Courier New" w:hAnsi="Courier New"/>
          <w:sz w:val="12"/>
          <w:szCs w:val="12"/>
          <w:color w:val="auto"/>
        </w:rPr>
        <w:t>13.1 [***]. "[***]" shall mean one copy of the any [***] listed in a [***] as [***] to be [***]..</w:t>
      </w:r>
    </w:p>
    <w:p>
      <w:pPr>
        <w:spacing w:after="0" w:line="142" w:lineRule="exact"/>
        <w:rPr>
          <w:sz w:val="20"/>
          <w:szCs w:val="20"/>
          <w:color w:val="auto"/>
        </w:rPr>
      </w:pPr>
    </w:p>
    <w:p>
      <w:pPr>
        <w:ind w:left="7" w:right="4679" w:firstLine="357"/>
        <w:spacing w:after="0" w:line="238" w:lineRule="auto"/>
        <w:rPr>
          <w:sz w:val="20"/>
          <w:szCs w:val="20"/>
          <w:color w:val="auto"/>
        </w:rPr>
      </w:pPr>
      <w:r>
        <w:rPr>
          <w:rFonts w:ascii="Courier New" w:cs="Courier New" w:eastAsia="Courier New" w:hAnsi="Courier New"/>
          <w:sz w:val="12"/>
          <w:szCs w:val="12"/>
          <w:color w:val="auto"/>
        </w:rPr>
        <w:t>13.2 [***]. Developer shall [***]with [***] pursuant to a mutually-agreed [***] consistent with this SECTION [***].</w:t>
      </w:r>
    </w:p>
    <w:p>
      <w:pPr>
        <w:spacing w:after="0" w:line="142" w:lineRule="exact"/>
        <w:rPr>
          <w:sz w:val="20"/>
          <w:szCs w:val="20"/>
          <w:color w:val="auto"/>
        </w:rPr>
      </w:pPr>
    </w:p>
    <w:p>
      <w:pPr>
        <w:ind w:left="7" w:right="4679" w:firstLine="357"/>
        <w:spacing w:after="0" w:line="239" w:lineRule="auto"/>
        <w:rPr>
          <w:sz w:val="20"/>
          <w:szCs w:val="20"/>
          <w:color w:val="auto"/>
        </w:rPr>
      </w:pPr>
      <w:r>
        <w:rPr>
          <w:rFonts w:ascii="Courier New" w:cs="Courier New" w:eastAsia="Courier New" w:hAnsi="Courier New"/>
          <w:sz w:val="12"/>
          <w:szCs w:val="12"/>
          <w:color w:val="auto"/>
        </w:rPr>
        <w:t>13.3 UPDATES. Developer shall update the [***] within a reasonable period (not to exceed forty-five (45) days) of any update to the [***] generally provided to [***].</w:t>
      </w:r>
    </w:p>
    <w:p>
      <w:pPr>
        <w:spacing w:after="0" w:line="143" w:lineRule="exact"/>
        <w:rPr>
          <w:sz w:val="20"/>
          <w:szCs w:val="20"/>
          <w:color w:val="auto"/>
        </w:rPr>
      </w:pPr>
    </w:p>
    <w:p>
      <w:pPr>
        <w:ind w:left="7" w:right="4539" w:firstLine="357"/>
        <w:spacing w:after="0" w:line="264" w:lineRule="auto"/>
        <w:rPr>
          <w:sz w:val="20"/>
          <w:szCs w:val="20"/>
          <w:color w:val="auto"/>
        </w:rPr>
      </w:pPr>
      <w:r>
        <w:rPr>
          <w:rFonts w:ascii="Courier New" w:cs="Courier New" w:eastAsia="Courier New" w:hAnsi="Courier New"/>
          <w:sz w:val="11"/>
          <w:szCs w:val="11"/>
          <w:color w:val="auto"/>
        </w:rPr>
        <w:t>13.4 [***]. A "[***]" is defined as the occurrence of either of the following during the term of this Agreement: (a) [***]by [***] to either [***]as required under this Agreement or [***] under a valid [***] agreement [***] or</w:t>
      </w:r>
    </w:p>
    <w:p>
      <w:pPr>
        <w:jc w:val="both"/>
        <w:ind w:left="7" w:right="4599" w:hanging="7"/>
        <w:spacing w:after="0"/>
        <w:tabs>
          <w:tab w:leader="none" w:pos="292" w:val="left"/>
        </w:tabs>
        <w:numPr>
          <w:ilvl w:val="0"/>
          <w:numId w:val="2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required under this Agreement; provided, that: (w) if the [***]is a failure [***] pursuant to [***] (x) at such time, [***] has [***] all [***]this Agreement [***] (y) [***]of each such [***]with [***] and (z) [***]within [***]of the date TOWER [***].</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49" w:name="page150"/>
    <w:bookmarkEnd w:id="149"/>
    <w:p>
      <w:pPr>
        <w:ind w:left="7" w:right="4539" w:firstLine="357"/>
        <w:spacing w:after="0" w:line="241" w:lineRule="auto"/>
        <w:rPr>
          <w:sz w:val="20"/>
          <w:szCs w:val="20"/>
          <w:color w:val="auto"/>
        </w:rPr>
      </w:pPr>
      <w:r>
        <w:rPr>
          <w:rFonts w:ascii="Courier New" w:cs="Courier New" w:eastAsia="Courier New" w:hAnsi="Courier New"/>
          <w:sz w:val="12"/>
          <w:szCs w:val="12"/>
          <w:color w:val="auto"/>
        </w:rPr>
        <w:t>13.5 [***] PROCEDURE. If [***]. believes in good faith that [***].has occurred, [***]. may [***]. (the "NOTICE") to [***]. and to [***]. requesting [***]. and [***]. that [***]. If [***]. desires [***].,[***]. shall, [***].after receipt thereof, deliver to [***].that in [***]. view no [***]. (the "[***]."). If [***]., at the end of such [***]. period, does not receive [***]., then [***].shall deliver a [***].to [***]..</w:t>
      </w:r>
    </w:p>
    <w:p>
      <w:pPr>
        <w:spacing w:after="0" w:line="142" w:lineRule="exact"/>
        <w:rPr>
          <w:sz w:val="20"/>
          <w:szCs w:val="20"/>
          <w:color w:val="auto"/>
        </w:rPr>
      </w:pPr>
    </w:p>
    <w:p>
      <w:pPr>
        <w:ind w:left="7" w:right="4539" w:firstLine="357"/>
        <w:spacing w:after="0" w:line="239" w:lineRule="auto"/>
        <w:rPr>
          <w:sz w:val="20"/>
          <w:szCs w:val="20"/>
          <w:color w:val="auto"/>
        </w:rPr>
      </w:pPr>
      <w:r>
        <w:rPr>
          <w:rFonts w:ascii="Courier New" w:cs="Courier New" w:eastAsia="Courier New" w:hAnsi="Courier New"/>
          <w:sz w:val="12"/>
          <w:szCs w:val="12"/>
          <w:color w:val="auto"/>
        </w:rPr>
        <w:t>13.6 CONFIDENTIALITY. The [***] shall be deemed Confidential Information of [***]. [***] shall use its best efforts to prevent, prosecute and enjoin and actual or threatened unauthorized copying, use or disclosure of the [***].</w:t>
      </w:r>
    </w:p>
    <w:p>
      <w:pPr>
        <w:spacing w:after="0" w:line="143" w:lineRule="exact"/>
        <w:rPr>
          <w:sz w:val="20"/>
          <w:szCs w:val="20"/>
          <w:color w:val="auto"/>
        </w:rPr>
      </w:pPr>
    </w:p>
    <w:p>
      <w:pPr>
        <w:ind w:left="7" w:right="4539" w:firstLine="357"/>
        <w:spacing w:after="0" w:line="264" w:lineRule="auto"/>
        <w:rPr>
          <w:sz w:val="20"/>
          <w:szCs w:val="20"/>
          <w:color w:val="auto"/>
        </w:rPr>
      </w:pPr>
      <w:r>
        <w:rPr>
          <w:rFonts w:ascii="Courier New" w:cs="Courier New" w:eastAsia="Courier New" w:hAnsi="Courier New"/>
          <w:sz w:val="11"/>
          <w:szCs w:val="11"/>
          <w:color w:val="auto"/>
        </w:rPr>
        <w:t>13.7 TERMINATION. Upon the earlier of (i) termination of this Agreement, other than termination for cause by [***] which is accompanied with a [***], and</w:t>
      </w:r>
    </w:p>
    <w:p>
      <w:pPr>
        <w:ind w:left="7" w:right="4539" w:hanging="7"/>
        <w:spacing w:after="0" w:line="241" w:lineRule="auto"/>
        <w:tabs>
          <w:tab w:leader="none" w:pos="364" w:val="left"/>
        </w:tabs>
        <w:numPr>
          <w:ilvl w:val="0"/>
          <w:numId w:val="2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date the then-current term of this Agreement would have expired but for [***] termination of this Agreement for cause, all rights and licenses granted pursuant to this SECTION 13 and SECTION 3.3 shall terminate, and [***] shall promptly return the [***] and all copies thereof, whether in whole or in part, to [***].</w:t>
      </w:r>
    </w:p>
    <w:p>
      <w:pPr>
        <w:spacing w:after="0" w:line="138" w:lineRule="exact"/>
        <w:rPr>
          <w:sz w:val="20"/>
          <w:szCs w:val="20"/>
          <w:color w:val="auto"/>
        </w:rPr>
      </w:pPr>
    </w:p>
    <w:p>
      <w:pPr>
        <w:ind w:left="367" w:hanging="367"/>
        <w:spacing w:after="0"/>
        <w:tabs>
          <w:tab w:leader="none" w:pos="367" w:val="left"/>
        </w:tabs>
        <w:numPr>
          <w:ilvl w:val="0"/>
          <w:numId w:val="2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w:t>
      </w:r>
    </w:p>
    <w:p>
      <w:pPr>
        <w:spacing w:after="0" w:line="141" w:lineRule="exact"/>
        <w:rPr>
          <w:sz w:val="20"/>
          <w:szCs w:val="20"/>
          <w:color w:val="auto"/>
        </w:rPr>
      </w:pPr>
    </w:p>
    <w:p>
      <w:pPr>
        <w:ind w:left="7" w:right="4539" w:firstLine="357"/>
        <w:spacing w:after="0" w:line="266" w:lineRule="auto"/>
        <w:rPr>
          <w:sz w:val="20"/>
          <w:szCs w:val="20"/>
          <w:color w:val="auto"/>
        </w:rPr>
      </w:pPr>
      <w:r>
        <w:rPr>
          <w:rFonts w:ascii="Courier New" w:cs="Courier New" w:eastAsia="Courier New" w:hAnsi="Courier New"/>
          <w:sz w:val="11"/>
          <w:szCs w:val="11"/>
          <w:color w:val="auto"/>
        </w:rPr>
        <w:t>14.1 COMPLETE AGREEMENT This Agreement (including the attached exhibits) contains all material and essential terms of a binding agreement between the parties with respect to the stated subject matter. This Agreement is the entire agreement between the parties with respect to the stated subject matter; they supersede all prior understandings and agreements with respect to these matters, and there are no prior representations, warranties or other agreements relating thereto. This Agreement may not be modified, except in writing signed by duly authorized officer of each party. Without limiting the foregoing, the parties anticipate negotiating additional detailed agreements concerning the matters involved, and commit to cooperate in good faith with respect to such agreements.</w:t>
      </w:r>
    </w:p>
    <w:p>
      <w:pPr>
        <w:spacing w:after="0" w:line="128"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14.2 EXPORT CONTROLS. Each party will comply with all applicable export control laws, and shall not export (or, knowingly, directly or indirectly effect any transfer of) any material (including Confidential Information of the other party identified as subject to export control rules) in violation of such export control laws.</w:t>
      </w:r>
    </w:p>
    <w:p>
      <w:pPr>
        <w:spacing w:after="0" w:line="141" w:lineRule="exact"/>
        <w:rPr>
          <w:sz w:val="20"/>
          <w:szCs w:val="20"/>
          <w:color w:val="auto"/>
        </w:rPr>
      </w:pPr>
    </w:p>
    <w:p>
      <w:pPr>
        <w:ind w:left="7" w:right="4679" w:firstLine="357"/>
        <w:spacing w:after="0"/>
        <w:rPr>
          <w:sz w:val="20"/>
          <w:szCs w:val="20"/>
          <w:color w:val="auto"/>
        </w:rPr>
      </w:pPr>
      <w:r>
        <w:rPr>
          <w:rFonts w:ascii="Courier New" w:cs="Courier New" w:eastAsia="Courier New" w:hAnsi="Courier New"/>
          <w:sz w:val="12"/>
          <w:szCs w:val="12"/>
          <w:color w:val="auto"/>
        </w:rPr>
        <w:t>14.3 GOVERNING LAW. This Agreement shall be governed by the laws of the State of California, U.S.A. without regard to the conflicts of laws provisions thereof and without regard to the United Nations Convention on Contracts for International Sales of Goods.</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5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50" w:name="page151"/>
    <w:bookmarkEnd w:id="150"/>
    <w:p>
      <w:pPr>
        <w:ind w:right="4539" w:firstLine="357"/>
        <w:spacing w:after="0" w:line="241" w:lineRule="auto"/>
        <w:rPr>
          <w:sz w:val="20"/>
          <w:szCs w:val="20"/>
          <w:color w:val="auto"/>
        </w:rPr>
      </w:pPr>
      <w:r>
        <w:rPr>
          <w:rFonts w:ascii="Courier New" w:cs="Courier New" w:eastAsia="Courier New" w:hAnsi="Courier New"/>
          <w:sz w:val="12"/>
          <w:szCs w:val="12"/>
          <w:color w:val="auto"/>
        </w:rPr>
        <w:t>14.4 ESCALATION. Any dispute or disagreement shall first be resolved on a confidential, expedited basis by escalation in management to senior officers of both parties in Santa Clara County, California (the "NEUTRAL LOCATION") and failing such resolution within thirty (30) days of the date of dispute or disagreement, then through conciliation and mediation before a qualified neutral mediator appointed by the parties jointly or failing such joint appointment, then as appointed by the American Arbitration Association.</w:t>
      </w:r>
    </w:p>
    <w:p>
      <w:pPr>
        <w:spacing w:after="0" w:line="142"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14.5 VENUE. Any controversy, disputes or claims arising out of and/or relating to this Agreement which cannot be resolved by negotiation or mediation as set forth in SECTION Y14.4 above within thirty (30) days (unless a longer period is otherwise agreed upon), shall be commenced solely in the federal or state courts sitting in the Northern District of California. Each Party irrevocably agrees to submit to the personal jurisdiction of such courts and irrevocably waives objection to such venue. In any such dispute, the parties expressly waive any right they may have to a jury trial and agree that any such dispute shall be tried solely by a judge without a jury.</w:t>
      </w:r>
    </w:p>
    <w:p>
      <w:pPr>
        <w:spacing w:after="0" w:line="144"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14.6 ASSIGNMENT. Neither party may assign any rights or obligations under this Agreement without the other party's prior written consent; any prior assignment made without the requisite consent shall be null and void. Notwithstanding the foregoing, each party shall have the right to assign this Agreement to any successor to substantially all its business or assets to which this Agreement relates, whether by merger, sale of assets, sale of stock, reorganization or otherwise, and this Agreement may be pledged by Tower for the benefit of Bank Hapoalim B.M. and Bank Leumi Le-Israel B.M. (collectively, the "Banks") to secure debt financing made available to Tower in connection with the construction of Tower's new wafer fab; provided, however, that any assignment to such banks pursuant to such pledge will be made only in connection with an assignment of substantially all of the business or assets to which this Agreement relates. Subject to the foregoing, this Agreement will be binding upon and inure to the benefit of the successors and the permitted assigns of the respective parties hereto.</w:t>
      </w:r>
    </w:p>
    <w:p>
      <w:pPr>
        <w:spacing w:after="0" w:line="148" w:lineRule="exact"/>
        <w:rPr>
          <w:sz w:val="20"/>
          <w:szCs w:val="20"/>
          <w:color w:val="auto"/>
        </w:rPr>
      </w:pPr>
    </w:p>
    <w:p>
      <w:pPr>
        <w:ind w:right="4599" w:firstLine="357"/>
        <w:spacing w:after="0" w:line="241" w:lineRule="auto"/>
        <w:rPr>
          <w:sz w:val="20"/>
          <w:szCs w:val="20"/>
          <w:color w:val="auto"/>
        </w:rPr>
      </w:pPr>
      <w:r>
        <w:rPr>
          <w:rFonts w:ascii="Courier New" w:cs="Courier New" w:eastAsia="Courier New" w:hAnsi="Courier New"/>
          <w:sz w:val="12"/>
          <w:szCs w:val="12"/>
          <w:color w:val="auto"/>
        </w:rPr>
        <w:t>14.7 INDEPENDENT CONTRACTORS. The parties are and shall remain independent contractors and nothing in this Agreement shall be interpreted as a joint venture, partnership, franchise, employment, or other form of agreement other than the development, licensing, marketing and royalty obligations agreed to by and between independent contractors as set forth in the foregoing and in any supplement or amendment.</w:t>
      </w:r>
    </w:p>
    <w:p>
      <w:pPr>
        <w:spacing w:after="0" w:line="142" w:lineRule="exact"/>
        <w:rPr>
          <w:sz w:val="20"/>
          <w:szCs w:val="20"/>
          <w:color w:val="auto"/>
        </w:rPr>
      </w:pPr>
    </w:p>
    <w:p>
      <w:pPr>
        <w:ind w:right="4539" w:firstLine="357"/>
        <w:spacing w:after="0" w:line="241" w:lineRule="auto"/>
        <w:rPr>
          <w:sz w:val="20"/>
          <w:szCs w:val="20"/>
          <w:color w:val="auto"/>
        </w:rPr>
      </w:pPr>
      <w:r>
        <w:rPr>
          <w:rFonts w:ascii="Courier New" w:cs="Courier New" w:eastAsia="Courier New" w:hAnsi="Courier New"/>
          <w:sz w:val="12"/>
          <w:szCs w:val="12"/>
          <w:color w:val="auto"/>
        </w:rPr>
        <w:t>14.8 NOTICES. All notices, payments, reports and other communications required or permitted hereunder shall be in writing and shall be emailed, mailed by first class, registered or certified mail, postage prepaid, or otherwise delivered by hand, by messenger (including express mail courier services) or by facsimile, addressed to the addresses first set forth above or at such other address furnished with a notice in manner set forth herein. Such notices shall be deemed to have been served when delivered or, if delivery is not accomplished by reason of some fault of the addressee, when tendered. Notices shall be addressed as follows:</w:t>
      </w:r>
    </w:p>
    <w:p>
      <w:pPr>
        <w:sectPr>
          <w:pgSz w:w="11900" w:h="16838" w:orient="portrait"/>
          <w:cols w:equalWidth="0" w:num="1">
            <w:col w:w="10239"/>
          </w:cols>
          <w:pgMar w:left="220" w:top="672" w:right="1440" w:bottom="1440" w:gutter="0" w:footer="0" w:header="0"/>
        </w:sectPr>
      </w:pPr>
    </w:p>
    <w:bookmarkStart w:id="151" w:name="page152"/>
    <w:bookmarkEnd w:id="151"/>
    <w:p>
      <w:pPr>
        <w:ind w:left="647"/>
        <w:spacing w:after="0"/>
        <w:rPr>
          <w:sz w:val="20"/>
          <w:szCs w:val="20"/>
          <w:color w:val="auto"/>
        </w:rPr>
      </w:pPr>
      <w:r>
        <w:rPr>
          <w:rFonts w:ascii="Courier New" w:cs="Courier New" w:eastAsia="Courier New" w:hAnsi="Courier New"/>
          <w:sz w:val="12"/>
          <w:szCs w:val="12"/>
          <w:color w:val="auto"/>
        </w:rPr>
        <w:t>If to TOWER:</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Ramat Gavriel Industrial Area</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P.O. Box 619</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Migdal Haemek, Israel, 23105</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Attn: President</w:t>
      </w:r>
    </w:p>
    <w:p>
      <w:pPr>
        <w:spacing w:after="0" w:line="139" w:lineRule="exact"/>
        <w:rPr>
          <w:sz w:val="20"/>
          <w:szCs w:val="20"/>
          <w:color w:val="auto"/>
        </w:rPr>
      </w:pPr>
    </w:p>
    <w:p>
      <w:pPr>
        <w:ind w:left="647"/>
        <w:spacing w:after="0"/>
        <w:rPr>
          <w:sz w:val="20"/>
          <w:szCs w:val="20"/>
          <w:color w:val="auto"/>
        </w:rPr>
      </w:pPr>
      <w:r>
        <w:rPr>
          <w:rFonts w:ascii="Courier New" w:cs="Courier New" w:eastAsia="Courier New" w:hAnsi="Courier New"/>
          <w:sz w:val="12"/>
          <w:szCs w:val="12"/>
          <w:color w:val="auto"/>
        </w:rPr>
        <w:t>If to Developer:</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Impinj, Inc.</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501 N. 34th Street, Suite 100,</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Seattle, Washington 98103</w:t>
      </w:r>
    </w:p>
    <w:p>
      <w:pPr>
        <w:spacing w:after="0" w:line="1" w:lineRule="exact"/>
        <w:rPr>
          <w:sz w:val="20"/>
          <w:szCs w:val="20"/>
          <w:color w:val="auto"/>
        </w:rPr>
      </w:pPr>
    </w:p>
    <w:p>
      <w:pPr>
        <w:ind w:left="1927"/>
        <w:spacing w:after="0"/>
        <w:rPr>
          <w:sz w:val="20"/>
          <w:szCs w:val="20"/>
          <w:color w:val="auto"/>
        </w:rPr>
      </w:pPr>
      <w:r>
        <w:rPr>
          <w:rFonts w:ascii="Courier New" w:cs="Courier New" w:eastAsia="Courier New" w:hAnsi="Courier New"/>
          <w:sz w:val="12"/>
          <w:szCs w:val="12"/>
          <w:color w:val="auto"/>
        </w:rPr>
        <w:t>Attn: President</w:t>
      </w:r>
    </w:p>
    <w:p>
      <w:pPr>
        <w:spacing w:after="0" w:line="141" w:lineRule="exact"/>
        <w:rPr>
          <w:sz w:val="20"/>
          <w:szCs w:val="20"/>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14.9 PARTIAL INVALIDITY. If any paragraph, provision, or clause thereof in this Agreement shall be found or be held to be invalid or unenforceable in any jurisdiction in which this Agreement is being performed, the remainder of this Agreement shall be valid and enforceable and the parties shall negotiate, in good faith, a substitute, valid and enforceable provision that most nearly reflects the parties' intent in entering into this Agreement.</w:t>
      </w:r>
    </w:p>
    <w:p>
      <w:pPr>
        <w:spacing w:after="0" w:line="279"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14.10 FORCE MAJEURE. No party will incur any liability to the other party on account of any loss or damage resulting from any delay or failure to perform all or any part of this Agreement (other than payment of money) if such delay or failure is caused, in whole or in part, by embargoes, floods, acts of civil or military authority, acts of nature, riots, acts of war, fires, floods, hurricanes and explosions, or any similar cause beyond the control of a party (each, a "FORCE MAJEURE"). The time for performance will be extended for a period equal to the duration of the delay caused by the Force Majeure, but in no event longer [***]. If, as a result of a Force Majeure, a party is unable to resume performance within such [***], the other party will have the right to terminate this Agreement.</w:t>
      </w:r>
    </w:p>
    <w:p>
      <w:pPr>
        <w:spacing w:after="0" w:line="145" w:lineRule="exact"/>
        <w:rPr>
          <w:sz w:val="20"/>
          <w:szCs w:val="20"/>
          <w:color w:val="auto"/>
        </w:rPr>
      </w:pPr>
    </w:p>
    <w:p>
      <w:pPr>
        <w:ind w:left="7" w:right="4679" w:firstLine="357"/>
        <w:spacing w:after="0" w:line="239" w:lineRule="auto"/>
        <w:rPr>
          <w:sz w:val="20"/>
          <w:szCs w:val="20"/>
          <w:color w:val="auto"/>
        </w:rPr>
      </w:pPr>
      <w:r>
        <w:rPr>
          <w:rFonts w:ascii="Courier New" w:cs="Courier New" w:eastAsia="Courier New" w:hAnsi="Courier New"/>
          <w:sz w:val="12"/>
          <w:szCs w:val="12"/>
          <w:color w:val="auto"/>
        </w:rPr>
        <w:t>14.11 PRESUMPTIONS. In construing the terms of this Agreement, no presumption shall operate in either party's favor as a result of its counsel's role in drafting the terms or provisions hereof.</w:t>
      </w:r>
    </w:p>
    <w:p>
      <w:pPr>
        <w:spacing w:after="0" w:line="143"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14.12 WAIVER. The failure of either party to enforce at any time the provisions of this Agreement, or the failure to require at any time performance by the other party of any of the provisions of this Agreement, shall in no way be construed to be a present or future waiver of such provisions, nor in any way affect the right of either party to enforce each and every such provision thereafter. The express waiver by either party of any provision, condition or requirement of this Agreement shall not constitute a waiver of any future obligation to comply with such provision, condition or requirement.</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69" w:right="1440" w:bottom="1440" w:gutter="0" w:footer="0" w:header="0"/>
        </w:sectPr>
      </w:pPr>
    </w:p>
    <w:bookmarkStart w:id="152" w:name="page153"/>
    <w:bookmarkEnd w:id="152"/>
    <w:p>
      <w:pPr>
        <w:ind w:right="4539" w:firstLine="357"/>
        <w:spacing w:after="0"/>
        <w:rPr>
          <w:sz w:val="20"/>
          <w:szCs w:val="20"/>
          <w:color w:val="auto"/>
        </w:rPr>
      </w:pPr>
      <w:r>
        <w:rPr>
          <w:rFonts w:ascii="Courier New" w:cs="Courier New" w:eastAsia="Courier New" w:hAnsi="Courier New"/>
          <w:sz w:val="12"/>
          <w:szCs w:val="12"/>
          <w:color w:val="auto"/>
        </w:rPr>
        <w:t>14.13 CUMULATIVE REMEDIES. The remedies under this Agreement shall be cumulative and not alternative and the election of one remedy for a breach shall not preclude pursuit of other remedies unless as expressly provided in this Agreement.</w:t>
      </w:r>
    </w:p>
    <w:p>
      <w:pPr>
        <w:spacing w:after="0" w:line="142" w:lineRule="exact"/>
        <w:rPr>
          <w:sz w:val="20"/>
          <w:szCs w:val="20"/>
          <w:color w:val="auto"/>
        </w:rPr>
      </w:pPr>
    </w:p>
    <w:p>
      <w:pPr>
        <w:ind w:right="4539" w:firstLine="357"/>
        <w:spacing w:after="0" w:line="238" w:lineRule="auto"/>
        <w:rPr>
          <w:sz w:val="20"/>
          <w:szCs w:val="20"/>
          <w:color w:val="auto"/>
        </w:rPr>
      </w:pPr>
      <w:r>
        <w:rPr>
          <w:rFonts w:ascii="Courier New" w:cs="Courier New" w:eastAsia="Courier New" w:hAnsi="Courier New"/>
          <w:sz w:val="12"/>
          <w:szCs w:val="12"/>
          <w:color w:val="auto"/>
        </w:rPr>
        <w:t>IN WITNESS WHEREOF, the parties have executed this Development Agreement by their duly authorized representatives.</w:t>
      </w:r>
    </w:p>
    <w:p>
      <w:pPr>
        <w:sectPr>
          <w:pgSz w:w="11900" w:h="16838" w:orient="portrait"/>
          <w:cols w:equalWidth="0" w:num="1">
            <w:col w:w="10239"/>
          </w:cols>
          <w:pgMar w:left="220" w:top="672" w:right="1440" w:bottom="1440" w:gutter="0" w:footer="0" w:header="0"/>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"DEVELOPER":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IMPINJ, INC.</w:t>
      </w:r>
    </w:p>
    <w:p>
      <w:pPr>
        <w:spacing w:after="0" w:line="150" w:lineRule="exact"/>
        <w:rPr>
          <w:sz w:val="20"/>
          <w:szCs w:val="20"/>
          <w:color w:val="auto"/>
        </w:rPr>
      </w:pPr>
    </w:p>
    <w:p>
      <w:pPr>
        <w:sectPr>
          <w:pgSz w:w="11900" w:h="16838" w:orient="portrait"/>
          <w:cols w:equalWidth="0" w:num="2">
            <w:col w:w="3260" w:space="720"/>
            <w:col w:w="6259"/>
          </w:cols>
          <w:pgMar w:left="220" w:top="672" w:right="1440" w:bottom="1440" w:gutter="0" w:footer="0" w:header="0"/>
          <w:type w:val="continuous"/>
        </w:sectPr>
      </w:pPr>
    </w:p>
    <w:p>
      <w:pPr>
        <w:ind w:left="3980"/>
        <w:spacing w:after="0"/>
        <w:rPr>
          <w:sz w:val="20"/>
          <w:szCs w:val="20"/>
          <w:color w:val="auto"/>
        </w:rPr>
      </w:pPr>
      <w:r>
        <w:rPr>
          <w:rFonts w:ascii="Courier New" w:cs="Courier New" w:eastAsia="Courier New" w:hAnsi="Courier New"/>
          <w:sz w:val="11"/>
          <w:szCs w:val="11"/>
          <w:color w:val="auto"/>
        </w:rPr>
        <w:t>By: __________________</w:t>
      </w:r>
    </w:p>
    <w:p>
      <w:pPr>
        <w:spacing w:after="0" w:line="13" w:lineRule="exact"/>
        <w:rPr>
          <w:sz w:val="20"/>
          <w:szCs w:val="20"/>
          <w:color w:val="auto"/>
        </w:rPr>
      </w:pPr>
    </w:p>
    <w:p>
      <w:pPr>
        <w:ind w:left="3980"/>
        <w:spacing w:after="0"/>
        <w:rPr>
          <w:sz w:val="20"/>
          <w:szCs w:val="20"/>
          <w:color w:val="auto"/>
        </w:rPr>
      </w:pPr>
      <w:r>
        <w:rPr>
          <w:rFonts w:ascii="Courier New" w:cs="Courier New" w:eastAsia="Courier New" w:hAnsi="Courier New"/>
          <w:sz w:val="11"/>
          <w:szCs w:val="11"/>
          <w:color w:val="auto"/>
        </w:rPr>
        <w:t>Name: ________________</w:t>
      </w:r>
    </w:p>
    <w:p>
      <w:pPr>
        <w:spacing w:after="0" w:line="13" w:lineRule="exact"/>
        <w:rPr>
          <w:sz w:val="20"/>
          <w:szCs w:val="20"/>
          <w:color w:val="auto"/>
        </w:rPr>
      </w:pPr>
    </w:p>
    <w:p>
      <w:pPr>
        <w:ind w:left="3980"/>
        <w:spacing w:after="0"/>
        <w:rPr>
          <w:sz w:val="20"/>
          <w:szCs w:val="20"/>
          <w:color w:val="auto"/>
        </w:rPr>
      </w:pPr>
      <w:r>
        <w:rPr>
          <w:rFonts w:ascii="Courier New" w:cs="Courier New" w:eastAsia="Courier New" w:hAnsi="Courier New"/>
          <w:sz w:val="11"/>
          <w:szCs w:val="11"/>
          <w:color w:val="auto"/>
        </w:rPr>
        <w:t>Title: _______________</w:t>
      </w:r>
    </w:p>
    <w:p>
      <w:pPr>
        <w:sectPr>
          <w:pgSz w:w="11900" w:h="16838" w:orient="portrait"/>
          <w:cols w:equalWidth="0" w:num="1">
            <w:col w:w="10239"/>
          </w:cols>
          <w:pgMar w:left="220" w:top="672" w:right="1440"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"TOWER":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TOWER SEMICONDUCTOR LTD.</w:t>
      </w:r>
    </w:p>
    <w:p>
      <w:pPr>
        <w:spacing w:after="0" w:line="200" w:lineRule="exact"/>
        <w:rPr>
          <w:sz w:val="20"/>
          <w:szCs w:val="20"/>
          <w:color w:val="auto"/>
        </w:rPr>
      </w:pPr>
    </w:p>
    <w:p>
      <w:pPr>
        <w:sectPr>
          <w:pgSz w:w="11900" w:h="16838" w:orient="portrait"/>
          <w:cols w:equalWidth="0" w:num="2">
            <w:col w:w="3260" w:space="720"/>
            <w:col w:w="6259"/>
          </w:cols>
          <w:pgMar w:left="220" w:top="672" w:right="1440" w:bottom="1440" w:gutter="0" w:footer="0" w:header="0"/>
          <w:type w:val="continuous"/>
        </w:sectPr>
      </w:pPr>
    </w:p>
    <w:p>
      <w:pPr>
        <w:spacing w:after="0" w:line="87" w:lineRule="exact"/>
        <w:rPr>
          <w:sz w:val="20"/>
          <w:szCs w:val="20"/>
          <w:color w:val="auto"/>
        </w:rPr>
      </w:pPr>
    </w:p>
    <w:p>
      <w:pPr>
        <w:ind w:left="3980"/>
        <w:spacing w:after="0"/>
        <w:rPr>
          <w:sz w:val="20"/>
          <w:szCs w:val="20"/>
          <w:color w:val="auto"/>
        </w:rPr>
      </w:pPr>
      <w:r>
        <w:rPr>
          <w:rFonts w:ascii="Courier New" w:cs="Courier New" w:eastAsia="Courier New" w:hAnsi="Courier New"/>
          <w:sz w:val="11"/>
          <w:szCs w:val="11"/>
          <w:color w:val="auto"/>
        </w:rPr>
        <w:t>By: __________________</w:t>
      </w:r>
    </w:p>
    <w:p>
      <w:pPr>
        <w:spacing w:after="0" w:line="13" w:lineRule="exact"/>
        <w:rPr>
          <w:sz w:val="20"/>
          <w:szCs w:val="20"/>
          <w:color w:val="auto"/>
        </w:rPr>
      </w:pPr>
    </w:p>
    <w:p>
      <w:pPr>
        <w:ind w:left="3980"/>
        <w:spacing w:after="0"/>
        <w:rPr>
          <w:sz w:val="20"/>
          <w:szCs w:val="20"/>
          <w:color w:val="auto"/>
        </w:rPr>
      </w:pPr>
      <w:r>
        <w:rPr>
          <w:rFonts w:ascii="Courier New" w:cs="Courier New" w:eastAsia="Courier New" w:hAnsi="Courier New"/>
          <w:sz w:val="11"/>
          <w:szCs w:val="11"/>
          <w:color w:val="auto"/>
        </w:rPr>
        <w:t>Name: ________________</w:t>
      </w:r>
    </w:p>
    <w:p>
      <w:pPr>
        <w:spacing w:after="0" w:line="13" w:lineRule="exact"/>
        <w:rPr>
          <w:sz w:val="20"/>
          <w:szCs w:val="20"/>
          <w:color w:val="auto"/>
        </w:rPr>
      </w:pPr>
    </w:p>
    <w:p>
      <w:pPr>
        <w:ind w:left="3980"/>
        <w:spacing w:after="0"/>
        <w:rPr>
          <w:sz w:val="20"/>
          <w:szCs w:val="20"/>
          <w:color w:val="auto"/>
        </w:rPr>
      </w:pPr>
      <w:r>
        <w:rPr>
          <w:rFonts w:ascii="Courier New" w:cs="Courier New" w:eastAsia="Courier New" w:hAnsi="Courier New"/>
          <w:sz w:val="11"/>
          <w:szCs w:val="11"/>
          <w:color w:val="auto"/>
        </w:rPr>
        <w:t>Title: _______________</w:t>
      </w:r>
    </w:p>
    <w:p>
      <w:pPr>
        <w:sectPr>
          <w:pgSz w:w="11900" w:h="16838" w:orient="portrait"/>
          <w:cols w:equalWidth="0" w:num="1">
            <w:col w:w="10239"/>
          </w:cols>
          <w:pgMar w:left="220" w:top="672" w:right="1440" w:bottom="1440" w:gutter="0" w:footer="0" w:header="0"/>
          <w:type w:val="continuous"/>
        </w:sectPr>
      </w:pPr>
    </w:p>
    <w:bookmarkStart w:id="153" w:name="page154"/>
    <w:bookmarkEnd w:id="153"/>
    <w:p>
      <w:pPr>
        <w:ind w:left="4847"/>
        <w:spacing w:after="0"/>
        <w:rPr>
          <w:sz w:val="20"/>
          <w:szCs w:val="20"/>
          <w:color w:val="auto"/>
        </w:rPr>
      </w:pPr>
      <w:r>
        <w:rPr>
          <w:rFonts w:ascii="Courier New" w:cs="Courier New" w:eastAsia="Courier New" w:hAnsi="Courier New"/>
          <w:sz w:val="11"/>
          <w:szCs w:val="11"/>
          <w:color w:val="auto"/>
        </w:rPr>
        <w:t>EXHIBIT 4.58</w:t>
      </w:r>
    </w:p>
    <w:p>
      <w:pPr>
        <w:spacing w:after="0" w:line="150" w:lineRule="exact"/>
        <w:rPr>
          <w:sz w:val="20"/>
          <w:szCs w:val="20"/>
          <w:color w:val="auto"/>
        </w:rPr>
      </w:pPr>
    </w:p>
    <w:p>
      <w:pPr>
        <w:ind w:left="7" w:right="4679"/>
        <w:spacing w:after="0" w:line="280" w:lineRule="auto"/>
        <w:rPr>
          <w:sz w:val="20"/>
          <w:szCs w:val="20"/>
          <w:color w:val="auto"/>
        </w:rPr>
      </w:pPr>
      <w:r>
        <w:rPr>
          <w:rFonts w:ascii="Courier New" w:cs="Courier New" w:eastAsia="Courier New" w:hAnsi="Courier New"/>
          <w:sz w:val="11"/>
          <w:szCs w:val="11"/>
          <w:color w:val="auto"/>
        </w:rPr>
        <w:t>CONFIDENTIAL PORTIONS OF THIS AGREEMENT HAVE BEEN OMITTED AND FILED SEPARATELY WITH THE COMMISSION PURSUANT TO A REQUEST FOR CONFIDENTIAL TREATMENT.</w:t>
      </w:r>
    </w:p>
    <w:p>
      <w:pPr>
        <w:spacing w:after="0" w:line="118" w:lineRule="exact"/>
        <w:rPr>
          <w:sz w:val="20"/>
          <w:szCs w:val="20"/>
          <w:color w:val="auto"/>
        </w:rPr>
      </w:pPr>
    </w:p>
    <w:p>
      <w:pPr>
        <w:ind w:left="1507"/>
        <w:spacing w:after="0"/>
        <w:rPr>
          <w:sz w:val="20"/>
          <w:szCs w:val="20"/>
          <w:color w:val="auto"/>
        </w:rPr>
      </w:pPr>
      <w:r>
        <w:rPr>
          <w:rFonts w:ascii="Courier New" w:cs="Courier New" w:eastAsia="Courier New" w:hAnsi="Courier New"/>
          <w:sz w:val="12"/>
          <w:szCs w:val="12"/>
          <w:color w:val="auto"/>
        </w:rPr>
        <w:t>LICENSE AND DESIGN AGREEMENT 92-2C/2002</w:t>
      </w:r>
    </w:p>
    <w:p>
      <w:pPr>
        <w:spacing w:after="0" w:line="141" w:lineRule="exact"/>
        <w:rPr>
          <w:sz w:val="20"/>
          <w:szCs w:val="20"/>
          <w:color w:val="auto"/>
        </w:rPr>
      </w:pPr>
    </w:p>
    <w:p>
      <w:pPr>
        <w:ind w:left="7" w:right="4599"/>
        <w:spacing w:after="0"/>
        <w:rPr>
          <w:sz w:val="20"/>
          <w:szCs w:val="20"/>
          <w:color w:val="auto"/>
        </w:rPr>
      </w:pPr>
      <w:r>
        <w:rPr>
          <w:rFonts w:ascii="Courier New" w:cs="Courier New" w:eastAsia="Courier New" w:hAnsi="Courier New"/>
          <w:sz w:val="12"/>
          <w:szCs w:val="12"/>
          <w:color w:val="auto"/>
        </w:rPr>
        <w:t>This Design Agreement (this "Agreement") is made and entered into as of 10 January 2003 (the "Effective Date") by and between Tower Semiconductor Limited, an Israeli Company ("Tower"), and Chipidea Microelectronics S.A., a Portuguese corporation ("Chipidea").</w:t>
      </w:r>
    </w:p>
    <w:p>
      <w:pPr>
        <w:spacing w:after="0" w:line="142" w:lineRule="exact"/>
        <w:rPr>
          <w:sz w:val="20"/>
          <w:szCs w:val="20"/>
          <w:color w:val="auto"/>
        </w:rPr>
      </w:pPr>
    </w:p>
    <w:p>
      <w:pPr>
        <w:ind w:left="7" w:right="4539"/>
        <w:spacing w:after="0" w:line="238" w:lineRule="auto"/>
        <w:rPr>
          <w:sz w:val="20"/>
          <w:szCs w:val="20"/>
          <w:color w:val="auto"/>
        </w:rPr>
      </w:pPr>
      <w:r>
        <w:rPr>
          <w:rFonts w:ascii="Courier New" w:cs="Courier New" w:eastAsia="Courier New" w:hAnsi="Courier New"/>
          <w:sz w:val="12"/>
          <w:szCs w:val="12"/>
          <w:color w:val="auto"/>
        </w:rPr>
        <w:t>This License Agreement concerns the design and licensing of various IP Blocks of Chipidea to Tower and Tower Customers.</w:t>
      </w:r>
    </w:p>
    <w:p>
      <w:pPr>
        <w:spacing w:after="0" w:line="139" w:lineRule="exact"/>
        <w:rPr>
          <w:sz w:val="20"/>
          <w:szCs w:val="20"/>
          <w:color w:val="auto"/>
        </w:rPr>
      </w:pPr>
    </w:p>
    <w:p>
      <w:pPr>
        <w:ind w:left="2567"/>
        <w:spacing w:after="0"/>
        <w:rPr>
          <w:sz w:val="20"/>
          <w:szCs w:val="20"/>
          <w:color w:val="auto"/>
        </w:rPr>
      </w:pPr>
      <w:r>
        <w:rPr>
          <w:rFonts w:ascii="Courier New" w:cs="Courier New" w:eastAsia="Courier New" w:hAnsi="Courier New"/>
          <w:sz w:val="12"/>
          <w:szCs w:val="12"/>
          <w:color w:val="auto"/>
        </w:rPr>
        <w:t>RECITALS</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WHEREAS, Tower is a silicon wafer foundry providing integrated circuits</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manufacturing services for its customers;</w:t>
      </w:r>
    </w:p>
    <w:p>
      <w:pPr>
        <w:spacing w:after="0" w:line="141" w:lineRule="exact"/>
        <w:rPr>
          <w:sz w:val="20"/>
          <w:szCs w:val="20"/>
          <w:color w:val="auto"/>
        </w:rPr>
      </w:pPr>
    </w:p>
    <w:p>
      <w:pPr>
        <w:ind w:left="7" w:right="4679"/>
        <w:spacing w:after="0" w:line="239" w:lineRule="auto"/>
        <w:rPr>
          <w:sz w:val="20"/>
          <w:szCs w:val="20"/>
          <w:color w:val="auto"/>
        </w:rPr>
      </w:pPr>
      <w:r>
        <w:rPr>
          <w:rFonts w:ascii="Courier New" w:cs="Courier New" w:eastAsia="Courier New" w:hAnsi="Courier New"/>
          <w:sz w:val="12"/>
          <w:szCs w:val="12"/>
          <w:color w:val="auto"/>
        </w:rPr>
        <w:t>WHEREAS, Chipidea is in the business of designing, developing and selling various types of mixed-signal blocks for integrated circuits as those designed by Tower Customers; and</w:t>
      </w:r>
    </w:p>
    <w:p>
      <w:pPr>
        <w:spacing w:after="0" w:line="143" w:lineRule="exact"/>
        <w:rPr>
          <w:sz w:val="20"/>
          <w:szCs w:val="20"/>
          <w:color w:val="auto"/>
        </w:rPr>
      </w:pPr>
    </w:p>
    <w:p>
      <w:pPr>
        <w:ind w:left="7" w:right="4539"/>
        <w:spacing w:after="0" w:line="269" w:lineRule="auto"/>
        <w:rPr>
          <w:sz w:val="20"/>
          <w:szCs w:val="20"/>
          <w:color w:val="auto"/>
        </w:rPr>
      </w:pPr>
      <w:r>
        <w:rPr>
          <w:rFonts w:ascii="Courier New" w:cs="Courier New" w:eastAsia="Courier New" w:hAnsi="Courier New"/>
          <w:sz w:val="11"/>
          <w:szCs w:val="11"/>
          <w:color w:val="auto"/>
        </w:rPr>
        <w:t>WHEREAS, in order for Tower Customer products incorporating the Chipidea IP Blocks to be manufactured by Tower, the Chipidea IP Blocks must be customized for use with Tower's manufacturing processes, and Tower wishes to have Chipidea undertake such customization, working at its facilities in Lisbon, Portugal; and</w:t>
      </w:r>
    </w:p>
    <w:p>
      <w:pPr>
        <w:spacing w:after="0" w:line="127" w:lineRule="exact"/>
        <w:rPr>
          <w:sz w:val="20"/>
          <w:szCs w:val="20"/>
          <w:color w:val="auto"/>
        </w:rPr>
      </w:pPr>
    </w:p>
    <w:p>
      <w:pPr>
        <w:ind w:left="7" w:right="4599"/>
        <w:spacing w:after="0" w:line="239" w:lineRule="auto"/>
        <w:rPr>
          <w:sz w:val="20"/>
          <w:szCs w:val="20"/>
          <w:color w:val="auto"/>
        </w:rPr>
      </w:pPr>
      <w:r>
        <w:rPr>
          <w:rFonts w:ascii="Courier New" w:cs="Courier New" w:eastAsia="Courier New" w:hAnsi="Courier New"/>
          <w:sz w:val="12"/>
          <w:szCs w:val="12"/>
          <w:color w:val="auto"/>
        </w:rPr>
        <w:t>WHEREAS, in consideration of the customization work of the IP Blocks performed by Chipidea hereunder to enable use of such IP Blocks by Tower Customers, Tower agrees to pay the service fees set forth herein.</w:t>
      </w:r>
    </w:p>
    <w:p>
      <w:pPr>
        <w:spacing w:after="0" w:line="140" w:lineRule="exact"/>
        <w:rPr>
          <w:sz w:val="20"/>
          <w:szCs w:val="20"/>
          <w:color w:val="auto"/>
        </w:rPr>
      </w:pPr>
    </w:p>
    <w:p>
      <w:pPr>
        <w:jc w:val="center"/>
        <w:ind w:right="4472"/>
        <w:spacing w:after="0"/>
        <w:rPr>
          <w:sz w:val="20"/>
          <w:szCs w:val="20"/>
          <w:color w:val="auto"/>
        </w:rPr>
      </w:pPr>
      <w:r>
        <w:rPr>
          <w:rFonts w:ascii="Courier New" w:cs="Courier New" w:eastAsia="Courier New" w:hAnsi="Courier New"/>
          <w:sz w:val="12"/>
          <w:szCs w:val="12"/>
          <w:color w:val="auto"/>
        </w:rPr>
        <w:t>AGREEMENT</w:t>
      </w:r>
    </w:p>
    <w:p>
      <w:pPr>
        <w:spacing w:after="0" w:line="141" w:lineRule="exact"/>
        <w:rPr>
          <w:sz w:val="20"/>
          <w:szCs w:val="20"/>
          <w:color w:val="auto"/>
        </w:rPr>
      </w:pPr>
    </w:p>
    <w:p>
      <w:pPr>
        <w:ind w:left="7" w:right="4679"/>
        <w:spacing w:after="0" w:line="238" w:lineRule="auto"/>
        <w:rPr>
          <w:sz w:val="20"/>
          <w:szCs w:val="20"/>
          <w:color w:val="auto"/>
        </w:rPr>
      </w:pPr>
      <w:r>
        <w:rPr>
          <w:rFonts w:ascii="Courier New" w:cs="Courier New" w:eastAsia="Courier New" w:hAnsi="Courier New"/>
          <w:sz w:val="12"/>
          <w:szCs w:val="12"/>
          <w:color w:val="auto"/>
        </w:rPr>
        <w:t>IN CONSIDERATION THEREOF AND THE MUTUAL PROMISES CONTAINED HEREIN, THE PARTIES HERETO AGREE AS FOLLOWS:</w:t>
      </w:r>
    </w:p>
    <w:p>
      <w:pPr>
        <w:spacing w:after="0" w:line="139" w:lineRule="exact"/>
        <w:rPr>
          <w:sz w:val="20"/>
          <w:szCs w:val="20"/>
          <w:color w:val="auto"/>
        </w:rPr>
      </w:pPr>
    </w:p>
    <w:p>
      <w:pPr>
        <w:ind w:left="367" w:hanging="367"/>
        <w:spacing w:after="0"/>
        <w:tabs>
          <w:tab w:leader="none" w:pos="367" w:val="left"/>
        </w:tabs>
        <w:numPr>
          <w:ilvl w:val="0"/>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DEFINITIONS</w:t>
      </w:r>
    </w:p>
    <w:p>
      <w:pPr>
        <w:spacing w:after="0" w:line="141" w:lineRule="exact"/>
        <w:rPr>
          <w:rFonts w:ascii="Courier New" w:cs="Courier New" w:eastAsia="Courier New" w:hAnsi="Courier New"/>
          <w:sz w:val="12"/>
          <w:szCs w:val="12"/>
          <w:color w:val="auto"/>
        </w:rPr>
      </w:pPr>
    </w:p>
    <w:p>
      <w:pPr>
        <w:ind w:left="707" w:right="4679" w:hanging="350"/>
        <w:spacing w:after="0" w:line="238" w:lineRule="auto"/>
        <w:tabs>
          <w:tab w:leader="none" w:pos="707" w:val="left"/>
        </w:tabs>
        <w:numPr>
          <w:ilvl w:val="1"/>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DELIVERABLES means with respect to each IP Block the items listed in Exhibit A</w:t>
      </w:r>
    </w:p>
    <w:p>
      <w:pPr>
        <w:spacing w:after="0" w:line="142" w:lineRule="exact"/>
        <w:rPr>
          <w:rFonts w:ascii="Courier New" w:cs="Courier New" w:eastAsia="Courier New" w:hAnsi="Courier New"/>
          <w:sz w:val="12"/>
          <w:szCs w:val="12"/>
          <w:color w:val="auto"/>
        </w:rPr>
      </w:pPr>
    </w:p>
    <w:p>
      <w:pPr>
        <w:ind w:left="707" w:right="4599" w:hanging="350"/>
        <w:spacing w:after="0" w:line="268" w:lineRule="auto"/>
        <w:tabs>
          <w:tab w:leader="none" w:pos="707" w:val="left"/>
        </w:tabs>
        <w:numPr>
          <w:ilvl w:val="1"/>
          <w:numId w:val="2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INTELLECTUAL PROPERTY RIGHTS means any patents, patent rights, trade marks, service marks, registered designs, topography or semiconductor maskwork rights, applications for any of the foregoing, copyright, know-how, unregistered design right, trade secrets and know-how, and any other similar protected rights in any country.</w:t>
      </w:r>
    </w:p>
    <w:p>
      <w:pPr>
        <w:spacing w:after="0" w:line="127" w:lineRule="exact"/>
        <w:rPr>
          <w:rFonts w:ascii="Courier New" w:cs="Courier New" w:eastAsia="Courier New" w:hAnsi="Courier New"/>
          <w:sz w:val="11"/>
          <w:szCs w:val="11"/>
          <w:color w:val="auto"/>
        </w:rPr>
      </w:pPr>
    </w:p>
    <w:p>
      <w:pPr>
        <w:ind w:left="707" w:right="4899" w:hanging="350"/>
        <w:spacing w:after="0" w:line="238" w:lineRule="auto"/>
        <w:tabs>
          <w:tab w:leader="none" w:pos="707" w:val="left"/>
        </w:tabs>
        <w:numPr>
          <w:ilvl w:val="1"/>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IP BLOCK means any block designed/modified/ported by Chipidea per Tower requirement</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72" w:lineRule="exact"/>
        <w:rPr>
          <w:rFonts w:ascii="Courier New" w:cs="Courier New" w:eastAsia="Courier New" w:hAnsi="Courier New"/>
          <w:sz w:val="12"/>
          <w:szCs w:val="12"/>
          <w:color w:val="auto"/>
        </w:rPr>
      </w:pPr>
    </w:p>
    <w:p>
      <w:pPr>
        <w:jc w:val="both"/>
        <w:ind w:left="707" w:right="4539" w:hanging="350"/>
        <w:spacing w:after="0" w:line="239" w:lineRule="auto"/>
        <w:tabs>
          <w:tab w:leader="none" w:pos="707" w:val="left"/>
        </w:tabs>
        <w:numPr>
          <w:ilvl w:val="1"/>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SPECIFICATION means the specification of each IP Block as described in Exhibit B and as may be further agreed, added or amended in writing by the parties.</w:t>
      </w:r>
    </w:p>
    <w:p>
      <w:pPr>
        <w:spacing w:after="0" w:line="142" w:lineRule="exact"/>
        <w:rPr>
          <w:rFonts w:ascii="Courier New" w:cs="Courier New" w:eastAsia="Courier New" w:hAnsi="Courier New"/>
          <w:sz w:val="12"/>
          <w:szCs w:val="12"/>
          <w:color w:val="auto"/>
        </w:rPr>
      </w:pPr>
    </w:p>
    <w:p>
      <w:pPr>
        <w:ind w:left="707" w:right="4759" w:hanging="350"/>
        <w:spacing w:after="0" w:line="239" w:lineRule="auto"/>
        <w:tabs>
          <w:tab w:leader="none" w:pos="707" w:val="left"/>
        </w:tabs>
        <w:numPr>
          <w:ilvl w:val="1"/>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TEST CHIP means a design structure database containing the IP Block that can be manufactured at Tower fabrication facility and enable characterization and validation of the IP Block.</w:t>
      </w:r>
    </w:p>
    <w:p>
      <w:pPr>
        <w:spacing w:after="0" w:line="142" w:lineRule="exact"/>
        <w:rPr>
          <w:rFonts w:ascii="Courier New" w:cs="Courier New" w:eastAsia="Courier New" w:hAnsi="Courier New"/>
          <w:sz w:val="12"/>
          <w:szCs w:val="12"/>
          <w:color w:val="auto"/>
        </w:rPr>
      </w:pPr>
    </w:p>
    <w:p>
      <w:pPr>
        <w:ind w:left="707" w:right="4759" w:hanging="350"/>
        <w:spacing w:after="0" w:line="238" w:lineRule="auto"/>
        <w:tabs>
          <w:tab w:leader="none" w:pos="707" w:val="left"/>
        </w:tabs>
        <w:numPr>
          <w:ilvl w:val="1"/>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CUSTOMER means a customer or potential customer of Tower that desires to use an IP Block designed by Chipidea.</w:t>
      </w:r>
    </w:p>
    <w:p>
      <w:pPr>
        <w:spacing w:after="0" w:line="142" w:lineRule="exact"/>
        <w:rPr>
          <w:rFonts w:ascii="Courier New" w:cs="Courier New" w:eastAsia="Courier New" w:hAnsi="Courier New"/>
          <w:sz w:val="12"/>
          <w:szCs w:val="12"/>
          <w:color w:val="auto"/>
        </w:rPr>
      </w:pPr>
    </w:p>
    <w:p>
      <w:pPr>
        <w:ind w:left="707" w:right="4679" w:hanging="350"/>
        <w:spacing w:after="0" w:line="238" w:lineRule="auto"/>
        <w:tabs>
          <w:tab w:leader="none" w:pos="707" w:val="left"/>
        </w:tabs>
        <w:numPr>
          <w:ilvl w:val="1"/>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DESIGN KIT means the items listed in Exhibit G as delivered by Tower and further revised by Tower.</w:t>
      </w:r>
    </w:p>
    <w:p>
      <w:pPr>
        <w:spacing w:after="0" w:line="139"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PROCESS(ES) means the Tower [***] and [***], [***], [***] to</w:t>
      </w:r>
    </w:p>
    <w:p>
      <w:pPr>
        <w:spacing w:after="0" w:line="1" w:lineRule="exact"/>
        <w:rPr>
          <w:rFonts w:ascii="Courier New" w:cs="Courier New" w:eastAsia="Courier New" w:hAnsi="Courier New"/>
          <w:sz w:val="12"/>
          <w:szCs w:val="12"/>
          <w:color w:val="auto"/>
        </w:rPr>
      </w:pPr>
    </w:p>
    <w:p>
      <w:pPr>
        <w:ind w:left="1147" w:hanging="433"/>
        <w:spacing w:after="0"/>
        <w:tabs>
          <w:tab w:leader="none" w:pos="1147" w:val="left"/>
        </w:tabs>
        <w:numPr>
          <w:ilvl w:val="2"/>
          <w:numId w:val="2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metal layers [***] process technology [***]and [***]</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o.13-micron, [***] layer, [***] to [***] metal layers [***] process</w:t>
      </w:r>
    </w:p>
    <w:p>
      <w:pPr>
        <w:spacing w:after="0" w:line="4"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technology and any additional process the parties agree on in writing.</w:t>
      </w:r>
    </w:p>
    <w:p>
      <w:pPr>
        <w:spacing w:after="0" w:line="150" w:lineRule="exact"/>
        <w:rPr>
          <w:sz w:val="20"/>
          <w:szCs w:val="20"/>
          <w:color w:val="auto"/>
        </w:rPr>
      </w:pPr>
    </w:p>
    <w:p>
      <w:pPr>
        <w:jc w:val="right"/>
        <w:ind w:left="707" w:right="6679" w:hanging="707"/>
        <w:spacing w:after="0" w:line="528" w:lineRule="auto"/>
        <w:tabs>
          <w:tab w:leader="none" w:pos="350" w:val="left"/>
        </w:tabs>
        <w:numPr>
          <w:ilvl w:val="0"/>
          <w:numId w:val="2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STATEMENT OF WORK, SCHEDULE, AND DELIVERABLES For each IP Block developed by Chipidea:</w:t>
      </w:r>
    </w:p>
    <w:p>
      <w:pPr>
        <w:ind w:left="707" w:right="4539" w:hanging="350"/>
        <w:spacing w:after="0" w:line="241" w:lineRule="auto"/>
        <w:tabs>
          <w:tab w:leader="none" w:pos="707" w:val="left"/>
        </w:tabs>
        <w:numPr>
          <w:ilvl w:val="1"/>
          <w:numId w:val="2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shall use its best efforts to perform the tasks required to generate and deliver to Tower the items listed in Exhibit A with respect to such IP Block incorporated by reference and attached hereto ("Deliverables") and including the responsibilities specified in section 12(c) below.</w:t>
      </w:r>
    </w:p>
    <w:p>
      <w:pPr>
        <w:spacing w:after="0" w:line="140" w:lineRule="exact"/>
        <w:rPr>
          <w:rFonts w:ascii="Courier New" w:cs="Courier New" w:eastAsia="Courier New" w:hAnsi="Courier New"/>
          <w:sz w:val="12"/>
          <w:szCs w:val="12"/>
          <w:color w:val="auto"/>
        </w:rPr>
      </w:pPr>
    </w:p>
    <w:p>
      <w:pPr>
        <w:ind w:left="707" w:right="4679" w:hanging="350"/>
        <w:spacing w:after="0" w:line="269" w:lineRule="auto"/>
        <w:tabs>
          <w:tab w:leader="none" w:pos="707" w:val="left"/>
        </w:tabs>
        <w:numPr>
          <w:ilvl w:val="1"/>
          <w:numId w:val="2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Chipidea shall use its best efforts to ensure that the IP Block and its Deliverables will meet its Specification and complete the tasks and provide the Deliverables according to the schedule of milestones listed on Exhibit C incorporated by reference and attached hereto.</w:t>
      </w:r>
    </w:p>
    <w:p>
      <w:pPr>
        <w:spacing w:after="0" w:line="127" w:lineRule="exact"/>
        <w:rPr>
          <w:rFonts w:ascii="Courier New" w:cs="Courier New" w:eastAsia="Courier New" w:hAnsi="Courier New"/>
          <w:sz w:val="11"/>
          <w:szCs w:val="11"/>
          <w:color w:val="auto"/>
        </w:rPr>
      </w:pPr>
    </w:p>
    <w:p>
      <w:pPr>
        <w:ind w:left="707" w:right="4759" w:hanging="350"/>
        <w:spacing w:after="0"/>
        <w:tabs>
          <w:tab w:leader="none" w:pos="707" w:val="left"/>
        </w:tabs>
        <w:numPr>
          <w:ilvl w:val="1"/>
          <w:numId w:val="2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shall use its best efforts to design, package, test and characterize the Test Chip to ensure the IP Block performance. Test and characterization shall be performed across all the conditions specified in the Specifications.</w:t>
      </w:r>
    </w:p>
    <w:p>
      <w:pPr>
        <w:spacing w:after="0" w:line="142" w:lineRule="exact"/>
        <w:rPr>
          <w:rFonts w:ascii="Courier New" w:cs="Courier New" w:eastAsia="Courier New" w:hAnsi="Courier New"/>
          <w:sz w:val="12"/>
          <w:szCs w:val="12"/>
          <w:color w:val="auto"/>
        </w:rPr>
      </w:pPr>
    </w:p>
    <w:p>
      <w:pPr>
        <w:jc w:val="both"/>
        <w:ind w:left="707" w:right="4599" w:hanging="350"/>
        <w:spacing w:after="0" w:line="280" w:lineRule="auto"/>
        <w:tabs>
          <w:tab w:leader="none" w:pos="707" w:val="left"/>
        </w:tabs>
        <w:numPr>
          <w:ilvl w:val="1"/>
          <w:numId w:val="2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Exhibits B, C and D shall be separately prepared and agreed to by the parties and shall be incorporated and be made part of this Agreement.</w:t>
      </w:r>
    </w:p>
    <w:p>
      <w:pPr>
        <w:spacing w:after="0" w:line="118" w:lineRule="exact"/>
        <w:rPr>
          <w:rFonts w:ascii="Courier New" w:cs="Courier New" w:eastAsia="Courier New" w:hAnsi="Courier New"/>
          <w:sz w:val="11"/>
          <w:szCs w:val="11"/>
          <w:color w:val="auto"/>
        </w:rPr>
      </w:pPr>
    </w:p>
    <w:p>
      <w:pPr>
        <w:ind w:left="707" w:hanging="350"/>
        <w:spacing w:after="0"/>
        <w:tabs>
          <w:tab w:leader="none" w:pos="707" w:val="left"/>
        </w:tabs>
        <w:numPr>
          <w:ilvl w:val="1"/>
          <w:numId w:val="2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each IP block Chipidea and Tower will hold the following reviews:</w:t>
      </w:r>
    </w:p>
    <w:p>
      <w:pPr>
        <w:spacing w:after="0" w:line="141"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2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Kickoff Review to discuss and agree on the Initial Specifications</w:t>
      </w:r>
    </w:p>
    <w:p>
      <w:pPr>
        <w:spacing w:after="0" w:line="149" w:lineRule="exact"/>
        <w:rPr>
          <w:rFonts w:ascii="Courier New" w:cs="Courier New" w:eastAsia="Courier New" w:hAnsi="Courier New"/>
          <w:sz w:val="11"/>
          <w:szCs w:val="11"/>
          <w:color w:val="auto"/>
        </w:rPr>
      </w:pPr>
    </w:p>
    <w:p>
      <w:pPr>
        <w:ind w:left="1067" w:right="5099" w:hanging="353"/>
        <w:spacing w:after="0" w:line="238" w:lineRule="auto"/>
        <w:tabs>
          <w:tab w:leader="none" w:pos="1067" w:val="left"/>
        </w:tabs>
        <w:numPr>
          <w:ilvl w:val="2"/>
          <w:numId w:val="2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Concept Review to discuss and agree on the Specifications signoff, including:</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279" w:right="1440" w:bottom="1039" w:gutter="0" w:footer="0" w:header="0"/>
        </w:sectPr>
      </w:pPr>
    </w:p>
    <w:bookmarkStart w:id="154" w:name="page155"/>
    <w:bookmarkEnd w:id="154"/>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 Concept Review</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Architecture Review</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Verification Strategy - [***]</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Test Strategy and Test-Chip Architecture</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Others</w:t>
      </w:r>
    </w:p>
    <w:p>
      <w:pPr>
        <w:spacing w:after="0" w:line="138"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 Review 1 including:</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 Entry review - [***]</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Simulation Results review</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Test Modes</w:t>
      </w:r>
    </w:p>
    <w:p>
      <w:pPr>
        <w:spacing w:after="0" w:line="138"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 Review 2 including:</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Final design entry and layout review</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Physical Verification review</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Simulation Results review</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Test Chip final Specifications</w:t>
      </w:r>
    </w:p>
    <w:p>
      <w:pPr>
        <w:spacing w:after="0" w:line="138" w:lineRule="exact"/>
        <w:rPr>
          <w:rFonts w:ascii="Courier New" w:cs="Courier New" w:eastAsia="Courier New" w:hAnsi="Courier New"/>
          <w:sz w:val="12"/>
          <w:szCs w:val="12"/>
          <w:color w:val="auto"/>
        </w:rPr>
      </w:pPr>
    </w:p>
    <w:p>
      <w:pPr>
        <w:ind w:left="1427" w:hanging="356"/>
        <w:spacing w:after="0"/>
        <w:tabs>
          <w:tab w:leader="none" w:pos="1427" w:val="left"/>
        </w:tabs>
        <w:numPr>
          <w:ilvl w:val="3"/>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Others</w:t>
      </w:r>
    </w:p>
    <w:p>
      <w:pPr>
        <w:spacing w:after="0" w:line="138"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Test Chip Design Review</w:t>
      </w:r>
    </w:p>
    <w:p>
      <w:pPr>
        <w:spacing w:after="0" w:line="138"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Post [***] Review</w:t>
      </w:r>
    </w:p>
    <w:p>
      <w:pPr>
        <w:spacing w:after="0" w:line="138"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2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IP Block Package Qualification Review</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AND OWNERSHIP OF THE DELIVERABLES</w:t>
      </w:r>
    </w:p>
    <w:p>
      <w:pPr>
        <w:spacing w:after="0" w:line="141" w:lineRule="exact"/>
        <w:rPr>
          <w:rFonts w:ascii="Courier New" w:cs="Courier New" w:eastAsia="Courier New" w:hAnsi="Courier New"/>
          <w:sz w:val="12"/>
          <w:szCs w:val="12"/>
          <w:color w:val="auto"/>
        </w:rPr>
      </w:pPr>
    </w:p>
    <w:p>
      <w:pPr>
        <w:ind w:left="367" w:right="453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Tower shall own all Intellectual Property Rights in the Tower Design Kit as described in Exhibit F.</w:t>
      </w:r>
    </w:p>
    <w:p>
      <w:pPr>
        <w:spacing w:after="0" w:line="142" w:lineRule="exact"/>
        <w:rPr>
          <w:rFonts w:ascii="Courier New" w:cs="Courier New" w:eastAsia="Courier New" w:hAnsi="Courier New"/>
          <w:sz w:val="12"/>
          <w:szCs w:val="12"/>
          <w:color w:val="auto"/>
        </w:rPr>
      </w:pPr>
    </w:p>
    <w:p>
      <w:pPr>
        <w:ind w:left="367" w:right="475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shall own all Intellectual Property Rights in the IP Blocks and respective Deliverables, [***] provided by Chipidea as part of the Deliverables, as described in Exhibits A.</w:t>
      </w:r>
    </w:p>
    <w:p>
      <w:pPr>
        <w:spacing w:after="0" w:line="142" w:lineRule="exact"/>
        <w:rPr>
          <w:rFonts w:ascii="Courier New" w:cs="Courier New" w:eastAsia="Courier New" w:hAnsi="Courier New"/>
          <w:sz w:val="12"/>
          <w:szCs w:val="12"/>
          <w:color w:val="auto"/>
        </w:rPr>
      </w:pPr>
    </w:p>
    <w:p>
      <w:pPr>
        <w:ind w:left="367" w:right="459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Chipidea's Deliverables for each IP Block shall consist of the following analog cells and associated digital functions and their relevant technical documentation:</w:t>
      </w:r>
    </w:p>
    <w:p>
      <w:pPr>
        <w:spacing w:after="0" w:line="142" w:lineRule="exact"/>
        <w:rPr>
          <w:rFonts w:ascii="Courier New" w:cs="Courier New" w:eastAsia="Courier New" w:hAnsi="Courier New"/>
          <w:sz w:val="12"/>
          <w:szCs w:val="12"/>
          <w:color w:val="auto"/>
        </w:rPr>
      </w:pPr>
    </w:p>
    <w:p>
      <w:pPr>
        <w:ind w:left="707" w:right="4539" w:hanging="350"/>
        <w:spacing w:after="0" w:line="239" w:lineRule="auto"/>
        <w:tabs>
          <w:tab w:leader="none" w:pos="707" w:val="left"/>
        </w:tabs>
        <w:numPr>
          <w:ilvl w:val="1"/>
          <w:numId w:val="2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 blocks supplied by Chipidea for embedded use in the mixed-signal semiconductor products of Tower's customers, as described by the Specification.</w:t>
      </w:r>
    </w:p>
    <w:p>
      <w:pPr>
        <w:spacing w:after="0" w:line="142" w:lineRule="exact"/>
        <w:rPr>
          <w:rFonts w:ascii="Courier New" w:cs="Courier New" w:eastAsia="Courier New" w:hAnsi="Courier New"/>
          <w:sz w:val="12"/>
          <w:szCs w:val="12"/>
          <w:color w:val="auto"/>
        </w:rPr>
      </w:pPr>
    </w:p>
    <w:p>
      <w:pPr>
        <w:ind w:left="707" w:right="4599" w:hanging="350"/>
        <w:spacing w:after="0" w:line="238" w:lineRule="auto"/>
        <w:tabs>
          <w:tab w:leader="none" w:pos="707" w:val="left"/>
        </w:tabs>
        <w:numPr>
          <w:ilvl w:val="1"/>
          <w:numId w:val="2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 blocks supplied by Chipidea that contain a digital part and an analog part.</w:t>
      </w:r>
    </w:p>
    <w:p>
      <w:pPr>
        <w:spacing w:after="0" w:line="139"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2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rFonts w:ascii="Courier New" w:cs="Courier New" w:eastAsia="Courier New" w:hAnsi="Courier New"/>
          <w:sz w:val="12"/>
          <w:szCs w:val="12"/>
          <w:color w:val="auto"/>
        </w:rPr>
      </w:pPr>
    </w:p>
    <w:p>
      <w:pPr>
        <w:ind w:left="707" w:right="5099" w:hanging="350"/>
        <w:spacing w:after="0" w:line="238" w:lineRule="auto"/>
        <w:tabs>
          <w:tab w:leader="none" w:pos="707" w:val="left"/>
        </w:tabs>
        <w:numPr>
          <w:ilvl w:val="1"/>
          <w:numId w:val="2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considers [***] to constitute Chipidea's Intellectual Property, whether provided separately or not.</w:t>
      </w:r>
    </w:p>
    <w:p>
      <w:pPr>
        <w:spacing w:after="0" w:line="142" w:lineRule="exact"/>
        <w:rPr>
          <w:rFonts w:ascii="Courier New" w:cs="Courier New" w:eastAsia="Courier New" w:hAnsi="Courier New"/>
          <w:sz w:val="12"/>
          <w:szCs w:val="12"/>
          <w:color w:val="auto"/>
        </w:rPr>
      </w:pPr>
    </w:p>
    <w:p>
      <w:pPr>
        <w:ind w:left="707" w:right="5179" w:hanging="350"/>
        <w:spacing w:after="0" w:line="238" w:lineRule="auto"/>
        <w:tabs>
          <w:tab w:leader="none" w:pos="707" w:val="left"/>
        </w:tabs>
        <w:numPr>
          <w:ilvl w:val="1"/>
          <w:numId w:val="2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analog part is a data base for integration containing the following 3 main levels of hierarchy:</w:t>
      </w:r>
    </w:p>
    <w:p>
      <w:pPr>
        <w:spacing w:after="0" w:line="142" w:lineRule="exact"/>
        <w:rPr>
          <w:rFonts w:ascii="Courier New" w:cs="Courier New" w:eastAsia="Courier New" w:hAnsi="Courier New"/>
          <w:sz w:val="12"/>
          <w:szCs w:val="12"/>
          <w:color w:val="auto"/>
        </w:rPr>
      </w:pPr>
    </w:p>
    <w:p>
      <w:pPr>
        <w:ind w:left="1067" w:right="4899" w:hanging="353"/>
        <w:spacing w:after="0" w:line="272" w:lineRule="auto"/>
        <w:tabs>
          <w:tab w:leader="none" w:pos="1067" w:val="left"/>
        </w:tabs>
        <w:numPr>
          <w:ilvl w:val="2"/>
          <w:numId w:val="2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Macro Block - corresponds to a multi-function architecture defined to take into account the required performance, area, power dissipation and target technology for integration.</w:t>
      </w:r>
    </w:p>
    <w:p>
      <w:pPr>
        <w:spacing w:after="0" w:line="122"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806" w:right="1440" w:bottom="1440" w:gutter="0" w:footer="0" w:header="0"/>
        </w:sectPr>
      </w:pPr>
    </w:p>
    <w:bookmarkStart w:id="155" w:name="page156"/>
    <w:bookmarkEnd w:id="155"/>
    <w:p>
      <w:pPr>
        <w:jc w:val="both"/>
        <w:ind w:left="1067" w:right="4599" w:hanging="353"/>
        <w:spacing w:after="0" w:line="239" w:lineRule="auto"/>
        <w:tabs>
          <w:tab w:leader="none" w:pos="1067" w:val="left"/>
        </w:tabs>
        <w:numPr>
          <w:ilvl w:val="2"/>
          <w:numId w:val="2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Functional Block - corresponds to the architecture of a specific function (e.g. [***]) that is required for the implementation of said macro block.</w:t>
      </w:r>
    </w:p>
    <w:p>
      <w:pPr>
        <w:spacing w:after="0" w:line="142" w:lineRule="exact"/>
        <w:rPr>
          <w:rFonts w:ascii="Courier New" w:cs="Courier New" w:eastAsia="Courier New" w:hAnsi="Courier New"/>
          <w:sz w:val="12"/>
          <w:szCs w:val="12"/>
          <w:color w:val="auto"/>
        </w:rPr>
      </w:pPr>
    </w:p>
    <w:p>
      <w:pPr>
        <w:ind w:left="1067" w:right="4539" w:hanging="353"/>
        <w:spacing w:after="0" w:line="239" w:lineRule="auto"/>
        <w:tabs>
          <w:tab w:leader="none" w:pos="1067" w:val="left"/>
        </w:tabs>
        <w:numPr>
          <w:ilvl w:val="2"/>
          <w:numId w:val="2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Component Cell - corresponds to the architecture of a specific component (e.g. [***]) that is required for the implementation of said functional blocks.</w:t>
      </w:r>
    </w:p>
    <w:p>
      <w:pPr>
        <w:spacing w:after="0" w:line="142" w:lineRule="exact"/>
        <w:rPr>
          <w:rFonts w:ascii="Courier New" w:cs="Courier New" w:eastAsia="Courier New" w:hAnsi="Courier New"/>
          <w:sz w:val="12"/>
          <w:szCs w:val="12"/>
          <w:color w:val="auto"/>
        </w:rPr>
      </w:pPr>
    </w:p>
    <w:p>
      <w:pPr>
        <w:ind w:left="707" w:right="4679" w:hanging="350"/>
        <w:spacing w:after="0" w:line="280" w:lineRule="auto"/>
        <w:tabs>
          <w:tab w:leader="none" w:pos="707" w:val="left"/>
        </w:tabs>
        <w:numPr>
          <w:ilvl w:val="1"/>
          <w:numId w:val="263"/>
        </w:numPr>
        <w:rPr>
          <w:rFonts w:ascii="Courier New" w:cs="Courier New" w:eastAsia="Courier New" w:hAnsi="Courier New"/>
          <w:sz w:val="11"/>
          <w:szCs w:val="11"/>
          <w:color w:val="auto"/>
        </w:rPr>
      </w:pPr>
      <w:r>
        <w:rPr>
          <w:rFonts w:ascii="Courier New" w:cs="Courier New" w:eastAsia="Courier New" w:hAnsi="Courier New"/>
          <w:sz w:val="11"/>
          <w:szCs w:val="11"/>
          <w:color w:val="auto"/>
        </w:rPr>
        <w:t>For each IP Block, the Deliverables will be implemented in the Tower Process(es) as described in the respective Exhibits A, B and C.</w:t>
      </w:r>
    </w:p>
    <w:p>
      <w:pPr>
        <w:spacing w:after="0" w:line="118" w:lineRule="exact"/>
        <w:rPr>
          <w:rFonts w:ascii="Courier New" w:cs="Courier New" w:eastAsia="Courier New" w:hAnsi="Courier New"/>
          <w:sz w:val="11"/>
          <w:szCs w:val="11"/>
          <w:color w:val="auto"/>
        </w:rPr>
      </w:pPr>
    </w:p>
    <w:p>
      <w:pPr>
        <w:ind w:left="367" w:hanging="367"/>
        <w:spacing w:after="0"/>
        <w:tabs>
          <w:tab w:leader="none" w:pos="367" w:val="left"/>
        </w:tabs>
        <w:numPr>
          <w:ilvl w:val="0"/>
          <w:numId w:val="2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w:t>
      </w:r>
    </w:p>
    <w:p>
      <w:pPr>
        <w:spacing w:after="0" w:line="141" w:lineRule="exact"/>
        <w:rPr>
          <w:rFonts w:ascii="Courier New" w:cs="Courier New" w:eastAsia="Courier New" w:hAnsi="Courier New"/>
          <w:sz w:val="12"/>
          <w:szCs w:val="12"/>
          <w:color w:val="auto"/>
        </w:rPr>
      </w:pPr>
    </w:p>
    <w:p>
      <w:pPr>
        <w:ind w:left="707" w:right="4599" w:hanging="350"/>
        <w:spacing w:after="0" w:line="241" w:lineRule="auto"/>
        <w:tabs>
          <w:tab w:leader="none" w:pos="707" w:val="left"/>
        </w:tabs>
        <w:numPr>
          <w:ilvl w:val="1"/>
          <w:numId w:val="2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payment of the fees specified in section 9 below with respect to each IP Block, Chipidea hereby grants to Tower a non-exclusive, perpetual, irrevocable, world-wide, multiple use license to use the Deliverables of each IP Block and their relevant documentation and all related Intellectual Property Rights of Chipidea, to manufacture sell and otherwise distribute integrated circuits of Tower Customers containing IP Blocks to Tower Customers and to design, develop, manufacture, have manufactured, use, modify, sell and otherwise distribute products, provided that Chipidea retain all Intellectual Property Rights in such IP Blocks and their relevant documentation, including the modifications thereto, except for the derived portion thereof developed by Tower or Tower Customer hereunder, which shall be owned by Tower or Tower Customer, as the case may be. As of the Effective Date of this Agreement, Tower does not intend to use Chipidea's IP Blocks to design its proprietary integrated circuits and the IP Blocks are only planned to be used by Tower Customers for the design of integrated circuits.</w:t>
      </w:r>
    </w:p>
    <w:p>
      <w:pPr>
        <w:spacing w:after="0" w:line="149"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payment of fees by a Tower Customer, as specified in section 14 below with respect to each IP Block, Chipidea shall grant such Tower Customer a non-exclusive, perpetual, irrevocable, world-wide, multiple use license (subject to fees being paid) to use the Deliverables of such IP Block and their relevant documentation and all related Intellectual Property Rights of Chipidea, to design, develop, manufacture at Tower only, use, modify, sell and otherwise distribute products, provided that Chipidea retain all Intellectual Property Rights in such IP Blocks and their relevant documentation, including the modifications thereto, except for the derived portion thereof developed by the Tower Customer hereunder, which shall be owned by the relevant Tower Customer.</w:t>
      </w:r>
    </w:p>
    <w:p>
      <w:pPr>
        <w:spacing w:after="0" w:line="143"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OF USE</w:t>
      </w:r>
    </w:p>
    <w:p>
      <w:pPr>
        <w:spacing w:after="0" w:line="141"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Functional and Component Block Cells, as defined in Section 3, transferred by Chipidea to Tower or Tower Customer for the license granted hereunder are the Property of Chipidea and can not be used by Tower or Tower Customer except in the context of the Macro Block where they are embedded.</w:t>
      </w:r>
    </w:p>
    <w:p>
      <w:pPr>
        <w:spacing w:after="0" w:line="13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56" w:name="page157"/>
    <w:bookmarkEnd w:id="156"/>
    <w:p>
      <w:pPr>
        <w:ind w:left="707" w:right="4539" w:hanging="350"/>
        <w:spacing w:after="0" w:line="241" w:lineRule="auto"/>
        <w:tabs>
          <w:tab w:leader="none" w:pos="707" w:val="left"/>
        </w:tabs>
        <w:numPr>
          <w:ilvl w:val="1"/>
          <w:numId w:val="2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technical reasons related to production requirements, Tower or Tower Customer may carry out small changes to IP Blocks and their relevant technical documentation, giving due notice of such changes to Chipidea. Upon Tower or Tower Customer request for minor design changes to the IP Blocks, Chipidea will support and perform such changes under reasonable commercial terms. If Chipidea created a modified version of an IP Block for Tower of a Tower Customer, Chipidea will offer such modified IP Blocks to [***] customers of Tower under the terms specified in section 14 for such IP Block.</w:t>
      </w:r>
    </w:p>
    <w:p>
      <w:pPr>
        <w:spacing w:after="0" w:line="143" w:lineRule="exact"/>
        <w:rPr>
          <w:rFonts w:ascii="Courier New" w:cs="Courier New" w:eastAsia="Courier New" w:hAnsi="Courier New"/>
          <w:sz w:val="12"/>
          <w:szCs w:val="12"/>
          <w:color w:val="auto"/>
        </w:rPr>
      </w:pPr>
    </w:p>
    <w:p>
      <w:pPr>
        <w:ind w:left="707" w:right="4599" w:hanging="350"/>
        <w:spacing w:after="0" w:line="272" w:lineRule="auto"/>
        <w:tabs>
          <w:tab w:leader="none" w:pos="707" w:val="left"/>
        </w:tabs>
        <w:numPr>
          <w:ilvl w:val="1"/>
          <w:numId w:val="2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Major changes to IP Blocks and their relevant technical documentation that might be required by Tower or Tower Customer should be carried out with prior consultation and collaboration with Chipidea.</w:t>
      </w:r>
    </w:p>
    <w:p>
      <w:pPr>
        <w:spacing w:after="0" w:line="125" w:lineRule="exact"/>
        <w:rPr>
          <w:rFonts w:ascii="Courier New" w:cs="Courier New" w:eastAsia="Courier New" w:hAnsi="Courier New"/>
          <w:sz w:val="11"/>
          <w:szCs w:val="11"/>
          <w:color w:val="auto"/>
        </w:rPr>
      </w:pPr>
    </w:p>
    <w:p>
      <w:pPr>
        <w:ind w:left="707" w:right="4539" w:hanging="350"/>
        <w:spacing w:after="0" w:line="241" w:lineRule="auto"/>
        <w:tabs>
          <w:tab w:leader="none" w:pos="707" w:val="left"/>
        </w:tabs>
        <w:numPr>
          <w:ilvl w:val="1"/>
          <w:numId w:val="2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either party believes that the characterization results of the Test Chip shows that the IP Block manufactured on Tower manufacturing process failed to meet the Specification for such IP Block, Chipidea shall debug and/or perform a failure analysis of the silicon and present it conclusions to Tower [***]. Unless the parties agree that the reason for the failure is due to [***] or [***] (including [***]), Chipidea shall re-design, re tape-out a Test Chip, re-test and re-provide a silicon validation report for such IP Block [***].</w:t>
      </w:r>
    </w:p>
    <w:p>
      <w:pPr>
        <w:spacing w:after="0" w:line="143"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provisions of section 13 below, additional design services that might be provided by Chipidea to carry out the modification to a previously agreed Specification of a given data base will be quoted by Chipidea and Tower can decide if it wishes to proceed on this basis.</w:t>
      </w:r>
    </w:p>
    <w:p>
      <w:pPr>
        <w:spacing w:after="0" w:line="140"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will not be held responsible for the possible changes of performance and conditions of operation of databases whose contents have been changed by Tower or a Tower Customer to meet specific requirements in the event Tower or a Tower Customer makes such changes without being compliant with the obligations set forth in Sections 5.b. and 5.c. above.</w:t>
      </w:r>
    </w:p>
    <w:p>
      <w:pPr>
        <w:spacing w:after="0" w:line="141" w:lineRule="exact"/>
        <w:rPr>
          <w:rFonts w:ascii="Courier New" w:cs="Courier New" w:eastAsia="Courier New" w:hAnsi="Courier New"/>
          <w:sz w:val="12"/>
          <w:szCs w:val="12"/>
          <w:color w:val="auto"/>
        </w:rPr>
      </w:pPr>
    </w:p>
    <w:p>
      <w:pPr>
        <w:ind w:left="707" w:right="4599" w:hanging="350"/>
        <w:spacing w:after="0" w:line="241" w:lineRule="auto"/>
        <w:tabs>
          <w:tab w:leader="none" w:pos="707" w:val="left"/>
        </w:tabs>
        <w:numPr>
          <w:ilvl w:val="1"/>
          <w:numId w:val="2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Chipidea demonstrates a pattern of failure to honor the Agreement, maintain the IP Blocks or support either Tower or a Tower Customer with respect to IP Blocks, Tower shall have a right to use, modify, maintain, support, distribute directly to Tower Customers all IP Blocks developed by Chipidea for Tower and use subcontractors for all the above activities, [***].</w:t>
      </w:r>
    </w:p>
    <w:p>
      <w:pPr>
        <w:spacing w:after="0" w:line="138" w:lineRule="exact"/>
        <w:rPr>
          <w:rFonts w:ascii="Courier New" w:cs="Courier New" w:eastAsia="Courier New" w:hAnsi="Courier New"/>
          <w:sz w:val="12"/>
          <w:szCs w:val="12"/>
          <w:color w:val="auto"/>
        </w:rPr>
      </w:pPr>
    </w:p>
    <w:p>
      <w:pPr>
        <w:ind w:left="147" w:hanging="147"/>
        <w:spacing w:after="0"/>
        <w:tabs>
          <w:tab w:leader="none" w:pos="147" w:val="left"/>
        </w:tabs>
        <w:numPr>
          <w:ilvl w:val="0"/>
          <w:numId w:val="2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899" w:hanging="7"/>
        <w:spacing w:after="0" w:line="280" w:lineRule="auto"/>
        <w:tabs>
          <w:tab w:leader="none" w:pos="435" w:val="left"/>
        </w:tabs>
        <w:numPr>
          <w:ilvl w:val="0"/>
          <w:numId w:val="2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57" w:name="page158"/>
    <w:bookmarkEnd w:id="157"/>
    <w:p>
      <w:pPr>
        <w:ind w:left="367" w:hanging="367"/>
        <w:spacing w:after="0"/>
        <w:tabs>
          <w:tab w:leader="none" w:pos="367" w:val="left"/>
        </w:tabs>
        <w:numPr>
          <w:ilvl w:val="0"/>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PROTECTION AND SECURITY OF DESIGN</w:t>
      </w:r>
    </w:p>
    <w:p>
      <w:pPr>
        <w:spacing w:after="0" w:line="141"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shall mean that information of either party which is disclosed to the other party ("Receiving Party") by reason of the parties' relationship hereunder, either directly or indirectly in any written or recorded form, orally, or by drawings or inspection of parts or equipment, and, either in writing and marked as confidential or proprietary, or if oral, reduced to writing similarly marked within thirty (30) days of disclosure.</w:t>
      </w:r>
    </w:p>
    <w:p>
      <w:pPr>
        <w:spacing w:after="0" w:line="142" w:lineRule="exact"/>
        <w:rPr>
          <w:rFonts w:ascii="Courier New" w:cs="Courier New" w:eastAsia="Courier New" w:hAnsi="Courier New"/>
          <w:sz w:val="12"/>
          <w:szCs w:val="12"/>
          <w:color w:val="auto"/>
        </w:rPr>
      </w:pPr>
    </w:p>
    <w:p>
      <w:pPr>
        <w:ind w:left="707" w:right="4599" w:hanging="350"/>
        <w:spacing w:after="0" w:line="241" w:lineRule="auto"/>
        <w:tabs>
          <w:tab w:leader="none" w:pos="707" w:val="left"/>
        </w:tabs>
        <w:numPr>
          <w:ilvl w:val="1"/>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Receiving Party covenants and agrees that it will receive and use the Confidential Information only as expressly permitted in this Agreement, and will not otherwise employ such Confidential Information, and shall not disclose such Confidential Information to any person or persons who do not need to have knowledge of such Confidential Information in the course of their employment.</w:t>
      </w:r>
    </w:p>
    <w:p>
      <w:pPr>
        <w:spacing w:after="0" w:line="141" w:lineRule="exact"/>
        <w:rPr>
          <w:rFonts w:ascii="Courier New" w:cs="Courier New" w:eastAsia="Courier New" w:hAnsi="Courier New"/>
          <w:sz w:val="12"/>
          <w:szCs w:val="12"/>
          <w:color w:val="auto"/>
        </w:rPr>
      </w:pPr>
    </w:p>
    <w:p>
      <w:pPr>
        <w:ind w:left="707" w:right="4759" w:hanging="350"/>
        <w:spacing w:after="0" w:line="238" w:lineRule="auto"/>
        <w:tabs>
          <w:tab w:leader="none" w:pos="707" w:val="left"/>
        </w:tabs>
        <w:numPr>
          <w:ilvl w:val="1"/>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It is expressly understood that Receiving Party shall not be liable for disclosure of any Confidential Information if the same:</w:t>
      </w:r>
    </w:p>
    <w:p>
      <w:pPr>
        <w:spacing w:after="0" w:line="142" w:lineRule="exact"/>
        <w:rPr>
          <w:rFonts w:ascii="Courier New" w:cs="Courier New" w:eastAsia="Courier New" w:hAnsi="Courier New"/>
          <w:sz w:val="12"/>
          <w:szCs w:val="12"/>
          <w:color w:val="auto"/>
        </w:rPr>
      </w:pPr>
    </w:p>
    <w:p>
      <w:pPr>
        <w:ind w:left="1067" w:right="4539" w:hanging="353"/>
        <w:spacing w:after="0" w:line="238" w:lineRule="auto"/>
        <w:tabs>
          <w:tab w:leader="none" w:pos="1067" w:val="left"/>
        </w:tabs>
        <w:numPr>
          <w:ilvl w:val="2"/>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or becomes part of the public domain without violation of this Agreement;</w:t>
      </w:r>
    </w:p>
    <w:p>
      <w:pPr>
        <w:spacing w:after="0" w:line="142" w:lineRule="exact"/>
        <w:rPr>
          <w:rFonts w:ascii="Courier New" w:cs="Courier New" w:eastAsia="Courier New" w:hAnsi="Courier New"/>
          <w:sz w:val="12"/>
          <w:szCs w:val="12"/>
          <w:color w:val="auto"/>
        </w:rPr>
      </w:pPr>
    </w:p>
    <w:p>
      <w:pPr>
        <w:ind w:left="1067" w:right="4539" w:hanging="353"/>
        <w:spacing w:after="0" w:line="238" w:lineRule="auto"/>
        <w:tabs>
          <w:tab w:leader="none" w:pos="1067" w:val="left"/>
        </w:tabs>
        <w:numPr>
          <w:ilvl w:val="2"/>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known and on record at the Receiving Party prior to disclosure by the Disclosing Party;</w:t>
      </w:r>
    </w:p>
    <w:p>
      <w:pPr>
        <w:spacing w:after="0" w:line="139"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lawfully obtained by the Receiving Party from a third party;</w:t>
      </w:r>
    </w:p>
    <w:p>
      <w:pPr>
        <w:spacing w:after="0" w:line="141" w:lineRule="exact"/>
        <w:rPr>
          <w:rFonts w:ascii="Courier New" w:cs="Courier New" w:eastAsia="Courier New" w:hAnsi="Courier New"/>
          <w:sz w:val="12"/>
          <w:szCs w:val="12"/>
          <w:color w:val="auto"/>
        </w:rPr>
      </w:pPr>
    </w:p>
    <w:p>
      <w:pPr>
        <w:jc w:val="both"/>
        <w:ind w:left="1067" w:right="4759" w:hanging="353"/>
        <w:spacing w:after="0" w:line="239" w:lineRule="auto"/>
        <w:tabs>
          <w:tab w:leader="none" w:pos="1067" w:val="left"/>
        </w:tabs>
        <w:numPr>
          <w:ilvl w:val="2"/>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furnished to others by the Disclosing Party without similar restrictions to those herein contained as to use or disclosure thereof;</w:t>
      </w:r>
    </w:p>
    <w:p>
      <w:pPr>
        <w:spacing w:after="0" w:line="142" w:lineRule="exact"/>
        <w:rPr>
          <w:rFonts w:ascii="Courier New" w:cs="Courier New" w:eastAsia="Courier New" w:hAnsi="Courier New"/>
          <w:sz w:val="12"/>
          <w:szCs w:val="12"/>
          <w:color w:val="auto"/>
        </w:rPr>
      </w:pPr>
    </w:p>
    <w:p>
      <w:pPr>
        <w:ind w:left="1067" w:right="4679" w:hanging="353"/>
        <w:spacing w:after="0" w:line="238" w:lineRule="auto"/>
        <w:tabs>
          <w:tab w:leader="none" w:pos="1067" w:val="left"/>
        </w:tabs>
        <w:numPr>
          <w:ilvl w:val="2"/>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developed by the Receiving Party completely independently of any such disclosure by the Disclosing Party;</w:t>
      </w:r>
    </w:p>
    <w:p>
      <w:pPr>
        <w:spacing w:after="0" w:line="139" w:lineRule="exact"/>
        <w:rPr>
          <w:rFonts w:ascii="Courier New" w:cs="Courier New" w:eastAsia="Courier New" w:hAnsi="Courier New"/>
          <w:sz w:val="12"/>
          <w:szCs w:val="12"/>
          <w:color w:val="auto"/>
        </w:rPr>
      </w:pPr>
    </w:p>
    <w:p>
      <w:pPr>
        <w:ind w:left="1067" w:hanging="353"/>
        <w:spacing w:after="0"/>
        <w:tabs>
          <w:tab w:leader="none" w:pos="1067" w:val="left"/>
        </w:tabs>
        <w:numPr>
          <w:ilvl w:val="2"/>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ascertainable from a commercially available product;</w:t>
      </w:r>
    </w:p>
    <w:p>
      <w:pPr>
        <w:spacing w:after="0" w:line="141" w:lineRule="exact"/>
        <w:rPr>
          <w:rFonts w:ascii="Courier New" w:cs="Courier New" w:eastAsia="Courier New" w:hAnsi="Courier New"/>
          <w:sz w:val="12"/>
          <w:szCs w:val="12"/>
          <w:color w:val="auto"/>
        </w:rPr>
      </w:pPr>
    </w:p>
    <w:p>
      <w:pPr>
        <w:ind w:left="1067" w:right="4539" w:hanging="353"/>
        <w:spacing w:after="0" w:line="239" w:lineRule="auto"/>
        <w:tabs>
          <w:tab w:leader="none" w:pos="1067" w:val="left"/>
        </w:tabs>
        <w:numPr>
          <w:ilvl w:val="2"/>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disclosed pursuant to the order or requirement of a government body, court or administration agency or by applicable law or regulation; or</w:t>
      </w:r>
    </w:p>
    <w:p>
      <w:pPr>
        <w:spacing w:after="0" w:line="142" w:lineRule="exact"/>
        <w:rPr>
          <w:rFonts w:ascii="Courier New" w:cs="Courier New" w:eastAsia="Courier New" w:hAnsi="Courier New"/>
          <w:sz w:val="12"/>
          <w:szCs w:val="12"/>
          <w:color w:val="auto"/>
        </w:rPr>
      </w:pPr>
    </w:p>
    <w:p>
      <w:pPr>
        <w:ind w:left="1067" w:right="5039" w:hanging="353"/>
        <w:spacing w:after="0" w:line="238" w:lineRule="auto"/>
        <w:tabs>
          <w:tab w:leader="none" w:pos="1138" w:val="left"/>
        </w:tabs>
        <w:numPr>
          <w:ilvl w:val="2"/>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disclosed after five (5) years from the receipt of the respective Confidential Information.</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INTELLECTUAL PROPERTY INDEMNITY</w:t>
      </w:r>
    </w:p>
    <w:p>
      <w:pPr>
        <w:spacing w:after="0" w:line="141" w:lineRule="exact"/>
        <w:rPr>
          <w:rFonts w:ascii="Courier New" w:cs="Courier New" w:eastAsia="Courier New" w:hAnsi="Courier New"/>
          <w:sz w:val="12"/>
          <w:szCs w:val="12"/>
          <w:color w:val="auto"/>
        </w:rPr>
      </w:pPr>
    </w:p>
    <w:p>
      <w:pPr>
        <w:ind w:left="707" w:right="4539" w:hanging="350"/>
        <w:spacing w:after="0"/>
        <w:tabs>
          <w:tab w:leader="none" w:pos="707" w:val="left"/>
        </w:tabs>
        <w:numPr>
          <w:ilvl w:val="1"/>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warrants that to the best of its belief and knowledge none of its designs, IP Blocks, Deliverables or Intellectual Property components supplied to Tower under this agreement infringes on any third party Intellectual Property Right.</w:t>
      </w:r>
    </w:p>
    <w:p>
      <w:pPr>
        <w:spacing w:after="0" w:line="142" w:lineRule="exact"/>
        <w:rPr>
          <w:rFonts w:ascii="Courier New" w:cs="Courier New" w:eastAsia="Courier New" w:hAnsi="Courier New"/>
          <w:sz w:val="12"/>
          <w:szCs w:val="12"/>
          <w:color w:val="auto"/>
        </w:rPr>
      </w:pPr>
    </w:p>
    <w:p>
      <w:pPr>
        <w:ind w:left="707" w:right="4819" w:hanging="350"/>
        <w:spacing w:after="0"/>
        <w:tabs>
          <w:tab w:leader="none" w:pos="707" w:val="left"/>
        </w:tabs>
        <w:numPr>
          <w:ilvl w:val="1"/>
          <w:numId w:val="2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warrants that there are no pending claims or actions commenced against Chipidea by any third party. Chipidea will alert immediately Tower if any legal actions, threats or claims are commenced or decided against Chipidea by a third party.</w:t>
      </w:r>
    </w:p>
    <w:p>
      <w:pPr>
        <w:spacing w:after="0" w:line="142" w:lineRule="exact"/>
        <w:rPr>
          <w:rFonts w:ascii="Courier New" w:cs="Courier New" w:eastAsia="Courier New" w:hAnsi="Courier New"/>
          <w:sz w:val="12"/>
          <w:szCs w:val="12"/>
          <w:color w:val="auto"/>
        </w:rPr>
      </w:pPr>
    </w:p>
    <w:p>
      <w:pPr>
        <w:ind w:left="707" w:right="4539" w:hanging="350"/>
        <w:spacing w:after="0" w:line="265" w:lineRule="auto"/>
        <w:tabs>
          <w:tab w:leader="none" w:pos="707" w:val="left"/>
        </w:tabs>
        <w:numPr>
          <w:ilvl w:val="1"/>
          <w:numId w:val="2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the event that a third party claims that Tower is in breach of its Intellectual Property rights due to the use of IP Blocks, Deliverables or Chipidea designs, Chipidea shall indemnify Tower for any damages awarded against Tower and pay all expenses (including attorney fees) incurred by Tower in connection with such a claim or lawsuit. The total amount to be paid out by Chipidea for said indemnification and expenses shall not exceed [***]. Notwithstanding the foregoing, the indemnification provided in this Section 7.c shall not apply to the claim to (i) any portion of the IP Blocks and their relevant technical information that is proprietary to Tower or Tower Customer, where said infringement would occur if such portion proprietary to Tower or Tower Customer were stand-alone (ii) solely related to the products manufactured by Tower which implements and/or incorporates said IP Blocks and their relevant technical information and that the claim is not related to the IP Blocks and their relevant technical information.</w:t>
      </w:r>
    </w:p>
    <w:p>
      <w:pPr>
        <w:sectPr>
          <w:pgSz w:w="11900" w:h="16838" w:orient="portrait"/>
          <w:cols w:equalWidth="0" w:num="1">
            <w:col w:w="10246"/>
          </w:cols>
          <w:pgMar w:left="213" w:top="669" w:right="1440" w:bottom="1440" w:gutter="0" w:footer="0" w:header="0"/>
        </w:sectPr>
      </w:pPr>
    </w:p>
    <w:bookmarkStart w:id="158" w:name="page159"/>
    <w:bookmarkEnd w:id="158"/>
    <w:p>
      <w:pPr>
        <w:ind w:left="707" w:right="4899" w:hanging="350"/>
        <w:spacing w:after="0" w:line="241" w:lineRule="auto"/>
        <w:tabs>
          <w:tab w:leader="none" w:pos="707" w:val="left"/>
        </w:tabs>
        <w:numPr>
          <w:ilvl w:val="1"/>
          <w:numId w:val="2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At the end of the design project, and before fabrication starts, Chipidea and Tower will carry out a joint review meeting for risk assessment of third party patent rights. In the event that such a possibility is identified during the review meeting, both parties agree to fully investigate the source of third-party ownership of techniques employed in the design.</w:t>
      </w:r>
    </w:p>
    <w:p>
      <w:pPr>
        <w:spacing w:after="0" w:line="141" w:lineRule="exact"/>
        <w:rPr>
          <w:rFonts w:ascii="Courier New" w:cs="Courier New" w:eastAsia="Courier New" w:hAnsi="Courier New"/>
          <w:sz w:val="12"/>
          <w:szCs w:val="12"/>
          <w:color w:val="auto"/>
        </w:rPr>
      </w:pPr>
    </w:p>
    <w:p>
      <w:pPr>
        <w:ind w:left="707" w:right="489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will carry out all the modifications that will be deemed necessary to make its designs non-infringing.</w:t>
      </w:r>
    </w:p>
    <w:p>
      <w:pPr>
        <w:spacing w:after="0" w:line="142"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to Section 7.d above, if the IP Blocks and their relevant technical information and/or documentation become or in the opinion of Chipidea is likely to become the subject of a claim of infringement of a patent, trademark, copyright or other Intellectual Property Rights, Chipidea may, at its option (1) procure for Tower the right to use such materials [***]; or (2) replace or modify or re-perform the same to make them non-infringing, provided that substantially the same function is performed by the replacement or modified version of such IP Blocks. In the event the right to continue use cannot be reasonably procured for Tower or the IP Blocks cannot be replaced or modified to make it non-infringing with the same degree of performance and functionality, Chipidea [***].</w:t>
      </w:r>
    </w:p>
    <w:p>
      <w:pPr>
        <w:spacing w:after="0" w:line="143"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CONSEQUENTIAL DAMAGE WAIVER</w:t>
      </w:r>
    </w:p>
    <w:p>
      <w:pPr>
        <w:spacing w:after="0" w:line="141" w:lineRule="exact"/>
        <w:rPr>
          <w:rFonts w:ascii="Courier New" w:cs="Courier New" w:eastAsia="Courier New" w:hAnsi="Courier New"/>
          <w:sz w:val="12"/>
          <w:szCs w:val="12"/>
          <w:color w:val="auto"/>
        </w:rPr>
      </w:pPr>
    </w:p>
    <w:p>
      <w:pPr>
        <w:ind w:left="367" w:right="4539"/>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Except for liability under section 7 above, in no event shall either party be liable for any special, incidental, consequential or indirect damages resulting from its performance or failure to perform under this agreement, whether based upon contract, negligence, strict liability in tort, warranty or any other basis whatsoever (including, without limitation, damages for loss of business profits), even if such party has been notified of the possibility of such damages.</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w:t>
      </w:r>
    </w:p>
    <w:p>
      <w:pPr>
        <w:spacing w:after="0" w:line="141" w:lineRule="exact"/>
        <w:rPr>
          <w:rFonts w:ascii="Courier New" w:cs="Courier New" w:eastAsia="Courier New" w:hAnsi="Courier New"/>
          <w:sz w:val="12"/>
          <w:szCs w:val="12"/>
          <w:color w:val="auto"/>
        </w:rPr>
      </w:pPr>
    </w:p>
    <w:p>
      <w:pPr>
        <w:ind w:left="707" w:right="4539" w:hanging="350"/>
        <w:spacing w:after="0"/>
        <w:tabs>
          <w:tab w:leader="none" w:pos="707" w:val="left"/>
        </w:tabs>
        <w:numPr>
          <w:ilvl w:val="1"/>
          <w:numId w:val="2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each IP Block, Tower shall pay Chipidea the fees specified in Exhibit D incorporated by reference and attached hereto. Each payment is due within [***] days after receipt of an invoice upon completion of the respective milestone.</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7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59" w:name="page160"/>
    <w:bookmarkEnd w:id="159"/>
    <w:p>
      <w:pPr>
        <w:ind w:left="707" w:right="4539" w:hanging="350"/>
        <w:spacing w:after="0" w:line="238" w:lineRule="auto"/>
        <w:tabs>
          <w:tab w:leader="none" w:pos="707" w:val="left"/>
        </w:tabs>
        <w:numPr>
          <w:ilvl w:val="0"/>
          <w:numId w:val="2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the payments to be made to Company shall be direct transfer to the following bank account:</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Bank Name: [***]</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Address: [***]</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A/C Name: [***]</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For USD Payments:</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International Bank Account Number: (IBAN): [***]</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For EURO Payments:</w:t>
      </w:r>
    </w:p>
    <w:p>
      <w:pPr>
        <w:spacing w:after="0" w:line="139"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International Bank Account Number: (IBAN): [***]</w:t>
      </w:r>
    </w:p>
    <w:p>
      <w:pPr>
        <w:spacing w:after="0" w:line="139" w:lineRule="exact"/>
        <w:rPr>
          <w:sz w:val="20"/>
          <w:szCs w:val="20"/>
          <w:color w:val="auto"/>
        </w:rPr>
      </w:pPr>
    </w:p>
    <w:p>
      <w:pPr>
        <w:ind w:left="707" w:hanging="350"/>
        <w:spacing w:after="0"/>
        <w:tabs>
          <w:tab w:leader="none" w:pos="707" w:val="left"/>
        </w:tabs>
        <w:numPr>
          <w:ilvl w:val="1"/>
          <w:numId w:val="2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shall be made without bank charges.</w:t>
      </w:r>
    </w:p>
    <w:p>
      <w:pPr>
        <w:spacing w:after="0" w:line="141"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any applicable law requires Tower to deduct or withhold amounts from any payments to Chipidea under this Agreement, Tower shall effect such deduction or withholding, remit such amounts to the appropriate taxing authorities and promptly furnish Chipidea with tax receipts evidencing the payments of such amounts. Chipidea shall provide all such assistance as Tower may reasonably require in obtaining such withholding tax certificates. Notwithstanding the foregoing, in no event shall Tower pay to Chipidea less than_[***] of any payment specified hereunder (such payment measured prior to any withholding of tax), regardless of any amount required by law to be withheld. Accordingly, if Tower has the legal obligation to withhold taxes equal to more than [***] of an amount to be paid hereunder, Tower shall withhold such excess amount, but shall add to the payment such amount that Chipidea receives _[***] of the payment.</w:t>
      </w:r>
    </w:p>
    <w:p>
      <w:pPr>
        <w:spacing w:after="0" w:line="147" w:lineRule="exact"/>
        <w:rPr>
          <w:rFonts w:ascii="Courier New" w:cs="Courier New" w:eastAsia="Courier New" w:hAnsi="Courier New"/>
          <w:sz w:val="12"/>
          <w:szCs w:val="12"/>
          <w:color w:val="auto"/>
        </w:rPr>
      </w:pPr>
    </w:p>
    <w:p>
      <w:pPr>
        <w:jc w:val="both"/>
        <w:ind w:left="707" w:right="4539" w:hanging="350"/>
        <w:spacing w:after="0"/>
        <w:tabs>
          <w:tab w:leader="none" w:pos="707" w:val="left"/>
        </w:tabs>
        <w:numPr>
          <w:ilvl w:val="1"/>
          <w:numId w:val="2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amount not received when due and payable shall bear an interest at an annual rate of [***] points above the discount rate of the European Central Bank. Chipidea reserves the right to claim additional damages, if any, caused by Customer's delay in payment.</w:t>
      </w:r>
    </w:p>
    <w:p>
      <w:pPr>
        <w:spacing w:after="0" w:line="142" w:lineRule="exact"/>
        <w:rPr>
          <w:rFonts w:ascii="Courier New" w:cs="Courier New" w:eastAsia="Courier New" w:hAnsi="Courier New"/>
          <w:sz w:val="12"/>
          <w:szCs w:val="12"/>
          <w:color w:val="auto"/>
        </w:rPr>
      </w:pPr>
    </w:p>
    <w:p>
      <w:pPr>
        <w:ind w:left="707" w:right="4539" w:hanging="350"/>
        <w:spacing w:after="0" w:line="239" w:lineRule="auto"/>
        <w:tabs>
          <w:tab w:leader="none" w:pos="707" w:val="left"/>
        </w:tabs>
        <w:numPr>
          <w:ilvl w:val="1"/>
          <w:numId w:val="2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may not offset against its payment obligations any claims against Chipidea except those claims that are undisputed or judicially awarded.</w:t>
      </w:r>
    </w:p>
    <w:p>
      <w:pPr>
        <w:spacing w:after="0" w:line="142" w:lineRule="exact"/>
        <w:rPr>
          <w:rFonts w:ascii="Courier New" w:cs="Courier New" w:eastAsia="Courier New" w:hAnsi="Courier New"/>
          <w:sz w:val="12"/>
          <w:szCs w:val="12"/>
          <w:color w:val="auto"/>
        </w:rPr>
      </w:pPr>
    </w:p>
    <w:p>
      <w:pPr>
        <w:ind w:left="707" w:right="4539" w:hanging="350"/>
        <w:spacing w:after="0"/>
        <w:tabs>
          <w:tab w:leader="none" w:pos="707" w:val="left"/>
        </w:tabs>
        <w:numPr>
          <w:ilvl w:val="1"/>
          <w:numId w:val="2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conflicting purchasing terms and conditions of Tower will not affect the obligations of Chipidea, unless otherwise agreed to by Chipidea in writing. This agreement shall be implemented and come into effect upon signing a purchase order by Tower.</w:t>
      </w:r>
    </w:p>
    <w:p>
      <w:pPr>
        <w:spacing w:after="0" w:line="139" w:lineRule="exact"/>
        <w:rPr>
          <w:rFonts w:ascii="Courier New" w:cs="Courier New" w:eastAsia="Courier New" w:hAnsi="Courier New"/>
          <w:sz w:val="12"/>
          <w:szCs w:val="12"/>
          <w:color w:val="auto"/>
        </w:rPr>
      </w:pPr>
    </w:p>
    <w:p>
      <w:pPr>
        <w:ind w:left="147" w:hanging="147"/>
        <w:spacing w:after="0"/>
        <w:tabs>
          <w:tab w:leader="none" w:pos="147" w:val="left"/>
        </w:tabs>
        <w:numPr>
          <w:ilvl w:val="0"/>
          <w:numId w:val="2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899" w:hanging="7"/>
        <w:spacing w:after="0" w:line="280" w:lineRule="auto"/>
        <w:tabs>
          <w:tab w:leader="none" w:pos="435" w:val="left"/>
        </w:tabs>
        <w:numPr>
          <w:ilvl w:val="0"/>
          <w:numId w:val="2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60" w:name="page161"/>
    <w:bookmarkEnd w:id="160"/>
    <w:p>
      <w:pPr>
        <w:ind w:left="367" w:hanging="367"/>
        <w:spacing w:after="0"/>
        <w:tabs>
          <w:tab w:leader="none" w:pos="367" w:val="left"/>
        </w:tabs>
        <w:numPr>
          <w:ilvl w:val="0"/>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 AND TERMINATION</w:t>
      </w:r>
    </w:p>
    <w:p>
      <w:pPr>
        <w:spacing w:after="0" w:line="141" w:lineRule="exact"/>
        <w:rPr>
          <w:rFonts w:ascii="Courier New" w:cs="Courier New" w:eastAsia="Courier New" w:hAnsi="Courier New"/>
          <w:sz w:val="12"/>
          <w:szCs w:val="12"/>
          <w:color w:val="auto"/>
        </w:rPr>
      </w:pPr>
    </w:p>
    <w:p>
      <w:pPr>
        <w:ind w:left="707" w:right="4599" w:hanging="350"/>
        <w:spacing w:after="0" w:line="238" w:lineRule="auto"/>
        <w:tabs>
          <w:tab w:leader="none" w:pos="707" w:val="left"/>
        </w:tabs>
        <w:numPr>
          <w:ilvl w:val="1"/>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 This License shall be effective on the Effective Date and shall continue until terminated in accordance with this Section 10.</w:t>
      </w:r>
    </w:p>
    <w:p>
      <w:pPr>
        <w:spacing w:after="0" w:line="142"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for Cause. Either party will have the right to immediately terminate this License if the other party is in breach of any material obligation hereof and such breach is not cured within [***] after receipt or written notice of such breach from the non-breaching party, or within such additional cure period as the non-breaching party may authorize.</w:t>
      </w:r>
    </w:p>
    <w:p>
      <w:pPr>
        <w:spacing w:after="0" w:line="141"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for Insolvency. Either part shall have the right to immediately terminate this License upon written notice in the event that the other party (i) voluntarily or involuntarily becomes the subject of a petition in bankruptcy or of any proceeding relating to insolvency, receivership, liquidation or composition for the benefit of creditors, or (ii) admits in writing its inability to pay its debts as they become due.</w:t>
      </w:r>
    </w:p>
    <w:p>
      <w:pPr>
        <w:spacing w:after="0" w:line="142" w:lineRule="exact"/>
        <w:rPr>
          <w:rFonts w:ascii="Courier New" w:cs="Courier New" w:eastAsia="Courier New" w:hAnsi="Courier New"/>
          <w:sz w:val="12"/>
          <w:szCs w:val="12"/>
          <w:color w:val="auto"/>
        </w:rPr>
      </w:pPr>
    </w:p>
    <w:p>
      <w:pPr>
        <w:ind w:left="707" w:right="4599" w:hanging="350"/>
        <w:spacing w:after="0" w:line="241" w:lineRule="auto"/>
        <w:tabs>
          <w:tab w:leader="none" w:pos="707" w:val="left"/>
        </w:tabs>
        <w:numPr>
          <w:ilvl w:val="1"/>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Consequences of Termination. Upon termination of this License, the licenses, rights and obligations granted hereunder shall terminate except as expressly set forth in this License. Except as necessary to exercise the rights set forth in Section 10(e), each party shall return or destroy, at the disclosing party's discretion, the Confidential Information received from the other party pursuant to</w:t>
      </w:r>
    </w:p>
    <w:p>
      <w:pPr>
        <w:spacing w:after="0" w:line="1" w:lineRule="exact"/>
        <w:rPr>
          <w:rFonts w:ascii="Courier New" w:cs="Courier New" w:eastAsia="Courier New" w:hAnsi="Courier New"/>
          <w:sz w:val="12"/>
          <w:szCs w:val="12"/>
          <w:color w:val="auto"/>
        </w:rPr>
      </w:pPr>
    </w:p>
    <w:p>
      <w:pPr>
        <w:ind w:left="70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EXHIBITS A AND B.</w:t>
      </w:r>
    </w:p>
    <w:p>
      <w:pPr>
        <w:spacing w:after="0" w:line="141"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Survival. Sections 3, 4, 5, 6, 7, 8 shall survive termination of this License. In addition to the foregoing, the license rights specified in Section 4 with respect to any Tower or Tower Customers products that are in existence, substantially designed or for which Tower or a Tower Customer has received binding contractual commitments as of the effective date of termination of this License, shall survive such termination provided all fees described in Appendix C or D have been paid to Chipidea.</w:t>
      </w:r>
    </w:p>
    <w:p>
      <w:pPr>
        <w:spacing w:after="0" w:line="140"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w:t>
      </w:r>
    </w:p>
    <w:p>
      <w:pPr>
        <w:spacing w:after="0" w:line="141" w:lineRule="exact"/>
        <w:rPr>
          <w:rFonts w:ascii="Courier New" w:cs="Courier New" w:eastAsia="Courier New" w:hAnsi="Courier New"/>
          <w:sz w:val="12"/>
          <w:szCs w:val="12"/>
          <w:color w:val="auto"/>
        </w:rPr>
      </w:pPr>
    </w:p>
    <w:p>
      <w:pPr>
        <w:ind w:left="707" w:right="4599" w:hanging="350"/>
        <w:spacing w:after="0" w:line="241" w:lineRule="auto"/>
        <w:tabs>
          <w:tab w:leader="none" w:pos="707" w:val="left"/>
        </w:tabs>
        <w:numPr>
          <w:ilvl w:val="1"/>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Neither party may assign its rights or obligations under this Agreement without the prior written consent of the other, and any purposed assignment without such consent shall have no force or effect. Subject to the foregoing, this Agreement shall bind and inure to the benefit of the respective parties hereto and their successors and assigns.</w:t>
      </w:r>
    </w:p>
    <w:p>
      <w:pPr>
        <w:spacing w:after="0" w:line="141"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acknowledges and agrees that this Agreement may be pledged for the benefit of Bank Hapoalim B.M and Bank Le umi Le-Israel B.M. to secure debt financing made available to Tower from Bank Hapoalim B.M and Bank Leumi Le-Israel B.M in connection with the construction of Tower's new fabrication facility (Fab-2).</w:t>
      </w:r>
    </w:p>
    <w:p>
      <w:pPr>
        <w:spacing w:after="0" w:line="13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69" w:right="1440" w:bottom="1440" w:gutter="0" w:footer="0" w:header="0"/>
        </w:sectPr>
      </w:pPr>
    </w:p>
    <w:bookmarkStart w:id="161" w:name="page162"/>
    <w:bookmarkEnd w:id="161"/>
    <w:p>
      <w:pPr>
        <w:ind w:left="707" w:right="4679" w:hanging="350"/>
        <w:spacing w:after="0" w:line="241" w:lineRule="auto"/>
        <w:tabs>
          <w:tab w:leader="none" w:pos="707" w:val="left"/>
        </w:tabs>
        <w:numPr>
          <w:ilvl w:val="1"/>
          <w:numId w:val="2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failure or delay by either party to enforce or take advantage of any provision or right under this Agreement shall constitute a subsequent waiver of that provision or right, nor shall it be deemed to be a waiver of any of the other terms and conditions of this Agreement.</w:t>
      </w:r>
    </w:p>
    <w:p>
      <w:pPr>
        <w:spacing w:after="0" w:line="140" w:lineRule="exact"/>
        <w:rPr>
          <w:rFonts w:ascii="Courier New" w:cs="Courier New" w:eastAsia="Courier New" w:hAnsi="Courier New"/>
          <w:sz w:val="12"/>
          <w:szCs w:val="12"/>
          <w:color w:val="auto"/>
        </w:rPr>
      </w:pPr>
    </w:p>
    <w:p>
      <w:pPr>
        <w:ind w:left="707" w:right="4539" w:hanging="350"/>
        <w:spacing w:after="0" w:line="265" w:lineRule="auto"/>
        <w:tabs>
          <w:tab w:leader="none" w:pos="707" w:val="left"/>
        </w:tabs>
        <w:numPr>
          <w:ilvl w:val="1"/>
          <w:numId w:val="2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 technical information obtained hereunder, nor any direct product thereof is intended to, or shall be exported or re-exported, directly or indirectly to any destination restricted or prohibited by export control laws or regulations of the United States, including the U.S. Export Control Administration Act, without authorization from the appropriate governmental authorities. In addition, the parties agree that no technology furnished to the other will be used for any purpose to develop and/or manufacture nuclear, chemical, biological weapons and/or missiles (hereinafter "Weapons of Mass Destruction"). The parties further agrees that it will not sell semiconductor products using technology received from the other party hereunder, to any party if it knows that the end-user of such products will use them for the development and/or manufacture of Weapons of Mass Destruction.</w:t>
      </w:r>
    </w:p>
    <w:p>
      <w:pPr>
        <w:spacing w:after="0" w:line="132" w:lineRule="exact"/>
        <w:rPr>
          <w:rFonts w:ascii="Courier New" w:cs="Courier New" w:eastAsia="Courier New" w:hAnsi="Courier New"/>
          <w:sz w:val="11"/>
          <w:szCs w:val="11"/>
          <w:color w:val="auto"/>
        </w:rPr>
      </w:pPr>
    </w:p>
    <w:p>
      <w:pPr>
        <w:ind w:left="707" w:right="4539" w:hanging="350"/>
        <w:spacing w:after="0" w:line="239" w:lineRule="auto"/>
        <w:tabs>
          <w:tab w:leader="none" w:pos="707" w:val="left"/>
        </w:tabs>
        <w:numPr>
          <w:ilvl w:val="1"/>
          <w:numId w:val="2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validity, performance and construction of this Agreement shall be governed by the laws of England without regard to the conflict of laws provisions thereof.</w:t>
      </w:r>
    </w:p>
    <w:p>
      <w:pPr>
        <w:spacing w:after="0" w:line="142" w:lineRule="exact"/>
        <w:rPr>
          <w:rFonts w:ascii="Courier New" w:cs="Courier New" w:eastAsia="Courier New" w:hAnsi="Courier New"/>
          <w:sz w:val="12"/>
          <w:szCs w:val="12"/>
          <w:color w:val="auto"/>
        </w:rPr>
      </w:pPr>
    </w:p>
    <w:p>
      <w:pPr>
        <w:ind w:left="707" w:right="4539" w:hanging="350"/>
        <w:spacing w:after="0" w:line="238" w:lineRule="auto"/>
        <w:tabs>
          <w:tab w:leader="none" w:pos="707" w:val="left"/>
        </w:tabs>
        <w:numPr>
          <w:ilvl w:val="1"/>
          <w:numId w:val="2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parties shall attempt in good faith to resolve any dispute arising out of or in connection with this Agreement informally.</w:t>
      </w:r>
    </w:p>
    <w:p>
      <w:pPr>
        <w:spacing w:after="0" w:line="142" w:lineRule="exact"/>
        <w:rPr>
          <w:rFonts w:ascii="Courier New" w:cs="Courier New" w:eastAsia="Courier New" w:hAnsi="Courier New"/>
          <w:sz w:val="12"/>
          <w:szCs w:val="12"/>
          <w:color w:val="auto"/>
        </w:rPr>
      </w:pPr>
    </w:p>
    <w:p>
      <w:pPr>
        <w:ind w:left="707" w:right="4539" w:hanging="350"/>
        <w:spacing w:after="0"/>
        <w:tabs>
          <w:tab w:leader="none" w:pos="707" w:val="left"/>
        </w:tabs>
        <w:numPr>
          <w:ilvl w:val="1"/>
          <w:numId w:val="2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prevailing party in any legal action arising out of, or related to this Agreement shall be entitled, in addition to any other rights and remedies it may have, to reimbursement for its expenses incurred in such action, including court costs and reasonable attorney's fees.</w:t>
      </w:r>
    </w:p>
    <w:p>
      <w:pPr>
        <w:spacing w:after="0" w:line="142" w:lineRule="exact"/>
        <w:rPr>
          <w:rFonts w:ascii="Courier New" w:cs="Courier New" w:eastAsia="Courier New" w:hAnsi="Courier New"/>
          <w:sz w:val="12"/>
          <w:szCs w:val="12"/>
          <w:color w:val="auto"/>
        </w:rPr>
      </w:pPr>
    </w:p>
    <w:p>
      <w:pPr>
        <w:ind w:left="707" w:right="4599" w:hanging="350"/>
        <w:spacing w:after="0" w:line="241" w:lineRule="auto"/>
        <w:tabs>
          <w:tab w:leader="none" w:pos="707" w:val="left"/>
        </w:tabs>
        <w:numPr>
          <w:ilvl w:val="1"/>
          <w:numId w:val="2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notices or communications to be given under this Agreement shall be in writing and shall be deemed delivered upon mail and/or hand delivery, and upon acknowledged telex or facsimile communication. The addresses are as follows (or to such other address as the party to receive the notice or request so designated by written notice to the other).</w:t>
      </w:r>
    </w:p>
    <w:p>
      <w:pPr>
        <w:spacing w:after="0" w:line="141" w:lineRule="exact"/>
        <w:rPr>
          <w:rFonts w:ascii="Courier New" w:cs="Courier New" w:eastAsia="Courier New" w:hAnsi="Courier New"/>
          <w:sz w:val="12"/>
          <w:szCs w:val="12"/>
          <w:color w:val="auto"/>
        </w:rPr>
      </w:pPr>
    </w:p>
    <w:p>
      <w:pPr>
        <w:ind w:left="707" w:right="845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If to Chipidea: [***]</w:t>
      </w:r>
    </w:p>
    <w:p>
      <w:pPr>
        <w:ind w:left="70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Microelectronics, S.A.</w:t>
      </w:r>
    </w:p>
    <w:p>
      <w:pPr>
        <w:spacing w:after="0" w:line="4" w:lineRule="exact"/>
        <w:rPr>
          <w:rFonts w:ascii="Courier New" w:cs="Courier New" w:eastAsia="Courier New" w:hAnsi="Courier New"/>
          <w:sz w:val="12"/>
          <w:szCs w:val="12"/>
          <w:color w:val="auto"/>
        </w:rPr>
      </w:pPr>
    </w:p>
    <w:p>
      <w:pPr>
        <w:ind w:left="707" w:right="653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Tagus Park, Parque de Ciencia e Tecnologia Edificio Inovacao IV, Sala 733</w:t>
      </w:r>
    </w:p>
    <w:p>
      <w:pPr>
        <w:spacing w:after="0" w:line="4" w:lineRule="exact"/>
        <w:rPr>
          <w:rFonts w:ascii="Courier New" w:cs="Courier New" w:eastAsia="Courier New" w:hAnsi="Courier New"/>
          <w:sz w:val="12"/>
          <w:szCs w:val="12"/>
          <w:color w:val="auto"/>
        </w:rPr>
      </w:pPr>
    </w:p>
    <w:p>
      <w:pPr>
        <w:ind w:left="707" w:right="809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2780-920 Porto Salvo Portugal</w:t>
      </w:r>
    </w:p>
    <w:p>
      <w:pPr>
        <w:spacing w:after="0" w:line="139" w:lineRule="exact"/>
        <w:rPr>
          <w:rFonts w:ascii="Courier New" w:cs="Courier New" w:eastAsia="Courier New" w:hAnsi="Courier New"/>
          <w:sz w:val="12"/>
          <w:szCs w:val="12"/>
          <w:color w:val="auto"/>
        </w:rPr>
      </w:pPr>
    </w:p>
    <w:p>
      <w:pPr>
        <w:ind w:left="147" w:hanging="147"/>
        <w:spacing w:after="0"/>
        <w:tabs>
          <w:tab w:leader="none" w:pos="147" w:val="left"/>
        </w:tabs>
        <w:numPr>
          <w:ilvl w:val="0"/>
          <w:numId w:val="2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899" w:hanging="7"/>
        <w:spacing w:after="0" w:line="280" w:lineRule="auto"/>
        <w:tabs>
          <w:tab w:leader="none" w:pos="435" w:val="left"/>
        </w:tabs>
        <w:numPr>
          <w:ilvl w:val="0"/>
          <w:numId w:val="27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62" w:name="page163"/>
    <w:bookmarkEnd w:id="162"/>
    <w:tbl>
      <w:tblPr>
        <w:tblLayout w:type="fixed"/>
        <w:tblInd w:w="707" w:type="dxa"/>
        <w:tblCellMar>
          <w:top w:w="0" w:type="dxa"/>
          <w:left w:w="0" w:type="dxa"/>
          <w:bottom w:w="0" w:type="dxa"/>
          <w:right w:w="0" w:type="dxa"/>
        </w:tblCellMar>
      </w:tblPr>
      <w:tr>
        <w:trPr>
          <w:trHeight w:val="136"/>
        </w:trPr>
        <w:tc>
          <w:tcPr>
            <w:tcW w:w="1440" w:type="dxa"/>
            <w:vAlign w:val="bottom"/>
            <w:gridSpan w:val="2"/>
          </w:tcPr>
          <w:p>
            <w:pPr>
              <w:spacing w:after="0"/>
              <w:rPr>
                <w:sz w:val="20"/>
                <w:szCs w:val="20"/>
                <w:color w:val="auto"/>
              </w:rPr>
            </w:pPr>
            <w:r>
              <w:rPr>
                <w:rFonts w:ascii="Courier New" w:cs="Courier New" w:eastAsia="Courier New" w:hAnsi="Courier New"/>
                <w:sz w:val="12"/>
                <w:szCs w:val="12"/>
                <w:color w:val="auto"/>
              </w:rPr>
              <w:t>VAT Number: [***]</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4"/>
        </w:trPr>
        <w:tc>
          <w:tcPr>
            <w:tcW w:w="440" w:type="dxa"/>
            <w:vAlign w:val="bottom"/>
          </w:tcPr>
          <w:p>
            <w:pPr>
              <w:spacing w:after="0"/>
              <w:rPr>
                <w:sz w:val="20"/>
                <w:szCs w:val="20"/>
                <w:color w:val="auto"/>
              </w:rPr>
            </w:pPr>
            <w:r>
              <w:rPr>
                <w:rFonts w:ascii="Courier New" w:cs="Courier New" w:eastAsia="Courier New" w:hAnsi="Courier New"/>
                <w:sz w:val="12"/>
                <w:szCs w:val="12"/>
                <w:color w:val="auto"/>
              </w:rPr>
              <w:t>Tel:</w:t>
            </w:r>
          </w:p>
        </w:tc>
        <w:tc>
          <w:tcPr>
            <w:tcW w:w="10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ind w:left="60"/>
              <w:spacing w:after="0"/>
              <w:rPr>
                <w:sz w:val="20"/>
                <w:szCs w:val="20"/>
                <w:color w:val="auto"/>
              </w:rPr>
            </w:pPr>
            <w:r>
              <w:rPr>
                <w:rFonts w:ascii="Courier New" w:cs="Courier New" w:eastAsia="Courier New" w:hAnsi="Courier New"/>
                <w:sz w:val="12"/>
                <w:szCs w:val="12"/>
                <w:color w:val="auto"/>
              </w:rPr>
              <w:t>Fax:</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549"/>
        </w:trPr>
        <w:tc>
          <w:tcPr>
            <w:tcW w:w="440" w:type="dxa"/>
            <w:vAlign w:val="bottom"/>
          </w:tcPr>
          <w:p>
            <w:pPr>
              <w:spacing w:after="0"/>
              <w:rPr>
                <w:sz w:val="20"/>
                <w:szCs w:val="20"/>
                <w:color w:val="auto"/>
              </w:rPr>
            </w:pPr>
            <w:r>
              <w:rPr>
                <w:rFonts w:ascii="Courier New" w:cs="Courier New" w:eastAsia="Courier New" w:hAnsi="Courier New"/>
                <w:sz w:val="12"/>
                <w:szCs w:val="12"/>
                <w:color w:val="auto"/>
              </w:rPr>
              <w:t>If to</w:t>
            </w:r>
          </w:p>
        </w:tc>
        <w:tc>
          <w:tcPr>
            <w:tcW w:w="1000" w:type="dxa"/>
            <w:vAlign w:val="bottom"/>
          </w:tcPr>
          <w:p>
            <w:pPr>
              <w:spacing w:after="0"/>
              <w:rPr>
                <w:sz w:val="20"/>
                <w:szCs w:val="20"/>
                <w:color w:val="auto"/>
              </w:rPr>
            </w:pPr>
            <w:r>
              <w:rPr>
                <w:rFonts w:ascii="Courier New" w:cs="Courier New" w:eastAsia="Courier New" w:hAnsi="Courier New"/>
                <w:sz w:val="12"/>
                <w:szCs w:val="12"/>
                <w:color w:val="auto"/>
              </w:rPr>
              <w:t>Tower:</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37"/>
        </w:trPr>
        <w:tc>
          <w:tcPr>
            <w:tcW w:w="4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7"/>
        </w:trPr>
        <w:tc>
          <w:tcPr>
            <w:tcW w:w="440" w:type="dxa"/>
            <w:vAlign w:val="bottom"/>
          </w:tcPr>
          <w:p>
            <w:pPr>
              <w:spacing w:after="0"/>
              <w:rPr>
                <w:sz w:val="20"/>
                <w:szCs w:val="20"/>
                <w:color w:val="auto"/>
              </w:rPr>
            </w:pPr>
            <w:r>
              <w:rPr>
                <w:rFonts w:ascii="Courier New" w:cs="Courier New" w:eastAsia="Courier New" w:hAnsi="Courier New"/>
                <w:sz w:val="12"/>
                <w:szCs w:val="12"/>
                <w:color w:val="auto"/>
              </w:rPr>
              <w:t>Tower</w:t>
            </w:r>
          </w:p>
        </w:tc>
        <w:tc>
          <w:tcPr>
            <w:tcW w:w="1500" w:type="dxa"/>
            <w:vAlign w:val="bottom"/>
            <w:gridSpan w:val="2"/>
          </w:tcPr>
          <w:p>
            <w:pPr>
              <w:spacing w:after="0"/>
              <w:rPr>
                <w:sz w:val="20"/>
                <w:szCs w:val="20"/>
                <w:color w:val="auto"/>
              </w:rPr>
            </w:pPr>
            <w:r>
              <w:rPr>
                <w:rFonts w:ascii="Courier New" w:cs="Courier New" w:eastAsia="Courier New" w:hAnsi="Courier New"/>
                <w:sz w:val="12"/>
                <w:szCs w:val="12"/>
                <w:color w:val="auto"/>
                <w:w w:val="97"/>
              </w:rPr>
              <w:t>Semiconductor Limited</w:t>
            </w:r>
          </w:p>
        </w:tc>
        <w:tc>
          <w:tcPr>
            <w:tcW w:w="360" w:type="dxa"/>
            <w:vAlign w:val="bottom"/>
          </w:tcPr>
          <w:p>
            <w:pPr>
              <w:spacing w:after="0"/>
              <w:rPr>
                <w:sz w:val="11"/>
                <w:szCs w:val="11"/>
                <w:color w:val="auto"/>
              </w:rPr>
            </w:pPr>
          </w:p>
        </w:tc>
      </w:tr>
      <w:tr>
        <w:trPr>
          <w:trHeight w:val="137"/>
        </w:trPr>
        <w:tc>
          <w:tcPr>
            <w:tcW w:w="440" w:type="dxa"/>
            <w:vAlign w:val="bottom"/>
          </w:tcPr>
          <w:p>
            <w:pPr>
              <w:spacing w:after="0"/>
              <w:rPr>
                <w:sz w:val="20"/>
                <w:szCs w:val="20"/>
                <w:color w:val="auto"/>
              </w:rPr>
            </w:pPr>
            <w:r>
              <w:rPr>
                <w:rFonts w:ascii="Courier New" w:cs="Courier New" w:eastAsia="Courier New" w:hAnsi="Courier New"/>
                <w:sz w:val="12"/>
                <w:szCs w:val="12"/>
                <w:color w:val="auto"/>
              </w:rPr>
              <w:t>Ramat</w:t>
            </w:r>
          </w:p>
        </w:tc>
        <w:tc>
          <w:tcPr>
            <w:tcW w:w="1860" w:type="dxa"/>
            <w:vAlign w:val="bottom"/>
            <w:gridSpan w:val="3"/>
          </w:tcPr>
          <w:p>
            <w:pPr>
              <w:spacing w:after="0"/>
              <w:rPr>
                <w:sz w:val="20"/>
                <w:szCs w:val="20"/>
                <w:color w:val="auto"/>
              </w:rPr>
            </w:pPr>
            <w:r>
              <w:rPr>
                <w:rFonts w:ascii="Courier New" w:cs="Courier New" w:eastAsia="Courier New" w:hAnsi="Courier New"/>
                <w:sz w:val="12"/>
                <w:szCs w:val="12"/>
                <w:color w:val="auto"/>
              </w:rPr>
              <w:t>Gavriel Industrial Park,</w:t>
            </w:r>
          </w:p>
        </w:tc>
      </w:tr>
      <w:tr>
        <w:trPr>
          <w:trHeight w:val="137"/>
        </w:trPr>
        <w:tc>
          <w:tcPr>
            <w:tcW w:w="1440" w:type="dxa"/>
            <w:vAlign w:val="bottom"/>
            <w:gridSpan w:val="2"/>
          </w:tcPr>
          <w:p>
            <w:pPr>
              <w:spacing w:after="0"/>
              <w:rPr>
                <w:sz w:val="20"/>
                <w:szCs w:val="20"/>
                <w:color w:val="auto"/>
              </w:rPr>
            </w:pPr>
            <w:r>
              <w:rPr>
                <w:rFonts w:ascii="Courier New" w:cs="Courier New" w:eastAsia="Courier New" w:hAnsi="Courier New"/>
                <w:sz w:val="12"/>
                <w:szCs w:val="12"/>
                <w:color w:val="auto"/>
              </w:rPr>
              <w:t>PO Box 619</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7"/>
        </w:trPr>
        <w:tc>
          <w:tcPr>
            <w:tcW w:w="1440" w:type="dxa"/>
            <w:vAlign w:val="bottom"/>
            <w:gridSpan w:val="2"/>
          </w:tcPr>
          <w:p>
            <w:pPr>
              <w:spacing w:after="0"/>
              <w:rPr>
                <w:sz w:val="20"/>
                <w:szCs w:val="20"/>
                <w:color w:val="auto"/>
              </w:rPr>
            </w:pPr>
            <w:r>
              <w:rPr>
                <w:rFonts w:ascii="Courier New" w:cs="Courier New" w:eastAsia="Courier New" w:hAnsi="Courier New"/>
                <w:sz w:val="12"/>
                <w:szCs w:val="12"/>
                <w:color w:val="auto"/>
              </w:rPr>
              <w:t>Midgal Haemek 23105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37"/>
        </w:trPr>
        <w:tc>
          <w:tcPr>
            <w:tcW w:w="440" w:type="dxa"/>
            <w:vAlign w:val="bottom"/>
          </w:tcPr>
          <w:p>
            <w:pPr>
              <w:spacing w:after="0"/>
              <w:rPr>
                <w:sz w:val="20"/>
                <w:szCs w:val="20"/>
                <w:color w:val="auto"/>
              </w:rPr>
            </w:pPr>
            <w:r>
              <w:rPr>
                <w:rFonts w:ascii="Courier New" w:cs="Courier New" w:eastAsia="Courier New" w:hAnsi="Courier New"/>
                <w:sz w:val="12"/>
                <w:szCs w:val="12"/>
                <w:color w:val="auto"/>
                <w:w w:val="97"/>
              </w:rPr>
              <w:t>Israel</w:t>
            </w: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74"/>
        </w:trPr>
        <w:tc>
          <w:tcPr>
            <w:tcW w:w="1440" w:type="dxa"/>
            <w:vAlign w:val="bottom"/>
            <w:gridSpan w:val="2"/>
          </w:tcPr>
          <w:p>
            <w:pPr>
              <w:spacing w:after="0"/>
              <w:rPr>
                <w:sz w:val="20"/>
                <w:szCs w:val="20"/>
                <w:color w:val="auto"/>
              </w:rPr>
            </w:pPr>
            <w:r>
              <w:rPr>
                <w:rFonts w:ascii="Courier New" w:cs="Courier New" w:eastAsia="Courier New" w:hAnsi="Courier New"/>
                <w:sz w:val="12"/>
                <w:szCs w:val="12"/>
                <w:color w:val="auto"/>
              </w:rPr>
              <w:t>Tel: [***],</w:t>
            </w:r>
          </w:p>
        </w:tc>
        <w:tc>
          <w:tcPr>
            <w:tcW w:w="500" w:type="dxa"/>
            <w:vAlign w:val="bottom"/>
          </w:tcPr>
          <w:p>
            <w:pPr>
              <w:ind w:left="60"/>
              <w:spacing w:after="0"/>
              <w:rPr>
                <w:sz w:val="20"/>
                <w:szCs w:val="20"/>
                <w:color w:val="auto"/>
              </w:rPr>
            </w:pPr>
            <w:r>
              <w:rPr>
                <w:rFonts w:ascii="Courier New" w:cs="Courier New" w:eastAsia="Courier New" w:hAnsi="Courier New"/>
                <w:sz w:val="12"/>
                <w:szCs w:val="12"/>
                <w:color w:val="auto"/>
              </w:rPr>
              <w:t>Fax:</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w:t>
            </w:r>
          </w:p>
        </w:tc>
      </w:tr>
      <w:tr>
        <w:trPr>
          <w:trHeight w:val="274"/>
        </w:trPr>
        <w:tc>
          <w:tcPr>
            <w:tcW w:w="1440" w:type="dxa"/>
            <w:vAlign w:val="bottom"/>
            <w:gridSpan w:val="2"/>
          </w:tcPr>
          <w:p>
            <w:pPr>
              <w:spacing w:after="0"/>
              <w:rPr>
                <w:sz w:val="20"/>
                <w:szCs w:val="20"/>
                <w:color w:val="auto"/>
              </w:rPr>
            </w:pPr>
            <w:r>
              <w:rPr>
                <w:rFonts w:ascii="Courier New" w:cs="Courier New" w:eastAsia="Courier New" w:hAnsi="Courier New"/>
                <w:sz w:val="12"/>
                <w:szCs w:val="12"/>
                <w:color w:val="auto"/>
              </w:rPr>
              <w:t>VAT Number:</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141" w:lineRule="exact"/>
        <w:rPr>
          <w:sz w:val="20"/>
          <w:szCs w:val="20"/>
          <w:color w:val="auto"/>
        </w:rPr>
      </w:pPr>
    </w:p>
    <w:p>
      <w:pPr>
        <w:ind w:left="707" w:right="4599" w:hanging="350"/>
        <w:spacing w:after="0"/>
        <w:tabs>
          <w:tab w:leader="none" w:pos="707" w:val="left"/>
        </w:tabs>
        <w:numPr>
          <w:ilvl w:val="1"/>
          <w:numId w:val="2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terms and conditions of this Agreement may not be superseded, modified, or amended except in writing which states that it is such a modification, and is signed by an authorized representative of each party hereto.</w:t>
      </w:r>
    </w:p>
    <w:p>
      <w:pPr>
        <w:spacing w:after="0" w:line="142"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including exhibits, constitutes the entire Agreement between the parties as to the subject matter hereof, and supersedes and replaces all prior or contemporaneous agreements, written or oral, regarding such subject matter, and shall take precedence over any additional or conflicting terms which may be contained in either party's purchase orders or order acknowledgment forms.</w:t>
      </w:r>
    </w:p>
    <w:p>
      <w:pPr>
        <w:spacing w:after="0" w:line="141" w:lineRule="exact"/>
        <w:rPr>
          <w:rFonts w:ascii="Courier New" w:cs="Courier New" w:eastAsia="Courier New" w:hAnsi="Courier New"/>
          <w:sz w:val="12"/>
          <w:szCs w:val="12"/>
          <w:color w:val="auto"/>
        </w:rPr>
      </w:pPr>
    </w:p>
    <w:p>
      <w:pPr>
        <w:ind w:left="707" w:right="4599" w:hanging="350"/>
        <w:spacing w:after="0" w:line="266" w:lineRule="auto"/>
        <w:tabs>
          <w:tab w:leader="none" w:pos="707" w:val="left"/>
        </w:tabs>
        <w:numPr>
          <w:ilvl w:val="1"/>
          <w:numId w:val="2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Force Majeure. Neither party shall be considered in default in the performance of any obligation hereunder to the extent that the performance of such obligation is prevented or delayed by a "FORCE MAJEURE EVENT", which is defined to include a fire, flood, explosion, strike, war, insurrection, embargo, government requirement, act of civil or military authority, act of God, or any similar event, occurrence or condition which is not caused, in whole or in part, by that party, and which is beyond the reasonable control of that party.</w:t>
      </w:r>
    </w:p>
    <w:p>
      <w:pPr>
        <w:spacing w:after="0" w:line="130" w:lineRule="exact"/>
        <w:rPr>
          <w:rFonts w:ascii="Courier New" w:cs="Courier New" w:eastAsia="Courier New" w:hAnsi="Courier New"/>
          <w:sz w:val="11"/>
          <w:szCs w:val="11"/>
          <w:color w:val="auto"/>
        </w:rPr>
      </w:pPr>
    </w:p>
    <w:p>
      <w:pPr>
        <w:ind w:left="707" w:right="4539" w:hanging="350"/>
        <w:spacing w:after="0" w:line="241" w:lineRule="auto"/>
        <w:tabs>
          <w:tab w:leader="none" w:pos="707" w:val="left"/>
        </w:tabs>
        <w:numPr>
          <w:ilvl w:val="1"/>
          <w:numId w:val="2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Independent Contractors. The parties to this License are independent contractors. Neither party is an agent, representative or partner of the other party. Neither party shall have any right, power or authority to enter into any agreement for or on behalf of, or to incur any obligation or liability for, or to otherwise bind, the other party. Neither party shall make any representations and warranties to third parties regarding the other party's Property, products and/or services. This Agreement shall not be interpreted or construed to create an association, joint venture or partnership between the parties or to impose any partnership obligation or liability upon either party.</w:t>
      </w:r>
    </w:p>
    <w:p>
      <w:pPr>
        <w:spacing w:after="0" w:line="142" w:lineRule="exact"/>
        <w:rPr>
          <w:rFonts w:ascii="Courier New" w:cs="Courier New" w:eastAsia="Courier New" w:hAnsi="Courier New"/>
          <w:sz w:val="12"/>
          <w:szCs w:val="12"/>
          <w:color w:val="auto"/>
        </w:rPr>
      </w:pPr>
    </w:p>
    <w:p>
      <w:pPr>
        <w:ind w:left="147" w:hanging="147"/>
        <w:spacing w:after="0"/>
        <w:tabs>
          <w:tab w:leader="none" w:pos="147" w:val="left"/>
        </w:tabs>
        <w:numPr>
          <w:ilvl w:val="0"/>
          <w:numId w:val="2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899" w:hanging="7"/>
        <w:spacing w:after="0" w:line="280" w:lineRule="auto"/>
        <w:tabs>
          <w:tab w:leader="none" w:pos="435" w:val="left"/>
        </w:tabs>
        <w:numPr>
          <w:ilvl w:val="0"/>
          <w:numId w:val="2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69" w:right="1440" w:bottom="1440" w:gutter="0" w:footer="0" w:header="0"/>
        </w:sectPr>
      </w:pPr>
    </w:p>
    <w:bookmarkStart w:id="163" w:name="page164"/>
    <w:bookmarkEnd w:id="163"/>
    <w:p>
      <w:pPr>
        <w:ind w:left="707" w:right="4539" w:hanging="350"/>
        <w:spacing w:after="0" w:line="241" w:lineRule="auto"/>
        <w:tabs>
          <w:tab w:leader="none" w:pos="707" w:val="left"/>
        </w:tabs>
        <w:numPr>
          <w:ilvl w:val="1"/>
          <w:numId w:val="2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Severability. If any provision of this License is found invalid or unenforceable by a court of law or an arbitration panel, the remainder of this License shall continue in full force and effect and the applicable provision shall remain in effect to the maximum extent permissible by law.</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FABRICATION AND EVALUATION OF THE IP</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With respect to each IP Block:</w:t>
      </w:r>
    </w:p>
    <w:p>
      <w:pPr>
        <w:spacing w:after="0" w:line="139" w:lineRule="exact"/>
        <w:rPr>
          <w:sz w:val="20"/>
          <w:szCs w:val="20"/>
          <w:color w:val="auto"/>
        </w:rPr>
      </w:pPr>
    </w:p>
    <w:p>
      <w:pPr>
        <w:ind w:left="707" w:hanging="350"/>
        <w:spacing w:after="0"/>
        <w:tabs>
          <w:tab w:leader="none" w:pos="707" w:val="left"/>
        </w:tabs>
        <w:numPr>
          <w:ilvl w:val="1"/>
          <w:numId w:val="2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Tower does not report on any deviations from Specification, within</w:t>
      </w:r>
    </w:p>
    <w:p>
      <w:pPr>
        <w:spacing w:after="0" w:line="4" w:lineRule="exact"/>
        <w:rPr>
          <w:rFonts w:ascii="Courier New" w:cs="Courier New" w:eastAsia="Courier New" w:hAnsi="Courier New"/>
          <w:sz w:val="12"/>
          <w:szCs w:val="12"/>
          <w:color w:val="auto"/>
        </w:rPr>
      </w:pPr>
    </w:p>
    <w:p>
      <w:pPr>
        <w:ind w:left="707" w:right="4539" w:firstLine="7"/>
        <w:spacing w:after="0" w:line="239" w:lineRule="auto"/>
        <w:tabs>
          <w:tab w:leader="none" w:pos="1135" w:val="left"/>
        </w:tabs>
        <w:numPr>
          <w:ilvl w:val="2"/>
          <w:numId w:val="2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from receipt by Tower of Chipidea's silicon validation report for such IP Block, then such IP Block will be deemed to be accepted by Tower.</w:t>
      </w:r>
    </w:p>
    <w:p>
      <w:pPr>
        <w:spacing w:after="0" w:line="142" w:lineRule="exact"/>
        <w:rPr>
          <w:rFonts w:ascii="Courier New" w:cs="Courier New" w:eastAsia="Courier New" w:hAnsi="Courier New"/>
          <w:sz w:val="12"/>
          <w:szCs w:val="12"/>
          <w:color w:val="auto"/>
        </w:rPr>
      </w:pPr>
    </w:p>
    <w:p>
      <w:pPr>
        <w:jc w:val="both"/>
        <w:ind w:left="707" w:right="4679" w:hanging="350"/>
        <w:spacing w:after="0" w:line="239" w:lineRule="auto"/>
        <w:tabs>
          <w:tab w:leader="none" w:pos="707" w:val="left"/>
        </w:tabs>
        <w:numPr>
          <w:ilvl w:val="1"/>
          <w:numId w:val="2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Tower does not start fabrication of a Test Chip for such IP Block within [***] from receipt of the Test Chip [***], then such IP Block will be deemed to be accepted by Tower.</w:t>
      </w:r>
    </w:p>
    <w:p>
      <w:pPr>
        <w:spacing w:after="0" w:line="142"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is responsible for: (i) the design work needed to meet the agreed Specification; (ii) Provision of a Test Chip in [***] format to Tower; (iii) Defining the Package required for each Test Chip dice fabricated by Tower (including bonding diagram) and packaging each Test Chip; (iv) Characterizing the Test Chip at a the Process, Voltage and Temperature ranges as agreed in the Specification; Writing a silicon validation report comparing fabricated Test Chip results with the Specification. Tower is responsible for all silicon wafer fabrication activities and for each Test Chip shall deliver to Chipidea [***] for packaging and testing by Chipidea.</w:t>
      </w:r>
    </w:p>
    <w:p>
      <w:pPr>
        <w:spacing w:after="0" w:line="144" w:lineRule="exact"/>
        <w:rPr>
          <w:rFonts w:ascii="Courier New" w:cs="Courier New" w:eastAsia="Courier New" w:hAnsi="Courier New"/>
          <w:sz w:val="12"/>
          <w:szCs w:val="12"/>
          <w:color w:val="auto"/>
        </w:rPr>
      </w:pPr>
    </w:p>
    <w:p>
      <w:pPr>
        <w:ind w:left="707" w:right="4899" w:hanging="350"/>
        <w:spacing w:after="0" w:line="280" w:lineRule="auto"/>
        <w:tabs>
          <w:tab w:leader="none" w:pos="707" w:val="left"/>
        </w:tabs>
        <w:numPr>
          <w:ilvl w:val="1"/>
          <w:numId w:val="2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Chipidea is responsible to provide comprehensive support for each Tower Customer which license an IP Block from Chipidea. [***]</w:t>
      </w:r>
    </w:p>
    <w:p>
      <w:pPr>
        <w:spacing w:after="0" w:line="118" w:lineRule="exact"/>
        <w:rPr>
          <w:rFonts w:ascii="Courier New" w:cs="Courier New" w:eastAsia="Courier New" w:hAnsi="Courier New"/>
          <w:sz w:val="11"/>
          <w:szCs w:val="11"/>
          <w:color w:val="auto"/>
        </w:rPr>
      </w:pPr>
    </w:p>
    <w:p>
      <w:pPr>
        <w:ind w:left="367" w:hanging="367"/>
        <w:spacing w:after="0"/>
        <w:tabs>
          <w:tab w:leader="none" w:pos="367" w:val="left"/>
        </w:tabs>
        <w:numPr>
          <w:ilvl w:val="0"/>
          <w:numId w:val="2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ENGINEERING CHANGE NOTES</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With respect to each IP Block developed by Chipidea:</w:t>
      </w:r>
    </w:p>
    <w:p>
      <w:pPr>
        <w:spacing w:after="0" w:line="141"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a. If Tower or Chipidea desires to make a modification to the specifications, Chipidea will initiate an Engineering Change Order (ECO), detailing the requested changes and their impact on timescales and costs. Before any work begins on the requested modification, the Managements of Tower and Chipidea have to agree to the contents of the ECO.</w:t>
      </w:r>
    </w:p>
    <w:p>
      <w:pPr>
        <w:spacing w:after="0" w:line="13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8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64" w:name="page165"/>
    <w:bookmarkEnd w:id="164"/>
    <w:p>
      <w:pPr>
        <w:ind w:left="7" w:right="4599" w:firstLine="357"/>
        <w:spacing w:after="0" w:line="241" w:lineRule="auto"/>
        <w:rPr>
          <w:sz w:val="20"/>
          <w:szCs w:val="20"/>
          <w:color w:val="auto"/>
        </w:rPr>
      </w:pPr>
      <w:r>
        <w:rPr>
          <w:rFonts w:ascii="Courier New" w:cs="Courier New" w:eastAsia="Courier New" w:hAnsi="Courier New"/>
          <w:sz w:val="12"/>
          <w:szCs w:val="12"/>
          <w:color w:val="auto"/>
        </w:rPr>
        <w:t>b. Notwithstanding section 13(a) above, in the event that following the delivery of the Deliverables of an IP Block by Chipidea, Tower introduces [***] that necessitate(s) a [***] change in the deliverables, Chipidea will redo the IP Block [***] , to the extent that the scope of such work does not exceed [***]. In the event the scope of the [***] work exceeds [***], Chipidea will estimate the scope of work required to redo the IP Block and will notify Tower through an ECO. Chipidea commits to perform [***] IP Block provided that Tower commits to pay for the amount of work exceeding [***] at a rate of [***] per [***].</w:t>
      </w:r>
    </w:p>
    <w:p>
      <w:pPr>
        <w:spacing w:after="0" w:line="144" w:lineRule="exact"/>
        <w:rPr>
          <w:sz w:val="20"/>
          <w:szCs w:val="20"/>
          <w:color w:val="auto"/>
        </w:rPr>
      </w:pPr>
    </w:p>
    <w:p>
      <w:pPr>
        <w:ind w:left="7" w:right="4539" w:firstLine="357"/>
        <w:spacing w:after="0" w:line="241" w:lineRule="auto"/>
        <w:rPr>
          <w:sz w:val="20"/>
          <w:szCs w:val="20"/>
          <w:color w:val="auto"/>
        </w:rPr>
      </w:pPr>
      <w:r>
        <w:rPr>
          <w:rFonts w:ascii="Courier New" w:cs="Courier New" w:eastAsia="Courier New" w:hAnsi="Courier New"/>
          <w:sz w:val="12"/>
          <w:szCs w:val="12"/>
          <w:color w:val="auto"/>
        </w:rPr>
        <w:t>c. Notwithstanding section 13(a) above, in the event that following the delivery of the Deliverables of an IP Block by Chipidea, Tower introduces a [***], Chipidea will re-characterize the IP Block to the updated [***] ([***]) and present the effects of the change to Tower in a report [***]. If following the report Tower believes that the IP Block needs to be re-validated on silicon, Tower will agree with Chip idea on a price for redoing a Test Chip for such IP Block and reporting the new silicon results to Tower, provided that the price for such activities shall not exceed [***] of the overall price paid by Tower for such IP Block.</w:t>
      </w:r>
    </w:p>
    <w:p>
      <w:pPr>
        <w:spacing w:after="0" w:line="14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A sample ECO can be seen in Exhibit F</w:t>
      </w:r>
    </w:p>
    <w:p>
      <w:pPr>
        <w:spacing w:after="0" w:line="139" w:lineRule="exact"/>
        <w:rPr>
          <w:sz w:val="20"/>
          <w:szCs w:val="20"/>
          <w:color w:val="auto"/>
        </w:rPr>
      </w:pPr>
    </w:p>
    <w:p>
      <w:pPr>
        <w:ind w:left="367" w:hanging="367"/>
        <w:spacing w:after="0"/>
        <w:tabs>
          <w:tab w:leader="none" w:pos="367" w:val="left"/>
        </w:tabs>
        <w:numPr>
          <w:ilvl w:val="0"/>
          <w:numId w:val="2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INSTANTIATION</w:t>
      </w:r>
    </w:p>
    <w:p>
      <w:pPr>
        <w:spacing w:after="0" w:line="138" w:lineRule="exact"/>
        <w:rPr>
          <w:rFonts w:ascii="Courier New" w:cs="Courier New" w:eastAsia="Courier New" w:hAnsi="Courier New"/>
          <w:sz w:val="12"/>
          <w:szCs w:val="12"/>
          <w:color w:val="auto"/>
        </w:rPr>
      </w:pPr>
    </w:p>
    <w:p>
      <w:pPr>
        <w:ind w:left="567" w:hanging="210"/>
        <w:spacing w:after="0"/>
        <w:tabs>
          <w:tab w:leader="none" w:pos="567" w:val="left"/>
        </w:tabs>
        <w:numPr>
          <w:ilvl w:val="1"/>
          <w:numId w:val="2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rFonts w:ascii="Courier New" w:cs="Courier New" w:eastAsia="Courier New" w:hAnsi="Courier New"/>
          <w:sz w:val="12"/>
          <w:szCs w:val="12"/>
          <w:color w:val="auto"/>
        </w:rPr>
      </w:pPr>
    </w:p>
    <w:p>
      <w:pPr>
        <w:jc w:val="both"/>
        <w:ind w:left="7" w:right="4539" w:firstLine="350"/>
        <w:spacing w:after="0" w:line="239" w:lineRule="auto"/>
        <w:tabs>
          <w:tab w:leader="none" w:pos="578" w:val="left"/>
        </w:tabs>
        <w:numPr>
          <w:ilvl w:val="1"/>
          <w:numId w:val="2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each IP Block used by a Tower Customer, the Tower Customer shall pay Chipidea a manufacturing license fee in accordance with the terms and conditions set forth in Exhibit E hereunder..</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2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JOINT MARKETING</w:t>
      </w:r>
    </w:p>
    <w:p>
      <w:pPr>
        <w:spacing w:after="0" w:line="141" w:lineRule="exact"/>
        <w:rPr>
          <w:rFonts w:ascii="Courier New" w:cs="Courier New" w:eastAsia="Courier New" w:hAnsi="Courier New"/>
          <w:sz w:val="12"/>
          <w:szCs w:val="12"/>
          <w:color w:val="auto"/>
        </w:rPr>
      </w:pPr>
    </w:p>
    <w:p>
      <w:pPr>
        <w:ind w:left="7" w:right="4539" w:firstLine="350"/>
        <w:spacing w:after="0" w:line="241" w:lineRule="auto"/>
        <w:tabs>
          <w:tab w:leader="none" w:pos="578" w:val="left"/>
        </w:tabs>
        <w:numPr>
          <w:ilvl w:val="1"/>
          <w:numId w:val="2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shall include Tower's name in its customer list and list all IP Blocks offered to Tower Customers on Chipidea's website in a similar fashion to the way other IP components are offered by Chipidea to customers of [***]. Each party may also use the other party's name, logo, trademarks and service capabilities in its promotional literature, collaterals, marketing website, presentations and correspondence to customers, provided that such party obtains the other party's prior approval, such approval not to be unreasonably withheld or delayed. Upon request, each party will provide its non-confidential sales collaterals, such as datasheets, brochures and manuals, to the other party, for purposes of introducing its services to potential customers.</w:t>
      </w:r>
    </w:p>
    <w:p>
      <w:pPr>
        <w:spacing w:after="0" w:line="144" w:lineRule="exact"/>
        <w:rPr>
          <w:rFonts w:ascii="Courier New" w:cs="Courier New" w:eastAsia="Courier New" w:hAnsi="Courier New"/>
          <w:sz w:val="12"/>
          <w:szCs w:val="12"/>
          <w:color w:val="auto"/>
        </w:rPr>
      </w:pPr>
    </w:p>
    <w:p>
      <w:pPr>
        <w:ind w:left="7" w:right="4599" w:firstLine="350"/>
        <w:spacing w:after="0"/>
        <w:tabs>
          <w:tab w:leader="none" w:pos="578" w:val="left"/>
        </w:tabs>
        <w:numPr>
          <w:ilvl w:val="1"/>
          <w:numId w:val="2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and Tower shall jointly announce the existence of their relationship and of this Agreement through a joint press release within [***] after the Effective Date of this Agreement. The text of the joint press release shall be mutually agreed upon by Chipidea and Tower.</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65" w:name="page166"/>
    <w:bookmarkEnd w:id="165"/>
    <w:p>
      <w:pPr>
        <w:ind w:right="4679"/>
        <w:spacing w:after="0" w:line="238" w:lineRule="auto"/>
        <w:rPr>
          <w:sz w:val="20"/>
          <w:szCs w:val="20"/>
          <w:color w:val="auto"/>
        </w:rPr>
      </w:pPr>
      <w:r>
        <w:rPr>
          <w:rFonts w:ascii="Courier New" w:cs="Courier New" w:eastAsia="Courier New" w:hAnsi="Courier New"/>
          <w:sz w:val="12"/>
          <w:szCs w:val="12"/>
          <w:color w:val="auto"/>
        </w:rPr>
        <w:t>In witness whereof, the parties hereto have caused this Agreement to be signed below by their authorized representatives.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780" w:type="dxa"/>
            <w:vAlign w:val="bottom"/>
            <w:gridSpan w:val="3"/>
          </w:tcPr>
          <w:p>
            <w:pPr>
              <w:spacing w:after="0"/>
              <w:rPr>
                <w:sz w:val="20"/>
                <w:szCs w:val="20"/>
                <w:color w:val="auto"/>
              </w:rPr>
            </w:pPr>
            <w:r>
              <w:rPr>
                <w:rFonts w:ascii="Courier New" w:cs="Courier New" w:eastAsia="Courier New" w:hAnsi="Courier New"/>
                <w:sz w:val="12"/>
                <w:szCs w:val="12"/>
                <w:color w:val="auto"/>
              </w:rPr>
              <w:t>CHIPIDEA MICROELECTRONICS S.A.</w:t>
            </w:r>
          </w:p>
        </w:tc>
        <w:tc>
          <w:tcPr>
            <w:tcW w:w="2700" w:type="dxa"/>
            <w:vAlign w:val="bottom"/>
          </w:tcPr>
          <w:p>
            <w:pPr>
              <w:ind w:left="360"/>
              <w:spacing w:after="0"/>
              <w:rPr>
                <w:sz w:val="20"/>
                <w:szCs w:val="20"/>
                <w:color w:val="auto"/>
              </w:rPr>
            </w:pPr>
            <w:r>
              <w:rPr>
                <w:rFonts w:ascii="Courier New" w:cs="Courier New" w:eastAsia="Courier New" w:hAnsi="Courier New"/>
                <w:sz w:val="12"/>
                <w:szCs w:val="12"/>
                <w:color w:val="auto"/>
              </w:rPr>
              <w:t>TOWER SEMICONDUCTOR LTD.</w:t>
            </w:r>
          </w:p>
        </w:tc>
      </w:tr>
      <w:tr>
        <w:trPr>
          <w:trHeight w:val="274"/>
        </w:trPr>
        <w:tc>
          <w:tcPr>
            <w:tcW w:w="2780" w:type="dxa"/>
            <w:vAlign w:val="bottom"/>
            <w:gridSpan w:val="3"/>
          </w:tcPr>
          <w:p>
            <w:pPr>
              <w:spacing w:after="0"/>
              <w:rPr>
                <w:sz w:val="20"/>
                <w:szCs w:val="20"/>
                <w:color w:val="auto"/>
              </w:rPr>
            </w:pPr>
            <w:r>
              <w:rPr>
                <w:rFonts w:ascii="Courier New" w:cs="Courier New" w:eastAsia="Courier New" w:hAnsi="Courier New"/>
                <w:sz w:val="12"/>
                <w:szCs w:val="12"/>
                <w:color w:val="auto"/>
              </w:rPr>
              <w:t>By: ______________________________</w:t>
            </w:r>
          </w:p>
        </w:tc>
        <w:tc>
          <w:tcPr>
            <w:tcW w:w="2700" w:type="dxa"/>
            <w:vAlign w:val="bottom"/>
          </w:tcPr>
          <w:p>
            <w:pPr>
              <w:ind w:left="360"/>
              <w:spacing w:after="0"/>
              <w:rPr>
                <w:sz w:val="20"/>
                <w:szCs w:val="20"/>
                <w:color w:val="auto"/>
              </w:rPr>
            </w:pPr>
            <w:r>
              <w:rPr>
                <w:rFonts w:ascii="Courier New" w:cs="Courier New" w:eastAsia="Courier New" w:hAnsi="Courier New"/>
                <w:sz w:val="12"/>
                <w:szCs w:val="12"/>
                <w:color w:val="auto"/>
                <w:w w:val="97"/>
              </w:rPr>
              <w:t>By:______________________________</w:t>
            </w:r>
          </w:p>
        </w:tc>
      </w:tr>
      <w:tr>
        <w:trPr>
          <w:trHeight w:val="274"/>
        </w:trPr>
        <w:tc>
          <w:tcPr>
            <w:tcW w:w="1380" w:type="dxa"/>
            <w:vAlign w:val="bottom"/>
            <w:gridSpan w:val="2"/>
          </w:tcPr>
          <w:p>
            <w:pPr>
              <w:spacing w:after="0"/>
              <w:rPr>
                <w:sz w:val="20"/>
                <w:szCs w:val="20"/>
                <w:color w:val="auto"/>
              </w:rPr>
            </w:pPr>
            <w:r>
              <w:rPr>
                <w:rFonts w:ascii="Courier New" w:cs="Courier New" w:eastAsia="Courier New" w:hAnsi="Courier New"/>
                <w:sz w:val="12"/>
                <w:szCs w:val="12"/>
                <w:color w:val="auto"/>
                <w:w w:val="99"/>
              </w:rPr>
              <w:t>Name: Jose Epifanio</w:t>
            </w:r>
          </w:p>
        </w:tc>
        <w:tc>
          <w:tcPr>
            <w:tcW w:w="1400" w:type="dxa"/>
            <w:vAlign w:val="bottom"/>
          </w:tcPr>
          <w:p>
            <w:pPr>
              <w:ind w:left="40"/>
              <w:spacing w:after="0"/>
              <w:rPr>
                <w:sz w:val="20"/>
                <w:szCs w:val="20"/>
                <w:color w:val="auto"/>
              </w:rPr>
            </w:pPr>
            <w:r>
              <w:rPr>
                <w:rFonts w:ascii="Courier New" w:cs="Courier New" w:eastAsia="Courier New" w:hAnsi="Courier New"/>
                <w:sz w:val="12"/>
                <w:szCs w:val="12"/>
                <w:color w:val="auto"/>
              </w:rPr>
              <w:t>da Franca</w:t>
            </w:r>
          </w:p>
        </w:tc>
        <w:tc>
          <w:tcPr>
            <w:tcW w:w="2700" w:type="dxa"/>
            <w:vAlign w:val="bottom"/>
          </w:tcPr>
          <w:p>
            <w:pPr>
              <w:ind w:left="360"/>
              <w:spacing w:after="0"/>
              <w:rPr>
                <w:sz w:val="20"/>
                <w:szCs w:val="20"/>
                <w:color w:val="auto"/>
              </w:rPr>
            </w:pPr>
            <w:r>
              <w:rPr>
                <w:rFonts w:ascii="Courier New" w:cs="Courier New" w:eastAsia="Courier New" w:hAnsi="Courier New"/>
                <w:sz w:val="12"/>
                <w:szCs w:val="12"/>
                <w:color w:val="auto"/>
              </w:rPr>
              <w:t>Name: Yoav Nissan Cohen</w:t>
            </w:r>
          </w:p>
        </w:tc>
      </w:tr>
      <w:tr>
        <w:trPr>
          <w:trHeight w:val="274"/>
        </w:trPr>
        <w:tc>
          <w:tcPr>
            <w:tcW w:w="380" w:type="dxa"/>
            <w:vAlign w:val="bottom"/>
          </w:tcPr>
          <w:p>
            <w:pPr>
              <w:spacing w:after="0"/>
              <w:rPr>
                <w:sz w:val="20"/>
                <w:szCs w:val="20"/>
                <w:color w:val="auto"/>
              </w:rPr>
            </w:pPr>
            <w:r>
              <w:rPr>
                <w:rFonts w:ascii="Courier New" w:cs="Courier New" w:eastAsia="Courier New" w:hAnsi="Courier New"/>
                <w:sz w:val="12"/>
                <w:szCs w:val="12"/>
                <w:color w:val="auto"/>
                <w:w w:val="99"/>
              </w:rPr>
              <w:t>Title</w:t>
            </w:r>
          </w:p>
        </w:tc>
        <w:tc>
          <w:tcPr>
            <w:tcW w:w="1000" w:type="dxa"/>
            <w:vAlign w:val="bottom"/>
          </w:tcPr>
          <w:p>
            <w:pPr>
              <w:ind w:left="40"/>
              <w:spacing w:after="0"/>
              <w:rPr>
                <w:sz w:val="20"/>
                <w:szCs w:val="20"/>
                <w:color w:val="auto"/>
              </w:rPr>
            </w:pPr>
            <w:r>
              <w:rPr>
                <w:rFonts w:ascii="Courier New" w:cs="Courier New" w:eastAsia="Courier New" w:hAnsi="Courier New"/>
                <w:sz w:val="12"/>
                <w:szCs w:val="12"/>
                <w:color w:val="auto"/>
              </w:rPr>
              <w:t>President and</w:t>
            </w:r>
          </w:p>
        </w:tc>
        <w:tc>
          <w:tcPr>
            <w:tcW w:w="1400" w:type="dxa"/>
            <w:vAlign w:val="bottom"/>
          </w:tcPr>
          <w:p>
            <w:pPr>
              <w:ind w:left="40"/>
              <w:spacing w:after="0"/>
              <w:rPr>
                <w:sz w:val="20"/>
                <w:szCs w:val="20"/>
                <w:color w:val="auto"/>
              </w:rPr>
            </w:pPr>
            <w:r>
              <w:rPr>
                <w:rFonts w:ascii="Courier New" w:cs="Courier New" w:eastAsia="Courier New" w:hAnsi="Courier New"/>
                <w:sz w:val="12"/>
                <w:szCs w:val="12"/>
                <w:color w:val="auto"/>
              </w:rPr>
              <w:t>CEO</w:t>
            </w:r>
          </w:p>
        </w:tc>
        <w:tc>
          <w:tcPr>
            <w:tcW w:w="2700" w:type="dxa"/>
            <w:vAlign w:val="bottom"/>
          </w:tcPr>
          <w:p>
            <w:pPr>
              <w:ind w:left="360"/>
              <w:spacing w:after="0"/>
              <w:rPr>
                <w:sz w:val="20"/>
                <w:szCs w:val="20"/>
                <w:color w:val="auto"/>
              </w:rPr>
            </w:pPr>
            <w:r>
              <w:rPr>
                <w:rFonts w:ascii="Courier New" w:cs="Courier New" w:eastAsia="Courier New" w:hAnsi="Courier New"/>
                <w:sz w:val="12"/>
                <w:szCs w:val="12"/>
                <w:color w:val="auto"/>
              </w:rPr>
              <w:t>Title: Co-CEO</w:t>
            </w:r>
          </w:p>
        </w:tc>
      </w:tr>
      <w:tr>
        <w:trPr>
          <w:trHeight w:val="274"/>
        </w:trPr>
        <w:tc>
          <w:tcPr>
            <w:tcW w:w="380" w:type="dxa"/>
            <w:vAlign w:val="bottom"/>
          </w:tcPr>
          <w:p>
            <w:pPr>
              <w:spacing w:after="0"/>
              <w:rPr>
                <w:sz w:val="20"/>
                <w:szCs w:val="20"/>
                <w:color w:val="auto"/>
              </w:rPr>
            </w:pPr>
            <w:r>
              <w:rPr>
                <w:rFonts w:ascii="Courier New" w:cs="Courier New" w:eastAsia="Courier New" w:hAnsi="Courier New"/>
                <w:sz w:val="12"/>
                <w:szCs w:val="12"/>
                <w:color w:val="auto"/>
                <w:w w:val="99"/>
              </w:rPr>
              <w:t>Date:</w:t>
            </w:r>
          </w:p>
        </w:tc>
        <w:tc>
          <w:tcPr>
            <w:tcW w:w="240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____________________________</w:t>
            </w:r>
          </w:p>
        </w:tc>
        <w:tc>
          <w:tcPr>
            <w:tcW w:w="2700" w:type="dxa"/>
            <w:vAlign w:val="bottom"/>
          </w:tcPr>
          <w:p>
            <w:pPr>
              <w:ind w:left="360"/>
              <w:spacing w:after="0"/>
              <w:rPr>
                <w:sz w:val="20"/>
                <w:szCs w:val="20"/>
                <w:color w:val="auto"/>
              </w:rPr>
            </w:pPr>
            <w:r>
              <w:rPr>
                <w:rFonts w:ascii="Courier New" w:cs="Courier New" w:eastAsia="Courier New" w:hAnsi="Courier New"/>
                <w:sz w:val="12"/>
                <w:szCs w:val="12"/>
                <w:color w:val="auto"/>
              </w:rPr>
              <w:t>Date: Jannuary 13, 2003</w:t>
            </w:r>
          </w:p>
        </w:tc>
      </w:tr>
    </w:tbl>
    <w:p>
      <w:pPr>
        <w:sectPr>
          <w:pgSz w:w="11900" w:h="16838" w:orient="portrait"/>
          <w:cols w:equalWidth="0" w:num="1">
            <w:col w:w="10239"/>
          </w:cols>
          <w:pgMar w:left="220" w:top="672" w:right="1440" w:bottom="1440" w:gutter="0" w:footer="0" w:header="0"/>
        </w:sectPr>
      </w:pPr>
    </w:p>
    <w:bookmarkStart w:id="166" w:name="page167"/>
    <w:bookmarkEnd w:id="166"/>
    <w:p>
      <w:pPr>
        <w:ind w:left="4847"/>
        <w:spacing w:after="0"/>
        <w:rPr>
          <w:sz w:val="20"/>
          <w:szCs w:val="20"/>
          <w:color w:val="auto"/>
        </w:rPr>
      </w:pPr>
      <w:r>
        <w:rPr>
          <w:rFonts w:ascii="Courier New" w:cs="Courier New" w:eastAsia="Courier New" w:hAnsi="Courier New"/>
          <w:sz w:val="11"/>
          <w:szCs w:val="11"/>
          <w:color w:val="auto"/>
        </w:rPr>
        <w:t>EXHIBIT 4.59</w:t>
      </w:r>
    </w:p>
    <w:p>
      <w:pPr>
        <w:spacing w:after="0" w:line="150" w:lineRule="exact"/>
        <w:rPr>
          <w:sz w:val="20"/>
          <w:szCs w:val="20"/>
          <w:color w:val="auto"/>
        </w:rPr>
      </w:pPr>
    </w:p>
    <w:p>
      <w:pPr>
        <w:ind w:left="7" w:right="4679"/>
        <w:spacing w:after="0" w:line="280" w:lineRule="auto"/>
        <w:rPr>
          <w:sz w:val="20"/>
          <w:szCs w:val="20"/>
          <w:color w:val="auto"/>
        </w:rPr>
      </w:pPr>
      <w:r>
        <w:rPr>
          <w:rFonts w:ascii="Courier New" w:cs="Courier New" w:eastAsia="Courier New" w:hAnsi="Courier New"/>
          <w:sz w:val="11"/>
          <w:szCs w:val="11"/>
          <w:color w:val="auto"/>
        </w:rPr>
        <w:t>CONFIDENTIAL PORTIONS OF THIS AGREEMENT HAVE BEEN OMITTED AND FILED SEPARATELY WITH THE COMMISSION PURSUANT TO A REQUEST FOR CONFIDENTIAL TREATMENT.</w:t>
      </w:r>
    </w:p>
    <w:p>
      <w:pPr>
        <w:spacing w:after="0" w:line="118" w:lineRule="exact"/>
        <w:rPr>
          <w:sz w:val="20"/>
          <w:szCs w:val="20"/>
          <w:color w:val="auto"/>
        </w:rPr>
      </w:pPr>
    </w:p>
    <w:p>
      <w:pPr>
        <w:ind w:left="2147"/>
        <w:spacing w:after="0"/>
        <w:rPr>
          <w:sz w:val="20"/>
          <w:szCs w:val="20"/>
          <w:color w:val="auto"/>
        </w:rPr>
      </w:pPr>
      <w:r>
        <w:rPr>
          <w:rFonts w:ascii="Courier New" w:cs="Courier New" w:eastAsia="Courier New" w:hAnsi="Courier New"/>
          <w:sz w:val="12"/>
          <w:szCs w:val="12"/>
          <w:color w:val="auto"/>
        </w:rPr>
        <w:t>AGREEMENT 14-2A/2005</w:t>
      </w:r>
    </w:p>
    <w:p>
      <w:pPr>
        <w:spacing w:after="0" w:line="1" w:lineRule="exact"/>
        <w:rPr>
          <w:sz w:val="20"/>
          <w:szCs w:val="20"/>
          <w:color w:val="auto"/>
        </w:rPr>
      </w:pPr>
    </w:p>
    <w:p>
      <w:pPr>
        <w:ind w:left="2287"/>
        <w:spacing w:after="0"/>
        <w:rPr>
          <w:sz w:val="20"/>
          <w:szCs w:val="20"/>
          <w:color w:val="auto"/>
        </w:rPr>
      </w:pPr>
      <w:r>
        <w:rPr>
          <w:rFonts w:ascii="Courier New" w:cs="Courier New" w:eastAsia="Courier New" w:hAnsi="Courier New"/>
          <w:sz w:val="12"/>
          <w:szCs w:val="12"/>
          <w:color w:val="auto"/>
        </w:rPr>
        <w:t>AMENDMENT TO THE</w:t>
      </w:r>
    </w:p>
    <w:p>
      <w:pPr>
        <w:spacing w:after="0" w:line="1" w:lineRule="exact"/>
        <w:rPr>
          <w:sz w:val="20"/>
          <w:szCs w:val="20"/>
          <w:color w:val="auto"/>
        </w:rPr>
      </w:pPr>
    </w:p>
    <w:p>
      <w:pPr>
        <w:ind w:left="1507"/>
        <w:spacing w:after="0"/>
        <w:rPr>
          <w:sz w:val="20"/>
          <w:szCs w:val="20"/>
          <w:color w:val="auto"/>
        </w:rPr>
      </w:pPr>
      <w:r>
        <w:rPr>
          <w:rFonts w:ascii="Courier New" w:cs="Courier New" w:eastAsia="Courier New" w:hAnsi="Courier New"/>
          <w:sz w:val="12"/>
          <w:szCs w:val="12"/>
          <w:color w:val="auto"/>
        </w:rPr>
        <w:t>LICENSE AND DESIGN AGREEMENT 92-2C/2002</w:t>
      </w:r>
    </w:p>
    <w:p>
      <w:pPr>
        <w:spacing w:after="0" w:line="1" w:lineRule="exact"/>
        <w:rPr>
          <w:sz w:val="20"/>
          <w:szCs w:val="20"/>
          <w:color w:val="auto"/>
        </w:rPr>
      </w:pPr>
    </w:p>
    <w:p>
      <w:pPr>
        <w:ind w:left="1707"/>
        <w:spacing w:after="0"/>
        <w:rPr>
          <w:sz w:val="20"/>
          <w:szCs w:val="20"/>
          <w:color w:val="auto"/>
        </w:rPr>
      </w:pPr>
      <w:r>
        <w:rPr>
          <w:rFonts w:ascii="Courier New" w:cs="Courier New" w:eastAsia="Courier New" w:hAnsi="Courier New"/>
          <w:sz w:val="12"/>
          <w:szCs w:val="12"/>
          <w:color w:val="auto"/>
        </w:rPr>
        <w:t>BETWEEN TOWER SEMICONDUCTOR LTD.</w:t>
      </w:r>
    </w:p>
    <w:p>
      <w:pPr>
        <w:spacing w:after="0" w:line="1" w:lineRule="exact"/>
        <w:rPr>
          <w:sz w:val="20"/>
          <w:szCs w:val="20"/>
          <w:color w:val="auto"/>
        </w:rPr>
      </w:pPr>
    </w:p>
    <w:p>
      <w:pPr>
        <w:ind w:left="1647"/>
        <w:spacing w:after="0"/>
        <w:rPr>
          <w:sz w:val="20"/>
          <w:szCs w:val="20"/>
          <w:color w:val="auto"/>
        </w:rPr>
      </w:pPr>
      <w:r>
        <w:rPr>
          <w:rFonts w:ascii="Courier New" w:cs="Courier New" w:eastAsia="Courier New" w:hAnsi="Courier New"/>
          <w:sz w:val="12"/>
          <w:szCs w:val="12"/>
          <w:color w:val="auto"/>
        </w:rPr>
        <w:t>AND CHIPIDEA MICROELECTRONICA S.A.</w:t>
      </w:r>
    </w:p>
    <w:p>
      <w:pPr>
        <w:spacing w:after="0" w:line="141" w:lineRule="exact"/>
        <w:rPr>
          <w:sz w:val="20"/>
          <w:szCs w:val="20"/>
          <w:color w:val="auto"/>
        </w:rPr>
      </w:pPr>
    </w:p>
    <w:p>
      <w:pPr>
        <w:ind w:left="7" w:right="4599"/>
        <w:spacing w:after="0" w:line="267" w:lineRule="auto"/>
        <w:rPr>
          <w:sz w:val="20"/>
          <w:szCs w:val="20"/>
          <w:color w:val="auto"/>
        </w:rPr>
      </w:pPr>
      <w:r>
        <w:rPr>
          <w:rFonts w:ascii="Courier New" w:cs="Courier New" w:eastAsia="Courier New" w:hAnsi="Courier New"/>
          <w:sz w:val="11"/>
          <w:szCs w:val="11"/>
          <w:color w:val="auto"/>
        </w:rPr>
        <w:t>This Addendum to the Development Agreement (this "Addendum"), serves to add and amend that certain Design Agreement 92-2C/2002 dated 12 January 2003 between Tower Semiconductor Limited, an Israeli Company ("Tower") and Chipidea Microelectronica S.A., a accompany duly incorporated under the laws of Portugal ("Chipidea") ("Agreement") solely with respect to the development of New IP Blocks and their subsequent licensing by Chipidea to Tower Customers. This Addendum is effective as of the date last signed below (the "Effective Date").</w:t>
      </w:r>
    </w:p>
    <w:p>
      <w:pPr>
        <w:spacing w:after="0" w:line="125"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RECITALS</w:t>
      </w:r>
    </w:p>
    <w:p>
      <w:pPr>
        <w:spacing w:after="0" w:line="141" w:lineRule="exact"/>
        <w:rPr>
          <w:sz w:val="20"/>
          <w:szCs w:val="20"/>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The parties desire to amend the Agreement to provide for the following obligations and responsibilities of the parties relating to the development and customization of a New IP Block(s) to be performed in Portugal under the Agreement and its subsequent licensing by Chipidea for the use of Tower's Customers under a separate end user license agreement between Chipidea and the Tower Customer.</w:t>
      </w:r>
    </w:p>
    <w:p>
      <w:pPr>
        <w:spacing w:after="0" w:line="142" w:lineRule="exact"/>
        <w:rPr>
          <w:sz w:val="20"/>
          <w:szCs w:val="20"/>
          <w:color w:val="auto"/>
        </w:rPr>
      </w:pPr>
    </w:p>
    <w:p>
      <w:pPr>
        <w:ind w:left="7" w:right="4599" w:firstLine="357"/>
        <w:spacing w:after="0" w:line="241" w:lineRule="auto"/>
        <w:rPr>
          <w:sz w:val="20"/>
          <w:szCs w:val="20"/>
          <w:color w:val="auto"/>
        </w:rPr>
      </w:pPr>
      <w:r>
        <w:rPr>
          <w:rFonts w:ascii="Courier New" w:cs="Courier New" w:eastAsia="Courier New" w:hAnsi="Courier New"/>
          <w:sz w:val="12"/>
          <w:szCs w:val="12"/>
          <w:color w:val="auto"/>
        </w:rPr>
        <w:t>The parties agree the below terms and conditions are added to and made a part of the Agreement with respect to the New IP Block and shall apply only to the New IP Block set forth in this Addendum. Except as otherwise specified in this Addendum, all the terms and conditions of the Agreement shall apply to the New IP Blocks. Capitalized terms not otherwise defined in this Addendum shall have the meaning set forth in the Agreement:</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ADDENDUM</w:t>
      </w:r>
    </w:p>
    <w:p>
      <w:pPr>
        <w:spacing w:after="0" w:line="141" w:lineRule="exact"/>
        <w:rPr>
          <w:sz w:val="20"/>
          <w:szCs w:val="20"/>
          <w:color w:val="auto"/>
        </w:rPr>
      </w:pPr>
    </w:p>
    <w:p>
      <w:pPr>
        <w:ind w:left="7" w:right="4819" w:firstLine="350"/>
        <w:spacing w:after="0" w:line="239" w:lineRule="auto"/>
        <w:tabs>
          <w:tab w:leader="none" w:pos="578" w:val="left"/>
        </w:tabs>
        <w:numPr>
          <w:ilvl w:val="1"/>
          <w:numId w:val="2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"New IP Block" means: a [***] to be developed by Chipidea on Tower's o.13um Process (the [***] process variant, and if applicable, the [***] (or [***]) process variant).</w:t>
      </w:r>
    </w:p>
    <w:p>
      <w:pPr>
        <w:spacing w:after="0" w:line="277" w:lineRule="exact"/>
        <w:rPr>
          <w:rFonts w:ascii="Courier New" w:cs="Courier New" w:eastAsia="Courier New" w:hAnsi="Courier New"/>
          <w:sz w:val="12"/>
          <w:szCs w:val="12"/>
          <w:color w:val="auto"/>
        </w:rPr>
      </w:pPr>
    </w:p>
    <w:p>
      <w:pPr>
        <w:ind w:left="147" w:hanging="147"/>
        <w:spacing w:after="0"/>
        <w:tabs>
          <w:tab w:leader="none" w:pos="147" w:val="left"/>
        </w:tabs>
        <w:numPr>
          <w:ilvl w:val="0"/>
          <w:numId w:val="2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899" w:hanging="7"/>
        <w:spacing w:after="0" w:line="280" w:lineRule="auto"/>
        <w:tabs>
          <w:tab w:leader="none" w:pos="435" w:val="left"/>
        </w:tabs>
        <w:numPr>
          <w:ilvl w:val="0"/>
          <w:numId w:val="2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00" w:lineRule="exact"/>
        <w:rPr>
          <w:rFonts w:ascii="Courier New" w:cs="Courier New" w:eastAsia="Courier New" w:hAnsi="Courier New"/>
          <w:sz w:val="11"/>
          <w:szCs w:val="11"/>
          <w:color w:val="auto"/>
        </w:rPr>
      </w:pPr>
    </w:p>
    <w:p>
      <w:pPr>
        <w:spacing w:after="0" w:line="200" w:lineRule="exact"/>
        <w:rPr>
          <w:rFonts w:ascii="Courier New" w:cs="Courier New" w:eastAsia="Courier New" w:hAnsi="Courier New"/>
          <w:sz w:val="11"/>
          <w:szCs w:val="11"/>
          <w:color w:val="auto"/>
        </w:rPr>
      </w:pPr>
    </w:p>
    <w:p>
      <w:pPr>
        <w:spacing w:after="0" w:line="251" w:lineRule="exact"/>
        <w:rPr>
          <w:rFonts w:ascii="Courier New" w:cs="Courier New" w:eastAsia="Courier New" w:hAnsi="Courier New"/>
          <w:sz w:val="11"/>
          <w:szCs w:val="11"/>
          <w:color w:val="auto"/>
        </w:rPr>
      </w:pPr>
    </w:p>
    <w:p>
      <w:pPr>
        <w:ind w:left="7" w:right="4599" w:firstLine="350"/>
        <w:spacing w:after="0" w:line="241" w:lineRule="auto"/>
        <w:tabs>
          <w:tab w:leader="none" w:pos="578" w:val="left"/>
        </w:tabs>
        <w:numPr>
          <w:ilvl w:val="1"/>
          <w:numId w:val="2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Section 6.b of the Agreement shall read as follows: Receiving Party covenants and agrees that it will receive and use the Confidential Information only as expressly permitted in this Agreement, and will not otherwise employ or disclose such Confidential Information, and shall only disclose such Confidential Information to its employees or contractors who: (i) have signed a non disclosure agreement with the Receiving Party and (ii) need to have knowledge of such Confidential Information in the course of their employment or assigned duties with the Receiving Party.</w:t>
      </w:r>
    </w:p>
    <w:p>
      <w:pPr>
        <w:spacing w:after="0" w:line="140" w:lineRule="exact"/>
        <w:rPr>
          <w:rFonts w:ascii="Courier New" w:cs="Courier New" w:eastAsia="Courier New" w:hAnsi="Courier New"/>
          <w:sz w:val="12"/>
          <w:szCs w:val="12"/>
          <w:color w:val="auto"/>
        </w:rPr>
      </w:pPr>
    </w:p>
    <w:p>
      <w:pPr>
        <w:ind w:left="567" w:hanging="210"/>
        <w:spacing w:after="0"/>
        <w:tabs>
          <w:tab w:leader="none" w:pos="567" w:val="left"/>
        </w:tabs>
        <w:numPr>
          <w:ilvl w:val="1"/>
          <w:numId w:val="2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Section 7.d shall not apply</w:t>
      </w:r>
    </w:p>
    <w:p>
      <w:pPr>
        <w:spacing w:after="0" w:line="141" w:lineRule="exact"/>
        <w:rPr>
          <w:rFonts w:ascii="Courier New" w:cs="Courier New" w:eastAsia="Courier New" w:hAnsi="Courier New"/>
          <w:sz w:val="12"/>
          <w:szCs w:val="12"/>
          <w:color w:val="auto"/>
        </w:rPr>
      </w:pPr>
    </w:p>
    <w:p>
      <w:pPr>
        <w:ind w:left="7" w:right="4599" w:firstLine="350"/>
        <w:spacing w:after="0" w:line="268" w:lineRule="auto"/>
        <w:tabs>
          <w:tab w:leader="none" w:pos="578" w:val="left"/>
        </w:tabs>
        <w:numPr>
          <w:ilvl w:val="1"/>
          <w:numId w:val="2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Section 9.b shall read as follows: All the payments to be made to Chipidea shall be direct transfer to the Chipidea bank account. The bank specifications for the execution of each payment will be detailed in each electronic invoice. In addition the bank specifications are attached in Exhibit D so as to enable Customer to prepare its payment process for On-Time payment.</w:t>
      </w:r>
    </w:p>
    <w:p>
      <w:pPr>
        <w:spacing w:after="0" w:line="127" w:lineRule="exact"/>
        <w:rPr>
          <w:rFonts w:ascii="Courier New" w:cs="Courier New" w:eastAsia="Courier New" w:hAnsi="Courier New"/>
          <w:sz w:val="11"/>
          <w:szCs w:val="11"/>
          <w:color w:val="auto"/>
        </w:rPr>
      </w:pPr>
    </w:p>
    <w:p>
      <w:pPr>
        <w:ind w:left="7" w:right="4599" w:firstLine="350"/>
        <w:spacing w:after="0" w:line="238" w:lineRule="auto"/>
        <w:tabs>
          <w:tab w:leader="none" w:pos="578" w:val="left"/>
        </w:tabs>
        <w:numPr>
          <w:ilvl w:val="1"/>
          <w:numId w:val="2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Section 9.d shall read as follows: Payments shall be made [***] without bank charges, deductions or withholding taxes.</w:t>
      </w:r>
    </w:p>
    <w:p>
      <w:pPr>
        <w:spacing w:after="0" w:line="142" w:lineRule="exact"/>
        <w:rPr>
          <w:rFonts w:ascii="Courier New" w:cs="Courier New" w:eastAsia="Courier New" w:hAnsi="Courier New"/>
          <w:sz w:val="12"/>
          <w:szCs w:val="12"/>
          <w:color w:val="auto"/>
        </w:rPr>
      </w:pPr>
    </w:p>
    <w:p>
      <w:pPr>
        <w:ind w:left="7" w:right="4539" w:firstLine="350"/>
        <w:spacing w:after="0" w:line="267" w:lineRule="auto"/>
        <w:tabs>
          <w:tab w:leader="none" w:pos="578" w:val="left"/>
        </w:tabs>
        <w:numPr>
          <w:ilvl w:val="1"/>
          <w:numId w:val="2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Section 11.d shall read as follows: The parties agree that no technology furnished to the other will be used for any purpose to develop and/or manufacture nuclear, chemical, biological weapons and/or missiles (hereinafter "Weapons of Mass Destruction"). The parties further agree that it will not sell semiconductor products using technology received from the other party hereunder, to any party if it knows that the end-user of such products will use them for the development and/or manufacture of Weapons of Mass Destruction.</w:t>
      </w:r>
    </w:p>
    <w:p>
      <w:pPr>
        <w:spacing w:after="0" w:line="127" w:lineRule="exact"/>
        <w:rPr>
          <w:rFonts w:ascii="Courier New" w:cs="Courier New" w:eastAsia="Courier New" w:hAnsi="Courier New"/>
          <w:sz w:val="11"/>
          <w:szCs w:val="11"/>
          <w:color w:val="auto"/>
        </w:rPr>
      </w:pPr>
    </w:p>
    <w:p>
      <w:pPr>
        <w:ind w:left="7" w:right="4759" w:firstLine="350"/>
        <w:spacing w:after="0" w:line="238" w:lineRule="auto"/>
        <w:tabs>
          <w:tab w:leader="none" w:pos="578" w:val="left"/>
        </w:tabs>
        <w:numPr>
          <w:ilvl w:val="1"/>
          <w:numId w:val="2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Section 11.h, the Tower focal point for attention shall read to be [***]; with telephone number [***]</w:t>
      </w:r>
    </w:p>
    <w:p>
      <w:pPr>
        <w:spacing w:after="0" w:line="139" w:lineRule="exact"/>
        <w:rPr>
          <w:rFonts w:ascii="Courier New" w:cs="Courier New" w:eastAsia="Courier New" w:hAnsi="Courier New"/>
          <w:sz w:val="12"/>
          <w:szCs w:val="12"/>
          <w:color w:val="auto"/>
        </w:rPr>
      </w:pPr>
    </w:p>
    <w:p>
      <w:pPr>
        <w:ind w:left="567" w:hanging="210"/>
        <w:spacing w:after="0"/>
        <w:tabs>
          <w:tab w:leader="none" w:pos="567" w:val="left"/>
        </w:tabs>
        <w:numPr>
          <w:ilvl w:val="1"/>
          <w:numId w:val="2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Section 13.b shall not apply</w:t>
      </w:r>
    </w:p>
    <w:p>
      <w:pPr>
        <w:spacing w:after="0" w:line="138" w:lineRule="exact"/>
        <w:rPr>
          <w:rFonts w:ascii="Courier New" w:cs="Courier New" w:eastAsia="Courier New" w:hAnsi="Courier New"/>
          <w:sz w:val="12"/>
          <w:szCs w:val="12"/>
          <w:color w:val="auto"/>
        </w:rPr>
      </w:pPr>
    </w:p>
    <w:p>
      <w:pPr>
        <w:ind w:left="567" w:hanging="210"/>
        <w:spacing w:after="0"/>
        <w:tabs>
          <w:tab w:leader="none" w:pos="567" w:val="left"/>
        </w:tabs>
        <w:numPr>
          <w:ilvl w:val="1"/>
          <w:numId w:val="2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Section 13.c shall not apply</w:t>
      </w:r>
    </w:p>
    <w:p>
      <w:pPr>
        <w:spacing w:after="0" w:line="138" w:lineRule="exact"/>
        <w:rPr>
          <w:rFonts w:ascii="Courier New" w:cs="Courier New" w:eastAsia="Courier New" w:hAnsi="Courier New"/>
          <w:sz w:val="12"/>
          <w:szCs w:val="12"/>
          <w:color w:val="auto"/>
        </w:rPr>
      </w:pPr>
    </w:p>
    <w:p>
      <w:pPr>
        <w:ind w:left="567" w:hanging="210"/>
        <w:spacing w:after="0"/>
        <w:tabs>
          <w:tab w:leader="none" w:pos="567" w:val="left"/>
        </w:tabs>
        <w:numPr>
          <w:ilvl w:val="1"/>
          <w:numId w:val="2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Maintenance and support</w:t>
      </w:r>
    </w:p>
    <w:p>
      <w:pPr>
        <w:spacing w:after="0" w:line="141" w:lineRule="exact"/>
        <w:rPr>
          <w:sz w:val="20"/>
          <w:szCs w:val="20"/>
          <w:color w:val="auto"/>
        </w:rPr>
      </w:pPr>
    </w:p>
    <w:p>
      <w:pPr>
        <w:ind w:left="707" w:right="4819" w:hanging="350"/>
        <w:spacing w:after="0" w:line="241" w:lineRule="auto"/>
        <w:tabs>
          <w:tab w:leader="none" w:pos="707" w:val="left"/>
        </w:tabs>
        <w:numPr>
          <w:ilvl w:val="1"/>
          <w:numId w:val="2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DOCUMENTATION: Chipidea's New IP Block will be provided with documentation that [***] for [***] integration of the New IP Block into the Tower Customer's chip design [***]. This documentation is intended to assure that the New IP Block gets [***] well-[***]-connected [***]Tower Customer's chip. Chipidea [***] supplies [***]guidelines.</w:t>
      </w:r>
    </w:p>
    <w:p>
      <w:pPr>
        <w:spacing w:after="0" w:line="138" w:lineRule="exact"/>
        <w:rPr>
          <w:rFonts w:ascii="Courier New" w:cs="Courier New" w:eastAsia="Courier New" w:hAnsi="Courier New"/>
          <w:sz w:val="12"/>
          <w:szCs w:val="12"/>
          <w:color w:val="auto"/>
        </w:rPr>
      </w:pPr>
    </w:p>
    <w:p>
      <w:pPr>
        <w:ind w:left="147" w:hanging="147"/>
        <w:spacing w:after="0"/>
        <w:tabs>
          <w:tab w:leader="none" w:pos="147" w:val="left"/>
        </w:tabs>
        <w:numPr>
          <w:ilvl w:val="0"/>
          <w:numId w:val="2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899" w:hanging="7"/>
        <w:spacing w:after="0" w:line="280" w:lineRule="auto"/>
        <w:tabs>
          <w:tab w:leader="none" w:pos="435" w:val="left"/>
        </w:tabs>
        <w:numPr>
          <w:ilvl w:val="0"/>
          <w:numId w:val="29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278" w:right="1440" w:bottom="1440" w:gutter="0" w:footer="0" w:header="0"/>
        </w:sectPr>
      </w:pPr>
    </w:p>
    <w:bookmarkStart w:id="167" w:name="page168"/>
    <w:bookmarkEnd w:id="167"/>
    <w:p>
      <w:pPr>
        <w:ind w:left="707" w:right="4599" w:hanging="350"/>
        <w:spacing w:after="0" w:line="241" w:lineRule="auto"/>
        <w:tabs>
          <w:tab w:leader="none" w:pos="707" w:val="left"/>
        </w:tabs>
        <w:numPr>
          <w:ilvl w:val="1"/>
          <w:numId w:val="2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SUPPORT TO TOWER: Notwithstanding anything else in the Agreement, for a period of [***]after silicon validation of the New IP Block on the applicable Tower Process, Chipidea will provide [***]E-mail and telephone support to Tower with issues caused by the failure of a Deliverable to meet its Specifications.</w:t>
      </w:r>
    </w:p>
    <w:p>
      <w:pPr>
        <w:spacing w:after="0" w:line="140"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1"/>
          <w:numId w:val="2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SUPPORT TO TOWER AND TOWER CUSTOMERS FOR NEW IP BLOCK ISSUES: Chipidea will provide both Tower and each Tower Customer which licenses the New IP Block from Chipidea with comprehensive support. The Support to Tower and each Tower Customer will cover issues such as those set forth in Section 12(d) of the Agreement [***]. Chipidea will provide Tower and [***] Tower Customer with [***]of E-mail and telephone support [***]. Additional support, in excess of [***], will be provided by Chipidea to either Tower or [***] Tower Customer at the Chipidea's Support Rates.</w:t>
      </w:r>
    </w:p>
    <w:p>
      <w:pPr>
        <w:spacing w:after="0" w:line="143" w:lineRule="exact"/>
        <w:rPr>
          <w:rFonts w:ascii="Courier New" w:cs="Courier New" w:eastAsia="Courier New" w:hAnsi="Courier New"/>
          <w:sz w:val="12"/>
          <w:szCs w:val="12"/>
          <w:color w:val="auto"/>
        </w:rPr>
      </w:pPr>
    </w:p>
    <w:p>
      <w:pPr>
        <w:ind w:left="707" w:right="4759" w:hanging="350"/>
        <w:spacing w:after="0" w:line="241" w:lineRule="auto"/>
        <w:tabs>
          <w:tab w:leader="none" w:pos="707" w:val="left"/>
        </w:tabs>
        <w:numPr>
          <w:ilvl w:val="1"/>
          <w:numId w:val="2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SUPPORT TO TOWER CUSTOMERS FOR TOWER CUSTOMER'S RELATED ISSUES: For integration support and assistance with issues related to the operation of Chipidea's New IP Block within the context of Tower Customer's chip or system design, such as compatibility and interface-ability, Chipidea will provide such E-mail and telephone support at the Chipidea Support Rates.</w:t>
      </w:r>
    </w:p>
    <w:p>
      <w:pPr>
        <w:spacing w:after="0" w:line="141" w:lineRule="exact"/>
        <w:rPr>
          <w:rFonts w:ascii="Courier New" w:cs="Courier New" w:eastAsia="Courier New" w:hAnsi="Courier New"/>
          <w:sz w:val="12"/>
          <w:szCs w:val="12"/>
          <w:color w:val="auto"/>
        </w:rPr>
      </w:pPr>
    </w:p>
    <w:p>
      <w:pPr>
        <w:ind w:left="707" w:right="4599" w:hanging="350"/>
        <w:spacing w:after="0" w:line="239" w:lineRule="auto"/>
        <w:tabs>
          <w:tab w:leader="none" w:pos="707" w:val="left"/>
        </w:tabs>
        <w:numPr>
          <w:ilvl w:val="1"/>
          <w:numId w:val="2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ON SITE SUPPORT: Chipidea will provide on-site support or meetings at a Tower Customer's request; provided that the Tower Customer pays Chipidea its reasonable travel expenses.</w:t>
      </w:r>
    </w:p>
    <w:p>
      <w:pPr>
        <w:spacing w:after="0" w:line="142" w:lineRule="exact"/>
        <w:rPr>
          <w:rFonts w:ascii="Courier New" w:cs="Courier New" w:eastAsia="Courier New" w:hAnsi="Courier New"/>
          <w:sz w:val="12"/>
          <w:szCs w:val="12"/>
          <w:color w:val="auto"/>
        </w:rPr>
      </w:pPr>
    </w:p>
    <w:p>
      <w:pPr>
        <w:jc w:val="both"/>
        <w:ind w:left="707" w:right="4539" w:hanging="350"/>
        <w:spacing w:after="0" w:line="239" w:lineRule="auto"/>
        <w:tabs>
          <w:tab w:leader="none" w:pos="707" w:val="left"/>
        </w:tabs>
        <w:numPr>
          <w:ilvl w:val="1"/>
          <w:numId w:val="2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CHIPIDEA SUPPORT RATES: Hour - [***]; Day - [***]; Week - [***]. Daily and weekly rates apply only if ordered in advance. Chipidea may change the rates set forth herein with a [***] notice.</w:t>
      </w:r>
    </w:p>
    <w:p>
      <w:pPr>
        <w:spacing w:after="0" w:line="139"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2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MAINTENANCE: In this section, "Maintenance" means bug fixing and</w:t>
      </w:r>
    </w:p>
    <w:p>
      <w:pPr>
        <w:spacing w:after="0" w:line="4" w:lineRule="exact"/>
        <w:rPr>
          <w:rFonts w:ascii="Courier New" w:cs="Courier New" w:eastAsia="Courier New" w:hAnsi="Courier New"/>
          <w:sz w:val="12"/>
          <w:szCs w:val="12"/>
          <w:color w:val="auto"/>
        </w:rPr>
      </w:pPr>
    </w:p>
    <w:p>
      <w:pPr>
        <w:ind w:left="707" w:right="453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updates to the New IP Block due to: (i) changes in the Tower deliverables ([***], etc); (ii) Changes to the standards evolution of the [***]. Upon request by either Tower or a Tower Customer who has signed end user license agreement with Chipidea, Chipidea will provide Maintenance. Maintenance updates to the New IP Block will only be provided when a Tower's Customer requests a new instantiation. The Maintenance period will start upon the silicon verification of the New IP Block and will then be provided, [***], for the next [***]following silicon verification of the applicable New IP Block. After such [***]period expires, Tower may renew Maintenance for the New IP Block for additional [***] periods upon a fee of [***] of the applicable development fees of such New IP Block listed in Exhibit D.</w:t>
      </w:r>
    </w:p>
    <w:p>
      <w:pPr>
        <w:spacing w:after="0" w:line="261" w:lineRule="exact"/>
        <w:rPr>
          <w:rFonts w:ascii="Courier New" w:cs="Courier New" w:eastAsia="Courier New" w:hAnsi="Courier New"/>
          <w:sz w:val="12"/>
          <w:szCs w:val="12"/>
          <w:color w:val="auto"/>
        </w:rPr>
      </w:pPr>
    </w:p>
    <w:p>
      <w:pPr>
        <w:ind w:left="147" w:hanging="147"/>
        <w:spacing w:after="0"/>
        <w:tabs>
          <w:tab w:leader="none" w:pos="147" w:val="left"/>
        </w:tabs>
        <w:numPr>
          <w:ilvl w:val="0"/>
          <w:numId w:val="2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899" w:hanging="7"/>
        <w:spacing w:after="0" w:line="280" w:lineRule="auto"/>
        <w:tabs>
          <w:tab w:leader="none" w:pos="435" w:val="left"/>
        </w:tabs>
        <w:numPr>
          <w:ilvl w:val="0"/>
          <w:numId w:val="2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68" w:name="page169"/>
    <w:bookmarkEnd w:id="168"/>
    <w:p>
      <w:pPr>
        <w:ind w:left="367"/>
        <w:spacing w:after="0"/>
        <w:rPr>
          <w:sz w:val="20"/>
          <w:szCs w:val="20"/>
          <w:color w:val="auto"/>
        </w:rPr>
      </w:pPr>
      <w:r>
        <w:rPr>
          <w:rFonts w:ascii="Courier New" w:cs="Courier New" w:eastAsia="Courier New" w:hAnsi="Courier New"/>
          <w:sz w:val="12"/>
          <w:szCs w:val="12"/>
          <w:color w:val="auto"/>
        </w:rPr>
        <w:t>10. Exhibit B:</w:t>
      </w:r>
    </w:p>
    <w:p>
      <w:pPr>
        <w:spacing w:after="0" w:line="141" w:lineRule="exact"/>
        <w:rPr>
          <w:sz w:val="20"/>
          <w:szCs w:val="20"/>
          <w:color w:val="auto"/>
        </w:rPr>
      </w:pPr>
    </w:p>
    <w:p>
      <w:pPr>
        <w:ind w:left="367" w:right="4599" w:firstLine="357"/>
        <w:spacing w:after="0" w:line="239" w:lineRule="auto"/>
        <w:rPr>
          <w:sz w:val="20"/>
          <w:szCs w:val="20"/>
          <w:color w:val="auto"/>
        </w:rPr>
      </w:pPr>
      <w:r>
        <w:rPr>
          <w:rFonts w:ascii="Courier New" w:cs="Courier New" w:eastAsia="Courier New" w:hAnsi="Courier New"/>
          <w:sz w:val="12"/>
          <w:szCs w:val="12"/>
          <w:color w:val="auto"/>
        </w:rPr>
        <w:t>Specifications for implementation of the New IP Block [***] implemented in the [***] Tower Process and, if and when applicable, in the [***] Tower Process.</w:t>
      </w:r>
    </w:p>
    <w:p>
      <w:pPr>
        <w:spacing w:after="0" w:line="143" w:lineRule="exact"/>
        <w:rPr>
          <w:sz w:val="20"/>
          <w:szCs w:val="20"/>
          <w:color w:val="auto"/>
        </w:rPr>
      </w:pPr>
    </w:p>
    <w:p>
      <w:pPr>
        <w:ind w:left="367" w:right="4679"/>
        <w:spacing w:after="0" w:line="239" w:lineRule="auto"/>
        <w:rPr>
          <w:sz w:val="20"/>
          <w:szCs w:val="20"/>
          <w:color w:val="auto"/>
        </w:rPr>
      </w:pPr>
      <w:r>
        <w:rPr>
          <w:rFonts w:ascii="Courier New" w:cs="Courier New" w:eastAsia="Courier New" w:hAnsi="Courier New"/>
          <w:sz w:val="12"/>
          <w:szCs w:val="12"/>
          <w:color w:val="auto"/>
        </w:rPr>
        <w:t>For each Tower Customer, Chipidea will instantiate the New IP Block with the number of metal layers as required for the Tower Customer chip (i.e., from [***] or [***] up to [***]).</w:t>
      </w:r>
    </w:p>
    <w:p>
      <w:pPr>
        <w:spacing w:after="0" w:line="140"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11. Exhibit C shall be read as follows: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SCHEDULE OF MILESTONES applicable to the [***]IP Block in the [***]</w:t>
      </w:r>
    </w:p>
    <w:p>
      <w:pPr>
        <w:spacing w:after="0" w:line="139" w:lineRule="exact"/>
        <w:rPr>
          <w:sz w:val="20"/>
          <w:szCs w:val="20"/>
          <w:color w:val="auto"/>
        </w:rPr>
      </w:pPr>
    </w:p>
    <w:p>
      <w:pPr>
        <w:ind w:left="847" w:hanging="490"/>
        <w:spacing w:after="0"/>
        <w:tabs>
          <w:tab w:leader="none" w:pos="847" w:val="left"/>
        </w:tabs>
        <w:numPr>
          <w:ilvl w:val="0"/>
          <w:numId w:val="2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Effective Date of Addendum, issue of purchase order and</w:t>
      </w:r>
    </w:p>
    <w:p>
      <w:pPr>
        <w:spacing w:after="0" w:line="1" w:lineRule="exact"/>
        <w:rPr>
          <w:sz w:val="20"/>
          <w:szCs w:val="20"/>
          <w:color w:val="auto"/>
        </w:rPr>
      </w:pPr>
    </w:p>
    <w:tbl>
      <w:tblPr>
        <w:tblLayout w:type="fixed"/>
        <w:tblInd w:w="367" w:type="dxa"/>
        <w:tblCellMar>
          <w:top w:w="0" w:type="dxa"/>
          <w:left w:w="0" w:type="dxa"/>
          <w:bottom w:w="0" w:type="dxa"/>
          <w:right w:w="0" w:type="dxa"/>
        </w:tblCellMar>
      </w:tblPr>
      <w:tr>
        <w:trPr>
          <w:trHeight w:val="136"/>
        </w:trPr>
        <w:tc>
          <w:tcPr>
            <w:tcW w:w="320" w:type="dxa"/>
            <w:vAlign w:val="bottom"/>
          </w:tcPr>
          <w:p>
            <w:pPr>
              <w:spacing w:after="0"/>
              <w:rPr>
                <w:sz w:val="11"/>
                <w:szCs w:val="11"/>
                <w:color w:val="auto"/>
              </w:rPr>
            </w:pPr>
          </w:p>
        </w:tc>
        <w:tc>
          <w:tcPr>
            <w:tcW w:w="4300" w:type="dxa"/>
            <w:vAlign w:val="bottom"/>
          </w:tcPr>
          <w:p>
            <w:pPr>
              <w:ind w:left="160"/>
              <w:spacing w:after="0"/>
              <w:rPr>
                <w:sz w:val="20"/>
                <w:szCs w:val="20"/>
                <w:color w:val="auto"/>
              </w:rPr>
            </w:pPr>
            <w:r>
              <w:rPr>
                <w:rFonts w:ascii="Courier New" w:cs="Courier New" w:eastAsia="Courier New" w:hAnsi="Courier New"/>
                <w:sz w:val="12"/>
                <w:szCs w:val="12"/>
                <w:color w:val="auto"/>
              </w:rPr>
              <w:t>first payment</w:t>
            </w:r>
          </w:p>
        </w:tc>
        <w:tc>
          <w:tcPr>
            <w:tcW w:w="720" w:type="dxa"/>
            <w:vAlign w:val="bottom"/>
          </w:tcPr>
          <w:p>
            <w:pPr>
              <w:ind w:left="580"/>
              <w:spacing w:after="0"/>
              <w:rPr>
                <w:sz w:val="20"/>
                <w:szCs w:val="20"/>
                <w:color w:val="auto"/>
              </w:rPr>
            </w:pPr>
            <w:r>
              <w:rPr>
                <w:rFonts w:ascii="Courier New" w:cs="Courier New" w:eastAsia="Courier New" w:hAnsi="Courier New"/>
                <w:sz w:val="12"/>
                <w:szCs w:val="12"/>
                <w:color w:val="auto"/>
                <w:w w:val="82"/>
              </w:rPr>
              <w:t>t0</w:t>
            </w:r>
          </w:p>
        </w:tc>
      </w:tr>
      <w:tr>
        <w:trPr>
          <w:trHeight w:val="137"/>
        </w:trPr>
        <w:tc>
          <w:tcPr>
            <w:tcW w:w="3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2"/>
              </w:rPr>
              <w:t>2.</w:t>
            </w:r>
          </w:p>
        </w:tc>
        <w:tc>
          <w:tcPr>
            <w:tcW w:w="4300" w:type="dxa"/>
            <w:vAlign w:val="bottom"/>
          </w:tcPr>
          <w:p>
            <w:pPr>
              <w:ind w:left="160"/>
              <w:spacing w:after="0"/>
              <w:rPr>
                <w:sz w:val="20"/>
                <w:szCs w:val="20"/>
                <w:color w:val="auto"/>
              </w:rPr>
            </w:pPr>
            <w:r>
              <w:rPr>
                <w:rFonts w:ascii="Courier New" w:cs="Courier New" w:eastAsia="Courier New" w:hAnsi="Courier New"/>
                <w:sz w:val="12"/>
                <w:szCs w:val="12"/>
                <w:color w:val="auto"/>
              </w:rPr>
              <w:t>Transfer of design rules and CAD set-up from Tower</w:t>
            </w:r>
          </w:p>
        </w:tc>
        <w:tc>
          <w:tcPr>
            <w:tcW w:w="720" w:type="dxa"/>
            <w:vAlign w:val="bottom"/>
          </w:tcPr>
          <w:p>
            <w:pPr>
              <w:ind w:left="580"/>
              <w:spacing w:after="0"/>
              <w:rPr>
                <w:sz w:val="20"/>
                <w:szCs w:val="20"/>
                <w:color w:val="auto"/>
              </w:rPr>
            </w:pPr>
            <w:r>
              <w:rPr>
                <w:rFonts w:ascii="Courier New" w:cs="Courier New" w:eastAsia="Courier New" w:hAnsi="Courier New"/>
                <w:sz w:val="12"/>
                <w:szCs w:val="12"/>
                <w:color w:val="auto"/>
                <w:w w:val="82"/>
              </w:rPr>
              <w:t>t1</w:t>
            </w:r>
          </w:p>
        </w:tc>
      </w:tr>
      <w:tr>
        <w:trPr>
          <w:trHeight w:val="137"/>
        </w:trPr>
        <w:tc>
          <w:tcPr>
            <w:tcW w:w="3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2"/>
              </w:rPr>
              <w:t>3.</w:t>
            </w:r>
          </w:p>
        </w:tc>
        <w:tc>
          <w:tcPr>
            <w:tcW w:w="4300" w:type="dxa"/>
            <w:vAlign w:val="bottom"/>
          </w:tcPr>
          <w:p>
            <w:pPr>
              <w:ind w:left="160"/>
              <w:spacing w:after="0"/>
              <w:rPr>
                <w:sz w:val="20"/>
                <w:szCs w:val="20"/>
                <w:color w:val="auto"/>
              </w:rPr>
            </w:pPr>
            <w:r>
              <w:rPr>
                <w:rFonts w:ascii="Courier New" w:cs="Courier New" w:eastAsia="Courier New" w:hAnsi="Courier New"/>
                <w:sz w:val="12"/>
                <w:szCs w:val="12"/>
                <w:color w:val="auto"/>
              </w:rPr>
              <w:t>IP Datasheet or Specification sign-off</w:t>
            </w:r>
          </w:p>
        </w:tc>
        <w:tc>
          <w:tcPr>
            <w:tcW w:w="720" w:type="dxa"/>
            <w:vAlign w:val="bottom"/>
          </w:tcPr>
          <w:p>
            <w:pPr>
              <w:ind w:left="580"/>
              <w:spacing w:after="0"/>
              <w:rPr>
                <w:sz w:val="20"/>
                <w:szCs w:val="20"/>
                <w:color w:val="auto"/>
              </w:rPr>
            </w:pPr>
            <w:r>
              <w:rPr>
                <w:rFonts w:ascii="Courier New" w:cs="Courier New" w:eastAsia="Courier New" w:hAnsi="Courier New"/>
                <w:sz w:val="12"/>
                <w:szCs w:val="12"/>
                <w:color w:val="auto"/>
                <w:w w:val="82"/>
              </w:rPr>
              <w:t>t2</w:t>
            </w:r>
          </w:p>
        </w:tc>
      </w:tr>
    </w:tbl>
    <w:p>
      <w:pPr>
        <w:spacing w:after="0" w:line="1" w:lineRule="exact"/>
        <w:rPr>
          <w:sz w:val="20"/>
          <w:szCs w:val="20"/>
          <w:color w:val="auto"/>
        </w:rPr>
      </w:pPr>
    </w:p>
    <w:p>
      <w:pPr>
        <w:ind w:left="847" w:hanging="490"/>
        <w:spacing w:after="0"/>
        <w:tabs>
          <w:tab w:leader="none" w:pos="847" w:val="left"/>
        </w:tabs>
        <w:numPr>
          <w:ilvl w:val="0"/>
          <w:numId w:val="2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Functional Behavior Models [***]delivery [***]</w:t>
      </w:r>
    </w:p>
    <w:p>
      <w:pPr>
        <w:spacing w:after="0" w:line="1" w:lineRule="exact"/>
        <w:rPr>
          <w:sz w:val="20"/>
          <w:szCs w:val="20"/>
          <w:color w:val="auto"/>
        </w:rPr>
      </w:pPr>
    </w:p>
    <w:tbl>
      <w:tblPr>
        <w:tblLayout w:type="fixed"/>
        <w:tblInd w:w="367" w:type="dxa"/>
        <w:tblCellMar>
          <w:top w:w="0" w:type="dxa"/>
          <w:left w:w="0" w:type="dxa"/>
          <w:bottom w:w="0" w:type="dxa"/>
          <w:right w:w="0" w:type="dxa"/>
        </w:tblCellMar>
      </w:tblPr>
      <w:tr>
        <w:trPr>
          <w:trHeight w:val="136"/>
        </w:trPr>
        <w:tc>
          <w:tcPr>
            <w:tcW w:w="3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2"/>
              </w:rPr>
              <w:t>5.</w:t>
            </w:r>
          </w:p>
        </w:tc>
        <w:tc>
          <w:tcPr>
            <w:tcW w:w="2800" w:type="dxa"/>
            <w:vAlign w:val="bottom"/>
          </w:tcPr>
          <w:p>
            <w:pPr>
              <w:ind w:left="160"/>
              <w:spacing w:after="0"/>
              <w:rPr>
                <w:sz w:val="20"/>
                <w:szCs w:val="20"/>
                <w:color w:val="auto"/>
              </w:rPr>
            </w:pPr>
            <w:r>
              <w:rPr>
                <w:rFonts w:ascii="Courier New" w:cs="Courier New" w:eastAsia="Courier New" w:hAnsi="Courier New"/>
                <w:sz w:val="12"/>
                <w:szCs w:val="12"/>
                <w:color w:val="auto"/>
              </w:rPr>
              <w:t>IP Database delivered to Tower</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(not before [***])</w:t>
            </w:r>
          </w:p>
        </w:tc>
      </w:tr>
      <w:tr>
        <w:trPr>
          <w:trHeight w:val="137"/>
        </w:trPr>
        <w:tc>
          <w:tcPr>
            <w:tcW w:w="32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82"/>
              </w:rPr>
              <w:t>6.</w:t>
            </w:r>
          </w:p>
        </w:tc>
        <w:tc>
          <w:tcPr>
            <w:tcW w:w="37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Tower delivery of Engineering Samples to Chipidea</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 w:lineRule="exact"/>
        <w:rPr>
          <w:sz w:val="20"/>
          <w:szCs w:val="20"/>
          <w:color w:val="auto"/>
        </w:rPr>
      </w:pPr>
    </w:p>
    <w:p>
      <w:pPr>
        <w:ind w:left="847" w:hanging="490"/>
        <w:spacing w:after="0"/>
        <w:tabs>
          <w:tab w:leader="none" w:pos="847" w:val="left"/>
        </w:tabs>
        <w:numPr>
          <w:ilvl w:val="0"/>
          <w:numId w:val="2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When Engineering Samples provided to Chipidea, delivery of Test and</w:t>
      </w:r>
    </w:p>
    <w:p>
      <w:pPr>
        <w:spacing w:after="0" w:line="1" w:lineRule="exact"/>
        <w:rPr>
          <w:sz w:val="20"/>
          <w:szCs w:val="20"/>
          <w:color w:val="auto"/>
        </w:rPr>
      </w:pPr>
    </w:p>
    <w:p>
      <w:pPr>
        <w:jc w:val="right"/>
        <w:ind w:right="4539"/>
        <w:spacing w:after="0"/>
        <w:tabs>
          <w:tab w:leader="none" w:pos="1260" w:val="left"/>
        </w:tabs>
        <w:rPr>
          <w:sz w:val="20"/>
          <w:szCs w:val="20"/>
          <w:color w:val="auto"/>
        </w:rPr>
      </w:pPr>
      <w:r>
        <w:rPr>
          <w:rFonts w:ascii="Courier New" w:cs="Courier New" w:eastAsia="Courier New" w:hAnsi="Courier New"/>
          <w:sz w:val="12"/>
          <w:szCs w:val="12"/>
          <w:color w:val="auto"/>
        </w:rPr>
        <w:t>Characterization Report</w:t>
      </w:r>
      <w:r>
        <w:rPr>
          <w:sz w:val="20"/>
          <w:szCs w:val="20"/>
          <w:color w:val="auto"/>
        </w:rPr>
        <w:tab/>
      </w:r>
      <w:r>
        <w:rPr>
          <w:rFonts w:ascii="Courier New" w:cs="Courier New" w:eastAsia="Courier New" w:hAnsi="Courier New"/>
          <w:sz w:val="11"/>
          <w:szCs w:val="11"/>
          <w:color w:val="auto"/>
        </w:rPr>
        <w:t>[***] (SEE NOTE 3)</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SCHEDULE OF MILESTONES applicable to the [***]IP Block in the [***]</w:t>
      </w:r>
    </w:p>
    <w:p>
      <w:pPr>
        <w:spacing w:after="0" w:line="139" w:lineRule="exact"/>
        <w:rPr>
          <w:sz w:val="20"/>
          <w:szCs w:val="20"/>
          <w:color w:val="auto"/>
        </w:rPr>
      </w:pPr>
    </w:p>
    <w:p>
      <w:pPr>
        <w:ind w:left="847" w:hanging="490"/>
        <w:spacing w:after="0"/>
        <w:tabs>
          <w:tab w:leader="none" w:pos="847" w:val="left"/>
        </w:tabs>
        <w:numPr>
          <w:ilvl w:val="0"/>
          <w:numId w:val="2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Purchase order for the [***] Option and first payment for the</w:t>
      </w:r>
    </w:p>
    <w:p>
      <w:pPr>
        <w:spacing w:after="0" w:line="1" w:lineRule="exact"/>
        <w:rPr>
          <w:sz w:val="20"/>
          <w:szCs w:val="20"/>
          <w:color w:val="auto"/>
        </w:rPr>
      </w:pPr>
    </w:p>
    <w:tbl>
      <w:tblPr>
        <w:tblLayout w:type="fixed"/>
        <w:tblInd w:w="367" w:type="dxa"/>
        <w:tblCellMar>
          <w:top w:w="0" w:type="dxa"/>
          <w:left w:w="0" w:type="dxa"/>
          <w:bottom w:w="0" w:type="dxa"/>
          <w:right w:w="0" w:type="dxa"/>
        </w:tblCellMar>
      </w:tblPr>
      <w:tr>
        <w:trPr>
          <w:trHeight w:val="136"/>
        </w:trPr>
        <w:tc>
          <w:tcPr>
            <w:tcW w:w="340" w:type="dxa"/>
            <w:vAlign w:val="bottom"/>
          </w:tcPr>
          <w:p>
            <w:pPr>
              <w:spacing w:after="0"/>
              <w:rPr>
                <w:sz w:val="11"/>
                <w:szCs w:val="11"/>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2"/>
                <w:szCs w:val="12"/>
                <w:color w:val="auto"/>
              </w:rPr>
              <w:t>[***] option</w:t>
            </w:r>
          </w:p>
        </w:tc>
        <w:tc>
          <w:tcPr>
            <w:tcW w:w="8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t7</w:t>
            </w:r>
          </w:p>
        </w:tc>
      </w:tr>
      <w:tr>
        <w:trPr>
          <w:trHeight w:val="137"/>
        </w:trPr>
        <w:tc>
          <w:tcPr>
            <w:tcW w:w="340" w:type="dxa"/>
            <w:vAlign w:val="bottom"/>
          </w:tcPr>
          <w:p>
            <w:pPr>
              <w:spacing w:after="0"/>
              <w:rPr>
                <w:sz w:val="20"/>
                <w:szCs w:val="20"/>
                <w:color w:val="auto"/>
              </w:rPr>
            </w:pPr>
            <w:r>
              <w:rPr>
                <w:rFonts w:ascii="Courier New" w:cs="Courier New" w:eastAsia="Courier New" w:hAnsi="Courier New"/>
                <w:sz w:val="12"/>
                <w:szCs w:val="12"/>
                <w:color w:val="auto"/>
              </w:rPr>
              <w:t>9.</w:t>
            </w:r>
          </w:p>
        </w:tc>
        <w:tc>
          <w:tcPr>
            <w:tcW w:w="19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Transfer of design rules</w:t>
            </w:r>
          </w:p>
        </w:tc>
        <w:tc>
          <w:tcPr>
            <w:tcW w:w="2280" w:type="dxa"/>
            <w:vAlign w:val="bottom"/>
          </w:tcPr>
          <w:p>
            <w:pPr>
              <w:ind w:left="40"/>
              <w:spacing w:after="0"/>
              <w:rPr>
                <w:sz w:val="20"/>
                <w:szCs w:val="20"/>
                <w:color w:val="auto"/>
              </w:rPr>
            </w:pPr>
            <w:r>
              <w:rPr>
                <w:rFonts w:ascii="Courier New" w:cs="Courier New" w:eastAsia="Courier New" w:hAnsi="Courier New"/>
                <w:sz w:val="12"/>
                <w:szCs w:val="12"/>
                <w:color w:val="auto"/>
              </w:rPr>
              <w:t>and CAD set-up from Tower</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t8</w:t>
            </w:r>
          </w:p>
        </w:tc>
      </w:tr>
      <w:tr>
        <w:trPr>
          <w:trHeight w:val="137"/>
        </w:trPr>
        <w:tc>
          <w:tcPr>
            <w:tcW w:w="340" w:type="dxa"/>
            <w:vAlign w:val="bottom"/>
          </w:tcPr>
          <w:p>
            <w:pPr>
              <w:spacing w:after="0"/>
              <w:rPr>
                <w:sz w:val="20"/>
                <w:szCs w:val="20"/>
                <w:color w:val="auto"/>
              </w:rPr>
            </w:pPr>
            <w:r>
              <w:rPr>
                <w:rFonts w:ascii="Courier New" w:cs="Courier New" w:eastAsia="Courier New" w:hAnsi="Courier New"/>
                <w:sz w:val="12"/>
                <w:szCs w:val="12"/>
                <w:color w:val="auto"/>
              </w:rPr>
              <w:t>10.</w:t>
            </w:r>
          </w:p>
        </w:tc>
        <w:tc>
          <w:tcPr>
            <w:tcW w:w="1040" w:type="dxa"/>
            <w:vAlign w:val="bottom"/>
          </w:tcPr>
          <w:p>
            <w:pPr>
              <w:ind w:left="140"/>
              <w:spacing w:after="0"/>
              <w:rPr>
                <w:sz w:val="20"/>
                <w:szCs w:val="20"/>
                <w:color w:val="auto"/>
              </w:rPr>
            </w:pPr>
            <w:r>
              <w:rPr>
                <w:rFonts w:ascii="Courier New" w:cs="Courier New" w:eastAsia="Courier New" w:hAnsi="Courier New"/>
                <w:sz w:val="12"/>
                <w:szCs w:val="12"/>
                <w:color w:val="auto"/>
              </w:rPr>
              <w:t>IP Datasheet</w:t>
            </w:r>
          </w:p>
        </w:tc>
        <w:tc>
          <w:tcPr>
            <w:tcW w:w="31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or Specification sign-off</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t9</w:t>
            </w:r>
          </w:p>
        </w:tc>
      </w:tr>
      <w:tr>
        <w:trPr>
          <w:trHeight w:val="137"/>
        </w:trPr>
        <w:tc>
          <w:tcPr>
            <w:tcW w:w="340" w:type="dxa"/>
            <w:vAlign w:val="bottom"/>
          </w:tcPr>
          <w:p>
            <w:pPr>
              <w:spacing w:after="0"/>
              <w:rPr>
                <w:sz w:val="20"/>
                <w:szCs w:val="20"/>
                <w:color w:val="auto"/>
              </w:rPr>
            </w:pPr>
            <w:r>
              <w:rPr>
                <w:rFonts w:ascii="Courier New" w:cs="Courier New" w:eastAsia="Courier New" w:hAnsi="Courier New"/>
                <w:sz w:val="12"/>
                <w:szCs w:val="12"/>
                <w:color w:val="auto"/>
              </w:rPr>
              <w:t>11.</w:t>
            </w:r>
          </w:p>
        </w:tc>
        <w:tc>
          <w:tcPr>
            <w:tcW w:w="1040" w:type="dxa"/>
            <w:vAlign w:val="bottom"/>
          </w:tcPr>
          <w:p>
            <w:pPr>
              <w:ind w:left="140"/>
              <w:spacing w:after="0"/>
              <w:rPr>
                <w:sz w:val="20"/>
                <w:szCs w:val="20"/>
                <w:color w:val="auto"/>
              </w:rPr>
            </w:pPr>
            <w:r>
              <w:rPr>
                <w:rFonts w:ascii="Courier New" w:cs="Courier New" w:eastAsia="Courier New" w:hAnsi="Courier New"/>
                <w:sz w:val="12"/>
                <w:szCs w:val="12"/>
                <w:color w:val="auto"/>
              </w:rPr>
              <w:t>Availability</w:t>
            </w:r>
          </w:p>
        </w:tc>
        <w:tc>
          <w:tcPr>
            <w:tcW w:w="860" w:type="dxa"/>
            <w:vAlign w:val="bottom"/>
          </w:tcPr>
          <w:p>
            <w:pPr>
              <w:ind w:left="40"/>
              <w:spacing w:after="0"/>
              <w:rPr>
                <w:sz w:val="20"/>
                <w:szCs w:val="20"/>
                <w:color w:val="auto"/>
              </w:rPr>
            </w:pPr>
            <w:r>
              <w:rPr>
                <w:rFonts w:ascii="Courier New" w:cs="Courier New" w:eastAsia="Courier New" w:hAnsi="Courier New"/>
                <w:sz w:val="12"/>
                <w:szCs w:val="12"/>
                <w:color w:val="auto"/>
              </w:rPr>
              <w:t>of Chipidea</w:t>
            </w:r>
          </w:p>
        </w:tc>
        <w:tc>
          <w:tcPr>
            <w:tcW w:w="2280" w:type="dxa"/>
            <w:vAlign w:val="bottom"/>
          </w:tcPr>
          <w:p>
            <w:pPr>
              <w:ind w:left="40"/>
              <w:spacing w:after="0"/>
              <w:rPr>
                <w:sz w:val="20"/>
                <w:szCs w:val="20"/>
                <w:color w:val="auto"/>
              </w:rPr>
            </w:pPr>
            <w:r>
              <w:rPr>
                <w:rFonts w:ascii="Courier New" w:cs="Courier New" w:eastAsia="Courier New" w:hAnsi="Courier New"/>
                <w:sz w:val="12"/>
                <w:szCs w:val="12"/>
                <w:color w:val="auto"/>
              </w:rPr>
              <w:t>resources</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t10</w:t>
            </w:r>
          </w:p>
        </w:tc>
      </w:tr>
      <w:tr>
        <w:trPr>
          <w:trHeight w:val="137"/>
        </w:trPr>
        <w:tc>
          <w:tcPr>
            <w:tcW w:w="340" w:type="dxa"/>
            <w:vAlign w:val="bottom"/>
          </w:tcPr>
          <w:p>
            <w:pPr>
              <w:spacing w:after="0"/>
              <w:rPr>
                <w:sz w:val="20"/>
                <w:szCs w:val="20"/>
                <w:color w:val="auto"/>
              </w:rPr>
            </w:pPr>
            <w:r>
              <w:rPr>
                <w:rFonts w:ascii="Courier New" w:cs="Courier New" w:eastAsia="Courier New" w:hAnsi="Courier New"/>
                <w:sz w:val="12"/>
                <w:szCs w:val="12"/>
                <w:color w:val="auto"/>
              </w:rPr>
              <w:t>12.</w:t>
            </w:r>
          </w:p>
        </w:tc>
        <w:tc>
          <w:tcPr>
            <w:tcW w:w="418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Functional Behavior Models [***]delivery</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40" w:type="dxa"/>
            <w:vAlign w:val="bottom"/>
          </w:tcPr>
          <w:p>
            <w:pPr>
              <w:spacing w:after="0"/>
              <w:rPr>
                <w:sz w:val="20"/>
                <w:szCs w:val="20"/>
                <w:color w:val="auto"/>
              </w:rPr>
            </w:pPr>
            <w:r>
              <w:rPr>
                <w:rFonts w:ascii="Courier New" w:cs="Courier New" w:eastAsia="Courier New" w:hAnsi="Courier New"/>
                <w:sz w:val="12"/>
                <w:szCs w:val="12"/>
                <w:color w:val="auto"/>
              </w:rPr>
              <w:t>13.</w:t>
            </w:r>
          </w:p>
        </w:tc>
        <w:tc>
          <w:tcPr>
            <w:tcW w:w="19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IP Database delivered to</w:t>
            </w:r>
          </w:p>
        </w:tc>
        <w:tc>
          <w:tcPr>
            <w:tcW w:w="2280" w:type="dxa"/>
            <w:vAlign w:val="bottom"/>
          </w:tcPr>
          <w:p>
            <w:pPr>
              <w:ind w:left="40"/>
              <w:spacing w:after="0"/>
              <w:rPr>
                <w:sz w:val="20"/>
                <w:szCs w:val="20"/>
                <w:color w:val="auto"/>
              </w:rPr>
            </w:pPr>
            <w:r>
              <w:rPr>
                <w:rFonts w:ascii="Courier New" w:cs="Courier New" w:eastAsia="Courier New" w:hAnsi="Courier New"/>
                <w:sz w:val="12"/>
                <w:szCs w:val="12"/>
                <w:color w:val="auto"/>
              </w:rPr>
              <w:t>Tower</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340" w:type="dxa"/>
            <w:vAlign w:val="bottom"/>
          </w:tcPr>
          <w:p>
            <w:pPr>
              <w:spacing w:after="0"/>
              <w:rPr>
                <w:sz w:val="20"/>
                <w:szCs w:val="20"/>
                <w:color w:val="auto"/>
              </w:rPr>
            </w:pPr>
            <w:r>
              <w:rPr>
                <w:rFonts w:ascii="Courier New" w:cs="Courier New" w:eastAsia="Courier New" w:hAnsi="Courier New"/>
                <w:sz w:val="12"/>
                <w:szCs w:val="12"/>
                <w:color w:val="auto"/>
              </w:rPr>
              <w:t>14.</w:t>
            </w:r>
          </w:p>
        </w:tc>
        <w:tc>
          <w:tcPr>
            <w:tcW w:w="418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Tower delivery of Engineering Samples to Chipidea</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 w:lineRule="exact"/>
        <w:rPr>
          <w:sz w:val="20"/>
          <w:szCs w:val="20"/>
          <w:color w:val="auto"/>
        </w:rPr>
      </w:pPr>
    </w:p>
    <w:p>
      <w:pPr>
        <w:ind w:left="847" w:hanging="490"/>
        <w:spacing w:after="0"/>
        <w:tabs>
          <w:tab w:leader="none" w:pos="847" w:val="left"/>
        </w:tabs>
        <w:numPr>
          <w:ilvl w:val="0"/>
          <w:numId w:val="2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When Engineering Samples provided to Chipidea, delivery of Test and</w:t>
      </w:r>
    </w:p>
    <w:p>
      <w:pPr>
        <w:spacing w:after="0" w:line="1" w:lineRule="exact"/>
        <w:rPr>
          <w:sz w:val="20"/>
          <w:szCs w:val="20"/>
          <w:color w:val="auto"/>
        </w:rPr>
      </w:pPr>
    </w:p>
    <w:p>
      <w:pPr>
        <w:jc w:val="right"/>
        <w:ind w:right="4539"/>
        <w:spacing w:after="0"/>
        <w:tabs>
          <w:tab w:leader="none" w:pos="1260" w:val="left"/>
        </w:tabs>
        <w:rPr>
          <w:sz w:val="20"/>
          <w:szCs w:val="20"/>
          <w:color w:val="auto"/>
        </w:rPr>
      </w:pPr>
      <w:r>
        <w:rPr>
          <w:rFonts w:ascii="Courier New" w:cs="Courier New" w:eastAsia="Courier New" w:hAnsi="Courier New"/>
          <w:sz w:val="12"/>
          <w:szCs w:val="12"/>
          <w:color w:val="auto"/>
        </w:rPr>
        <w:t>Characterization Report</w:t>
      </w:r>
      <w:r>
        <w:rPr>
          <w:sz w:val="20"/>
          <w:szCs w:val="20"/>
          <w:color w:val="auto"/>
        </w:rPr>
        <w:tab/>
      </w:r>
      <w:r>
        <w:rPr>
          <w:rFonts w:ascii="Courier New" w:cs="Courier New" w:eastAsia="Courier New" w:hAnsi="Courier New"/>
          <w:sz w:val="11"/>
          <w:szCs w:val="11"/>
          <w:color w:val="auto"/>
        </w:rPr>
        <w:t>[***] (SEE NOTE 3)</w:t>
      </w:r>
    </w:p>
    <w:p>
      <w:pPr>
        <w:spacing w:after="0" w:line="141" w:lineRule="exact"/>
        <w:rPr>
          <w:sz w:val="20"/>
          <w:szCs w:val="20"/>
          <w:color w:val="auto"/>
        </w:rPr>
      </w:pPr>
    </w:p>
    <w:p>
      <w:pPr>
        <w:ind w:left="707" w:right="4599" w:hanging="339"/>
        <w:spacing w:after="0"/>
        <w:tabs>
          <w:tab w:leader="none" w:pos="686" w:val="left"/>
        </w:tabs>
        <w:rPr>
          <w:sz w:val="20"/>
          <w:szCs w:val="20"/>
          <w:color w:val="auto"/>
        </w:rPr>
      </w:pPr>
      <w:r>
        <w:rPr>
          <w:rFonts w:ascii="Courier New" w:cs="Courier New" w:eastAsia="Courier New" w:hAnsi="Courier New"/>
          <w:sz w:val="12"/>
          <w:szCs w:val="12"/>
          <w:color w:val="auto"/>
        </w:rPr>
        <w:t>Note</w:t>
        <w:tab/>
        <w:t>1: Milestones 2 &amp; 3 can be listed as "- n weeks" in case it is mutually agreed by Customer and Chipidea to complete these milestones prior to the Effective Date of Design Agreement. When this is the case, Milestone 4 changes to [***]</w:t>
      </w:r>
    </w:p>
    <w:p>
      <w:pPr>
        <w:spacing w:after="0" w:line="140"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Note 2: this can be either t0, t1 or t2 whichever occurs later.</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29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69" w:right="1440" w:bottom="1440" w:gutter="0" w:footer="0" w:header="0"/>
        </w:sectPr>
      </w:pPr>
    </w:p>
    <w:bookmarkStart w:id="169" w:name="page170"/>
    <w:bookmarkEnd w:id="169"/>
    <w:p>
      <w:pPr>
        <w:ind w:left="707" w:right="4539" w:hanging="339"/>
        <w:spacing w:after="0" w:line="241" w:lineRule="auto"/>
        <w:tabs>
          <w:tab w:leader="none" w:pos="686" w:val="left"/>
        </w:tabs>
        <w:rPr>
          <w:sz w:val="20"/>
          <w:szCs w:val="20"/>
          <w:color w:val="auto"/>
        </w:rPr>
      </w:pPr>
      <w:r>
        <w:rPr>
          <w:rFonts w:ascii="Courier New" w:cs="Courier New" w:eastAsia="Courier New" w:hAnsi="Courier New"/>
          <w:sz w:val="12"/>
          <w:szCs w:val="12"/>
          <w:color w:val="auto"/>
        </w:rPr>
        <w:t>Note</w:t>
        <w:tab/>
        <w:t>3: Test reports will be delivered [***]after samples arrive provided that the package, pin-out, and special test mode (if applicable) information is provided to Chipidea at least [***]prior to samples arriving. Also, this information must not change for the [***] period. If these conditions are not met then the test report delivery time will start [***]after test chip information is delivered and unchanged.</w:t>
      </w:r>
    </w:p>
    <w:p>
      <w:pPr>
        <w:spacing w:after="0" w:line="142" w:lineRule="exact"/>
        <w:rPr>
          <w:sz w:val="20"/>
          <w:szCs w:val="20"/>
          <w:color w:val="auto"/>
        </w:rPr>
      </w:pPr>
    </w:p>
    <w:p>
      <w:pPr>
        <w:ind w:left="707" w:right="4539" w:hanging="339"/>
        <w:spacing w:after="0" w:line="238" w:lineRule="auto"/>
        <w:tabs>
          <w:tab w:leader="none" w:pos="686" w:val="left"/>
        </w:tabs>
        <w:rPr>
          <w:sz w:val="20"/>
          <w:szCs w:val="20"/>
          <w:color w:val="auto"/>
        </w:rPr>
      </w:pPr>
      <w:r>
        <w:rPr>
          <w:rFonts w:ascii="Courier New" w:cs="Courier New" w:eastAsia="Courier New" w:hAnsi="Courier New"/>
          <w:sz w:val="12"/>
          <w:szCs w:val="12"/>
          <w:color w:val="auto"/>
        </w:rPr>
        <w:t>Note</w:t>
        <w:tab/>
        <w:t>4: Any deliveries from Chipidea will be conditional on On-Time payment of previous invoices by Customer.</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Note 5: this can be either t7, t8, t9 or t10 whichever occurs later.</w:t>
      </w:r>
    </w:p>
    <w:p>
      <w:pPr>
        <w:spacing w:after="0" w:line="141" w:lineRule="exact"/>
        <w:rPr>
          <w:sz w:val="20"/>
          <w:szCs w:val="20"/>
          <w:color w:val="auto"/>
        </w:rPr>
      </w:pPr>
    </w:p>
    <w:p>
      <w:pPr>
        <w:ind w:left="367" w:right="7099" w:hanging="10"/>
        <w:spacing w:after="0" w:line="528" w:lineRule="auto"/>
        <w:tabs>
          <w:tab w:leader="none" w:pos="652" w:val="left"/>
        </w:tabs>
        <w:numPr>
          <w:ilvl w:val="1"/>
          <w:numId w:val="3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Exhibit D shall be read as follows: PAYMENT SCHEDULE FOR THE [***]:</w:t>
      </w:r>
    </w:p>
    <w:p>
      <w:pPr>
        <w:ind w:left="147" w:hanging="147"/>
        <w:spacing w:after="0"/>
        <w:tabs>
          <w:tab w:leader="none" w:pos="147" w:val="left"/>
        </w:tabs>
        <w:numPr>
          <w:ilvl w:val="0"/>
          <w:numId w:val="3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 ------------- -------------</w:t>
      </w:r>
    </w:p>
    <w:p>
      <w:pPr>
        <w:spacing w:after="0" w:line="1" w:lineRule="exact"/>
        <w:rPr>
          <w:sz w:val="20"/>
          <w:szCs w:val="20"/>
          <w:color w:val="auto"/>
        </w:rPr>
      </w:pPr>
    </w:p>
    <w:p>
      <w:pPr>
        <w:ind w:left="207"/>
        <w:spacing w:after="0"/>
        <w:tabs>
          <w:tab w:leader="none" w:pos="1266" w:val="left"/>
          <w:tab w:leader="none" w:pos="2486" w:val="left"/>
          <w:tab w:leader="none" w:pos="3466" w:val="left"/>
        </w:tabs>
        <w:rPr>
          <w:sz w:val="20"/>
          <w:szCs w:val="20"/>
          <w:color w:val="auto"/>
        </w:rPr>
      </w:pPr>
      <w:r>
        <w:rPr>
          <w:rFonts w:ascii="Courier New" w:cs="Courier New" w:eastAsia="Courier New" w:hAnsi="Courier New"/>
          <w:sz w:val="12"/>
          <w:szCs w:val="12"/>
          <w:color w:val="auto"/>
        </w:rPr>
        <w:t>Milestone</w:t>
      </w:r>
      <w:r>
        <w:rPr>
          <w:sz w:val="20"/>
          <w:szCs w:val="20"/>
          <w:color w:val="auto"/>
        </w:rPr>
        <w:tab/>
      </w:r>
      <w:r>
        <w:rPr>
          <w:rFonts w:ascii="Courier New" w:cs="Courier New" w:eastAsia="Courier New" w:hAnsi="Courier New"/>
          <w:sz w:val="12"/>
          <w:szCs w:val="12"/>
          <w:color w:val="auto"/>
        </w:rPr>
        <w:t>% of total</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 -------------- ------------- -------------</w:t>
      </w:r>
    </w:p>
    <w:p>
      <w:pPr>
        <w:spacing w:after="0" w:line="1" w:lineRule="exact"/>
        <w:rPr>
          <w:sz w:val="20"/>
          <w:szCs w:val="20"/>
          <w:color w:val="auto"/>
        </w:rPr>
      </w:pPr>
    </w:p>
    <w:p>
      <w:pPr>
        <w:ind w:left="507"/>
        <w:spacing w:after="0"/>
        <w:tabs>
          <w:tab w:leader="none" w:pos="1486" w:val="left"/>
          <w:tab w:leader="none" w:pos="2486" w:val="left"/>
          <w:tab w:leader="none" w:pos="3466" w:val="left"/>
        </w:tabs>
        <w:rPr>
          <w:sz w:val="20"/>
          <w:szCs w:val="20"/>
          <w:color w:val="auto"/>
        </w:rPr>
      </w:pPr>
      <w:r>
        <w:rPr>
          <w:rFonts w:ascii="Courier New" w:cs="Courier New" w:eastAsia="Courier New" w:hAnsi="Courier New"/>
          <w:sz w:val="12"/>
          <w:szCs w:val="12"/>
          <w:color w:val="auto"/>
        </w:rPr>
        <w:t>1</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 -------------- ------------- -------------</w:t>
      </w:r>
    </w:p>
    <w:p>
      <w:pPr>
        <w:spacing w:after="0" w:line="1" w:lineRule="exact"/>
        <w:rPr>
          <w:sz w:val="20"/>
          <w:szCs w:val="20"/>
          <w:color w:val="auto"/>
        </w:rPr>
      </w:pPr>
    </w:p>
    <w:p>
      <w:pPr>
        <w:ind w:left="507"/>
        <w:spacing w:after="0"/>
        <w:tabs>
          <w:tab w:leader="none" w:pos="1486" w:val="left"/>
          <w:tab w:leader="none" w:pos="2486" w:val="left"/>
          <w:tab w:leader="none" w:pos="3466" w:val="left"/>
        </w:tabs>
        <w:rPr>
          <w:sz w:val="20"/>
          <w:szCs w:val="20"/>
          <w:color w:val="auto"/>
        </w:rPr>
      </w:pPr>
      <w:r>
        <w:rPr>
          <w:rFonts w:ascii="Courier New" w:cs="Courier New" w:eastAsia="Courier New" w:hAnsi="Courier New"/>
          <w:sz w:val="12"/>
          <w:szCs w:val="12"/>
          <w:color w:val="auto"/>
        </w:rPr>
        <w:t>2</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 -------------- ------------- -------------</w:t>
      </w:r>
    </w:p>
    <w:p>
      <w:pPr>
        <w:spacing w:after="0" w:line="1" w:lineRule="exact"/>
        <w:rPr>
          <w:sz w:val="20"/>
          <w:szCs w:val="20"/>
          <w:color w:val="auto"/>
        </w:rPr>
      </w:pPr>
    </w:p>
    <w:p>
      <w:pPr>
        <w:ind w:left="507"/>
        <w:spacing w:after="0"/>
        <w:tabs>
          <w:tab w:leader="none" w:pos="1486" w:val="left"/>
          <w:tab w:leader="none" w:pos="2486" w:val="left"/>
          <w:tab w:leader="none" w:pos="3466" w:val="left"/>
        </w:tabs>
        <w:rPr>
          <w:sz w:val="20"/>
          <w:szCs w:val="20"/>
          <w:color w:val="auto"/>
        </w:rPr>
      </w:pPr>
      <w:r>
        <w:rPr>
          <w:rFonts w:ascii="Courier New" w:cs="Courier New" w:eastAsia="Courier New" w:hAnsi="Courier New"/>
          <w:sz w:val="12"/>
          <w:szCs w:val="12"/>
          <w:color w:val="auto"/>
        </w:rPr>
        <w:t>3</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 -------------- ------------- -------------</w:t>
      </w:r>
    </w:p>
    <w:p>
      <w:pPr>
        <w:spacing w:after="0" w:line="1" w:lineRule="exact"/>
        <w:rPr>
          <w:sz w:val="20"/>
          <w:szCs w:val="20"/>
          <w:color w:val="auto"/>
        </w:rPr>
      </w:pPr>
    </w:p>
    <w:p>
      <w:pPr>
        <w:ind w:left="507"/>
        <w:spacing w:after="0"/>
        <w:tabs>
          <w:tab w:leader="none" w:pos="1486" w:val="left"/>
          <w:tab w:leader="none" w:pos="2486" w:val="left"/>
          <w:tab w:leader="none" w:pos="3466" w:val="left"/>
        </w:tabs>
        <w:rPr>
          <w:sz w:val="20"/>
          <w:szCs w:val="20"/>
          <w:color w:val="auto"/>
        </w:rPr>
      </w:pPr>
      <w:r>
        <w:rPr>
          <w:rFonts w:ascii="Courier New" w:cs="Courier New" w:eastAsia="Courier New" w:hAnsi="Courier New"/>
          <w:sz w:val="12"/>
          <w:szCs w:val="12"/>
          <w:color w:val="auto"/>
        </w:rPr>
        <w:t>4</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 -------------- ------------- -------------</w:t>
      </w:r>
    </w:p>
    <w:p>
      <w:pPr>
        <w:spacing w:after="0" w:line="1" w:lineRule="exact"/>
        <w:rPr>
          <w:sz w:val="20"/>
          <w:szCs w:val="20"/>
          <w:color w:val="auto"/>
        </w:rPr>
      </w:pPr>
    </w:p>
    <w:p>
      <w:pPr>
        <w:ind w:left="367"/>
        <w:spacing w:after="0"/>
        <w:tabs>
          <w:tab w:leader="none" w:pos="1486" w:val="left"/>
          <w:tab w:leader="none" w:pos="2486" w:val="left"/>
          <w:tab w:leader="none" w:pos="3466" w:val="left"/>
        </w:tabs>
        <w:rPr>
          <w:sz w:val="20"/>
          <w:szCs w:val="20"/>
          <w:color w:val="auto"/>
        </w:rPr>
      </w:pPr>
      <w:r>
        <w:rPr>
          <w:rFonts w:ascii="Courier New" w:cs="Courier New" w:eastAsia="Courier New" w:hAnsi="Courier New"/>
          <w:sz w:val="12"/>
          <w:szCs w:val="12"/>
          <w:color w:val="auto"/>
        </w:rPr>
        <w:t>Total</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 w:lineRule="exact"/>
        <w:rPr>
          <w:sz w:val="20"/>
          <w:szCs w:val="20"/>
          <w:color w:val="auto"/>
        </w:rPr>
      </w:pPr>
    </w:p>
    <w:p>
      <w:pPr>
        <w:ind w:left="147" w:hanging="147"/>
        <w:spacing w:after="0"/>
        <w:tabs>
          <w:tab w:leader="none" w:pos="147" w:val="left"/>
        </w:tabs>
        <w:numPr>
          <w:ilvl w:val="0"/>
          <w:numId w:val="3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 ------------- -------------</w:t>
      </w:r>
    </w:p>
    <w:p>
      <w:pPr>
        <w:spacing w:after="0" w:line="138" w:lineRule="exact"/>
        <w:rPr>
          <w:rFonts w:ascii="Courier New" w:cs="Courier New" w:eastAsia="Courier New" w:hAnsi="Courier New"/>
          <w:sz w:val="12"/>
          <w:szCs w:val="12"/>
          <w:color w:val="auto"/>
        </w:rPr>
      </w:pPr>
    </w:p>
    <w:p>
      <w:pPr>
        <w:ind w:left="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Comments:</w:t>
      </w:r>
    </w:p>
    <w:p>
      <w:pPr>
        <w:spacing w:after="0" w:line="141" w:lineRule="exact"/>
        <w:rPr>
          <w:rFonts w:ascii="Courier New" w:cs="Courier New" w:eastAsia="Courier New" w:hAnsi="Courier New"/>
          <w:sz w:val="12"/>
          <w:szCs w:val="12"/>
          <w:color w:val="auto"/>
        </w:rPr>
      </w:pPr>
    </w:p>
    <w:p>
      <w:pPr>
        <w:ind w:left="707" w:right="4899" w:hanging="350"/>
        <w:spacing w:after="0" w:line="280" w:lineRule="auto"/>
        <w:tabs>
          <w:tab w:leader="none" w:pos="707" w:val="left"/>
        </w:tabs>
        <w:numPr>
          <w:ilvl w:val="1"/>
          <w:numId w:val="3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definition of Milestones 1, 2, 3 &amp; 4 and the breakdown of the payments per the Milestones are per Exhibit D of the Agreement.</w:t>
      </w:r>
    </w:p>
    <w:p>
      <w:pPr>
        <w:spacing w:after="0" w:line="120" w:lineRule="exact"/>
        <w:rPr>
          <w:rFonts w:ascii="Courier New" w:cs="Courier New" w:eastAsia="Courier New" w:hAnsi="Courier New"/>
          <w:sz w:val="11"/>
          <w:szCs w:val="11"/>
          <w:color w:val="auto"/>
        </w:rPr>
      </w:pPr>
    </w:p>
    <w:p>
      <w:pPr>
        <w:ind w:left="707" w:right="4539" w:hanging="350"/>
        <w:spacing w:after="0" w:line="241" w:lineRule="auto"/>
        <w:tabs>
          <w:tab w:leader="none" w:pos="707" w:val="left"/>
        </w:tabs>
        <w:numPr>
          <w:ilvl w:val="1"/>
          <w:numId w:val="3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following cases milestone 4 would be paid earlier than specified in the Agreement: in event that milestone 3 has been achieved before [***] but no Tower Customer licenses the New IP Block by such day, then milestone 4 would be deemed to have occurred on that day. If milestone 3 occurs after [***] but no Tower Customer licenses the New IP Block within [***]of the occurrence of milestone 3, then milestone 4 would be deemed to have occurred on the [***]from the achievement of Milestone 3.</w:t>
      </w:r>
    </w:p>
    <w:p>
      <w:pPr>
        <w:spacing w:after="0" w:line="143" w:lineRule="exact"/>
        <w:rPr>
          <w:rFonts w:ascii="Courier New" w:cs="Courier New" w:eastAsia="Courier New" w:hAnsi="Courier New"/>
          <w:sz w:val="12"/>
          <w:szCs w:val="12"/>
          <w:color w:val="auto"/>
        </w:rPr>
      </w:pPr>
    </w:p>
    <w:p>
      <w:pPr>
        <w:ind w:left="707" w:right="4759" w:hanging="350"/>
        <w:spacing w:after="0" w:line="238" w:lineRule="auto"/>
        <w:tabs>
          <w:tab w:leader="none" w:pos="707" w:val="left"/>
        </w:tabs>
        <w:numPr>
          <w:ilvl w:val="1"/>
          <w:numId w:val="3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 implementation exercisable at Tower's option upon a [***] notice and availability of Chipidea resources.</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Bank details:</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Name: [***]</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Bank Address: [***]</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IBAN (International Bank Account Number): [***]</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SWIFT: [***]</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70" w:name="page171"/>
    <w:bookmarkEnd w:id="170"/>
    <w:p>
      <w:pPr>
        <w:ind w:left="647" w:hanging="290"/>
        <w:spacing w:after="0"/>
        <w:tabs>
          <w:tab w:leader="none" w:pos="647" w:val="left"/>
        </w:tabs>
        <w:numPr>
          <w:ilvl w:val="0"/>
          <w:numId w:val="3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Exhibit E shall read as follows:</w:t>
      </w:r>
    </w:p>
    <w:p>
      <w:pPr>
        <w:spacing w:after="0" w:line="138" w:lineRule="exact"/>
        <w:rPr>
          <w:rFonts w:ascii="Courier New" w:cs="Courier New" w:eastAsia="Courier New" w:hAnsi="Courier New"/>
          <w:sz w:val="12"/>
          <w:szCs w:val="12"/>
          <w:color w:val="auto"/>
        </w:rPr>
      </w:pPr>
    </w:p>
    <w:p>
      <w:pPr>
        <w:ind w:left="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INSTANTIATION</w:t>
      </w:r>
    </w:p>
    <w:p>
      <w:pPr>
        <w:spacing w:after="0" w:line="141" w:lineRule="exact"/>
        <w:rPr>
          <w:sz w:val="20"/>
          <w:szCs w:val="20"/>
          <w:color w:val="auto"/>
        </w:rPr>
      </w:pPr>
    </w:p>
    <w:p>
      <w:pPr>
        <w:ind w:left="7" w:right="4599"/>
        <w:spacing w:after="0" w:line="241" w:lineRule="auto"/>
        <w:rPr>
          <w:sz w:val="20"/>
          <w:szCs w:val="20"/>
          <w:color w:val="auto"/>
        </w:rPr>
      </w:pPr>
      <w:r>
        <w:rPr>
          <w:rFonts w:ascii="Courier New" w:cs="Courier New" w:eastAsia="Courier New" w:hAnsi="Courier New"/>
          <w:sz w:val="12"/>
          <w:szCs w:val="12"/>
          <w:color w:val="auto"/>
        </w:rPr>
        <w:t>Chipidea agrees to license the [***]on Tower's 0.13um Process ("New IP Block") set forth in exhibit B, if ordered by Tower, to Tower Customers and will work with third party developers, as appropriate, to satisfy Tower Customers requests. Chipidea agrees to provide terms and conditions to Tower Customers that are [***]. A Tower Customer wishing to use the New IP Block set forth in exhibit B shall license the New IP Block from Chipidea under the terms to be agreed between Chipidea and such Tower Customer, provided that the license fees to be paid by the Tower Customer shall not exceed the values set forth hereunder.</w:t>
      </w:r>
    </w:p>
    <w:p>
      <w:pPr>
        <w:spacing w:after="0" w:line="144" w:lineRule="exact"/>
        <w:rPr>
          <w:sz w:val="20"/>
          <w:szCs w:val="20"/>
          <w:color w:val="auto"/>
        </w:rPr>
      </w:pPr>
    </w:p>
    <w:p>
      <w:pPr>
        <w:ind w:left="147" w:hanging="147"/>
        <w:spacing w:after="0"/>
        <w:tabs>
          <w:tab w:leader="none" w:pos="147" w:val="left"/>
        </w:tabs>
        <w:numPr>
          <w:ilvl w:val="0"/>
          <w:numId w:val="3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 --------------- ------------------------</w:t>
      </w:r>
    </w:p>
    <w:p>
      <w:pPr>
        <w:spacing w:after="0" w:line="9" w:lineRule="exact"/>
        <w:rPr>
          <w:rFonts w:ascii="Courier New" w:cs="Courier New" w:eastAsia="Courier New" w:hAnsi="Courier New"/>
          <w:sz w:val="11"/>
          <w:szCs w:val="11"/>
          <w:color w:val="auto"/>
        </w:rPr>
      </w:pPr>
    </w:p>
    <w:p>
      <w:pPr>
        <w:ind w:left="1847"/>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1ST &amp; 2ND USE SUBSEQUENT USES  UNIVERSAL USE</w:t>
      </w:r>
    </w:p>
    <w:p>
      <w:pPr>
        <w:spacing w:after="0" w:line="4" w:lineRule="exact"/>
        <w:rPr>
          <w:rFonts w:ascii="Courier New" w:cs="Courier New" w:eastAsia="Courier New" w:hAnsi="Courier New"/>
          <w:sz w:val="11"/>
          <w:szCs w:val="11"/>
          <w:color w:val="auto"/>
        </w:rPr>
      </w:pPr>
    </w:p>
    <w:p>
      <w:pPr>
        <w:ind w:left="147" w:hanging="147"/>
        <w:spacing w:after="0"/>
        <w:tabs>
          <w:tab w:leader="none" w:pos="147" w:val="left"/>
        </w:tabs>
        <w:numPr>
          <w:ilvl w:val="0"/>
          <w:numId w:val="3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1826" w:val="left"/>
          <w:tab w:leader="none" w:pos="2826" w:val="left"/>
          <w:tab w:leader="none" w:pos="4046" w:val="left"/>
        </w:tabs>
        <w:rPr>
          <w:sz w:val="20"/>
          <w:szCs w:val="20"/>
          <w:color w:val="auto"/>
        </w:rPr>
      </w:pPr>
      <w:r>
        <w:rPr>
          <w:rFonts w:ascii="Courier New" w:cs="Courier New" w:eastAsia="Courier New" w:hAnsi="Courier New"/>
          <w:sz w:val="12"/>
          <w:szCs w:val="12"/>
          <w:color w:val="auto"/>
        </w:rPr>
        <w:t>PRICE</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 -----------------------</w:t>
      </w:r>
    </w:p>
    <w:p>
      <w:pPr>
        <w:spacing w:after="0" w:line="150" w:lineRule="exact"/>
        <w:rPr>
          <w:sz w:val="20"/>
          <w:szCs w:val="20"/>
          <w:color w:val="auto"/>
        </w:rPr>
      </w:pPr>
    </w:p>
    <w:p>
      <w:pPr>
        <w:ind w:left="7" w:right="4819"/>
        <w:spacing w:after="0" w:line="238" w:lineRule="auto"/>
        <w:rPr>
          <w:sz w:val="20"/>
          <w:szCs w:val="20"/>
          <w:color w:val="auto"/>
        </w:rPr>
      </w:pPr>
      <w:r>
        <w:rPr>
          <w:rFonts w:ascii="Courier New" w:cs="Courier New" w:eastAsia="Courier New" w:hAnsi="Courier New"/>
          <w:sz w:val="12"/>
          <w:szCs w:val="12"/>
          <w:color w:val="auto"/>
        </w:rPr>
        <w:t>APPLICABLE TO THE [***]IP BLOCK PER PROCESS AND TOWER CUSTOMER FOR SINGLE OR MULTIPLE USE:</w:t>
      </w:r>
    </w:p>
    <w:p>
      <w:pPr>
        <w:spacing w:after="0" w:line="142"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4546" w:val="left"/>
        </w:tabs>
        <w:rPr>
          <w:sz w:val="20"/>
          <w:szCs w:val="20"/>
          <w:color w:val="auto"/>
        </w:rPr>
      </w:pPr>
      <w:r>
        <w:rPr>
          <w:rFonts w:ascii="Courier New" w:cs="Courier New" w:eastAsia="Courier New" w:hAnsi="Courier New"/>
          <w:sz w:val="12"/>
          <w:szCs w:val="12"/>
          <w:color w:val="auto"/>
        </w:rPr>
        <w:t>Use (per each particular Tower Customer) Time of Payment (^)</w:t>
      </w:r>
      <w:r>
        <w:rPr>
          <w:sz w:val="20"/>
          <w:szCs w:val="20"/>
          <w:color w:val="auto"/>
        </w:rPr>
        <w:tab/>
      </w:r>
      <w:r>
        <w:rPr>
          <w:rFonts w:ascii="Courier New" w:cs="Courier New" w:eastAsia="Courier New" w:hAnsi="Courier New"/>
          <w:sz w:val="11"/>
          <w:szCs w:val="11"/>
          <w:color w:val="auto"/>
        </w:rPr>
        <w:t>Price (USD)</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2906" w:val="left"/>
        </w:tabs>
        <w:rPr>
          <w:sz w:val="20"/>
          <w:szCs w:val="20"/>
          <w:color w:val="auto"/>
        </w:rPr>
      </w:pPr>
      <w:r>
        <w:rPr>
          <w:rFonts w:ascii="Courier New" w:cs="Courier New" w:eastAsia="Courier New" w:hAnsi="Courier New"/>
          <w:sz w:val="12"/>
          <w:szCs w:val="12"/>
          <w:color w:val="auto"/>
        </w:rPr>
        <w:t>First</w:t>
      </w:r>
      <w:r>
        <w:rPr>
          <w:sz w:val="20"/>
          <w:szCs w:val="20"/>
          <w:color w:val="auto"/>
        </w:rPr>
        <w:tab/>
      </w:r>
      <w:r>
        <w:rPr>
          <w:rFonts w:ascii="Courier New" w:cs="Courier New" w:eastAsia="Courier New" w:hAnsi="Courier New"/>
          <w:sz w:val="12"/>
          <w:szCs w:val="12"/>
          <w:color w:val="auto"/>
        </w:rPr>
        <w:t>Schedule to be defined [***]</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2906" w:val="left"/>
          <w:tab w:leader="none" w:pos="4546" w:val="left"/>
        </w:tabs>
        <w:rPr>
          <w:sz w:val="20"/>
          <w:szCs w:val="20"/>
          <w:color w:val="auto"/>
        </w:rPr>
      </w:pPr>
      <w:r>
        <w:rPr>
          <w:rFonts w:ascii="Courier New" w:cs="Courier New" w:eastAsia="Courier New" w:hAnsi="Courier New"/>
          <w:sz w:val="12"/>
          <w:szCs w:val="12"/>
          <w:color w:val="auto"/>
        </w:rPr>
        <w:t>Second</w:t>
      </w:r>
      <w:r>
        <w:rPr>
          <w:sz w:val="20"/>
          <w:szCs w:val="20"/>
          <w:color w:val="auto"/>
        </w:rPr>
        <w:tab/>
      </w:r>
      <w:r>
        <w:rPr>
          <w:rFonts w:ascii="Courier New" w:cs="Courier New" w:eastAsia="Courier New" w:hAnsi="Courier New"/>
          <w:sz w:val="12"/>
          <w:szCs w:val="12"/>
          <w:color w:val="auto"/>
        </w:rPr>
        <w:t>Design start</w:t>
      </w:r>
      <w:r>
        <w:rPr>
          <w:sz w:val="20"/>
          <w:szCs w:val="20"/>
          <w:color w:val="auto"/>
        </w:rPr>
        <w:tab/>
      </w:r>
      <w:r>
        <w:rPr>
          <w:rFonts w:ascii="Courier New" w:cs="Courier New" w:eastAsia="Courier New" w:hAnsi="Courier New"/>
          <w:sz w:val="11"/>
          <w:szCs w:val="11"/>
          <w:color w:val="auto"/>
        </w:rPr>
        <w:t>[***]</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0" w:lineRule="exact"/>
        <w:rPr>
          <w:sz w:val="20"/>
          <w:szCs w:val="20"/>
          <w:color w:val="auto"/>
        </w:rPr>
      </w:pPr>
    </w:p>
    <w:p>
      <w:pPr>
        <w:ind w:left="7"/>
        <w:spacing w:after="0"/>
        <w:tabs>
          <w:tab w:leader="none" w:pos="2906" w:val="left"/>
          <w:tab w:leader="none" w:pos="4546" w:val="left"/>
        </w:tabs>
        <w:rPr>
          <w:sz w:val="20"/>
          <w:szCs w:val="20"/>
          <w:color w:val="auto"/>
        </w:rPr>
      </w:pPr>
      <w:r>
        <w:rPr>
          <w:rFonts w:ascii="Courier New" w:cs="Courier New" w:eastAsia="Courier New" w:hAnsi="Courier New"/>
          <w:sz w:val="12"/>
          <w:szCs w:val="12"/>
          <w:color w:val="auto"/>
        </w:rPr>
        <w:t>Third &amp; Beyond</w:t>
      </w:r>
      <w:r>
        <w:rPr>
          <w:sz w:val="20"/>
          <w:szCs w:val="20"/>
          <w:color w:val="auto"/>
        </w:rPr>
        <w:tab/>
      </w:r>
      <w:r>
        <w:rPr>
          <w:rFonts w:ascii="Courier New" w:cs="Courier New" w:eastAsia="Courier New" w:hAnsi="Courier New"/>
          <w:sz w:val="12"/>
          <w:szCs w:val="12"/>
          <w:color w:val="auto"/>
        </w:rPr>
        <w:t>Design start</w:t>
      </w:r>
      <w:r>
        <w:rPr>
          <w:sz w:val="20"/>
          <w:szCs w:val="20"/>
          <w:color w:val="auto"/>
        </w:rPr>
        <w:tab/>
      </w:r>
      <w:r>
        <w:rPr>
          <w:rFonts w:ascii="Courier New" w:cs="Courier New" w:eastAsia="Courier New" w:hAnsi="Courier New"/>
          <w:sz w:val="11"/>
          <w:szCs w:val="11"/>
          <w:color w:val="auto"/>
        </w:rPr>
        <w:t>[***]</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 ---------------------------------------- ---------------------- ----------------</w:t>
      </w:r>
    </w:p>
    <w:p>
      <w:pPr>
        <w:spacing w:after="0" w:line="150" w:lineRule="exact"/>
        <w:rPr>
          <w:sz w:val="20"/>
          <w:szCs w:val="20"/>
          <w:color w:val="auto"/>
        </w:rPr>
      </w:pPr>
    </w:p>
    <w:p>
      <w:pPr>
        <w:ind w:left="7" w:right="4539" w:hanging="7"/>
        <w:spacing w:after="0"/>
        <w:tabs>
          <w:tab w:leader="none" w:pos="292" w:val="left"/>
        </w:tabs>
        <w:numPr>
          <w:ilvl w:val="0"/>
          <w:numId w:val="3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by each particular Tower Customer means the incorporation of one or more implementations of the New IP Block into a single specific design database of such Tower Customer chip which is designed for manufacturing on a particular process of Tower.</w:t>
      </w:r>
    </w:p>
    <w:p>
      <w:pPr>
        <w:spacing w:after="0" w:line="142" w:lineRule="exact"/>
        <w:rPr>
          <w:sz w:val="20"/>
          <w:szCs w:val="20"/>
          <w:color w:val="auto"/>
        </w:rPr>
      </w:pPr>
    </w:p>
    <w:p>
      <w:pPr>
        <w:ind w:left="7" w:right="4679" w:hanging="7"/>
        <w:spacing w:after="0" w:line="238" w:lineRule="auto"/>
        <w:tabs>
          <w:tab w:leader="none" w:pos="292" w:val="left"/>
        </w:tabs>
        <w:numPr>
          <w:ilvl w:val="0"/>
          <w:numId w:val="3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Time of payment mean the time Chipidea will invoice the Tower Customer for the license fees relating to the Use of the New IP Block instantiation.</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APPLICABLE TO THE [***]IP BLOCK PER PROCESS AND TOWER CUSTOMER FOR</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UNIVERSAL USE:</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Universal Use</w:t>
      </w:r>
    </w:p>
    <w:p>
      <w:pPr>
        <w:sectPr>
          <w:pgSz w:w="11900" w:h="16838" w:orient="portrait"/>
          <w:cols w:equalWidth="0" w:num="1">
            <w:col w:w="10246"/>
          </w:cols>
          <w:pgMar w:left="213" w:top="669" w:right="1440" w:bottom="1440" w:gutter="0" w:footer="0" w:header="0"/>
        </w:sectPr>
      </w:pPr>
    </w:p>
    <w:p>
      <w:pPr>
        <w:spacing w:after="0" w:line="141"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1"/>
          <w:szCs w:val="11"/>
          <w:color w:val="auto"/>
        </w:rPr>
        <w:t>1.</w:t>
      </w:r>
      <w:r>
        <w:rPr>
          <w:sz w:val="20"/>
          <w:szCs w:val="20"/>
          <w:color w:val="auto"/>
        </w:rPr>
        <w:tab/>
      </w:r>
      <w:r>
        <w:rPr>
          <w:rFonts w:ascii="Courier New" w:cs="Courier New" w:eastAsia="Courier New" w:hAnsi="Courier New"/>
          <w:sz w:val="11"/>
          <w:szCs w:val="11"/>
          <w:color w:val="auto"/>
        </w:rPr>
        <w:t>Schedule to be defined</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50" w:lineRule="exact"/>
        <w:rPr>
          <w:sz w:val="20"/>
          <w:szCs w:val="20"/>
          <w:color w:val="auto"/>
        </w:rPr>
      </w:pPr>
    </w:p>
    <w:p>
      <w:pPr>
        <w:sectPr>
          <w:pgSz w:w="11900" w:h="16838" w:orient="portrait"/>
          <w:cols w:equalWidth="0" w:num="2">
            <w:col w:w="4627" w:space="720"/>
            <w:col w:w="4899"/>
          </w:cols>
          <w:pgMar w:left="213" w:top="669" w:right="1440" w:bottom="1440" w:gutter="0" w:footer="0" w:header="0"/>
          <w:type w:val="continuous"/>
        </w:sectPr>
      </w:pPr>
    </w:p>
    <w:p>
      <w:pPr>
        <w:ind w:left="7"/>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6"/>
          </w:cols>
          <w:pgMar w:left="213" w:top="669" w:right="1440" w:bottom="1440" w:gutter="0" w:footer="0" w:header="0"/>
          <w:type w:val="continuous"/>
        </w:sectPr>
      </w:pPr>
    </w:p>
    <w:p>
      <w:pPr>
        <w:spacing w:after="0" w:line="150" w:lineRule="exact"/>
        <w:rPr>
          <w:sz w:val="20"/>
          <w:szCs w:val="20"/>
          <w:color w:val="auto"/>
        </w:rPr>
      </w:pPr>
    </w:p>
    <w:p>
      <w:pPr>
        <w:ind w:left="7" w:right="4899" w:hanging="7"/>
        <w:spacing w:after="0" w:line="280" w:lineRule="auto"/>
        <w:tabs>
          <w:tab w:leader="none" w:pos="435" w:val="left"/>
        </w:tabs>
        <w:numPr>
          <w:ilvl w:val="0"/>
          <w:numId w:val="3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69" w:right="1440" w:bottom="1440" w:gutter="0" w:footer="0" w:header="0"/>
          <w:type w:val="continuous"/>
        </w:sectPr>
      </w:pPr>
    </w:p>
    <w:bookmarkStart w:id="171" w:name="page172"/>
    <w:bookmarkEnd w:id="171"/>
    <w:p>
      <w:pPr>
        <w:ind w:left="7" w:right="4759"/>
        <w:spacing w:after="0" w:line="238" w:lineRule="auto"/>
        <w:rPr>
          <w:sz w:val="20"/>
          <w:szCs w:val="20"/>
          <w:color w:val="auto"/>
        </w:rPr>
      </w:pPr>
      <w:r>
        <w:rPr>
          <w:rFonts w:ascii="Courier New" w:cs="Courier New" w:eastAsia="Courier New" w:hAnsi="Courier New"/>
          <w:sz w:val="12"/>
          <w:szCs w:val="12"/>
          <w:color w:val="auto"/>
        </w:rPr>
        <w:t>Universal use means an unlimited number of one or more implementations of the New IP Block.</w:t>
      </w:r>
    </w:p>
    <w:p>
      <w:pPr>
        <w:spacing w:after="0" w:line="139" w:lineRule="exact"/>
        <w:rPr>
          <w:sz w:val="20"/>
          <w:szCs w:val="20"/>
          <w:color w:val="auto"/>
        </w:rPr>
      </w:pPr>
    </w:p>
    <w:p>
      <w:pPr>
        <w:ind w:left="367" w:hanging="367"/>
        <w:spacing w:after="0"/>
        <w:tabs>
          <w:tab w:leader="none" w:pos="367" w:val="left"/>
        </w:tabs>
        <w:numPr>
          <w:ilvl w:val="0"/>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Exhibit G shall read as follows:</w:t>
      </w:r>
    </w:p>
    <w:p>
      <w:pPr>
        <w:spacing w:after="0" w:line="138" w:lineRule="exact"/>
        <w:rPr>
          <w:rFonts w:ascii="Courier New" w:cs="Courier New" w:eastAsia="Courier New" w:hAnsi="Courier New"/>
          <w:sz w:val="12"/>
          <w:szCs w:val="12"/>
          <w:color w:val="auto"/>
        </w:rPr>
      </w:pPr>
    </w:p>
    <w:p>
      <w:pPr>
        <w:ind w:left="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TOWER DESIGN KIT</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707" w:hanging="350"/>
        <w:spacing w:after="0"/>
        <w:tabs>
          <w:tab w:leader="none" w:pos="707" w:val="left"/>
        </w:tabs>
        <w:numPr>
          <w:ilvl w:val="1"/>
          <w:numId w:val="3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599"/>
        <w:spacing w:after="0"/>
        <w:rPr>
          <w:sz w:val="20"/>
          <w:szCs w:val="20"/>
          <w:color w:val="auto"/>
        </w:rPr>
      </w:pPr>
      <w:r>
        <w:rPr>
          <w:rFonts w:ascii="Courier New" w:cs="Courier New" w:eastAsia="Courier New" w:hAnsi="Courier New"/>
          <w:sz w:val="12"/>
          <w:szCs w:val="12"/>
          <w:color w:val="auto"/>
        </w:rPr>
        <w:t>IN WITNESS WHEREOF, the parties hereto have caused this Amendment No. 2 to be duly executed by their duly authorized representatives. This document may be signed in counterparts with the understanding that faxed signatures shall serve as originals.</w:t>
      </w:r>
    </w:p>
    <w:p>
      <w:pPr>
        <w:spacing w:after="0" w:line="200" w:lineRule="exact"/>
        <w:rPr>
          <w:sz w:val="20"/>
          <w:szCs w:val="20"/>
          <w:color w:val="auto"/>
        </w:rPr>
      </w:pPr>
    </w:p>
    <w:p>
      <w:pPr>
        <w:spacing w:after="0" w:line="351" w:lineRule="exact"/>
        <w:rPr>
          <w:sz w:val="20"/>
          <w:szCs w:val="20"/>
          <w:color w:val="auto"/>
        </w:rPr>
      </w:pPr>
    </w:p>
    <w:tbl>
      <w:tblPr>
        <w:tblLayout w:type="fixed"/>
        <w:tblInd w:w="7" w:type="dxa"/>
        <w:tblCellMar>
          <w:top w:w="0" w:type="dxa"/>
          <w:left w:w="0" w:type="dxa"/>
          <w:bottom w:w="0" w:type="dxa"/>
          <w:right w:w="0" w:type="dxa"/>
        </w:tblCellMar>
      </w:tblPr>
      <w:tr>
        <w:trPr>
          <w:trHeight w:val="136"/>
        </w:trPr>
        <w:tc>
          <w:tcPr>
            <w:tcW w:w="2640" w:type="dxa"/>
            <w:vAlign w:val="bottom"/>
            <w:gridSpan w:val="2"/>
          </w:tcPr>
          <w:p>
            <w:pPr>
              <w:spacing w:after="0"/>
              <w:rPr>
                <w:sz w:val="20"/>
                <w:szCs w:val="20"/>
                <w:color w:val="auto"/>
              </w:rPr>
            </w:pPr>
            <w:r>
              <w:rPr>
                <w:rFonts w:ascii="Courier New" w:cs="Courier New" w:eastAsia="Courier New" w:hAnsi="Courier New"/>
                <w:sz w:val="12"/>
                <w:szCs w:val="12"/>
                <w:color w:val="auto"/>
              </w:rPr>
              <w:t>TOWER SEMICONDUCTOR LTD.</w:t>
            </w:r>
          </w:p>
        </w:tc>
        <w:tc>
          <w:tcPr>
            <w:tcW w:w="1520" w:type="dxa"/>
            <w:vAlign w:val="bottom"/>
            <w:gridSpan w:val="2"/>
          </w:tcPr>
          <w:p>
            <w:pPr>
              <w:ind w:left="920"/>
              <w:spacing w:after="0"/>
              <w:rPr>
                <w:sz w:val="20"/>
                <w:szCs w:val="20"/>
                <w:color w:val="auto"/>
              </w:rPr>
            </w:pPr>
            <w:r>
              <w:rPr>
                <w:rFonts w:ascii="Courier New" w:cs="Courier New" w:eastAsia="Courier New" w:hAnsi="Courier New"/>
                <w:sz w:val="12"/>
                <w:szCs w:val="12"/>
                <w:color w:val="auto"/>
              </w:rPr>
              <w:t>CHIPIDEA</w:t>
            </w:r>
          </w:p>
        </w:tc>
        <w:tc>
          <w:tcPr>
            <w:tcW w:w="1540" w:type="dxa"/>
            <w:vAlign w:val="bottom"/>
          </w:tcPr>
          <w:p>
            <w:pPr>
              <w:ind w:left="40"/>
              <w:spacing w:after="0"/>
              <w:rPr>
                <w:sz w:val="20"/>
                <w:szCs w:val="20"/>
                <w:color w:val="auto"/>
              </w:rPr>
            </w:pPr>
            <w:r>
              <w:rPr>
                <w:rFonts w:ascii="Courier New" w:cs="Courier New" w:eastAsia="Courier New" w:hAnsi="Courier New"/>
                <w:sz w:val="12"/>
                <w:szCs w:val="12"/>
                <w:color w:val="auto"/>
                <w:w w:val="97"/>
              </w:rPr>
              <w:t>MICROELECTRONICA S.A.</w:t>
            </w:r>
          </w:p>
        </w:tc>
      </w:tr>
      <w:tr>
        <w:trPr>
          <w:trHeight w:val="412"/>
        </w:trPr>
        <w:tc>
          <w:tcPr>
            <w:tcW w:w="36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2280" w:type="dxa"/>
            <w:vAlign w:val="bottom"/>
          </w:tcPr>
          <w:p>
            <w:pPr>
              <w:jc w:val="right"/>
              <w:ind w:right="881"/>
              <w:spacing w:after="0"/>
              <w:rPr>
                <w:sz w:val="20"/>
                <w:szCs w:val="20"/>
                <w:color w:val="auto"/>
              </w:rPr>
            </w:pPr>
            <w:r>
              <w:rPr>
                <w:rFonts w:ascii="Courier New" w:cs="Courier New" w:eastAsia="Courier New" w:hAnsi="Courier New"/>
                <w:sz w:val="12"/>
                <w:szCs w:val="12"/>
                <w:color w:val="auto"/>
                <w:w w:val="96"/>
              </w:rPr>
              <w:t>___________________</w:t>
            </w:r>
          </w:p>
        </w:tc>
        <w:tc>
          <w:tcPr>
            <w:tcW w:w="1280" w:type="dxa"/>
            <w:vAlign w:val="bottom"/>
          </w:tcPr>
          <w:p>
            <w:pPr>
              <w:ind w:left="920"/>
              <w:spacing w:after="0"/>
              <w:rPr>
                <w:sz w:val="20"/>
                <w:szCs w:val="20"/>
                <w:color w:val="auto"/>
              </w:rPr>
            </w:pPr>
            <w:r>
              <w:rPr>
                <w:rFonts w:ascii="Courier New" w:cs="Courier New" w:eastAsia="Courier New" w:hAnsi="Courier New"/>
                <w:sz w:val="12"/>
                <w:szCs w:val="12"/>
                <w:color w:val="auto"/>
              </w:rPr>
              <w:t>By:</w:t>
            </w:r>
          </w:p>
        </w:tc>
        <w:tc>
          <w:tcPr>
            <w:tcW w:w="17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7"/>
              </w:rPr>
              <w:t>______________________</w:t>
            </w:r>
          </w:p>
        </w:tc>
      </w:tr>
      <w:tr>
        <w:trPr>
          <w:trHeight w:val="274"/>
        </w:trPr>
        <w:tc>
          <w:tcPr>
            <w:tcW w:w="360" w:type="dxa"/>
            <w:vAlign w:val="bottom"/>
          </w:tcPr>
          <w:p>
            <w:pPr>
              <w:spacing w:after="0"/>
              <w:rPr>
                <w:sz w:val="20"/>
                <w:szCs w:val="20"/>
                <w:color w:val="auto"/>
              </w:rPr>
            </w:pPr>
            <w:r>
              <w:rPr>
                <w:rFonts w:ascii="Courier New" w:cs="Courier New" w:eastAsia="Courier New" w:hAnsi="Courier New"/>
                <w:sz w:val="12"/>
                <w:szCs w:val="12"/>
                <w:color w:val="auto"/>
                <w:w w:val="94"/>
              </w:rPr>
              <w:t>Name:</w:t>
            </w:r>
          </w:p>
        </w:tc>
        <w:tc>
          <w:tcPr>
            <w:tcW w:w="2280" w:type="dxa"/>
            <w:vAlign w:val="bottom"/>
          </w:tcPr>
          <w:p>
            <w:pPr>
              <w:ind w:left="140"/>
              <w:spacing w:after="0"/>
              <w:rPr>
                <w:sz w:val="20"/>
                <w:szCs w:val="20"/>
                <w:color w:val="auto"/>
              </w:rPr>
            </w:pPr>
            <w:r>
              <w:rPr>
                <w:rFonts w:ascii="Courier New" w:cs="Courier New" w:eastAsia="Courier New" w:hAnsi="Courier New"/>
                <w:sz w:val="12"/>
                <w:szCs w:val="12"/>
                <w:color w:val="auto"/>
              </w:rPr>
              <w:t>Russell Ellwanger</w:t>
            </w:r>
          </w:p>
        </w:tc>
        <w:tc>
          <w:tcPr>
            <w:tcW w:w="1280" w:type="dxa"/>
            <w:vAlign w:val="bottom"/>
          </w:tcPr>
          <w:p>
            <w:pPr>
              <w:ind w:left="920"/>
              <w:spacing w:after="0"/>
              <w:rPr>
                <w:sz w:val="20"/>
                <w:szCs w:val="20"/>
                <w:color w:val="auto"/>
              </w:rPr>
            </w:pPr>
            <w:r>
              <w:rPr>
                <w:rFonts w:ascii="Courier New" w:cs="Courier New" w:eastAsia="Courier New" w:hAnsi="Courier New"/>
                <w:sz w:val="12"/>
                <w:szCs w:val="12"/>
                <w:color w:val="auto"/>
                <w:w w:val="94"/>
              </w:rPr>
              <w:t>Name:</w:t>
            </w:r>
          </w:p>
        </w:tc>
        <w:tc>
          <w:tcPr>
            <w:tcW w:w="17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Jose E. Franca</w:t>
            </w:r>
          </w:p>
        </w:tc>
      </w:tr>
      <w:tr>
        <w:trPr>
          <w:trHeight w:val="274"/>
        </w:trPr>
        <w:tc>
          <w:tcPr>
            <w:tcW w:w="2640" w:type="dxa"/>
            <w:vAlign w:val="bottom"/>
            <w:gridSpan w:val="2"/>
          </w:tcPr>
          <w:p>
            <w:pPr>
              <w:spacing w:after="0"/>
              <w:rPr>
                <w:sz w:val="20"/>
                <w:szCs w:val="20"/>
                <w:color w:val="auto"/>
              </w:rPr>
            </w:pPr>
            <w:r>
              <w:rPr>
                <w:rFonts w:ascii="Courier New" w:cs="Courier New" w:eastAsia="Courier New" w:hAnsi="Courier New"/>
                <w:sz w:val="12"/>
                <w:szCs w:val="12"/>
                <w:color w:val="auto"/>
              </w:rPr>
              <w:t>Title:  CEO</w:t>
            </w:r>
          </w:p>
        </w:tc>
        <w:tc>
          <w:tcPr>
            <w:tcW w:w="1520" w:type="dxa"/>
            <w:vAlign w:val="bottom"/>
            <w:gridSpan w:val="2"/>
          </w:tcPr>
          <w:p>
            <w:pPr>
              <w:ind w:left="920"/>
              <w:spacing w:after="0"/>
              <w:rPr>
                <w:sz w:val="20"/>
                <w:szCs w:val="20"/>
                <w:color w:val="auto"/>
              </w:rPr>
            </w:pPr>
            <w:r>
              <w:rPr>
                <w:rFonts w:ascii="Courier New" w:cs="Courier New" w:eastAsia="Courier New" w:hAnsi="Courier New"/>
                <w:sz w:val="12"/>
                <w:szCs w:val="12"/>
                <w:color w:val="auto"/>
              </w:rPr>
              <w:t>Title:</w:t>
            </w:r>
          </w:p>
        </w:tc>
        <w:tc>
          <w:tcPr>
            <w:tcW w:w="1540" w:type="dxa"/>
            <w:vAlign w:val="bottom"/>
          </w:tcPr>
          <w:p>
            <w:pPr>
              <w:ind w:left="40"/>
              <w:spacing w:after="0"/>
              <w:rPr>
                <w:sz w:val="20"/>
                <w:szCs w:val="20"/>
                <w:color w:val="auto"/>
              </w:rPr>
            </w:pPr>
            <w:r>
              <w:rPr>
                <w:rFonts w:ascii="Courier New" w:cs="Courier New" w:eastAsia="Courier New" w:hAnsi="Courier New"/>
                <w:sz w:val="12"/>
                <w:szCs w:val="12"/>
                <w:color w:val="auto"/>
              </w:rPr>
              <w:t>President and CEO</w:t>
            </w:r>
          </w:p>
        </w:tc>
      </w:tr>
      <w:tr>
        <w:trPr>
          <w:trHeight w:val="274"/>
        </w:trPr>
        <w:tc>
          <w:tcPr>
            <w:tcW w:w="360" w:type="dxa"/>
            <w:vAlign w:val="bottom"/>
          </w:tcPr>
          <w:p>
            <w:pPr>
              <w:spacing w:after="0"/>
              <w:rPr>
                <w:sz w:val="20"/>
                <w:szCs w:val="20"/>
                <w:color w:val="auto"/>
              </w:rPr>
            </w:pPr>
            <w:r>
              <w:rPr>
                <w:rFonts w:ascii="Courier New" w:cs="Courier New" w:eastAsia="Courier New" w:hAnsi="Courier New"/>
                <w:sz w:val="12"/>
                <w:szCs w:val="12"/>
                <w:color w:val="auto"/>
                <w:w w:val="94"/>
              </w:rPr>
              <w:t>Date:</w:t>
            </w:r>
          </w:p>
        </w:tc>
        <w:tc>
          <w:tcPr>
            <w:tcW w:w="2280" w:type="dxa"/>
            <w:vAlign w:val="bottom"/>
          </w:tcPr>
          <w:p>
            <w:pPr>
              <w:ind w:left="140"/>
              <w:spacing w:after="0"/>
              <w:rPr>
                <w:sz w:val="20"/>
                <w:szCs w:val="20"/>
                <w:color w:val="auto"/>
              </w:rPr>
            </w:pPr>
            <w:r>
              <w:rPr>
                <w:rFonts w:ascii="Courier New" w:cs="Courier New" w:eastAsia="Courier New" w:hAnsi="Courier New"/>
                <w:sz w:val="12"/>
                <w:szCs w:val="12"/>
                <w:color w:val="auto"/>
              </w:rPr>
              <w:t>___ June 2005</w:t>
            </w:r>
          </w:p>
        </w:tc>
        <w:tc>
          <w:tcPr>
            <w:tcW w:w="1280" w:type="dxa"/>
            <w:vAlign w:val="bottom"/>
          </w:tcPr>
          <w:p>
            <w:pPr>
              <w:ind w:left="920"/>
              <w:spacing w:after="0"/>
              <w:rPr>
                <w:sz w:val="20"/>
                <w:szCs w:val="20"/>
                <w:color w:val="auto"/>
              </w:rPr>
            </w:pPr>
            <w:r>
              <w:rPr>
                <w:rFonts w:ascii="Courier New" w:cs="Courier New" w:eastAsia="Courier New" w:hAnsi="Courier New"/>
                <w:sz w:val="12"/>
                <w:szCs w:val="12"/>
                <w:color w:val="auto"/>
                <w:w w:val="94"/>
              </w:rPr>
              <w:t>Date:</w:t>
            </w:r>
          </w:p>
        </w:tc>
        <w:tc>
          <w:tcPr>
            <w:tcW w:w="17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___ June 2005</w:t>
            </w:r>
          </w:p>
        </w:tc>
      </w:tr>
    </w:tbl>
    <w:p>
      <w:pPr>
        <w:spacing w:after="0" w:line="276"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72" w:name="page173"/>
    <w:bookmarkEnd w:id="172"/>
    <w:p>
      <w:pPr>
        <w:ind w:left="4847"/>
        <w:spacing w:after="0"/>
        <w:rPr>
          <w:sz w:val="20"/>
          <w:szCs w:val="20"/>
          <w:color w:val="auto"/>
        </w:rPr>
      </w:pPr>
      <w:r>
        <w:rPr>
          <w:rFonts w:ascii="Courier New" w:cs="Courier New" w:eastAsia="Courier New" w:hAnsi="Courier New"/>
          <w:sz w:val="11"/>
          <w:szCs w:val="11"/>
          <w:color w:val="auto"/>
        </w:rPr>
        <w:t>EXHIBIT 4.60</w:t>
      </w:r>
    </w:p>
    <w:p>
      <w:pPr>
        <w:spacing w:after="0" w:line="150" w:lineRule="exact"/>
        <w:rPr>
          <w:sz w:val="20"/>
          <w:szCs w:val="20"/>
          <w:color w:val="auto"/>
        </w:rPr>
      </w:pPr>
    </w:p>
    <w:p>
      <w:pPr>
        <w:ind w:left="7" w:right="4679"/>
        <w:spacing w:after="0" w:line="280" w:lineRule="auto"/>
        <w:rPr>
          <w:sz w:val="20"/>
          <w:szCs w:val="20"/>
          <w:color w:val="auto"/>
        </w:rPr>
      </w:pPr>
      <w:r>
        <w:rPr>
          <w:rFonts w:ascii="Courier New" w:cs="Courier New" w:eastAsia="Courier New" w:hAnsi="Courier New"/>
          <w:sz w:val="11"/>
          <w:szCs w:val="11"/>
          <w:color w:val="auto"/>
        </w:rPr>
        <w:t>CONFIDENTIAL PORTIONS OF THIS AGREEMENT HAVE BEEN OMITTED AND FILED SEPARATELY WITH THE COMMISSION PURSUANT TO A REQUEST FOR CONFIDENTIAL TREATMENT.</w:t>
      </w:r>
    </w:p>
    <w:p>
      <w:pPr>
        <w:spacing w:after="0" w:line="118" w:lineRule="exact"/>
        <w:rPr>
          <w:sz w:val="20"/>
          <w:szCs w:val="20"/>
          <w:color w:val="auto"/>
        </w:rPr>
      </w:pPr>
    </w:p>
    <w:p>
      <w:pPr>
        <w:ind w:left="2147"/>
        <w:spacing w:after="0"/>
        <w:rPr>
          <w:sz w:val="20"/>
          <w:szCs w:val="20"/>
          <w:color w:val="auto"/>
        </w:rPr>
      </w:pPr>
      <w:r>
        <w:rPr>
          <w:rFonts w:ascii="Courier New" w:cs="Courier New" w:eastAsia="Courier New" w:hAnsi="Courier New"/>
          <w:sz w:val="12"/>
          <w:szCs w:val="12"/>
          <w:color w:val="auto"/>
        </w:rPr>
        <w:t>TERMINATION AGREEMENT</w:t>
      </w:r>
    </w:p>
    <w:p>
      <w:pPr>
        <w:spacing w:after="0" w:line="1" w:lineRule="exact"/>
        <w:rPr>
          <w:sz w:val="20"/>
          <w:szCs w:val="20"/>
          <w:color w:val="auto"/>
        </w:rPr>
      </w:pPr>
    </w:p>
    <w:p>
      <w:pPr>
        <w:ind w:left="2647"/>
        <w:spacing w:after="0"/>
        <w:rPr>
          <w:sz w:val="20"/>
          <w:szCs w:val="20"/>
          <w:color w:val="auto"/>
        </w:rPr>
      </w:pPr>
      <w:r>
        <w:rPr>
          <w:rFonts w:ascii="Courier New" w:cs="Courier New" w:eastAsia="Courier New" w:hAnsi="Courier New"/>
          <w:sz w:val="12"/>
          <w:szCs w:val="12"/>
          <w:color w:val="auto"/>
        </w:rPr>
        <w:t>BETWEEN</w:t>
      </w:r>
    </w:p>
    <w:p>
      <w:pPr>
        <w:spacing w:after="0" w:line="1" w:lineRule="exact"/>
        <w:rPr>
          <w:sz w:val="20"/>
          <w:szCs w:val="20"/>
          <w:color w:val="auto"/>
        </w:rPr>
      </w:pPr>
    </w:p>
    <w:p>
      <w:pPr>
        <w:ind w:left="2007"/>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0"/>
          <w:szCs w:val="20"/>
          <w:color w:val="auto"/>
        </w:rPr>
      </w:pPr>
    </w:p>
    <w:p>
      <w:pPr>
        <w:ind w:left="2787"/>
        <w:spacing w:after="0"/>
        <w:rPr>
          <w:sz w:val="20"/>
          <w:szCs w:val="20"/>
          <w:color w:val="auto"/>
        </w:rPr>
      </w:pPr>
      <w:r>
        <w:rPr>
          <w:rFonts w:ascii="Courier New" w:cs="Courier New" w:eastAsia="Courier New" w:hAnsi="Courier New"/>
          <w:sz w:val="12"/>
          <w:szCs w:val="12"/>
          <w:color w:val="auto"/>
        </w:rPr>
        <w:t>AND</w:t>
      </w:r>
    </w:p>
    <w:p>
      <w:pPr>
        <w:spacing w:after="0" w:line="1" w:lineRule="exact"/>
        <w:rPr>
          <w:sz w:val="20"/>
          <w:szCs w:val="20"/>
          <w:color w:val="auto"/>
        </w:rPr>
      </w:pPr>
    </w:p>
    <w:p>
      <w:pPr>
        <w:ind w:left="1147"/>
        <w:spacing w:after="0"/>
        <w:rPr>
          <w:sz w:val="20"/>
          <w:szCs w:val="20"/>
          <w:color w:val="auto"/>
        </w:rPr>
      </w:pPr>
      <w:r>
        <w:rPr>
          <w:rFonts w:ascii="Courier New" w:cs="Courier New" w:eastAsia="Courier New" w:hAnsi="Courier New"/>
          <w:sz w:val="12"/>
          <w:szCs w:val="12"/>
          <w:color w:val="auto"/>
        </w:rPr>
        <w:t>SYNOPSYS, INC. AND SYNOPSYS INTERNATIONAL LIMITED</w:t>
      </w:r>
    </w:p>
    <w:p>
      <w:pPr>
        <w:spacing w:after="0" w:line="141" w:lineRule="exact"/>
        <w:rPr>
          <w:sz w:val="20"/>
          <w:szCs w:val="20"/>
          <w:color w:val="auto"/>
        </w:rPr>
      </w:pPr>
    </w:p>
    <w:p>
      <w:pPr>
        <w:ind w:left="7" w:right="4679"/>
        <w:spacing w:after="0" w:line="238" w:lineRule="auto"/>
        <w:rPr>
          <w:sz w:val="20"/>
          <w:szCs w:val="20"/>
          <w:color w:val="auto"/>
        </w:rPr>
      </w:pPr>
      <w:r>
        <w:rPr>
          <w:rFonts w:ascii="Courier New" w:cs="Courier New" w:eastAsia="Courier New" w:hAnsi="Courier New"/>
          <w:sz w:val="12"/>
          <w:szCs w:val="12"/>
          <w:color w:val="auto"/>
        </w:rPr>
        <w:t>This Termination Agreement (this "AGREEMENT") is effective as of 29 April 2004 ("Effective Date") and is made between:</w:t>
      </w:r>
    </w:p>
    <w:p>
      <w:pPr>
        <w:spacing w:after="0" w:line="142" w:lineRule="exact"/>
        <w:rPr>
          <w:sz w:val="20"/>
          <w:szCs w:val="20"/>
          <w:color w:val="auto"/>
        </w:rPr>
      </w:pPr>
    </w:p>
    <w:p>
      <w:pPr>
        <w:ind w:left="7" w:right="4599"/>
        <w:spacing w:after="0" w:line="241" w:lineRule="auto"/>
        <w:rPr>
          <w:sz w:val="20"/>
          <w:szCs w:val="20"/>
          <w:color w:val="auto"/>
        </w:rPr>
      </w:pPr>
      <w:r>
        <w:rPr>
          <w:rFonts w:ascii="Courier New" w:cs="Courier New" w:eastAsia="Courier New" w:hAnsi="Courier New"/>
          <w:sz w:val="12"/>
          <w:szCs w:val="12"/>
          <w:color w:val="auto"/>
        </w:rPr>
        <w:t>SYNOPSYS, INC. a Delaware corporation, with its principal place of business at 700 East Middlefield Road, Mountain View, California 94043-4033 and SYNOPSYS INTERNATIONAL LIMITED with its principal place of business at Block 1, Blanchardstown Corporate Park, Blanchardstown, Dublin 15, Ireland (collectively "SYNOPSYS"); and</w:t>
      </w:r>
    </w:p>
    <w:p>
      <w:pPr>
        <w:spacing w:after="0" w:line="141" w:lineRule="exact"/>
        <w:rPr>
          <w:sz w:val="20"/>
          <w:szCs w:val="20"/>
          <w:color w:val="auto"/>
        </w:rPr>
      </w:pPr>
    </w:p>
    <w:p>
      <w:pPr>
        <w:ind w:left="7" w:right="4539"/>
        <w:spacing w:after="0" w:line="241" w:lineRule="auto"/>
        <w:rPr>
          <w:sz w:val="20"/>
          <w:szCs w:val="20"/>
          <w:color w:val="auto"/>
        </w:rPr>
      </w:pPr>
      <w:r>
        <w:rPr>
          <w:rFonts w:ascii="Courier New" w:cs="Courier New" w:eastAsia="Courier New" w:hAnsi="Courier New"/>
          <w:sz w:val="12"/>
          <w:szCs w:val="12"/>
          <w:color w:val="auto"/>
        </w:rPr>
        <w:t>TOWER SEMICONDUCTOR LIMITED with its principal place of business at Ramat Gavriel Industry Zone, Migdal Haemek, 23105 Israel, together with certain of its controlled subsidiaries defined as the "Tower Group" in the Agreement with an Effective Date of 29 June 2001 made between Tower and, collectively, Avant! Corporation and Avant! International Distribution Limited ("AVANT!") (the "LIBRARY AGREEMENT") (Tower and all such entities referred to simply as "TOWER" in this Agreement).</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WHEREAS:</w:t>
      </w:r>
    </w:p>
    <w:p>
      <w:pPr>
        <w:spacing w:after="0" w:line="141" w:lineRule="exact"/>
        <w:rPr>
          <w:sz w:val="20"/>
          <w:szCs w:val="20"/>
          <w:color w:val="auto"/>
        </w:rPr>
      </w:pPr>
    </w:p>
    <w:p>
      <w:pPr>
        <w:ind w:left="367" w:right="4599" w:hanging="367"/>
        <w:spacing w:after="0"/>
        <w:tabs>
          <w:tab w:leader="none" w:pos="367" w:val="left"/>
        </w:tabs>
        <w:numPr>
          <w:ilvl w:val="0"/>
          <w:numId w:val="3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By the Library Agreement, Avant! granted to Tower certain licenses under the Avant!-Tower 0.18 Libra-Visa Library (the "Library," as defined in the Library Agreement). The Library Agreement was amended by an instrument dated and effective 3 June 2002.</w:t>
      </w:r>
    </w:p>
    <w:p>
      <w:pPr>
        <w:spacing w:after="0" w:line="142" w:lineRule="exact"/>
        <w:rPr>
          <w:rFonts w:ascii="Courier New" w:cs="Courier New" w:eastAsia="Courier New" w:hAnsi="Courier New"/>
          <w:sz w:val="12"/>
          <w:szCs w:val="12"/>
          <w:color w:val="auto"/>
        </w:rPr>
      </w:pPr>
    </w:p>
    <w:p>
      <w:pPr>
        <w:ind w:left="367" w:right="4899" w:hanging="367"/>
        <w:spacing w:after="0" w:line="272" w:lineRule="auto"/>
        <w:tabs>
          <w:tab w:leader="none" w:pos="367" w:val="left"/>
        </w:tabs>
        <w:numPr>
          <w:ilvl w:val="0"/>
          <w:numId w:val="3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of 6 June 2002 Synopsys, Inc. acquired Avant! and assumed responsibility, as Licensor, either directly or through its European subsidiary, Synopsys International Limited, for the Library Agreement.</w:t>
      </w:r>
    </w:p>
    <w:p>
      <w:pPr>
        <w:spacing w:after="0" w:line="125" w:lineRule="exact"/>
        <w:rPr>
          <w:rFonts w:ascii="Courier New" w:cs="Courier New" w:eastAsia="Courier New" w:hAnsi="Courier New"/>
          <w:sz w:val="11"/>
          <w:szCs w:val="11"/>
          <w:color w:val="auto"/>
        </w:rPr>
      </w:pPr>
    </w:p>
    <w:p>
      <w:pPr>
        <w:ind w:left="367" w:right="4679" w:hanging="367"/>
        <w:spacing w:after="0" w:line="241" w:lineRule="auto"/>
        <w:tabs>
          <w:tab w:leader="none" w:pos="367" w:val="left"/>
        </w:tabs>
        <w:numPr>
          <w:ilvl w:val="0"/>
          <w:numId w:val="3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Library Agreement, as amended, provided for certain development and support of the Licensed Library Products (as defined in the Library Agreement) for the benefit of Tower and those current or future Tower customers or suppliers who are authorized to integrate all or part of the Licensed Library Products into their own integrated circuit designs ("END USERS").</w:t>
      </w:r>
    </w:p>
    <w:p>
      <w:pPr>
        <w:spacing w:after="0" w:line="141" w:lineRule="exact"/>
        <w:rPr>
          <w:rFonts w:ascii="Courier New" w:cs="Courier New" w:eastAsia="Courier New" w:hAnsi="Courier New"/>
          <w:sz w:val="12"/>
          <w:szCs w:val="12"/>
          <w:color w:val="auto"/>
        </w:rPr>
      </w:pPr>
    </w:p>
    <w:p>
      <w:pPr>
        <w:ind w:left="367" w:right="5039" w:hanging="367"/>
        <w:spacing w:after="0" w:line="238" w:lineRule="auto"/>
        <w:tabs>
          <w:tab w:leader="none" w:pos="367" w:val="left"/>
        </w:tabs>
        <w:numPr>
          <w:ilvl w:val="0"/>
          <w:numId w:val="3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Parties wish to terminate the Library Agreement save for certain elements they wish to survive termination.</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THEREFOR, the Parties hereby agree to the following terms and conditions.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1.0</w:t>
      </w:r>
      <w:r>
        <w:rPr>
          <w:sz w:val="20"/>
          <w:szCs w:val="20"/>
          <w:color w:val="auto"/>
        </w:rPr>
        <w:tab/>
      </w:r>
      <w:r>
        <w:rPr>
          <w:rFonts w:ascii="Courier New" w:cs="Courier New" w:eastAsia="Courier New" w:hAnsi="Courier New"/>
          <w:sz w:val="11"/>
          <w:szCs w:val="11"/>
          <w:color w:val="auto"/>
        </w:rPr>
        <w:t>SCOPE</w:t>
      </w:r>
    </w:p>
    <w:p>
      <w:pPr>
        <w:spacing w:after="0" w:line="141" w:lineRule="exact"/>
        <w:rPr>
          <w:sz w:val="20"/>
          <w:szCs w:val="20"/>
          <w:color w:val="auto"/>
        </w:rPr>
      </w:pPr>
    </w:p>
    <w:p>
      <w:pPr>
        <w:ind w:left="367" w:right="4599" w:hanging="367"/>
        <w:spacing w:after="0" w:line="269" w:lineRule="auto"/>
        <w:tabs>
          <w:tab w:leader="none" w:pos="367" w:val="left"/>
        </w:tabs>
        <w:numPr>
          <w:ilvl w:val="0"/>
          <w:numId w:val="3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intention of the Agreement is to terminate the Library Agreement save for Tower's obligations to make certain payments, set out in Section 3 below, and those obligations in the Library Agreement, set out in Sections 5.0(a) and 8.0(a) below, which specifically are intended to survive.</w:t>
      </w:r>
    </w:p>
    <w:p>
      <w:pPr>
        <w:spacing w:after="0" w:line="127" w:lineRule="exact"/>
        <w:rPr>
          <w:rFonts w:ascii="Courier New" w:cs="Courier New" w:eastAsia="Courier New" w:hAnsi="Courier New"/>
          <w:sz w:val="11"/>
          <w:szCs w:val="11"/>
          <w:color w:val="auto"/>
        </w:rPr>
      </w:pPr>
    </w:p>
    <w:p>
      <w:pPr>
        <w:ind w:left="367" w:right="4539" w:hanging="367"/>
        <w:spacing w:after="0" w:line="238" w:lineRule="auto"/>
        <w:tabs>
          <w:tab w:leader="none" w:pos="367" w:val="left"/>
        </w:tabs>
        <w:numPr>
          <w:ilvl w:val="0"/>
          <w:numId w:val="3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Capitalized terms not otherwise defined in this Termination Agreement shall have the meaning set forth in the Initial Agreement as amended.</w:t>
      </w:r>
    </w:p>
    <w:p>
      <w:pPr>
        <w:spacing w:after="0" w:line="142" w:lineRule="exact"/>
        <w:rPr>
          <w:rFonts w:ascii="Courier New" w:cs="Courier New" w:eastAsia="Courier New" w:hAnsi="Courier New"/>
          <w:sz w:val="12"/>
          <w:szCs w:val="12"/>
          <w:color w:val="auto"/>
        </w:rPr>
      </w:pPr>
    </w:p>
    <w:p>
      <w:pPr>
        <w:ind w:left="367" w:right="5259" w:hanging="367"/>
        <w:spacing w:after="0" w:line="238" w:lineRule="auto"/>
        <w:tabs>
          <w:tab w:leader="none" w:pos="367" w:val="left"/>
        </w:tabs>
        <w:numPr>
          <w:ilvl w:val="0"/>
          <w:numId w:val="3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of a conflict between the Library Agreement and this Agreement, the terms of this Agreement shall control.</w:t>
      </w:r>
    </w:p>
    <w:p>
      <w:pPr>
        <w:spacing w:after="0" w:line="139"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2.0</w:t>
      </w:r>
      <w:r>
        <w:rPr>
          <w:sz w:val="20"/>
          <w:szCs w:val="20"/>
          <w:color w:val="auto"/>
        </w:rPr>
        <w:tab/>
      </w:r>
      <w:r>
        <w:rPr>
          <w:rFonts w:ascii="Courier New" w:cs="Courier New" w:eastAsia="Courier New" w:hAnsi="Courier New"/>
          <w:sz w:val="11"/>
          <w:szCs w:val="11"/>
          <w:color w:val="auto"/>
        </w:rPr>
        <w:t>TERMINATION OF DEVELOPMENT OBLIGATIONS</w:t>
      </w:r>
    </w:p>
    <w:p>
      <w:pPr>
        <w:spacing w:after="0" w:line="141" w:lineRule="exact"/>
        <w:rPr>
          <w:sz w:val="20"/>
          <w:szCs w:val="20"/>
          <w:color w:val="auto"/>
        </w:rPr>
      </w:pPr>
    </w:p>
    <w:p>
      <w:pPr>
        <w:ind w:left="367" w:right="4679"/>
        <w:spacing w:after="0" w:line="272" w:lineRule="auto"/>
        <w:rPr>
          <w:sz w:val="20"/>
          <w:szCs w:val="20"/>
          <w:color w:val="auto"/>
        </w:rPr>
      </w:pPr>
      <w:r>
        <w:rPr>
          <w:rFonts w:ascii="Courier New" w:cs="Courier New" w:eastAsia="Courier New" w:hAnsi="Courier New"/>
          <w:sz w:val="11"/>
          <w:szCs w:val="11"/>
          <w:color w:val="auto"/>
        </w:rPr>
        <w:t>Synopsys will no longer be required to develop the Licensed Library Products, and shall no longer be required to enter into new license agreements granting rights in the Licensed Library Products to End Users.</w:t>
      </w:r>
    </w:p>
    <w:p>
      <w:pPr>
        <w:spacing w:after="0" w:line="122"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3.0</w:t>
      </w:r>
      <w:r>
        <w:rPr>
          <w:sz w:val="20"/>
          <w:szCs w:val="20"/>
          <w:color w:val="auto"/>
        </w:rPr>
        <w:tab/>
      </w:r>
      <w:r>
        <w:rPr>
          <w:rFonts w:ascii="Courier New" w:cs="Courier New" w:eastAsia="Courier New" w:hAnsi="Courier New"/>
          <w:sz w:val="11"/>
          <w:szCs w:val="11"/>
          <w:color w:val="auto"/>
        </w:rPr>
        <w:t>PAYMENT</w:t>
      </w:r>
    </w:p>
    <w:p>
      <w:pPr>
        <w:spacing w:after="0" w:line="141" w:lineRule="exact"/>
        <w:rPr>
          <w:sz w:val="20"/>
          <w:szCs w:val="20"/>
          <w:color w:val="auto"/>
        </w:rPr>
      </w:pPr>
    </w:p>
    <w:p>
      <w:pPr>
        <w:ind w:left="367" w:right="4539"/>
        <w:spacing w:after="0" w:line="241" w:lineRule="auto"/>
        <w:rPr>
          <w:sz w:val="20"/>
          <w:szCs w:val="20"/>
          <w:color w:val="auto"/>
        </w:rPr>
      </w:pPr>
      <w:r>
        <w:rPr>
          <w:rFonts w:ascii="Courier New" w:cs="Courier New" w:eastAsia="Courier New" w:hAnsi="Courier New"/>
          <w:sz w:val="12"/>
          <w:szCs w:val="12"/>
          <w:color w:val="auto"/>
        </w:rPr>
        <w:t>Within [***] of the Effective Date, Tower will pay Synopsys [***] US Dollars (USD [***]) in consideration of the matters set out in this Agreement and as an agreed sum in satisfaction of Tower's outstanding obligations under the Library Agreement, as amended, including without limitation all obligations under purchase order No. [***] dated December 5, 2003 and a SOW for the development of [***].</w:t>
      </w:r>
    </w:p>
    <w:p>
      <w:pPr>
        <w:spacing w:after="0" w:line="139"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4.0</w:t>
      </w:r>
      <w:r>
        <w:rPr>
          <w:sz w:val="20"/>
          <w:szCs w:val="20"/>
          <w:color w:val="auto"/>
        </w:rPr>
        <w:tab/>
      </w:r>
      <w:r>
        <w:rPr>
          <w:rFonts w:ascii="Courier New" w:cs="Courier New" w:eastAsia="Courier New" w:hAnsi="Courier New"/>
          <w:sz w:val="11"/>
          <w:szCs w:val="11"/>
          <w:color w:val="auto"/>
        </w:rPr>
        <w:t>FEES AND PAYMENT SCHEDULE</w:t>
      </w:r>
    </w:p>
    <w:p>
      <w:pPr>
        <w:spacing w:after="0" w:line="141" w:lineRule="exact"/>
        <w:rPr>
          <w:sz w:val="20"/>
          <w:szCs w:val="20"/>
          <w:color w:val="auto"/>
        </w:rPr>
      </w:pPr>
    </w:p>
    <w:p>
      <w:pPr>
        <w:ind w:left="367" w:right="4539"/>
        <w:spacing w:after="0" w:line="241" w:lineRule="auto"/>
        <w:rPr>
          <w:sz w:val="20"/>
          <w:szCs w:val="20"/>
          <w:color w:val="auto"/>
        </w:rPr>
      </w:pPr>
      <w:r>
        <w:rPr>
          <w:rFonts w:ascii="Courier New" w:cs="Courier New" w:eastAsia="Courier New" w:hAnsi="Courier New"/>
          <w:sz w:val="12"/>
          <w:szCs w:val="12"/>
          <w:color w:val="auto"/>
        </w:rPr>
        <w:t>For absence of doubt, Tower's payment obligations under Library Agreement, as amended, including without limitation the payment schedules set forth in Exhibits 2 and 3 of Amendment No. 1 and in any purchase order issued under the Library Agreement, as amended, are superseded in their entirety by the terms of Section 3.0 of this Agreement. All payment obligations of Tower under the Library Agreement, as so amended, are cancelled, other than those expressly set forth in Section 3 of this Agreement.</w:t>
      </w:r>
    </w:p>
    <w:p>
      <w:pPr>
        <w:spacing w:after="0" w:line="139"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5.0</w:t>
      </w:r>
      <w:r>
        <w:rPr>
          <w:sz w:val="20"/>
          <w:szCs w:val="20"/>
          <w:color w:val="auto"/>
        </w:rPr>
        <w:tab/>
      </w:r>
      <w:r>
        <w:rPr>
          <w:rFonts w:ascii="Courier New" w:cs="Courier New" w:eastAsia="Courier New" w:hAnsi="Courier New"/>
          <w:sz w:val="11"/>
          <w:szCs w:val="11"/>
          <w:color w:val="auto"/>
        </w:rPr>
        <w:t>LICENSE RIGHTS AND RESTRICTIONS</w:t>
      </w:r>
    </w:p>
    <w:p>
      <w:pPr>
        <w:spacing w:after="0" w:line="141" w:lineRule="exact"/>
        <w:rPr>
          <w:sz w:val="20"/>
          <w:szCs w:val="20"/>
          <w:color w:val="auto"/>
        </w:rPr>
      </w:pPr>
    </w:p>
    <w:p>
      <w:pPr>
        <w:ind w:left="367" w:right="4679" w:hanging="367"/>
        <w:spacing w:after="0" w:line="272" w:lineRule="auto"/>
        <w:tabs>
          <w:tab w:leader="none" w:pos="367" w:val="left"/>
        </w:tabs>
        <w:numPr>
          <w:ilvl w:val="0"/>
          <w:numId w:val="3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Notwithstanding anything to the contrary in this Agreement, all grants of Intellectual Property rights granted to Tower and to End Users under the Library Agreement, as amended, shall continue in full force and effect.</w:t>
      </w:r>
    </w:p>
    <w:p>
      <w:pPr>
        <w:spacing w:after="0" w:line="122"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278" w:right="1440" w:bottom="1440" w:gutter="0" w:footer="0" w:header="0"/>
        </w:sectPr>
      </w:pPr>
    </w:p>
    <w:bookmarkStart w:id="173" w:name="page174"/>
    <w:bookmarkEnd w:id="173"/>
    <w:p>
      <w:pPr>
        <w:ind w:left="367" w:right="4539" w:hanging="367"/>
        <w:spacing w:after="0" w:line="267" w:lineRule="auto"/>
        <w:tabs>
          <w:tab w:leader="none" w:pos="367" w:val="left"/>
        </w:tabs>
        <w:numPr>
          <w:ilvl w:val="0"/>
          <w:numId w:val="3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Subject to Tower's payment obligations under Section 3.0 of this Agreement, Synopsys grants to Tower, under Synopsys' Relevant Intellectual Property Rights (as defined in Section 5.0(c) below), a non-exclusive, irrevocable, world-wide, royalty-free license, with the right to sub-license, to Use (as defined in Section 5.0(d) below) and otherwise commercialize and exploit the Technical Information (as defined in Section 6 below).</w:t>
      </w:r>
    </w:p>
    <w:p>
      <w:pPr>
        <w:spacing w:after="0" w:line="128" w:lineRule="exact"/>
        <w:rPr>
          <w:rFonts w:ascii="Courier New" w:cs="Courier New" w:eastAsia="Courier New" w:hAnsi="Courier New"/>
          <w:sz w:val="11"/>
          <w:szCs w:val="11"/>
          <w:color w:val="auto"/>
        </w:rPr>
      </w:pPr>
    </w:p>
    <w:p>
      <w:pPr>
        <w:ind w:left="367" w:right="4539" w:hanging="367"/>
        <w:spacing w:after="0" w:line="241" w:lineRule="auto"/>
        <w:tabs>
          <w:tab w:leader="none" w:pos="367" w:val="left"/>
        </w:tabs>
        <w:numPr>
          <w:ilvl w:val="0"/>
          <w:numId w:val="3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used in this Agreement, "RELEVANT INTELLECTUAL PROPERTY RIGHTS" shall mean any and all Intellectual Property Rights (as defined in Section 7.0 below) that would be infringed or misappropriated by Use, as defined in the next sentence, of the subject of a license grant under this Agreement, absent a license. (1)</w:t>
      </w:r>
    </w:p>
    <w:p>
      <w:pPr>
        <w:spacing w:after="0" w:line="138"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3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used in this Agreement, "USE" shall mean:</w:t>
      </w:r>
    </w:p>
    <w:p>
      <w:pPr>
        <w:spacing w:after="0" w:line="141" w:lineRule="exact"/>
        <w:rPr>
          <w:rFonts w:ascii="Courier New" w:cs="Courier New" w:eastAsia="Courier New" w:hAnsi="Courier New"/>
          <w:sz w:val="12"/>
          <w:szCs w:val="12"/>
          <w:color w:val="auto"/>
        </w:rPr>
      </w:pPr>
    </w:p>
    <w:p>
      <w:pPr>
        <w:ind w:left="707" w:right="4599" w:hanging="350"/>
        <w:spacing w:after="0" w:line="239" w:lineRule="auto"/>
        <w:tabs>
          <w:tab w:leader="none" w:pos="707" w:val="left"/>
        </w:tabs>
        <w:numPr>
          <w:ilvl w:val="1"/>
          <w:numId w:val="3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patents, patent rights and applications therefor, to make, use, sell, have made, offer to sell, import, and, to the extent applicable in any jurisdiction(s), export;</w:t>
      </w:r>
    </w:p>
    <w:p>
      <w:pPr>
        <w:spacing w:after="0" w:line="142" w:lineRule="exact"/>
        <w:rPr>
          <w:rFonts w:ascii="Courier New" w:cs="Courier New" w:eastAsia="Courier New" w:hAnsi="Courier New"/>
          <w:sz w:val="12"/>
          <w:szCs w:val="12"/>
          <w:color w:val="auto"/>
        </w:rPr>
      </w:pPr>
    </w:p>
    <w:p>
      <w:pPr>
        <w:ind w:left="707" w:right="4539" w:hanging="350"/>
        <w:spacing w:after="0" w:line="239" w:lineRule="auto"/>
        <w:tabs>
          <w:tab w:leader="none" w:pos="707" w:val="left"/>
        </w:tabs>
        <w:numPr>
          <w:ilvl w:val="1"/>
          <w:numId w:val="3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copyrights, maskworks and applications therefor, to copy, distribute, create derivative works of, publicly display and, to the extent applicable, publicly perform;</w:t>
      </w:r>
    </w:p>
    <w:p>
      <w:pPr>
        <w:spacing w:after="0" w:line="142" w:lineRule="exact"/>
        <w:rPr>
          <w:rFonts w:ascii="Courier New" w:cs="Courier New" w:eastAsia="Courier New" w:hAnsi="Courier New"/>
          <w:sz w:val="12"/>
          <w:szCs w:val="12"/>
          <w:color w:val="auto"/>
        </w:rPr>
      </w:pPr>
    </w:p>
    <w:p>
      <w:pPr>
        <w:ind w:left="707" w:right="4539" w:hanging="350"/>
        <w:spacing w:after="0" w:line="238" w:lineRule="auto"/>
        <w:tabs>
          <w:tab w:leader="none" w:pos="778" w:val="left"/>
        </w:tabs>
        <w:numPr>
          <w:ilvl w:val="1"/>
          <w:numId w:val="3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trade secrets, rights in confidential information and know-how, any activity set forth in (i) and (ii) above;</w:t>
      </w:r>
    </w:p>
    <w:p>
      <w:pPr>
        <w:spacing w:after="0" w:line="142" w:lineRule="exact"/>
        <w:rPr>
          <w:rFonts w:ascii="Courier New" w:cs="Courier New" w:eastAsia="Courier New" w:hAnsi="Courier New"/>
          <w:sz w:val="12"/>
          <w:szCs w:val="12"/>
          <w:color w:val="auto"/>
        </w:rPr>
      </w:pPr>
    </w:p>
    <w:p>
      <w:pPr>
        <w:ind w:left="707" w:right="4899" w:hanging="350"/>
        <w:spacing w:after="0" w:line="238" w:lineRule="auto"/>
        <w:tabs>
          <w:tab w:leader="none" w:pos="707" w:val="left"/>
        </w:tabs>
        <w:numPr>
          <w:ilvl w:val="1"/>
          <w:numId w:val="3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moral rights, the irrevocable waiver of all moral rights in a work; and</w:t>
      </w:r>
    </w:p>
    <w:p>
      <w:pPr>
        <w:spacing w:after="0" w:line="142" w:lineRule="exact"/>
        <w:rPr>
          <w:rFonts w:ascii="Courier New" w:cs="Courier New" w:eastAsia="Courier New" w:hAnsi="Courier New"/>
          <w:sz w:val="12"/>
          <w:szCs w:val="12"/>
          <w:color w:val="auto"/>
        </w:rPr>
      </w:pPr>
    </w:p>
    <w:p>
      <w:pPr>
        <w:ind w:left="707" w:right="4599" w:hanging="350"/>
        <w:spacing w:after="0" w:line="264" w:lineRule="auto"/>
        <w:tabs>
          <w:tab w:leader="none" w:pos="707" w:val="left"/>
        </w:tabs>
        <w:numPr>
          <w:ilvl w:val="1"/>
          <w:numId w:val="3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with respect to trademarks, tradenames and service marks, any display that takes place merely by virtue of engaging in any of (i) through</w:t>
      </w:r>
    </w:p>
    <w:p>
      <w:pPr>
        <w:ind w:left="707" w:right="4599" w:firstLine="7"/>
        <w:spacing w:after="0" w:line="239" w:lineRule="auto"/>
        <w:tabs>
          <w:tab w:leader="none" w:pos="1064" w:val="left"/>
        </w:tabs>
        <w:numPr>
          <w:ilvl w:val="2"/>
          <w:numId w:val="3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above, but not, for absence of doubt, use on or in connection with any product or service that requires any act over and above such activities.</w:t>
      </w:r>
    </w:p>
    <w:p>
      <w:pPr>
        <w:spacing w:after="0" w:line="139" w:lineRule="exact"/>
        <w:rPr>
          <w:rFonts w:ascii="Courier New" w:cs="Courier New" w:eastAsia="Courier New" w:hAnsi="Courier New"/>
          <w:sz w:val="12"/>
          <w:szCs w:val="12"/>
          <w:color w:val="auto"/>
        </w:rPr>
      </w:pPr>
    </w:p>
    <w:p>
      <w:pPr>
        <w:ind w:left="367" w:hanging="367"/>
        <w:spacing w:after="0"/>
        <w:tabs>
          <w:tab w:leader="none" w:pos="367" w:val="left"/>
        </w:tabs>
        <w:numPr>
          <w:ilvl w:val="0"/>
          <w:numId w:val="3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Notwithstanding the foregoing, Tower undertakes:</w:t>
      </w:r>
    </w:p>
    <w:p>
      <w:pPr>
        <w:spacing w:after="0" w:line="141" w:lineRule="exact"/>
        <w:rPr>
          <w:sz w:val="20"/>
          <w:szCs w:val="20"/>
          <w:color w:val="auto"/>
        </w:rPr>
      </w:pPr>
    </w:p>
    <w:p>
      <w:pPr>
        <w:ind w:left="707" w:right="4539" w:hanging="350"/>
        <w:spacing w:after="0" w:line="264" w:lineRule="auto"/>
        <w:tabs>
          <w:tab w:leader="none" w:pos="707" w:val="left"/>
        </w:tabs>
        <w:numPr>
          <w:ilvl w:val="0"/>
          <w:numId w:val="3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not to use the Technical Information at silicon manufacturers other than Tower, in a manner that [***] in the business of [***] (including</w:t>
      </w:r>
    </w:p>
    <w:p>
      <w:pPr>
        <w:ind w:left="1147" w:hanging="433"/>
        <w:spacing w:after="0"/>
        <w:tabs>
          <w:tab w:leader="none" w:pos="1147" w:val="left"/>
        </w:tabs>
        <w:numPr>
          <w:ilvl w:val="1"/>
          <w:numId w:val="3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and [***]) (the "[***]") and either:</w:t>
      </w:r>
    </w:p>
    <w:p>
      <w:pPr>
        <w:spacing w:after="0" w:line="141" w:lineRule="exact"/>
        <w:rPr>
          <w:sz w:val="20"/>
          <w:szCs w:val="20"/>
          <w:color w:val="auto"/>
        </w:rPr>
      </w:pPr>
    </w:p>
    <w:p>
      <w:pPr>
        <w:ind w:left="1067" w:right="4599" w:hanging="353"/>
        <w:spacing w:after="0"/>
        <w:tabs>
          <w:tab w:leader="none" w:pos="1067" w:val="left"/>
        </w:tabs>
        <w:numPr>
          <w:ilvl w:val="1"/>
          <w:numId w:val="3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does not benefit any current or future [***] who is or may be under the terms of this Agreement authorized to integrate all or part of the [***] into its own integrated circuit designs ("END USERS"); or :</w:t>
      </w:r>
    </w:p>
    <w:p>
      <w:pPr>
        <w:spacing w:after="0" w:line="139" w:lineRule="exact"/>
        <w:rPr>
          <w:rFonts w:ascii="Courier New" w:cs="Courier New" w:eastAsia="Courier New" w:hAnsi="Courier New"/>
          <w:sz w:val="12"/>
          <w:szCs w:val="12"/>
          <w:color w:val="auto"/>
        </w:rPr>
      </w:pPr>
    </w:p>
    <w:p>
      <w:pPr>
        <w:ind w:left="147" w:hanging="147"/>
        <w:spacing w:after="0"/>
        <w:tabs>
          <w:tab w:leader="none" w:pos="147" w:val="left"/>
        </w:tabs>
        <w:numPr>
          <w:ilvl w:val="0"/>
          <w:numId w:val="3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41" w:lineRule="exact"/>
        <w:rPr>
          <w:sz w:val="20"/>
          <w:szCs w:val="20"/>
          <w:color w:val="auto"/>
        </w:rPr>
      </w:pPr>
    </w:p>
    <w:p>
      <w:pPr>
        <w:ind w:left="7" w:right="4899" w:hanging="7"/>
        <w:spacing w:after="0" w:line="280" w:lineRule="auto"/>
        <w:tabs>
          <w:tab w:leader="none" w:pos="435" w:val="left"/>
        </w:tabs>
        <w:numPr>
          <w:ilvl w:val="0"/>
          <w:numId w:val="3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74" w:name="page175"/>
    <w:bookmarkEnd w:id="174"/>
    <w:p>
      <w:pPr>
        <w:ind w:left="1067" w:right="5099" w:hanging="353"/>
        <w:spacing w:after="0" w:line="238" w:lineRule="auto"/>
        <w:tabs>
          <w:tab w:leader="none" w:pos="1067" w:val="left"/>
        </w:tabs>
        <w:numPr>
          <w:ilvl w:val="1"/>
          <w:numId w:val="3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does not relate to arrangement(s) between Tower and [***] regarding [***]or [***];</w:t>
      </w:r>
    </w:p>
    <w:p>
      <w:pPr>
        <w:spacing w:after="0" w:line="142" w:lineRule="exact"/>
        <w:rPr>
          <w:rFonts w:ascii="Courier New" w:cs="Courier New" w:eastAsia="Courier New" w:hAnsi="Courier New"/>
          <w:sz w:val="12"/>
          <w:szCs w:val="12"/>
          <w:color w:val="auto"/>
        </w:rPr>
      </w:pPr>
    </w:p>
    <w:p>
      <w:pPr>
        <w:ind w:left="707" w:right="4539" w:hanging="350"/>
        <w:spacing w:after="0" w:line="241" w:lineRule="auto"/>
        <w:tabs>
          <w:tab w:leader="none" w:pos="707" w:val="left"/>
        </w:tabs>
        <w:numPr>
          <w:ilvl w:val="0"/>
          <w:numId w:val="3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 to provide any Technical Information to any Synopsys library competitor (a list of whom is set forth in EXHIBIT B to this Agreement and is incorporated herein by reference, which list may be updated from time to time) (each such entity set forth on Exhibit B being a "SYNOPSYS COMPETITOR") without a contractual commitment by the Synopsys Competitor to keep all Technical Information in confidence and not to use the Technical Information to [***] (provided that Tower will not be required to retrospectively change the terms of any agreement already entered by virtue of a subsequent update to the list of Synopsys competitors on Exhibit B); and</w:t>
      </w:r>
    </w:p>
    <w:p>
      <w:pPr>
        <w:spacing w:after="0" w:line="144" w:lineRule="exact"/>
        <w:rPr>
          <w:rFonts w:ascii="Courier New" w:cs="Courier New" w:eastAsia="Courier New" w:hAnsi="Courier New"/>
          <w:sz w:val="12"/>
          <w:szCs w:val="12"/>
          <w:color w:val="auto"/>
        </w:rPr>
      </w:pPr>
    </w:p>
    <w:p>
      <w:pPr>
        <w:ind w:left="707" w:right="4539" w:hanging="350"/>
        <w:spacing w:after="0" w:line="280" w:lineRule="auto"/>
        <w:tabs>
          <w:tab w:leader="none" w:pos="707" w:val="left"/>
        </w:tabs>
        <w:numPr>
          <w:ilvl w:val="0"/>
          <w:numId w:val="3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prior to the disclosure of Technical Information to a third party, for the purpose of modification or enhancement, to execute an agreement:</w:t>
      </w:r>
    </w:p>
    <w:p>
      <w:pPr>
        <w:spacing w:after="0" w:line="121" w:lineRule="exact"/>
        <w:rPr>
          <w:sz w:val="20"/>
          <w:szCs w:val="20"/>
          <w:color w:val="auto"/>
        </w:rPr>
      </w:pPr>
    </w:p>
    <w:p>
      <w:pPr>
        <w:ind w:left="1067" w:right="4679" w:hanging="353"/>
        <w:spacing w:after="0" w:line="238" w:lineRule="auto"/>
        <w:tabs>
          <w:tab w:leader="none" w:pos="1067" w:val="left"/>
        </w:tabs>
        <w:numPr>
          <w:ilvl w:val="0"/>
          <w:numId w:val="3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sufficient breadth to protect Synopsys' interests and rights in the Technical Information ; and,</w:t>
      </w:r>
    </w:p>
    <w:p>
      <w:pPr>
        <w:spacing w:after="0" w:line="142" w:lineRule="exact"/>
        <w:rPr>
          <w:rFonts w:ascii="Courier New" w:cs="Courier New" w:eastAsia="Courier New" w:hAnsi="Courier New"/>
          <w:sz w:val="12"/>
          <w:szCs w:val="12"/>
          <w:color w:val="auto"/>
        </w:rPr>
      </w:pPr>
    </w:p>
    <w:p>
      <w:pPr>
        <w:ind w:left="1067" w:right="4599" w:hanging="353"/>
        <w:spacing w:after="0" w:line="238" w:lineRule="auto"/>
        <w:tabs>
          <w:tab w:leader="none" w:pos="1067" w:val="left"/>
        </w:tabs>
        <w:numPr>
          <w:ilvl w:val="0"/>
          <w:numId w:val="3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restricting use of the Technical Information by the third party, for the benefit of Tower.</w:t>
      </w:r>
    </w:p>
    <w:p>
      <w:pPr>
        <w:spacing w:after="0" w:line="139"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6.0</w:t>
      </w:r>
      <w:r>
        <w:rPr>
          <w:sz w:val="20"/>
          <w:szCs w:val="20"/>
          <w:color w:val="auto"/>
        </w:rPr>
        <w:tab/>
      </w:r>
      <w:r>
        <w:rPr>
          <w:rFonts w:ascii="Courier New" w:cs="Courier New" w:eastAsia="Courier New" w:hAnsi="Courier New"/>
          <w:sz w:val="11"/>
          <w:szCs w:val="11"/>
          <w:color w:val="auto"/>
        </w:rPr>
        <w:t>CONVEYANCE OF LIBRARIES, TECHNICAL DATA AND DEVELOPMENT ENVIRONMENTS</w:t>
      </w:r>
    </w:p>
    <w:p>
      <w:pPr>
        <w:spacing w:after="0" w:line="141" w:lineRule="exact"/>
        <w:rPr>
          <w:sz w:val="20"/>
          <w:szCs w:val="20"/>
          <w:color w:val="auto"/>
        </w:rPr>
      </w:pPr>
    </w:p>
    <w:p>
      <w:pPr>
        <w:ind w:left="367" w:right="4539"/>
        <w:spacing w:after="0" w:line="241" w:lineRule="auto"/>
        <w:rPr>
          <w:sz w:val="20"/>
          <w:szCs w:val="20"/>
          <w:color w:val="auto"/>
        </w:rPr>
      </w:pPr>
      <w:r>
        <w:rPr>
          <w:rFonts w:ascii="Courier New" w:cs="Courier New" w:eastAsia="Courier New" w:hAnsi="Courier New"/>
          <w:sz w:val="12"/>
          <w:szCs w:val="12"/>
          <w:color w:val="auto"/>
        </w:rPr>
        <w:t>Within [***]days of the Effective Date, Synopsys shall transfer to Tower full and complete copies of the libraries and technical data as set out in further detail on Exhibit A to this Agreement ("TECHNICAL INFORMATION"), which shall be regarded as Confidential Information. The parties intend that the Technical Information will include all useful and desirable aspects of [***], including without limitation [***]and one copy each of the most recent version of all existing [***]and related documentation, as applicable, and including [***] for all [***]technology generation. Tower will review the Technical Information, and, within [***]days of the Effective Date, communicate its acceptance or rejection of the Technical Information in its sole discretion. If Tower rejects the Technical Information within [***]days of the Effective Date, this Agreement shall not continue, provided, however, that if Tower fails to communicate acceptance or rejection within such period, the Technical Information shall be deemed accepted.</w:t>
      </w:r>
    </w:p>
    <w:p>
      <w:pPr>
        <w:spacing w:after="0" w:line="145"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7.0</w:t>
      </w:r>
      <w:r>
        <w:rPr>
          <w:sz w:val="20"/>
          <w:szCs w:val="20"/>
          <w:color w:val="auto"/>
        </w:rPr>
        <w:tab/>
      </w:r>
      <w:r>
        <w:rPr>
          <w:rFonts w:ascii="Courier New" w:cs="Courier New" w:eastAsia="Courier New" w:hAnsi="Courier New"/>
          <w:sz w:val="11"/>
          <w:szCs w:val="11"/>
          <w:color w:val="auto"/>
        </w:rPr>
        <w:t>OWNERSHIP</w:t>
      </w:r>
    </w:p>
    <w:p>
      <w:pPr>
        <w:spacing w:after="0" w:line="141" w:lineRule="exact"/>
        <w:rPr>
          <w:sz w:val="20"/>
          <w:szCs w:val="20"/>
          <w:color w:val="auto"/>
        </w:rPr>
      </w:pPr>
    </w:p>
    <w:p>
      <w:pPr>
        <w:ind w:left="367" w:right="4539" w:hanging="367"/>
        <w:spacing w:after="0" w:line="266" w:lineRule="auto"/>
        <w:tabs>
          <w:tab w:leader="none" w:pos="367" w:val="left"/>
        </w:tabs>
        <w:numPr>
          <w:ilvl w:val="0"/>
          <w:numId w:val="3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between the Parties, this Agreement will not change the ownership of each Party's pre-existing Intellectual Property Right(s) (as defined in the next sentence), which will continue to be owned by the Party owning such rights immediately before the Effective Date. As used in this Agreement, "INTELLECTUAL PROPERTY RIGHTS" means patents, patent rights, copyrights, trade secrets, rights in confidential information and know-how, service marks, maskworks, moral rights, tradenames and trademarks, and any applications for any of the foregoing, in all countries in the world.</w:t>
      </w:r>
    </w:p>
    <w:p>
      <w:pPr>
        <w:spacing w:after="0" w:line="127"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75" w:name="page176"/>
    <w:bookmarkEnd w:id="175"/>
    <w:p>
      <w:pPr>
        <w:ind w:left="367" w:right="4539" w:hanging="367"/>
        <w:spacing w:after="0" w:line="241" w:lineRule="auto"/>
        <w:tabs>
          <w:tab w:leader="none" w:pos="367" w:val="left"/>
        </w:tabs>
        <w:numPr>
          <w:ilvl w:val="0"/>
          <w:numId w:val="3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each party's ownership rights set forth in Section 7.0(a) of this Agreement, Tower will own all Intellectual Property Rights relating to any enhancement to, derivative, of or incremental development work based on or relating to ("ENHANCEMENT") the Technical Information, to the extent any such Enhancement is developed [***] or by any [***] (including in such event and without limitation Synopsys).</w:t>
      </w:r>
    </w:p>
    <w:p>
      <w:pPr>
        <w:spacing w:after="0" w:line="141" w:lineRule="exact"/>
        <w:rPr>
          <w:rFonts w:ascii="Courier New" w:cs="Courier New" w:eastAsia="Courier New" w:hAnsi="Courier New"/>
          <w:sz w:val="12"/>
          <w:szCs w:val="12"/>
          <w:color w:val="auto"/>
        </w:rPr>
      </w:pPr>
    </w:p>
    <w:p>
      <w:pPr>
        <w:ind w:left="367" w:right="4539" w:hanging="367"/>
        <w:spacing w:after="0" w:line="241" w:lineRule="auto"/>
        <w:tabs>
          <w:tab w:leader="none" w:pos="367" w:val="left"/>
        </w:tabs>
        <w:numPr>
          <w:ilvl w:val="0"/>
          <w:numId w:val="3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each party's ownership rights set forth in Section 7.0(a) of this Agreement, Synopsys will own all Intellectual Property Rights relating to any Enhancement to the extent such Enhancement is developed by or for Synopsys or its contractors, independent of any services performed by Synopsys or its subcontractors for Tower.</w:t>
      </w:r>
    </w:p>
    <w:p>
      <w:pPr>
        <w:spacing w:after="0" w:line="138" w:lineRule="exact"/>
        <w:rPr>
          <w:sz w:val="20"/>
          <w:szCs w:val="20"/>
          <w:color w:val="auto"/>
        </w:rPr>
      </w:pPr>
    </w:p>
    <w:p>
      <w:pPr>
        <w:ind w:left="7"/>
        <w:spacing w:after="0"/>
        <w:tabs>
          <w:tab w:leader="none" w:pos="346" w:val="left"/>
        </w:tabs>
        <w:rPr>
          <w:sz w:val="20"/>
          <w:szCs w:val="20"/>
          <w:color w:val="auto"/>
        </w:rPr>
      </w:pPr>
      <w:r>
        <w:rPr>
          <w:rFonts w:ascii="Courier New" w:cs="Courier New" w:eastAsia="Courier New" w:hAnsi="Courier New"/>
          <w:sz w:val="12"/>
          <w:szCs w:val="12"/>
          <w:color w:val="auto"/>
        </w:rPr>
        <w:t>8.0</w:t>
      </w:r>
      <w:r>
        <w:rPr>
          <w:sz w:val="20"/>
          <w:szCs w:val="20"/>
          <w:color w:val="auto"/>
        </w:rPr>
        <w:tab/>
      </w:r>
      <w:r>
        <w:rPr>
          <w:rFonts w:ascii="Courier New" w:cs="Courier New" w:eastAsia="Courier New" w:hAnsi="Courier New"/>
          <w:sz w:val="11"/>
          <w:szCs w:val="11"/>
          <w:color w:val="auto"/>
        </w:rPr>
        <w:t>SURVIVAL</w:t>
      </w:r>
    </w:p>
    <w:p>
      <w:pPr>
        <w:spacing w:after="0" w:line="141" w:lineRule="exact"/>
        <w:rPr>
          <w:sz w:val="20"/>
          <w:szCs w:val="20"/>
          <w:color w:val="auto"/>
        </w:rPr>
      </w:pPr>
    </w:p>
    <w:p>
      <w:pPr>
        <w:ind w:left="367" w:right="4539" w:hanging="367"/>
        <w:spacing w:after="0" w:line="241" w:lineRule="auto"/>
        <w:tabs>
          <w:tab w:leader="none" w:pos="367" w:val="left"/>
        </w:tabs>
        <w:numPr>
          <w:ilvl w:val="0"/>
          <w:numId w:val="3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Notwithstanding termination, the rights and obligations of the parties set forth in Sections 2 (License Grant), 10.2 (Authority), 11 (Confidential Information), 12 (Indemnification), 13(Limitation of Liability), 16 (Export Control), 17.3 (Addresses for Service) and 18 (General) of the Library Agreement shall survive and continue after the Effective Date, as shall the parties' rights and obligations under this Agreement, and, for absence of doubt and without limiting Section 5 of this Agreement, any license rights granted to Tower under the Library Agreement more extensive than the rights granted under Section 5 of this Agreement.</w:t>
      </w:r>
    </w:p>
    <w:p>
      <w:pPr>
        <w:spacing w:after="0" w:line="143" w:lineRule="exact"/>
        <w:rPr>
          <w:rFonts w:ascii="Courier New" w:cs="Courier New" w:eastAsia="Courier New" w:hAnsi="Courier New"/>
          <w:sz w:val="12"/>
          <w:szCs w:val="12"/>
          <w:color w:val="auto"/>
        </w:rPr>
      </w:pPr>
    </w:p>
    <w:p>
      <w:pPr>
        <w:ind w:left="367" w:right="4599" w:hanging="367"/>
        <w:spacing w:after="0" w:line="241" w:lineRule="auto"/>
        <w:tabs>
          <w:tab w:leader="none" w:pos="367" w:val="left"/>
        </w:tabs>
        <w:numPr>
          <w:ilvl w:val="0"/>
          <w:numId w:val="3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other rights and obligations under the Library Agreement (including, for the avoidance of doubt, any rights under its Section 14 (Term &amp; Termination)) are hereby terminated.IN WITNESS WHEREOF, the parties hereto have caused this Termination Agreement to be duly executed by their duly authorized representatives.</w:t>
      </w:r>
    </w:p>
    <w:p>
      <w:pPr>
        <w:spacing w:after="0" w:line="13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ectPr>
          <w:pgSz w:w="11900" w:h="16838" w:orient="portrait"/>
          <w:cols w:equalWidth="0" w:num="1">
            <w:col w:w="10246"/>
          </w:cols>
          <w:pgMar w:left="213" w:top="672"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1"/>
          <w:szCs w:val="11"/>
          <w:color w:val="auto"/>
        </w:rPr>
        <w:t>SYNOPSYS,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TOWER SEMICONDUCTOR LTD.</w:t>
      </w:r>
    </w:p>
    <w:p>
      <w:pPr>
        <w:spacing w:after="0" w:line="200" w:lineRule="exact"/>
        <w:rPr>
          <w:sz w:val="20"/>
          <w:szCs w:val="20"/>
          <w:color w:val="auto"/>
        </w:rPr>
      </w:pPr>
    </w:p>
    <w:p>
      <w:pPr>
        <w:sectPr>
          <w:pgSz w:w="11900" w:h="16838" w:orient="portrait"/>
          <w:cols w:equalWidth="0" w:num="2">
            <w:col w:w="2420" w:space="720"/>
            <w:col w:w="7099"/>
          </w:cols>
          <w:pgMar w:left="220" w:top="672" w:right="1440" w:bottom="1440" w:gutter="0" w:footer="0" w:header="0"/>
        </w:sectPr>
      </w:pP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By: ________________________________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Name: ______________________________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Title: 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 ______________________________</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By: ________________________________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Name: ______________________________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Title: 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 ______________________________</w:t>
      </w:r>
    </w:p>
    <w:p>
      <w:pPr>
        <w:spacing w:after="0" w:line="200" w:lineRule="exact"/>
        <w:rPr>
          <w:sz w:val="20"/>
          <w:szCs w:val="20"/>
          <w:color w:val="auto"/>
        </w:rPr>
      </w:pPr>
    </w:p>
    <w:p>
      <w:pPr>
        <w:sectPr>
          <w:pgSz w:w="11900" w:h="16838" w:orient="portrait"/>
          <w:cols w:equalWidth="0" w:num="2">
            <w:col w:w="2560" w:space="580"/>
            <w:col w:w="7099"/>
          </w:cols>
          <w:pgMar w:left="220" w:top="672" w:right="1440"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SYNOPSYS INTERNATIONAL LIMITED</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By: ________________________________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Name: ______________________________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Title: _____________________________</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 ______________________________</w:t>
      </w:r>
    </w:p>
    <w:p>
      <w:pPr>
        <w:sectPr>
          <w:pgSz w:w="11900" w:h="16838" w:orient="portrait"/>
          <w:cols w:equalWidth="0" w:num="1">
            <w:col w:w="10239"/>
          </w:cols>
          <w:pgMar w:left="220" w:top="672" w:right="1440" w:bottom="1440" w:gutter="0" w:footer="0" w:header="0"/>
          <w:type w:val="continuous"/>
        </w:sectPr>
      </w:pPr>
    </w:p>
    <w:bookmarkStart w:id="177" w:name="page178"/>
    <w:bookmarkEnd w:id="177"/>
    <w:p>
      <w:pPr>
        <w:ind w:left="4847"/>
        <w:spacing w:after="0"/>
        <w:rPr>
          <w:sz w:val="20"/>
          <w:szCs w:val="20"/>
          <w:color w:val="auto"/>
        </w:rPr>
      </w:pPr>
      <w:r>
        <w:rPr>
          <w:rFonts w:ascii="Courier New" w:cs="Courier New" w:eastAsia="Courier New" w:hAnsi="Courier New"/>
          <w:sz w:val="11"/>
          <w:szCs w:val="11"/>
          <w:color w:val="auto"/>
        </w:rPr>
        <w:t>EXHIBIT 4.61</w:t>
      </w:r>
    </w:p>
    <w:p>
      <w:pPr>
        <w:spacing w:after="0" w:line="150" w:lineRule="exact"/>
        <w:rPr>
          <w:sz w:val="20"/>
          <w:szCs w:val="20"/>
          <w:color w:val="auto"/>
        </w:rPr>
      </w:pPr>
    </w:p>
    <w:p>
      <w:pPr>
        <w:ind w:left="7" w:right="4679"/>
        <w:spacing w:after="0" w:line="280" w:lineRule="auto"/>
        <w:rPr>
          <w:sz w:val="20"/>
          <w:szCs w:val="20"/>
          <w:color w:val="auto"/>
        </w:rPr>
      </w:pPr>
      <w:r>
        <w:rPr>
          <w:rFonts w:ascii="Courier New" w:cs="Courier New" w:eastAsia="Courier New" w:hAnsi="Courier New"/>
          <w:sz w:val="11"/>
          <w:szCs w:val="11"/>
          <w:color w:val="auto"/>
        </w:rPr>
        <w:t>CONFIDENTIAL PORTIONS OF THIS AGREEMENT HAVE BEEN OMITTED AND FILED SEPARATELY WITH THE COMMISSION PURSUANT TO A REQUEST FOR CONFIDENTIAL TREATMENT.</w:t>
      </w:r>
    </w:p>
    <w:p>
      <w:pPr>
        <w:spacing w:after="0" w:line="118" w:lineRule="exact"/>
        <w:rPr>
          <w:sz w:val="20"/>
          <w:szCs w:val="20"/>
          <w:color w:val="auto"/>
        </w:rPr>
      </w:pPr>
    </w:p>
    <w:p>
      <w:pPr>
        <w:ind w:left="1847"/>
        <w:spacing w:after="0"/>
        <w:rPr>
          <w:sz w:val="20"/>
          <w:szCs w:val="20"/>
          <w:color w:val="auto"/>
        </w:rPr>
      </w:pPr>
      <w:r>
        <w:rPr>
          <w:rFonts w:ascii="Courier New" w:cs="Courier New" w:eastAsia="Courier New" w:hAnsi="Courier New"/>
          <w:sz w:val="12"/>
          <w:szCs w:val="12"/>
          <w:color w:val="auto"/>
        </w:rPr>
        <w:t>EQUIPMENT PURCHASE AGREEMENT</w:t>
      </w:r>
    </w:p>
    <w:p>
      <w:pPr>
        <w:spacing w:after="0" w:line="141" w:lineRule="exact"/>
        <w:rPr>
          <w:sz w:val="20"/>
          <w:szCs w:val="20"/>
          <w:color w:val="auto"/>
        </w:rPr>
      </w:pPr>
    </w:p>
    <w:p>
      <w:pPr>
        <w:ind w:left="7" w:right="4539" w:firstLine="357"/>
        <w:spacing w:after="0"/>
        <w:rPr>
          <w:sz w:val="20"/>
          <w:szCs w:val="20"/>
          <w:color w:val="auto"/>
        </w:rPr>
      </w:pPr>
      <w:r>
        <w:rPr>
          <w:rFonts w:ascii="Courier New" w:cs="Courier New" w:eastAsia="Courier New" w:hAnsi="Courier New"/>
          <w:sz w:val="12"/>
          <w:szCs w:val="12"/>
          <w:color w:val="auto"/>
        </w:rPr>
        <w:t>This Equipment Purchase Agreement (this "AGREEMENT"), dated May 17, 2006, is between Tower Semiconductor Ltd., a company organised under the laws of the State of Israel ("TOWER") and Israel Corporation Ltd., a company organised under the laws of the State of Israel ("TIC").</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The above-mentioned parties are collectively known as the "PARTIES" and</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individually known as a "PARTY".</w:t>
      </w:r>
    </w:p>
    <w:p>
      <w:pPr>
        <w:spacing w:after="0" w:line="139" w:lineRule="exact"/>
        <w:rPr>
          <w:sz w:val="20"/>
          <w:szCs w:val="20"/>
          <w:color w:val="auto"/>
        </w:rPr>
      </w:pPr>
    </w:p>
    <w:p>
      <w:pPr>
        <w:jc w:val="center"/>
        <w:ind w:right="4532"/>
        <w:spacing w:after="0"/>
        <w:rPr>
          <w:sz w:val="20"/>
          <w:szCs w:val="20"/>
          <w:color w:val="auto"/>
        </w:rPr>
      </w:pPr>
      <w:r>
        <w:rPr>
          <w:rFonts w:ascii="Courier New" w:cs="Courier New" w:eastAsia="Courier New" w:hAnsi="Courier New"/>
          <w:sz w:val="12"/>
          <w:szCs w:val="12"/>
          <w:color w:val="auto"/>
        </w:rPr>
        <w:t>W I T N E S S E T H:</w:t>
      </w:r>
    </w:p>
    <w:p>
      <w:pPr>
        <w:spacing w:after="0" w:line="141" w:lineRule="exact"/>
        <w:rPr>
          <w:sz w:val="20"/>
          <w:szCs w:val="20"/>
          <w:color w:val="auto"/>
        </w:rPr>
      </w:pPr>
    </w:p>
    <w:p>
      <w:pPr>
        <w:ind w:left="7" w:right="5039" w:firstLine="357"/>
        <w:spacing w:after="0" w:line="280" w:lineRule="auto"/>
        <w:rPr>
          <w:sz w:val="20"/>
          <w:szCs w:val="20"/>
          <w:color w:val="auto"/>
        </w:rPr>
      </w:pPr>
      <w:r>
        <w:rPr>
          <w:rFonts w:ascii="Courier New" w:cs="Courier New" w:eastAsia="Courier New" w:hAnsi="Courier New"/>
          <w:sz w:val="11"/>
          <w:szCs w:val="11"/>
          <w:color w:val="auto"/>
        </w:rPr>
        <w:t>WHEREAS, Tower's Board of Directors recently approved an accelerated ramp-up plan for Tower's Fab 2 manufacturing facility ("FAB 2");</w:t>
      </w:r>
    </w:p>
    <w:p>
      <w:pPr>
        <w:spacing w:after="0" w:line="121" w:lineRule="exact"/>
        <w:rPr>
          <w:sz w:val="20"/>
          <w:szCs w:val="20"/>
          <w:color w:val="auto"/>
        </w:rPr>
      </w:pPr>
    </w:p>
    <w:p>
      <w:pPr>
        <w:ind w:left="7" w:right="4679" w:firstLine="357"/>
        <w:spacing w:after="0" w:line="238" w:lineRule="auto"/>
        <w:rPr>
          <w:sz w:val="20"/>
          <w:szCs w:val="20"/>
          <w:color w:val="auto"/>
        </w:rPr>
      </w:pPr>
      <w:r>
        <w:rPr>
          <w:rFonts w:ascii="Courier New" w:cs="Courier New" w:eastAsia="Courier New" w:hAnsi="Courier New"/>
          <w:sz w:val="12"/>
          <w:szCs w:val="12"/>
          <w:color w:val="auto"/>
        </w:rPr>
        <w:t>WHEREAS, TIC, a major shareholder of Tower, wishes to assist Tower in the ramp-up of Fab 2 by purchasing certain equipment as set forth herein; and</w:t>
      </w:r>
    </w:p>
    <w:p>
      <w:pPr>
        <w:spacing w:after="0" w:line="142" w:lineRule="exact"/>
        <w:rPr>
          <w:sz w:val="20"/>
          <w:szCs w:val="20"/>
          <w:color w:val="auto"/>
        </w:rPr>
      </w:pPr>
    </w:p>
    <w:p>
      <w:pPr>
        <w:ind w:left="7" w:right="4599" w:firstLine="357"/>
        <w:spacing w:after="0" w:line="238" w:lineRule="auto"/>
        <w:rPr>
          <w:sz w:val="20"/>
          <w:szCs w:val="20"/>
          <w:color w:val="auto"/>
        </w:rPr>
      </w:pPr>
      <w:r>
        <w:rPr>
          <w:rFonts w:ascii="Courier New" w:cs="Courier New" w:eastAsia="Courier New" w:hAnsi="Courier New"/>
          <w:sz w:val="12"/>
          <w:szCs w:val="12"/>
          <w:color w:val="auto"/>
        </w:rPr>
        <w:t>WHEREAS, TIC and Tower wish to detail the conditions which would result in the transferring of the title to such equipment from TIC to Tower.</w:t>
      </w:r>
    </w:p>
    <w:p>
      <w:pPr>
        <w:spacing w:after="0" w:line="142" w:lineRule="exact"/>
        <w:rPr>
          <w:sz w:val="20"/>
          <w:szCs w:val="20"/>
          <w:color w:val="auto"/>
        </w:rPr>
      </w:pPr>
    </w:p>
    <w:p>
      <w:pPr>
        <w:ind w:left="7" w:right="4599"/>
        <w:spacing w:after="0" w:line="238" w:lineRule="auto"/>
        <w:rPr>
          <w:sz w:val="20"/>
          <w:szCs w:val="20"/>
          <w:color w:val="auto"/>
        </w:rPr>
      </w:pPr>
      <w:r>
        <w:rPr>
          <w:rFonts w:ascii="Courier New" w:cs="Courier New" w:eastAsia="Courier New" w:hAnsi="Courier New"/>
          <w:sz w:val="12"/>
          <w:szCs w:val="12"/>
          <w:color w:val="auto"/>
        </w:rPr>
        <w:t>NOW, THEREFORE, in consideration of the mutual promises herein contained, it is hereby agreed as follows:</w:t>
      </w:r>
    </w:p>
    <w:p>
      <w:pPr>
        <w:spacing w:after="0" w:line="139" w:lineRule="exact"/>
        <w:rPr>
          <w:sz w:val="20"/>
          <w:szCs w:val="20"/>
          <w:color w:val="auto"/>
        </w:rPr>
      </w:pPr>
    </w:p>
    <w:p>
      <w:pPr>
        <w:ind w:left="367" w:hanging="367"/>
        <w:spacing w:after="0"/>
        <w:tabs>
          <w:tab w:leader="none" w:pos="367" w:val="left"/>
        </w:tabs>
        <w:numPr>
          <w:ilvl w:val="0"/>
          <w:numId w:val="3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PURCHASE ORDERS AND/OR EQUIPMENT AGREEMENTS</w:t>
      </w:r>
    </w:p>
    <w:p>
      <w:pPr>
        <w:spacing w:after="0" w:line="141" w:lineRule="exact"/>
        <w:rPr>
          <w:rFonts w:ascii="Courier New" w:cs="Courier New" w:eastAsia="Courier New" w:hAnsi="Courier New"/>
          <w:sz w:val="12"/>
          <w:szCs w:val="12"/>
          <w:color w:val="auto"/>
        </w:rPr>
      </w:pPr>
    </w:p>
    <w:p>
      <w:pPr>
        <w:ind w:left="707" w:right="4539" w:hanging="357"/>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1.1. Immediately following the signature of this Agreement, and by no later than one (1) week from the date hereof, TIC shall order the equipment listed in ANNEX A1 (the "EQUIPMENT"), in their entirety, from the suppliers listed therein (the "SUPPLIERS") and at the total prices, including all related costs and VAT which in the aggregate shall not exceed $70 million, and delivery dates set forth therein (the "PURCHASE ORDERS"; together with any and all equipment purchase and/or installation agreements in connection therewith, the "EQUIPMENT AGREEMENTS"). By no later than one (1) week after this Agreement is effective pursuant to Section y5_hereof, TIC shall enter into Equipment Agreements relating to the Equipment listed in ANNEX A2 in their entirety, from the Suppliers at the total prices, including all related costs and VAT which in the aggregate shall not exceed $11 million on the delivery dates set forth therein. For the avoidance of doubt, the terms "Equipment", "Suppliers", "Purchase Orders" and "Equipment Agreements" shall also relate to the Equipment listed on Annex A1, Annex A2 and the Replacement Equipment.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The Parties acknowledge (i) that changes in price and/or delivery</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dates may be required by the Suppliers and (ii) that the negotiation</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and execution of all or any of the equipment purchase and/or</w:t>
      </w:r>
    </w:p>
    <w:p>
      <w:pPr>
        <w:spacing w:after="0" w:line="4"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installation agreements to which the Purchase Orders relate may not be</w:t>
      </w:r>
    </w:p>
    <w:p>
      <w:pPr>
        <w:spacing w:after="0" w:line="13"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completed within one (1) week, but the Parties hereto undertake to use</w:t>
      </w:r>
    </w:p>
    <w:p>
      <w:pPr>
        <w:spacing w:after="0" w:line="10"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their commercially reasonable best efforts to finalize and execute</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such agreements as soon as practicable following the date hereof.</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However, Tower and TIC will agree in writing whether such new prices</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and/or delivery dates are acceptable, provided that such new prices</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including all related costs and VAT which, in the aggregate for the</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Equipment in Annex A1 and Annex A2, shall not exceed $84 million.</w:t>
      </w:r>
    </w:p>
    <w:p>
      <w:pPr>
        <w:spacing w:after="0" w:line="141" w:lineRule="exact"/>
        <w:rPr>
          <w:sz w:val="20"/>
          <w:szCs w:val="20"/>
          <w:color w:val="auto"/>
        </w:rPr>
      </w:pPr>
    </w:p>
    <w:p>
      <w:pPr>
        <w:ind w:left="707" w:right="4539" w:hanging="356"/>
        <w:spacing w:after="0" w:line="241" w:lineRule="auto"/>
        <w:rPr>
          <w:sz w:val="20"/>
          <w:szCs w:val="20"/>
          <w:color w:val="auto"/>
        </w:rPr>
      </w:pPr>
      <w:r>
        <w:rPr>
          <w:rFonts w:ascii="Courier New" w:cs="Courier New" w:eastAsia="Courier New" w:hAnsi="Courier New"/>
          <w:sz w:val="12"/>
          <w:szCs w:val="12"/>
          <w:color w:val="auto"/>
        </w:rPr>
        <w:t>1.2. The Equipment Agreements shall provide, INTER ALIA, that TIC shall be the owner of the Equipment. While the Equipment Agreements shall not provide details as to where the Equipment shall be delivered, the Equipment shall be delivered to such location as instructed by TIC prior to the delivery dates set forth in ANNEX A1 OR A2. In addition, TIC and Tower shall use their best efforts when negotiating the Equipment Agreements to ensure that the rights and obligations associated therewith, including any and all Equipment warranties and related service agreements, shall be assignable to Tower, without the need for Supplier or other third party consents. In addition, Tower shall use its best efforts when negotiating the Equipment Agreements to ensure that the Equipment Agreements are cancelable for a period of 15 days after their signature with no cancellation fees.</w:t>
      </w:r>
    </w:p>
    <w:p>
      <w:pPr>
        <w:spacing w:after="0" w:line="147" w:lineRule="exact"/>
        <w:rPr>
          <w:sz w:val="20"/>
          <w:szCs w:val="20"/>
          <w:color w:val="auto"/>
        </w:rPr>
      </w:pPr>
    </w:p>
    <w:p>
      <w:pPr>
        <w:ind w:left="707" w:right="4539" w:hanging="356"/>
        <w:spacing w:after="0" w:line="241" w:lineRule="auto"/>
        <w:rPr>
          <w:sz w:val="20"/>
          <w:szCs w:val="20"/>
          <w:color w:val="auto"/>
        </w:rPr>
      </w:pPr>
      <w:r>
        <w:rPr>
          <w:rFonts w:ascii="Courier New" w:cs="Courier New" w:eastAsia="Courier New" w:hAnsi="Courier New"/>
          <w:sz w:val="12"/>
          <w:szCs w:val="12"/>
          <w:color w:val="auto"/>
        </w:rPr>
        <w:t>1.3. The terms and conditions of the Equipment Agreements and any amendments thereto shall be approved in writing b y Tower prior to their execution. TIC shall furnish Tower with signed copies of the Equipment Agreements and any amendments thereto as soon as practicable following their execution.</w:t>
      </w:r>
    </w:p>
    <w:p>
      <w:pPr>
        <w:spacing w:after="0" w:line="138"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1.4. The Parties acknowledge that on or about May 1, 2006, TIC transferred</w:t>
      </w:r>
    </w:p>
    <w:p>
      <w:pPr>
        <w:spacing w:after="0" w:line="4" w:lineRule="exact"/>
        <w:rPr>
          <w:sz w:val="20"/>
          <w:szCs w:val="20"/>
          <w:color w:val="auto"/>
        </w:rPr>
      </w:pPr>
    </w:p>
    <w:p>
      <w:pPr>
        <w:ind w:left="707" w:right="4599" w:firstLine="7"/>
        <w:spacing w:after="0"/>
        <w:tabs>
          <w:tab w:leader="none" w:pos="1135" w:val="left"/>
        </w:tabs>
        <w:numPr>
          <w:ilvl w:val="0"/>
          <w:numId w:val="3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 and [***] to [***] with respect to the certain Equipment Agreements (each an "ADVANCE AGREEMENT") which were ordered by Tower (each an "ADVANCE"), pursuant to the letter from Tower to TIC, dated April 30, 2006 (the "ADVANCE LETTER").</w:t>
      </w:r>
    </w:p>
    <w:p>
      <w:pPr>
        <w:spacing w:after="0" w:line="140"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As soon as practicable following the signature of this Agreement,</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Tower shall use its best efforts to cause [***] and [***] to consent</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to the assignment of the Advance Agreements to TIC.</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5" w:lineRule="exact"/>
        <w:rPr>
          <w:rFonts w:ascii="Courier New" w:cs="Courier New" w:eastAsia="Courier New" w:hAnsi="Courier New"/>
          <w:sz w:val="11"/>
          <w:szCs w:val="11"/>
          <w:color w:val="auto"/>
        </w:rPr>
      </w:pPr>
    </w:p>
    <w:p>
      <w:pPr>
        <w:ind w:left="2787" w:hanging="146"/>
        <w:spacing w:after="0"/>
        <w:tabs>
          <w:tab w:leader="none" w:pos="2787" w:val="left"/>
        </w:tabs>
        <w:numPr>
          <w:ilvl w:val="1"/>
          <w:numId w:val="3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ectPr>
          <w:pgSz w:w="11900" w:h="16838" w:orient="portrait"/>
          <w:cols w:equalWidth="0" w:num="1">
            <w:col w:w="10246"/>
          </w:cols>
          <w:pgMar w:left="213" w:top="278" w:right="1440" w:bottom="1440" w:gutter="0" w:footer="0" w:header="0"/>
        </w:sectPr>
      </w:pPr>
    </w:p>
    <w:bookmarkStart w:id="178" w:name="page179"/>
    <w:bookmarkEnd w:id="178"/>
    <w:p>
      <w:pPr>
        <w:ind w:left="707"/>
        <w:spacing w:after="0"/>
        <w:rPr>
          <w:sz w:val="20"/>
          <w:szCs w:val="20"/>
          <w:color w:val="auto"/>
        </w:rPr>
      </w:pPr>
      <w:r>
        <w:rPr>
          <w:rFonts w:ascii="Courier New" w:cs="Courier New" w:eastAsia="Courier New" w:hAnsi="Courier New"/>
          <w:sz w:val="12"/>
          <w:szCs w:val="12"/>
          <w:color w:val="auto"/>
        </w:rPr>
        <w:t>If, within two weeks from the date hereof, either or both of such</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consents to the assignment of the Advance Agreements to TIC are</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obtained,</w:t>
      </w:r>
    </w:p>
    <w:p>
      <w:pPr>
        <w:spacing w:after="0" w:line="141" w:lineRule="exact"/>
        <w:rPr>
          <w:sz w:val="20"/>
          <w:szCs w:val="20"/>
          <w:color w:val="auto"/>
        </w:rPr>
      </w:pPr>
    </w:p>
    <w:p>
      <w:pPr>
        <w:ind w:left="1427" w:right="4539" w:hanging="356"/>
        <w:spacing w:after="0" w:line="241" w:lineRule="auto"/>
        <w:tabs>
          <w:tab w:leader="none" w:pos="1427" w:val="left"/>
        </w:tabs>
        <w:numPr>
          <w:ilvl w:val="0"/>
          <w:numId w:val="3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Immediately after effectiveness of this Agreement pursuant to Section 5 hereof, Tower shall assign and TIC shall assume Tower's rights and obligations in connection with such assigned Advance Agreement, including, without limitation, Tower's rights to the equipment underlying such purchase order and Tower's obligations to make future payments in connection therewith.</w:t>
      </w:r>
    </w:p>
    <w:p>
      <w:pPr>
        <w:spacing w:after="0" w:line="142" w:lineRule="exact"/>
        <w:rPr>
          <w:rFonts w:ascii="Courier New" w:cs="Courier New" w:eastAsia="Courier New" w:hAnsi="Courier New"/>
          <w:sz w:val="12"/>
          <w:szCs w:val="12"/>
          <w:color w:val="auto"/>
        </w:rPr>
      </w:pPr>
    </w:p>
    <w:p>
      <w:pPr>
        <w:ind w:left="1427" w:right="4539" w:hanging="356"/>
        <w:spacing w:after="0" w:line="241" w:lineRule="auto"/>
        <w:tabs>
          <w:tab w:leader="none" w:pos="1427" w:val="left"/>
        </w:tabs>
        <w:numPr>
          <w:ilvl w:val="0"/>
          <w:numId w:val="3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provisions of this Agreement shall be applicable to each of the assigned Advance Agreements and the total price of the Equipment to be purchased by TIC under Section 1.1 of this Agreement shall be increased by the amounts paid and due to be paid under such assigned Advance Agreement such that if both the consents of [***] and [***] are received, the total price including all related costs and VAT of the Equipment to be purchased under this Agreement shall be $100 million.</w:t>
      </w:r>
    </w:p>
    <w:p>
      <w:pPr>
        <w:spacing w:after="0" w:line="143" w:lineRule="exact"/>
        <w:rPr>
          <w:rFonts w:ascii="Courier New" w:cs="Courier New" w:eastAsia="Courier New" w:hAnsi="Courier New"/>
          <w:sz w:val="12"/>
          <w:szCs w:val="12"/>
          <w:color w:val="auto"/>
        </w:rPr>
      </w:pPr>
    </w:p>
    <w:p>
      <w:pPr>
        <w:ind w:left="1427" w:right="4599" w:hanging="356"/>
        <w:spacing w:after="0" w:line="241" w:lineRule="auto"/>
        <w:tabs>
          <w:tab w:leader="none" w:pos="1498" w:val="left"/>
        </w:tabs>
        <w:numPr>
          <w:ilvl w:val="0"/>
          <w:numId w:val="3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the avoidance of all doubt, with respect to the Equipment purchased pursuant to such assigned Advance Agreement, Tower shall be released from its repayment obligations as set forth in the Advance Letter but shall be subject to all of the terms and conditions of this Agreement.</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If, within two weeks from the date hereof, one or more of such</w:t>
      </w:r>
    </w:p>
    <w:p>
      <w:pPr>
        <w:spacing w:after="0" w:line="4"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consents are not obtained, and this Agreement is effective pursuant to</w:t>
      </w:r>
    </w:p>
    <w:p>
      <w:pPr>
        <w:spacing w:after="0" w:line="13"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Section 5 hereof (i) Tower shall be entitled to request that TIC order</w:t>
      </w:r>
    </w:p>
    <w:p>
      <w:pPr>
        <w:spacing w:after="0" w:line="13"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additional Equipment up to the aggregate amount of the unpaid portions</w:t>
      </w:r>
    </w:p>
    <w:p>
      <w:pPr>
        <w:spacing w:after="0" w:line="13"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of the purchase prices under such unassigned Advance Agreement(s) (the</w:t>
      </w:r>
    </w:p>
    <w:p>
      <w:pPr>
        <w:spacing w:after="0" w:line="10"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"REPLACEMENT EQUIPMENT"); (ii) this Agreement shall apply to such</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Replacement Equipment MUTATIS MUTANDIS; and (iii) the Advance Letter</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shall remain in full force and effect with respect to the unassigned</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Advance Agreement and such Equipment shall not be subject to this</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Agreement. If neither consent is received within such two week time</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period, the total amount including all related costs and VAT to be</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ordered under this Agreement in aggregate, shall not exceed $94.3</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million.</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3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5" w:lineRule="exact"/>
        <w:rPr>
          <w:rFonts w:ascii="Courier New" w:cs="Courier New" w:eastAsia="Courier New" w:hAnsi="Courier New"/>
          <w:sz w:val="11"/>
          <w:szCs w:val="11"/>
          <w:color w:val="auto"/>
        </w:rPr>
      </w:pPr>
    </w:p>
    <w:p>
      <w:pPr>
        <w:ind w:left="2787" w:hanging="146"/>
        <w:spacing w:after="0"/>
        <w:tabs>
          <w:tab w:leader="none" w:pos="2787" w:val="left"/>
        </w:tabs>
        <w:numPr>
          <w:ilvl w:val="1"/>
          <w:numId w:val="3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3 -</w:t>
      </w:r>
    </w:p>
    <w:p>
      <w:pPr>
        <w:sectPr>
          <w:pgSz w:w="11900" w:h="16838" w:orient="portrait"/>
          <w:cols w:equalWidth="0" w:num="1">
            <w:col w:w="10246"/>
          </w:cols>
          <w:pgMar w:left="213" w:top="669" w:right="1440" w:bottom="1440" w:gutter="0" w:footer="0" w:header="0"/>
        </w:sectPr>
      </w:pPr>
    </w:p>
    <w:bookmarkStart w:id="179" w:name="page180"/>
    <w:bookmarkEnd w:id="179"/>
    <w:p>
      <w:pPr>
        <w:ind w:left="367" w:hanging="367"/>
        <w:spacing w:after="0"/>
        <w:tabs>
          <w:tab w:leader="none" w:pos="367" w:val="left"/>
        </w:tabs>
        <w:numPr>
          <w:ilvl w:val="0"/>
          <w:numId w:val="3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PURCHASE AND SALE OF EQUIPMENT</w:t>
      </w:r>
    </w:p>
    <w:p>
      <w:pPr>
        <w:spacing w:after="0" w:line="141" w:lineRule="exact"/>
        <w:rPr>
          <w:rFonts w:ascii="Courier New" w:cs="Courier New" w:eastAsia="Courier New" w:hAnsi="Courier New"/>
          <w:sz w:val="12"/>
          <w:szCs w:val="12"/>
          <w:color w:val="auto"/>
        </w:rPr>
      </w:pPr>
    </w:p>
    <w:p>
      <w:pPr>
        <w:ind w:left="707" w:right="4539" w:hanging="357"/>
        <w:spacing w:after="0" w:line="265"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2.1. PUT OPTION. Tower hereby grants TIC the right (the "PUT OPTION"), during the period commencing on the Effective Date (as defined below) to sell all or part of the Equipment and the rights purchased pursuant to the Equipment Agreements to which such Equipment relate (together the "PURCHASED ASSETS") to Tower, in consideration for the aggregate consideration paid by TIC, in connection with such Purchased Assets (hereinafter, the "PURCHASE PRICE" as more fully defined in Section 3 hereof). TIC may exercise the Put Option on all or part of the Purchased Assets by delivering a written notice to Tower (the "PUT NOTICE"), and upon receipt, Tower shall be obligated to purchase such Purchased Assets and pay the Purchase Price within fifteen (15) days of receipt of the Put Notice, or such later date as directed by TIC, provided, that such payment shall be made no later than the date of the consummation of the Investment. Notwithstanding anything to the contrary herein the Put Option may only be exercised in the event and to the extent that the Purchased Assets have not been uncrated, used or installed for the benefit or in the facilities of a party other than Tower and if TIC elects under the Put Option to sell to Tower any of the Purchased Assets labeled as belonging to a Set of Equipment in Annex A1 or A2, at the discretion of Tower, TIC shall also sell all or part of the other Purchased Assets belonging to such Set of Equipment to Tower, provided that if the relevant Supplier does not supply any portion of a Set of Equipment to Tower, TIC shall not be required to sell to Tower such portion(s) of the Set of Equipment.</w:t>
      </w:r>
    </w:p>
    <w:p>
      <w:pPr>
        <w:spacing w:after="0" w:line="266" w:lineRule="exact"/>
        <w:rPr>
          <w:rFonts w:ascii="Courier New" w:cs="Courier New" w:eastAsia="Courier New" w:hAnsi="Courier New"/>
          <w:sz w:val="12"/>
          <w:szCs w:val="12"/>
          <w:color w:val="auto"/>
        </w:rPr>
      </w:pPr>
    </w:p>
    <w:p>
      <w:pPr>
        <w:ind w:left="707" w:right="4539" w:hanging="357"/>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2.2. CALL OPTION. TIC hereby grants Tower the right (the "CALL OPTION"), during the period commencing on the later of: (i) the consummation of an Investment (as defined below); and (ii) the Effective Date and ending on the date on which the Reserve Period ends, to purchase all and not part of the Purchased Assets, in consideration for the Purchase Price. Tower may exercise the Call Option by delivering a written notice to TIC (the "CALL NOTICE"), and upon receipt, TIC shall be obligated to sell to Tower the Purchased Assets and Tower shall pay the Purchase Price within fifteen (15) days of receipt of the Call Notice, or such later date as directed by TIC, provided, that such payment shall be made no later than the date of the consummation of the Investment. In the event suc h payment of the Purchase Price has not been made within [***] after the Call Notice was delivered to TIC for any reason, the exercise of the Call Option shall be voided and for the avoidance of doubt, Tower shall not have any further right to exercise any Call Option hereunder. For the avoidance of doubt, TIC is not required to sell or transfer the Purchased Assets or transfer title thereto to Tower, unless it has received the Purchase Price in full. For purposes of this Agreement, an "INVESTMENT" shall mean an investment or investments in Tower by one or more investors after the date hereof in exchange for securities of Tower and/or proceeds which were paid to Tower on account of the future issuance of securities, including debt securities and/or including payments on account of wafer prepayments, which result in gross proceeds to Tower in an aggregate amount equal to or greater than one hundred million US dollars ($100,000,000), subject to such Investment obtaining such approvals as may be required by law. For the avoidance of doubt, the Parties hereto may jointly agree, that any or all amounts paid by TIC under this Agreement shall constitute an Investment, provided that nothing herein shall require TIC to so agree.</w:t>
      </w:r>
    </w:p>
    <w:p>
      <w:pPr>
        <w:spacing w:after="0" w:line="200" w:lineRule="exact"/>
        <w:rPr>
          <w:sz w:val="20"/>
          <w:szCs w:val="20"/>
          <w:color w:val="auto"/>
        </w:rPr>
      </w:pPr>
    </w:p>
    <w:p>
      <w:pPr>
        <w:spacing w:after="0" w:line="213"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5" w:lineRule="exact"/>
        <w:rPr>
          <w:rFonts w:ascii="Courier New" w:cs="Courier New" w:eastAsia="Courier New" w:hAnsi="Courier New"/>
          <w:sz w:val="11"/>
          <w:szCs w:val="11"/>
          <w:color w:val="auto"/>
        </w:rPr>
      </w:pPr>
    </w:p>
    <w:p>
      <w:pPr>
        <w:ind w:left="2787" w:hanging="146"/>
        <w:spacing w:after="0"/>
        <w:tabs>
          <w:tab w:leader="none" w:pos="2787" w:val="left"/>
        </w:tabs>
        <w:numPr>
          <w:ilvl w:val="1"/>
          <w:numId w:val="3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4 -</w:t>
      </w:r>
    </w:p>
    <w:p>
      <w:pPr>
        <w:sectPr>
          <w:pgSz w:w="11900" w:h="16838" w:orient="portrait"/>
          <w:cols w:equalWidth="0" w:num="1">
            <w:col w:w="10246"/>
          </w:cols>
          <w:pgMar w:left="213" w:top="669" w:right="1440" w:bottom="1440" w:gutter="0" w:footer="0" w:header="0"/>
        </w:sectPr>
      </w:pPr>
    </w:p>
    <w:bookmarkStart w:id="180" w:name="page181"/>
    <w:bookmarkEnd w:id="180"/>
    <w:p>
      <w:pPr>
        <w:ind w:left="707" w:right="4599" w:hanging="356"/>
        <w:spacing w:after="0" w:line="241" w:lineRule="auto"/>
        <w:rPr>
          <w:sz w:val="20"/>
          <w:szCs w:val="20"/>
          <w:color w:val="auto"/>
        </w:rPr>
      </w:pPr>
      <w:r>
        <w:rPr>
          <w:rFonts w:ascii="Courier New" w:cs="Courier New" w:eastAsia="Courier New" w:hAnsi="Courier New"/>
          <w:sz w:val="12"/>
          <w:szCs w:val="12"/>
          <w:color w:val="auto"/>
        </w:rPr>
        <w:t>2.3. RESERVE PERIOD. During the period ending on the earliest of: (i) the exercise by Tower of the Call Option; (ii) the exercise by TIC of the Put Option; (iii) the termination of this Agreement pursuant to Section y7 or the existence of an Event of Default; and (iv) [***] from the date of signature of this Agreement (the "RESERVE PERIOD"), in the absence of the prior written consent of Tower, TIC shall not:</w:t>
      </w:r>
    </w:p>
    <w:p>
      <w:pPr>
        <w:spacing w:after="0" w:line="4" w:lineRule="exact"/>
        <w:rPr>
          <w:sz w:val="20"/>
          <w:szCs w:val="20"/>
          <w:color w:val="auto"/>
        </w:rPr>
      </w:pPr>
    </w:p>
    <w:p>
      <w:pPr>
        <w:ind w:left="707" w:right="4539" w:firstLine="7"/>
        <w:spacing w:after="0" w:line="241" w:lineRule="auto"/>
        <w:tabs>
          <w:tab w:leader="none" w:pos="992" w:val="left"/>
        </w:tabs>
        <w:numPr>
          <w:ilvl w:val="0"/>
          <w:numId w:val="3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sell, assign or otherwise transfer title or interest in the Purchased Assets to a party other than Tower; (y) uncrate the Purchased Assets; or (z) install or cause the installation of the Purchased Assets in the facilities of a party other than Tower (the "EQUIPMENT INTEGRITY RESTRICTIONS"). After the Reserve Period, TIC may sell or assign all or part of the Purchased Assets, in its sole discretion, without any consent required from Tower to any third party with no limitation on the identity or business of such third party. Nothing herein creates any obligation for TIC to deliver the Purchased Assets to Tower, or to allow Tower to uncrate, use or install the Purchased Assets until both (i) the exercise of the Put Option or the Call Option and (ii) the payment of the Purchase Price in full (or such applicable percentage of the Purchase Price in the event of a partial exercise of the Put Option).</w:t>
      </w:r>
    </w:p>
    <w:p>
      <w:pPr>
        <w:spacing w:after="0" w:line="147" w:lineRule="exact"/>
        <w:rPr>
          <w:sz w:val="20"/>
          <w:szCs w:val="20"/>
          <w:color w:val="auto"/>
        </w:rPr>
      </w:pPr>
    </w:p>
    <w:p>
      <w:pPr>
        <w:ind w:left="707" w:right="4539" w:hanging="356"/>
        <w:spacing w:after="0" w:line="241" w:lineRule="auto"/>
        <w:rPr>
          <w:sz w:val="20"/>
          <w:szCs w:val="20"/>
          <w:color w:val="auto"/>
        </w:rPr>
      </w:pPr>
      <w:r>
        <w:rPr>
          <w:rFonts w:ascii="Courier New" w:cs="Courier New" w:eastAsia="Courier New" w:hAnsi="Courier New"/>
          <w:sz w:val="12"/>
          <w:szCs w:val="12"/>
          <w:color w:val="auto"/>
        </w:rPr>
        <w:t>2.4. CONSENTS. To the extent that the purchase by Tower of the Purchased Assets, or a portion thereof, is subject to the receipt of Supplier or any other third party consent, TIC and Tower shall apply fo r or otherwise seek, and use their commercially reasonable efforts to obtain, the necessary consents to consummate the purchase.</w:t>
      </w:r>
    </w:p>
    <w:p>
      <w:pPr>
        <w:spacing w:after="0" w:line="138"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3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5" w:lineRule="exact"/>
        <w:rPr>
          <w:rFonts w:ascii="Courier New" w:cs="Courier New" w:eastAsia="Courier New" w:hAnsi="Courier New"/>
          <w:sz w:val="11"/>
          <w:szCs w:val="11"/>
          <w:color w:val="auto"/>
        </w:rPr>
      </w:pPr>
    </w:p>
    <w:p>
      <w:pPr>
        <w:ind w:left="2787" w:hanging="146"/>
        <w:spacing w:after="0"/>
        <w:tabs>
          <w:tab w:leader="none" w:pos="2787" w:val="left"/>
        </w:tabs>
        <w:numPr>
          <w:ilvl w:val="1"/>
          <w:numId w:val="3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ectPr>
          <w:pgSz w:w="11900" w:h="16838" w:orient="portrait"/>
          <w:cols w:equalWidth="0" w:num="1">
            <w:col w:w="10246"/>
          </w:cols>
          <w:pgMar w:left="213" w:top="672" w:right="1440" w:bottom="1440" w:gutter="0" w:footer="0" w:header="0"/>
        </w:sectPr>
      </w:pPr>
    </w:p>
    <w:bookmarkStart w:id="181" w:name="page182"/>
    <w:bookmarkEnd w:id="181"/>
    <w:p>
      <w:pPr>
        <w:ind w:right="4539" w:hanging="356"/>
        <w:spacing w:after="0" w:line="241" w:lineRule="auto"/>
        <w:rPr>
          <w:sz w:val="20"/>
          <w:szCs w:val="20"/>
          <w:color w:val="auto"/>
        </w:rPr>
      </w:pPr>
      <w:r>
        <w:rPr>
          <w:rFonts w:ascii="Courier New" w:cs="Courier New" w:eastAsia="Courier New" w:hAnsi="Courier New"/>
          <w:sz w:val="12"/>
          <w:szCs w:val="12"/>
          <w:color w:val="auto"/>
        </w:rPr>
        <w:t>2.5. For the avoidance of doubt, upon the exercise of the Put Option or the Call Option and to the extent that: (i) an Equipment Agreement that is the subject of such exercise is assignable to Tower; and (ii) there are payments outstanding under such Equipment Agreement, such Equipment Agreement shall be assigned to Tower and upon assignment,</w:t>
      </w:r>
    </w:p>
    <w:p>
      <w:pPr>
        <w:spacing w:after="0" w:line="4" w:lineRule="exact"/>
        <w:rPr>
          <w:sz w:val="20"/>
          <w:szCs w:val="20"/>
          <w:color w:val="auto"/>
        </w:rPr>
      </w:pPr>
    </w:p>
    <w:p>
      <w:pPr>
        <w:ind w:right="4539" w:firstLine="7"/>
        <w:spacing w:after="0" w:line="242" w:lineRule="auto"/>
        <w:tabs>
          <w:tab w:leader="none" w:pos="285" w:val="left"/>
        </w:tabs>
        <w:numPr>
          <w:ilvl w:val="0"/>
          <w:numId w:val="3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shall assume all of the obligations associated with such outstanding payments (provided that TIC shall reimburse Tower for penalties incurred due to any non-payment to a Supplier by TIC unless TIC has been advised by Tower not to pay such Supplier) (b) TIC shall be released by such supplier in writing and (c) the Purchase Price shall not include amounts due and payable at a later time in connection therewith ("FUTURE PAYMENTS"). To the extent that any Equipment Agreement is not assignable or is not completely assignable in a manner that TIC is fully released from any obligation under such Equipment Agreement ("NON-ASSIGNABLE OBLIGATIONS"), the Purchase Price shall include the entire purchase price of such Purchased Asset including Future Payments and Tower shall simultaneously pay TIC for all Future Payments together with all other portions of the Purchase Price. TIC shall hold all amounts paid by Tower on account of Future Payments in trust and shall continue to make payments to Suppliers in accordance with the Non-Assignable Obligations. If an Equipment Agreement is not assignable to Tower but the Purchase Price related to such Equipment (including all Future Payments included therein) has been paid to TIC, TIC shall be obligated to transfer to Tower the Equipment including title and possession thereto, immediately upon its receipt of same.</w:t>
      </w:r>
    </w:p>
    <w:p>
      <w:pPr>
        <w:spacing w:after="0" w:line="141" w:lineRule="exact"/>
        <w:rPr>
          <w:sz w:val="20"/>
          <w:szCs w:val="20"/>
          <w:color w:val="auto"/>
        </w:rPr>
      </w:pPr>
    </w:p>
    <w:p>
      <w:pPr>
        <w:ind w:right="4539" w:hanging="356"/>
        <w:spacing w:after="0" w:line="241" w:lineRule="auto"/>
        <w:rPr>
          <w:sz w:val="20"/>
          <w:szCs w:val="20"/>
          <w:color w:val="auto"/>
        </w:rPr>
      </w:pPr>
      <w:r>
        <w:rPr>
          <w:rFonts w:ascii="Courier New" w:cs="Courier New" w:eastAsia="Courier New" w:hAnsi="Courier New"/>
          <w:sz w:val="12"/>
          <w:szCs w:val="12"/>
          <w:color w:val="auto"/>
        </w:rPr>
        <w:t>2.6. TITLE. Title to a Purchased Asset shall be transferred or deemed transferred if title cannot be transferred to Tower only upon full payment by Tower of the entire amount of the Purchase Price relating to such Purchased Assets and shall continue to vest in TIC until such payment has been made. If, TIC, in its sole discretion and with no obligation to do so, decides to deliver a Purchased Asset to Tower or to allow Tower to uncrate, use and/or install such Purchased Asset prior to the exercise of the Put Option or the Call Option, in respect of such Purchased Asset, title shall not pass to Tower except in accordance with the foregoing. To the extent that: (i) Purchased Assets are uncrated, used and/or installed at Tower's facilities; and</w:t>
      </w:r>
    </w:p>
    <w:p>
      <w:pPr>
        <w:spacing w:after="0" w:line="8" w:lineRule="exact"/>
        <w:rPr>
          <w:sz w:val="20"/>
          <w:szCs w:val="20"/>
          <w:color w:val="auto"/>
        </w:rPr>
      </w:pPr>
    </w:p>
    <w:p>
      <w:pPr>
        <w:ind w:right="4539" w:firstLine="7"/>
        <w:spacing w:after="0" w:line="241" w:lineRule="auto"/>
        <w:tabs>
          <w:tab w:leader="none" w:pos="357" w:val="left"/>
        </w:tabs>
        <w:numPr>
          <w:ilvl w:val="0"/>
          <w:numId w:val="3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to such Purchased Assets has not been transferred to Tower in accordance with the foregoing ("UTILIZED EQUIPMENT"), if necessary, Tower will (a) assist TIC in registering any pledge or other registration on such Purchased Assets promptly and (b) disassemble and repackage such Purchased Assets for Resale by TIC (as defined below) to a third party, if requested by TIC, in its sole discretion. TIC acknowledges that the grant and registration of a pledge as contemplated by this Section 2.6 may be subject to third party consents, which Tower undertakes to use its best commercial efforts to obtain.</w:t>
      </w:r>
    </w:p>
    <w:p>
      <w:pPr>
        <w:spacing w:after="0" w:line="278" w:lineRule="exact"/>
        <w:rPr>
          <w:rFonts w:ascii="Courier New" w:cs="Courier New" w:eastAsia="Courier New" w:hAnsi="Courier New"/>
          <w:sz w:val="12"/>
          <w:szCs w:val="12"/>
          <w:color w:val="auto"/>
        </w:rPr>
      </w:pPr>
    </w:p>
    <w:p>
      <w:pPr>
        <w:ind w:left="2080" w:hanging="146"/>
        <w:spacing w:after="0"/>
        <w:tabs>
          <w:tab w:leader="none" w:pos="2080" w:val="left"/>
        </w:tabs>
        <w:numPr>
          <w:ilvl w:val="1"/>
          <w:numId w:val="3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ectPr>
          <w:pgSz w:w="11900" w:h="16838" w:orient="portrait"/>
          <w:cols w:equalWidth="0" w:num="1">
            <w:col w:w="9539"/>
          </w:cols>
          <w:pgMar w:left="920" w:top="672" w:right="1440" w:bottom="1440" w:gutter="0" w:footer="0" w:header="0"/>
        </w:sectPr>
      </w:pPr>
    </w:p>
    <w:bookmarkStart w:id="182" w:name="page183"/>
    <w:bookmarkEnd w:id="182"/>
    <w:p>
      <w:pPr>
        <w:ind w:left="707" w:right="4539" w:hanging="356"/>
        <w:spacing w:after="0" w:line="241" w:lineRule="auto"/>
        <w:rPr>
          <w:sz w:val="20"/>
          <w:szCs w:val="20"/>
          <w:color w:val="auto"/>
        </w:rPr>
      </w:pPr>
      <w:r>
        <w:rPr>
          <w:rFonts w:ascii="Courier New" w:cs="Courier New" w:eastAsia="Courier New" w:hAnsi="Courier New"/>
          <w:sz w:val="12"/>
          <w:szCs w:val="12"/>
          <w:color w:val="auto"/>
        </w:rPr>
        <w:t>2.7. NO WARRANTIES. Subject to TIC's compliance with the Equipment Integrity Restrictions prior to any Resale, any sale or assignment by TIC to Tower of any of the Purchased Assets or of the Equipment Agreements pursuant to the Put Option, Call Option or any other manner shall be on an "AS IS" manner and Tower shall not have any claim against TIC for defects in such Purchased Assets or any other product liability. Tower may make any such claims against the supplier directly without any involvement of TIC. Prior to their assignment or transfer of title to Tower, TIC shall use its commercially reasonable best efforts to enforce any and all warranties associated with all Utilized Equipment to the extent it is aware of such claims, including in accordance with Tower's instructions, provided, that Tower shall pay for all costs related to such enforcement directly and that in any event, TIC may enforce such warranties on its own and the costs of such effort shall be added to the Purchase Price if not paid for by Tower. TIC shall be entitled, in its sole discretion, to assign to Tower any or all rights to enforce such warranties, if such enforcement rights can be assigned.</w:t>
      </w:r>
    </w:p>
    <w:p>
      <w:pPr>
        <w:spacing w:after="0" w:line="150" w:lineRule="exact"/>
        <w:rPr>
          <w:sz w:val="20"/>
          <w:szCs w:val="20"/>
          <w:color w:val="auto"/>
        </w:rPr>
      </w:pPr>
    </w:p>
    <w:p>
      <w:pPr>
        <w:ind w:left="367" w:right="4599" w:hanging="367"/>
        <w:spacing w:after="0" w:line="238" w:lineRule="auto"/>
        <w:tabs>
          <w:tab w:leader="none" w:pos="367" w:val="left"/>
        </w:tabs>
        <w:numPr>
          <w:ilvl w:val="0"/>
          <w:numId w:val="3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REIMBURSEMENT AND INDEMNIFICATION BY TOWER OF ALL PAYMENTS AND EXPENSES OF TIC UNDER THIS AGREEMENT</w:t>
      </w:r>
    </w:p>
    <w:p>
      <w:pPr>
        <w:spacing w:after="0" w:line="142" w:lineRule="exact"/>
        <w:rPr>
          <w:rFonts w:ascii="Courier New" w:cs="Courier New" w:eastAsia="Courier New" w:hAnsi="Courier New"/>
          <w:sz w:val="12"/>
          <w:szCs w:val="12"/>
          <w:color w:val="auto"/>
        </w:rPr>
      </w:pPr>
    </w:p>
    <w:p>
      <w:pPr>
        <w:ind w:left="707" w:right="4539" w:hanging="357"/>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3.1. Tower shall repay TIC for all amounts that TIC has paid or incurred or will be required to pay or incur under the terms of this Agreement and/or the Equipment Agreements. The full amount of the obligations of Tower contained in this Section 3.1 may be fulfilled through (i) payment of the Purchase Price pursuant to the Call Option or the Put Option; or (ii) payment of the Indemnification Amount (as defined below).</w:t>
      </w:r>
    </w:p>
    <w:p>
      <w:pPr>
        <w:spacing w:after="0" w:line="142" w:lineRule="exact"/>
        <w:rPr>
          <w:rFonts w:ascii="Courier New" w:cs="Courier New" w:eastAsia="Courier New" w:hAnsi="Courier New"/>
          <w:sz w:val="12"/>
          <w:szCs w:val="12"/>
          <w:color w:val="auto"/>
        </w:rPr>
      </w:pPr>
    </w:p>
    <w:p>
      <w:pPr>
        <w:ind w:left="707" w:right="4599" w:hanging="357"/>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3.2. The "PURCHASE PRICE" shall include but shall not be limited to the following (each amount in this Section 3.2 shall include any domestic or foreign VAT, sales tax or the equivalent thereof):</w:t>
      </w:r>
    </w:p>
    <w:p>
      <w:pPr>
        <w:spacing w:after="0" w:line="140"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3.2.1. any amount paid by TIC or, to the extent not fully assignable</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to Tower, obligated but not paid by to, any Supplier, including</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shipping, storage, VAT (whether foreign or Israeli), sales tax,</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or other taxes or duties, licensing fees, warranty/service</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agreements or insurance.</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3.2.2. legal fees.</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3.2.3. any amounts necessary to secure consent to assignment of any</w:t>
      </w:r>
    </w:p>
    <w:p>
      <w:pPr>
        <w:spacing w:after="0" w:line="4" w:lineRule="exact"/>
        <w:rPr>
          <w:sz w:val="20"/>
          <w:szCs w:val="20"/>
          <w:color w:val="auto"/>
        </w:rPr>
      </w:pPr>
    </w:p>
    <w:p>
      <w:pPr>
        <w:ind w:left="1067"/>
        <w:spacing w:after="0"/>
        <w:rPr>
          <w:sz w:val="20"/>
          <w:szCs w:val="20"/>
          <w:color w:val="auto"/>
        </w:rPr>
      </w:pPr>
      <w:r>
        <w:rPr>
          <w:rFonts w:ascii="Courier New" w:cs="Courier New" w:eastAsia="Courier New" w:hAnsi="Courier New"/>
          <w:sz w:val="11"/>
          <w:szCs w:val="11"/>
          <w:color w:val="auto"/>
        </w:rPr>
        <w:t>Equipment Agreements, sale of any Purchased Assets or transfer of</w:t>
      </w:r>
    </w:p>
    <w:p>
      <w:pPr>
        <w:spacing w:after="0" w:line="13" w:lineRule="exact"/>
        <w:rPr>
          <w:sz w:val="20"/>
          <w:szCs w:val="20"/>
          <w:color w:val="auto"/>
        </w:rPr>
      </w:pPr>
    </w:p>
    <w:p>
      <w:pPr>
        <w:ind w:left="1067"/>
        <w:spacing w:after="0"/>
        <w:rPr>
          <w:sz w:val="20"/>
          <w:szCs w:val="20"/>
          <w:color w:val="auto"/>
        </w:rPr>
      </w:pPr>
      <w:r>
        <w:rPr>
          <w:rFonts w:ascii="Courier New" w:cs="Courier New" w:eastAsia="Courier New" w:hAnsi="Courier New"/>
          <w:sz w:val="11"/>
          <w:szCs w:val="11"/>
          <w:color w:val="auto"/>
        </w:rPr>
        <w:t>any license, service agreement or warranty relating to any of the</w:t>
      </w:r>
    </w:p>
    <w:p>
      <w:pPr>
        <w:spacing w:after="0" w:line="10"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Purchased Assets.</w:t>
      </w:r>
    </w:p>
    <w:p>
      <w:pPr>
        <w:spacing w:after="0" w:line="276" w:lineRule="exact"/>
        <w:rPr>
          <w:sz w:val="20"/>
          <w:szCs w:val="20"/>
          <w:color w:val="auto"/>
        </w:rPr>
      </w:pPr>
    </w:p>
    <w:p>
      <w:pPr>
        <w:ind w:left="2647"/>
        <w:spacing w:after="0"/>
        <w:rPr>
          <w:sz w:val="20"/>
          <w:szCs w:val="20"/>
          <w:color w:val="auto"/>
        </w:rPr>
      </w:pPr>
      <w:r>
        <w:rPr>
          <w:rFonts w:ascii="Courier New" w:cs="Courier New" w:eastAsia="Courier New" w:hAnsi="Courier New"/>
          <w:sz w:val="12"/>
          <w:szCs w:val="12"/>
          <w:color w:val="auto"/>
        </w:rPr>
        <w:t>- 7 -</w:t>
      </w:r>
    </w:p>
    <w:p>
      <w:pPr>
        <w:sectPr>
          <w:pgSz w:w="11900" w:h="16838" w:orient="portrait"/>
          <w:cols w:equalWidth="0" w:num="1">
            <w:col w:w="10246"/>
          </w:cols>
          <w:pgMar w:left="213" w:top="672" w:right="1440" w:bottom="1440" w:gutter="0" w:footer="0" w:header="0"/>
        </w:sectPr>
      </w:pPr>
    </w:p>
    <w:bookmarkStart w:id="183" w:name="page184"/>
    <w:bookmarkEnd w:id="183"/>
    <w:p>
      <w:pPr>
        <w:ind w:left="707"/>
        <w:spacing w:after="0"/>
        <w:rPr>
          <w:sz w:val="20"/>
          <w:szCs w:val="20"/>
          <w:color w:val="auto"/>
        </w:rPr>
      </w:pPr>
      <w:r>
        <w:rPr>
          <w:rFonts w:ascii="Courier New" w:cs="Courier New" w:eastAsia="Courier New" w:hAnsi="Courier New"/>
          <w:sz w:val="12"/>
          <w:szCs w:val="12"/>
          <w:color w:val="auto"/>
        </w:rPr>
        <w:t>3.2.4. any expenses in connection with the Equipment Agreements prior</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to their assignment to Tower hereunder.</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3.2.5. wiring fees.</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3.2.6. registration of title.</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3.2.7. registration of any pledge, if requested by TIC pursuant to</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Section 2.6.</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3.2.8. customs fees and expenses, including warehousing fees. (If TIC</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shall direct that the Equipment be delivered to Tower prior to</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the sale thereof to Tower, Tower shall make available storage</w:t>
      </w:r>
    </w:p>
    <w:p>
      <w:pPr>
        <w:spacing w:after="0" w:line="4" w:lineRule="exact"/>
        <w:rPr>
          <w:sz w:val="20"/>
          <w:szCs w:val="20"/>
          <w:color w:val="auto"/>
        </w:rPr>
      </w:pPr>
    </w:p>
    <w:p>
      <w:pPr>
        <w:ind w:left="1067"/>
        <w:spacing w:after="0"/>
        <w:rPr>
          <w:sz w:val="20"/>
          <w:szCs w:val="20"/>
          <w:color w:val="auto"/>
        </w:rPr>
      </w:pPr>
      <w:r>
        <w:rPr>
          <w:rFonts w:ascii="Courier New" w:cs="Courier New" w:eastAsia="Courier New" w:hAnsi="Courier New"/>
          <w:sz w:val="11"/>
          <w:szCs w:val="11"/>
          <w:color w:val="auto"/>
        </w:rPr>
        <w:t>space for such purposes and TIC shall pay Tower applicable market</w:t>
      </w:r>
    </w:p>
    <w:p>
      <w:pPr>
        <w:spacing w:after="0" w:line="10"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storage fees therefor.)</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3.2.9. Other Financing Expenses (as defined below).</w:t>
      </w:r>
    </w:p>
    <w:p>
      <w:pPr>
        <w:spacing w:after="0" w:line="141" w:lineRule="exact"/>
        <w:rPr>
          <w:sz w:val="20"/>
          <w:szCs w:val="20"/>
          <w:color w:val="auto"/>
        </w:rPr>
      </w:pPr>
    </w:p>
    <w:p>
      <w:pPr>
        <w:ind w:left="367" w:right="4599"/>
        <w:spacing w:after="0" w:line="239" w:lineRule="auto"/>
        <w:rPr>
          <w:sz w:val="20"/>
          <w:szCs w:val="20"/>
          <w:color w:val="auto"/>
        </w:rPr>
      </w:pPr>
      <w:r>
        <w:rPr>
          <w:rFonts w:ascii="Courier New" w:cs="Courier New" w:eastAsia="Courier New" w:hAnsi="Courier New"/>
          <w:sz w:val="12"/>
          <w:szCs w:val="12"/>
          <w:color w:val="auto"/>
        </w:rPr>
        <w:t>For the removal of doubt, if only a portion of the Purchased Assets is purchased by Tower, then only the applicable portion of the Purchase Price shall be paid.</w:t>
      </w:r>
    </w:p>
    <w:p>
      <w:pPr>
        <w:spacing w:after="0" w:line="143" w:lineRule="exact"/>
        <w:rPr>
          <w:sz w:val="20"/>
          <w:szCs w:val="20"/>
          <w:color w:val="auto"/>
        </w:rPr>
      </w:pPr>
    </w:p>
    <w:p>
      <w:pPr>
        <w:ind w:left="707" w:right="4599" w:hanging="356"/>
        <w:spacing w:after="0" w:line="241" w:lineRule="auto"/>
        <w:rPr>
          <w:sz w:val="20"/>
          <w:szCs w:val="20"/>
          <w:color w:val="auto"/>
        </w:rPr>
      </w:pPr>
      <w:r>
        <w:rPr>
          <w:rFonts w:ascii="Courier New" w:cs="Courier New" w:eastAsia="Courier New" w:hAnsi="Courier New"/>
          <w:sz w:val="12"/>
          <w:szCs w:val="12"/>
          <w:color w:val="auto"/>
        </w:rPr>
        <w:t>3.3. "OTHER FINANCING EXPENSES" shall mean other cash-related costs incurred by TIC including its cost of capital at a rate of [***], to be accrued between the date that TIC makes any payment under this Agreement and the actual date that such amount gets repaid in full by Tower.</w:t>
      </w:r>
    </w:p>
    <w:p>
      <w:pPr>
        <w:spacing w:after="0" w:line="141" w:lineRule="exact"/>
        <w:rPr>
          <w:sz w:val="20"/>
          <w:szCs w:val="20"/>
          <w:color w:val="auto"/>
        </w:rPr>
      </w:pPr>
    </w:p>
    <w:p>
      <w:pPr>
        <w:jc w:val="center"/>
        <w:ind w:right="4172"/>
        <w:spacing w:after="0"/>
        <w:rPr>
          <w:sz w:val="20"/>
          <w:szCs w:val="20"/>
          <w:color w:val="auto"/>
        </w:rPr>
      </w:pPr>
      <w:r>
        <w:rPr>
          <w:rFonts w:ascii="Courier New" w:cs="Courier New" w:eastAsia="Courier New" w:hAnsi="Courier New"/>
          <w:sz w:val="11"/>
          <w:szCs w:val="11"/>
          <w:color w:val="auto"/>
        </w:rPr>
        <w:t>3.4. In the event that following the Reserve Period TIC assigns all or part</w:t>
      </w:r>
    </w:p>
    <w:p>
      <w:pPr>
        <w:spacing w:after="0" w:line="10"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of the Equipment Agreements or sells all or part of the Purchased</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Assets or transfers any license, service agreement or warranty</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relating to any of the Purchased Assets to any party other than Tower</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to the extent permitted hereunder (each a "RESALE"), in TIC's sole</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discretion, Tower shall indemnify TIC for each of the following (and</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TIC shall have a right to demand that Tower pay any known costs below</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directly), no later than [***] after any such Resale, as they relate</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to each such Equipment Agreement, Purchased Asset, license, service</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agreement or warranty (the "INDEMNIFICATION AMOUNT"):</w:t>
      </w:r>
    </w:p>
    <w:p>
      <w:pPr>
        <w:spacing w:after="0" w:line="141"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3.4.1. the amount equal to (x) the Purchase Price minus (y) the amount</w:t>
      </w:r>
    </w:p>
    <w:p>
      <w:pPr>
        <w:spacing w:after="0" w:line="10"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received (net after reasonable brokers fees, shipping fees,</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insurance, taxes, VAT and storage fees) from such Resale.</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5" w:lineRule="exact"/>
        <w:rPr>
          <w:rFonts w:ascii="Courier New" w:cs="Courier New" w:eastAsia="Courier New" w:hAnsi="Courier New"/>
          <w:sz w:val="11"/>
          <w:szCs w:val="11"/>
          <w:color w:val="auto"/>
        </w:rPr>
      </w:pPr>
    </w:p>
    <w:p>
      <w:pPr>
        <w:ind w:left="2787" w:hanging="146"/>
        <w:spacing w:after="0"/>
        <w:tabs>
          <w:tab w:leader="none" w:pos="2787" w:val="left"/>
        </w:tabs>
        <w:numPr>
          <w:ilvl w:val="1"/>
          <w:numId w:val="3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ectPr>
          <w:pgSz w:w="11900" w:h="16838" w:orient="portrait"/>
          <w:cols w:equalWidth="0" w:num="1">
            <w:col w:w="10246"/>
          </w:cols>
          <w:pgMar w:left="213" w:top="669" w:right="1440" w:bottom="1440" w:gutter="0" w:footer="0" w:header="0"/>
        </w:sectPr>
      </w:pPr>
    </w:p>
    <w:bookmarkStart w:id="184" w:name="page185"/>
    <w:bookmarkEnd w:id="184"/>
    <w:p>
      <w:pPr>
        <w:ind w:left="707"/>
        <w:spacing w:after="0"/>
        <w:rPr>
          <w:sz w:val="20"/>
          <w:szCs w:val="20"/>
          <w:color w:val="auto"/>
        </w:rPr>
      </w:pPr>
      <w:r>
        <w:rPr>
          <w:rFonts w:ascii="Courier New" w:cs="Courier New" w:eastAsia="Courier New" w:hAnsi="Courier New"/>
          <w:sz w:val="11"/>
          <w:szCs w:val="11"/>
          <w:color w:val="auto"/>
        </w:rPr>
        <w:t>3.4.2. any necessary costs of reconfiguring or modifying the Purchased</w:t>
      </w:r>
    </w:p>
    <w:p>
      <w:pPr>
        <w:spacing w:after="0" w:line="10"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Assets for resale.</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3.4.3. Other Financing Expenses.</w:t>
      </w:r>
    </w:p>
    <w:p>
      <w:pPr>
        <w:spacing w:after="0" w:line="141" w:lineRule="exact"/>
        <w:rPr>
          <w:sz w:val="20"/>
          <w:szCs w:val="20"/>
          <w:color w:val="auto"/>
        </w:rPr>
      </w:pPr>
    </w:p>
    <w:p>
      <w:pPr>
        <w:ind w:left="707"/>
        <w:spacing w:after="0"/>
        <w:rPr>
          <w:sz w:val="20"/>
          <w:szCs w:val="20"/>
          <w:color w:val="auto"/>
        </w:rPr>
      </w:pPr>
      <w:r>
        <w:rPr>
          <w:rFonts w:ascii="Courier New" w:cs="Courier New" w:eastAsia="Courier New" w:hAnsi="Courier New"/>
          <w:sz w:val="11"/>
          <w:szCs w:val="11"/>
          <w:color w:val="auto"/>
        </w:rPr>
        <w:t>3.4.4. any amounts necessary to secure consent to assignment of any of</w:t>
      </w:r>
    </w:p>
    <w:p>
      <w:pPr>
        <w:spacing w:after="0" w:line="10"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the Equipment Agreements, sale of any of the Purchased Assets or</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transfer of any license, service agreement or warranty relating</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to any of the Purchased Assets.</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3.4.5. storage and insurance fees.</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3.4.6. any costs to enforce any warranty on the Equipment not</w:t>
      </w:r>
    </w:p>
    <w:p>
      <w:pPr>
        <w:spacing w:after="0" w:line="1" w:lineRule="exact"/>
        <w:rPr>
          <w:sz w:val="20"/>
          <w:szCs w:val="20"/>
          <w:color w:val="auto"/>
        </w:rPr>
      </w:pPr>
    </w:p>
    <w:p>
      <w:pPr>
        <w:ind w:left="1067"/>
        <w:spacing w:after="0"/>
        <w:rPr>
          <w:sz w:val="20"/>
          <w:szCs w:val="20"/>
          <w:color w:val="auto"/>
        </w:rPr>
      </w:pPr>
      <w:r>
        <w:rPr>
          <w:rFonts w:ascii="Courier New" w:cs="Courier New" w:eastAsia="Courier New" w:hAnsi="Courier New"/>
          <w:sz w:val="12"/>
          <w:szCs w:val="12"/>
          <w:color w:val="auto"/>
        </w:rPr>
        <w:t>previously paid for by Tower as per Section 2.7.</w:t>
      </w:r>
    </w:p>
    <w:p>
      <w:pPr>
        <w:spacing w:after="0" w:line="141" w:lineRule="exact"/>
        <w:rPr>
          <w:sz w:val="20"/>
          <w:szCs w:val="20"/>
          <w:color w:val="auto"/>
        </w:rPr>
      </w:pPr>
    </w:p>
    <w:p>
      <w:pPr>
        <w:ind w:left="707" w:right="4539" w:hanging="356"/>
        <w:spacing w:after="0" w:line="241" w:lineRule="auto"/>
        <w:rPr>
          <w:sz w:val="20"/>
          <w:szCs w:val="20"/>
          <w:color w:val="auto"/>
        </w:rPr>
      </w:pPr>
      <w:r>
        <w:rPr>
          <w:rFonts w:ascii="Courier New" w:cs="Courier New" w:eastAsia="Courier New" w:hAnsi="Courier New"/>
          <w:sz w:val="12"/>
          <w:szCs w:val="12"/>
          <w:color w:val="auto"/>
        </w:rPr>
        <w:t>3.5. If a Resale is necessary, the parties to this Agreement agree that such Resale should take place at reasonable prices under the circumstances. Since Tower has the necessary industry expertise relating to the Equipment, Tower shall assist TIC in obtaining the best price possible for the Equipment as quickly as practicable. Notwithstanding the provisions in this Section, TIC will have the sole discretion to decide on the terms of such Resale.</w:t>
      </w:r>
    </w:p>
    <w:p>
      <w:pPr>
        <w:spacing w:after="0" w:line="139" w:lineRule="exact"/>
        <w:rPr>
          <w:sz w:val="20"/>
          <w:szCs w:val="20"/>
          <w:color w:val="auto"/>
        </w:rPr>
      </w:pPr>
    </w:p>
    <w:p>
      <w:pPr>
        <w:ind w:left="367" w:hanging="367"/>
        <w:spacing w:after="0"/>
        <w:tabs>
          <w:tab w:leader="none" w:pos="367" w:val="left"/>
        </w:tabs>
        <w:numPr>
          <w:ilvl w:val="0"/>
          <w:numId w:val="3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OF TOWER</w:t>
      </w:r>
    </w:p>
    <w:p>
      <w:pPr>
        <w:spacing w:after="0" w:line="13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Tower represents and warrants to TIC as follows:</w:t>
      </w:r>
    </w:p>
    <w:p>
      <w:pPr>
        <w:spacing w:after="0" w:line="141" w:lineRule="exact"/>
        <w:rPr>
          <w:sz w:val="20"/>
          <w:szCs w:val="20"/>
          <w:color w:val="auto"/>
        </w:rPr>
      </w:pPr>
    </w:p>
    <w:p>
      <w:pPr>
        <w:ind w:left="707" w:right="4539" w:hanging="356"/>
        <w:spacing w:after="0" w:line="265" w:lineRule="auto"/>
        <w:rPr>
          <w:sz w:val="20"/>
          <w:szCs w:val="20"/>
          <w:color w:val="auto"/>
        </w:rPr>
      </w:pPr>
      <w:r>
        <w:rPr>
          <w:rFonts w:ascii="Courier New" w:cs="Courier New" w:eastAsia="Courier New" w:hAnsi="Courier New"/>
          <w:sz w:val="11"/>
          <w:szCs w:val="11"/>
          <w:color w:val="auto"/>
        </w:rPr>
        <w:t>4.1. Tower has full legal right, power and authority to execute and deliver this Agreement and to consummate the transactions contemplated hereby. This Agreement, has been approved by Tower's audit committee and Board of Directors and when executed and delivered by Tower and approved by its shareholders (if there will be a written request by any shareholder or shareholders of Tower who hold at least 1% of the issued shares or voting rights of Tower, provided that such request is made no later than fourteen (14) calendar days from the date on which Tower announces its decision to enter into this Agreement), constitutes and will constitute the legal, valid and binding obligation of Tower, enforceable against it in accordance with its terms, except to the extent that such enforceability may be limited by bankruptcy, insolvency, reorganization and other laws affecting creditors' rights generally. Tower has attached the legal opinion of its counsel, Yigal Arnon &amp; Co., Advocates to this effect hereto as</w:t>
      </w:r>
    </w:p>
    <w:p>
      <w:pPr>
        <w:spacing w:after="0" w:line="129"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ANNEX B.</w:t>
      </w:r>
    </w:p>
    <w:p>
      <w:pPr>
        <w:spacing w:after="0" w:line="141" w:lineRule="exact"/>
        <w:rPr>
          <w:sz w:val="20"/>
          <w:szCs w:val="20"/>
          <w:color w:val="auto"/>
        </w:rPr>
      </w:pPr>
    </w:p>
    <w:p>
      <w:pPr>
        <w:ind w:left="707" w:right="4539" w:hanging="356"/>
        <w:spacing w:after="0" w:line="265" w:lineRule="auto"/>
        <w:rPr>
          <w:sz w:val="20"/>
          <w:szCs w:val="20"/>
          <w:color w:val="auto"/>
        </w:rPr>
      </w:pPr>
      <w:r>
        <w:rPr>
          <w:rFonts w:ascii="Courier New" w:cs="Courier New" w:eastAsia="Courier New" w:hAnsi="Courier New"/>
          <w:sz w:val="11"/>
          <w:szCs w:val="11"/>
          <w:color w:val="auto"/>
        </w:rPr>
        <w:t>4.2. Neither the execution and delivery of this Agreement by Tower, nor the compliance with the terms and provisions of this Agreement on the part of Tower, will: (i) violate any statute or regulation of any governmental authority, domestic or foreign, affecting Tower; (ii) require the issuance of any authorization, license, consent or approval of any governmental agency, or any other person;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will have a material adverse effect on Tower.</w:t>
      </w:r>
    </w:p>
    <w:p>
      <w:pPr>
        <w:spacing w:after="0" w:line="268" w:lineRule="exact"/>
        <w:rPr>
          <w:sz w:val="20"/>
          <w:szCs w:val="20"/>
          <w:color w:val="auto"/>
        </w:rPr>
      </w:pPr>
    </w:p>
    <w:p>
      <w:pPr>
        <w:ind w:left="2647"/>
        <w:spacing w:after="0"/>
        <w:rPr>
          <w:sz w:val="20"/>
          <w:szCs w:val="20"/>
          <w:color w:val="auto"/>
        </w:rPr>
      </w:pPr>
      <w:r>
        <w:rPr>
          <w:rFonts w:ascii="Courier New" w:cs="Courier New" w:eastAsia="Courier New" w:hAnsi="Courier New"/>
          <w:sz w:val="12"/>
          <w:szCs w:val="12"/>
          <w:color w:val="auto"/>
        </w:rPr>
        <w:t>- 9 -</w:t>
      </w:r>
    </w:p>
    <w:p>
      <w:pPr>
        <w:sectPr>
          <w:pgSz w:w="11900" w:h="16838" w:orient="portrait"/>
          <w:cols w:equalWidth="0" w:num="1">
            <w:col w:w="10246"/>
          </w:cols>
          <w:pgMar w:left="213" w:top="672" w:right="1440" w:bottom="1440" w:gutter="0" w:footer="0" w:header="0"/>
        </w:sectPr>
      </w:pPr>
    </w:p>
    <w:bookmarkStart w:id="185" w:name="page186"/>
    <w:bookmarkEnd w:id="185"/>
    <w:p>
      <w:pPr>
        <w:ind w:left="707" w:right="4539" w:hanging="356"/>
        <w:spacing w:after="0" w:line="241" w:lineRule="auto"/>
        <w:rPr>
          <w:sz w:val="20"/>
          <w:szCs w:val="20"/>
          <w:color w:val="auto"/>
        </w:rPr>
      </w:pPr>
      <w:r>
        <w:rPr>
          <w:rFonts w:ascii="Courier New" w:cs="Courier New" w:eastAsia="Courier New" w:hAnsi="Courier New"/>
          <w:sz w:val="12"/>
          <w:szCs w:val="12"/>
          <w:color w:val="auto"/>
        </w:rPr>
        <w:t>4.3. All necessary consents of (i) any parties to any material contracts which are material to Tower's business, and (ii) any governmental authorities or agencies, to the extent required, in connection with the transactions contemplated by this Agreement, for which the failure to obtain such consents would have a material adverse effect on Tower, shall have been obtained and true and complete copies thereof delivered to TIC.</w:t>
      </w:r>
    </w:p>
    <w:p>
      <w:pPr>
        <w:spacing w:after="0" w:line="142" w:lineRule="exact"/>
        <w:rPr>
          <w:sz w:val="20"/>
          <w:szCs w:val="20"/>
          <w:color w:val="auto"/>
        </w:rPr>
      </w:pPr>
    </w:p>
    <w:p>
      <w:pPr>
        <w:ind w:left="707" w:right="4539" w:hanging="356"/>
        <w:spacing w:after="0" w:line="239" w:lineRule="auto"/>
        <w:rPr>
          <w:sz w:val="20"/>
          <w:szCs w:val="20"/>
          <w:color w:val="auto"/>
        </w:rPr>
      </w:pPr>
      <w:r>
        <w:rPr>
          <w:rFonts w:ascii="Courier New" w:cs="Courier New" w:eastAsia="Courier New" w:hAnsi="Courier New"/>
          <w:sz w:val="12"/>
          <w:szCs w:val="12"/>
          <w:color w:val="auto"/>
        </w:rPr>
        <w:t>4.4. There are no actions, suits, proceedings, or injunctive order, pending or threatened against or affecting Tower which could prevent the consummation of the transactions contemplated by this Agreement.</w:t>
      </w:r>
    </w:p>
    <w:p>
      <w:pPr>
        <w:spacing w:after="0" w:line="143" w:lineRule="exact"/>
        <w:rPr>
          <w:sz w:val="20"/>
          <w:szCs w:val="20"/>
          <w:color w:val="auto"/>
        </w:rPr>
      </w:pPr>
    </w:p>
    <w:p>
      <w:pPr>
        <w:ind w:left="707" w:right="4759" w:hanging="356"/>
        <w:spacing w:after="0"/>
        <w:rPr>
          <w:sz w:val="20"/>
          <w:szCs w:val="20"/>
          <w:color w:val="auto"/>
        </w:rPr>
      </w:pPr>
      <w:r>
        <w:rPr>
          <w:rFonts w:ascii="Courier New" w:cs="Courier New" w:eastAsia="Courier New" w:hAnsi="Courier New"/>
          <w:sz w:val="12"/>
          <w:szCs w:val="12"/>
          <w:color w:val="auto"/>
        </w:rPr>
        <w:t>4.5. Tower has not engaged any broker or finder in connection with the transactions contemplated by this Agreement, and no broker or other person is entitled to any commission or finder's fee in connection with such transactions.</w:t>
      </w:r>
    </w:p>
    <w:p>
      <w:pPr>
        <w:spacing w:after="0" w:line="142" w:lineRule="exact"/>
        <w:rPr>
          <w:sz w:val="20"/>
          <w:szCs w:val="20"/>
          <w:color w:val="auto"/>
        </w:rPr>
      </w:pPr>
    </w:p>
    <w:p>
      <w:pPr>
        <w:ind w:left="367" w:right="4539" w:hanging="367"/>
        <w:spacing w:after="0" w:line="265" w:lineRule="auto"/>
        <w:tabs>
          <w:tab w:leader="none" w:pos="367" w:val="left"/>
        </w:tabs>
        <w:numPr>
          <w:ilvl w:val="0"/>
          <w:numId w:val="3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EFFECTIVENESS. In accordance with Tower's representations in Section 4.1 hereof, the effectiveness of Sections 2 and 3 of this Agreement shall be on (the "EFFECTIVE DATE") the earlier of (i) approval of Tower's shareholders (if there will be a written request by any shareholder or shareholders of Tower who hold at least 1% of the issued shares or voting rights of Tower no later than fourteen (14) calendar days from the date on which Tower announces its decision to enter into this Agreement) or (ii) fifteen (15) calendar days from the date on which Tower announces its decision to enter into this Agreement if such shareholder vote has not been so requested. By signature hereof, Tower acknowledges and agrees that it will make such announcement within one (1) business day after the date of the signing of this Agreement. Notwithstanding the foregoing, upon the occurrence of any Event of Default, TIC shall not be obligated to enter into any additional Equipment Agreements and shall be permitted but not obligated to revoke any Equipment Agreements already entered into to the extent possible.</w:t>
      </w:r>
    </w:p>
    <w:p>
      <w:pPr>
        <w:spacing w:after="0" w:line="128" w:lineRule="exact"/>
        <w:rPr>
          <w:rFonts w:ascii="Courier New" w:cs="Courier New" w:eastAsia="Courier New" w:hAnsi="Courier New"/>
          <w:sz w:val="11"/>
          <w:szCs w:val="11"/>
          <w:color w:val="auto"/>
        </w:rPr>
      </w:pPr>
    </w:p>
    <w:p>
      <w:pPr>
        <w:ind w:left="367" w:hanging="367"/>
        <w:spacing w:after="0"/>
        <w:tabs>
          <w:tab w:leader="none" w:pos="367" w:val="left"/>
        </w:tabs>
        <w:numPr>
          <w:ilvl w:val="0"/>
          <w:numId w:val="3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COVENANTS</w:t>
      </w:r>
    </w:p>
    <w:p>
      <w:pPr>
        <w:spacing w:after="0" w:line="141" w:lineRule="exact"/>
        <w:rPr>
          <w:rFonts w:ascii="Courier New" w:cs="Courier New" w:eastAsia="Courier New" w:hAnsi="Courier New"/>
          <w:sz w:val="12"/>
          <w:szCs w:val="12"/>
          <w:color w:val="auto"/>
        </w:rPr>
      </w:pPr>
    </w:p>
    <w:p>
      <w:pPr>
        <w:ind w:left="707" w:right="4599" w:hanging="357"/>
        <w:spacing w:after="0" w:line="267"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6.1. Within five (5) days of becoming aware of the existence of any condition or event which constitutes an Event of Default (as defined below), or any condition or event which would upon notice or lapse of time, or both, constitute an Event of Default, Tower shall give TIC written notice thereof specifying the nature and duration thereof and the action being or proposed to be taken with respect thereto.</w:t>
      </w:r>
    </w:p>
    <w:p>
      <w:pPr>
        <w:spacing w:after="0" w:line="128" w:lineRule="exact"/>
        <w:rPr>
          <w:rFonts w:ascii="Courier New" w:cs="Courier New" w:eastAsia="Courier New" w:hAnsi="Courier New"/>
          <w:sz w:val="12"/>
          <w:szCs w:val="12"/>
          <w:color w:val="auto"/>
        </w:rPr>
      </w:pPr>
    </w:p>
    <w:p>
      <w:pPr>
        <w:ind w:left="707" w:right="4599" w:hanging="357"/>
        <w:spacing w:after="0" w:line="268"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6.2. Until the exercise of the Put Option or Call Option, Tower will operate in the ordinary course of business and neither TIC nor Tower will take any action inconsistent with this Agreement. For the avoidance of any doubt, nothing herein shall require TIC to take or refrain from taking any action as a shareholder or investor of Tower.</w:t>
      </w:r>
    </w:p>
    <w:p>
      <w:pPr>
        <w:spacing w:after="0" w:line="262" w:lineRule="exact"/>
        <w:rPr>
          <w:rFonts w:ascii="Courier New" w:cs="Courier New" w:eastAsia="Courier New" w:hAnsi="Courier New"/>
          <w:sz w:val="12"/>
          <w:szCs w:val="12"/>
          <w:color w:val="auto"/>
        </w:rPr>
      </w:pPr>
    </w:p>
    <w:p>
      <w:pPr>
        <w:ind w:left="2787" w:hanging="146"/>
        <w:spacing w:after="0"/>
        <w:tabs>
          <w:tab w:leader="none" w:pos="2787" w:val="left"/>
        </w:tabs>
        <w:numPr>
          <w:ilvl w:val="1"/>
          <w:numId w:val="3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10 -</w:t>
      </w:r>
    </w:p>
    <w:p>
      <w:pPr>
        <w:sectPr>
          <w:pgSz w:w="11900" w:h="16838" w:orient="portrait"/>
          <w:cols w:equalWidth="0" w:num="1">
            <w:col w:w="10246"/>
          </w:cols>
          <w:pgMar w:left="213" w:top="672" w:right="1440" w:bottom="1440" w:gutter="0" w:footer="0" w:header="0"/>
        </w:sectPr>
      </w:pPr>
    </w:p>
    <w:bookmarkStart w:id="186" w:name="page187"/>
    <w:bookmarkEnd w:id="186"/>
    <w:p>
      <w:pPr>
        <w:jc w:val="center"/>
        <w:ind w:right="4252"/>
        <w:spacing w:after="0"/>
        <w:rPr>
          <w:sz w:val="20"/>
          <w:szCs w:val="20"/>
          <w:color w:val="auto"/>
        </w:rPr>
      </w:pPr>
      <w:r>
        <w:rPr>
          <w:rFonts w:ascii="Courier New" w:cs="Courier New" w:eastAsia="Courier New" w:hAnsi="Courier New"/>
          <w:sz w:val="12"/>
          <w:szCs w:val="12"/>
          <w:color w:val="auto"/>
        </w:rPr>
        <w:t>6.3. To the extent that TIC assigns any of the Equipment Agreements, sells</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the Equipment or transfers any license, maintenance agreement or</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warranty relating to the Equipment, to any party other than Tower as</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permitted hereunder, Tower hereby acknowledges that TIC may make such</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transfer assignment or sale to any third party without limitation on</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the identity or business of such third party and hereby waives any</w:t>
      </w:r>
    </w:p>
    <w:p>
      <w:pPr>
        <w:spacing w:after="0" w:line="1" w:lineRule="exact"/>
        <w:rPr>
          <w:sz w:val="20"/>
          <w:szCs w:val="20"/>
          <w:color w:val="auto"/>
        </w:rPr>
      </w:pPr>
    </w:p>
    <w:p>
      <w:pPr>
        <w:ind w:left="707"/>
        <w:spacing w:after="0"/>
        <w:rPr>
          <w:sz w:val="20"/>
          <w:szCs w:val="20"/>
          <w:color w:val="auto"/>
        </w:rPr>
      </w:pPr>
      <w:r>
        <w:rPr>
          <w:rFonts w:ascii="Courier New" w:cs="Courier New" w:eastAsia="Courier New" w:hAnsi="Courier New"/>
          <w:sz w:val="12"/>
          <w:szCs w:val="12"/>
          <w:color w:val="auto"/>
        </w:rPr>
        <w:t>claim it might have against TIC with respect thereto.</w:t>
      </w:r>
    </w:p>
    <w:p>
      <w:pPr>
        <w:spacing w:after="0" w:line="139" w:lineRule="exact"/>
        <w:rPr>
          <w:sz w:val="20"/>
          <w:szCs w:val="20"/>
          <w:color w:val="auto"/>
        </w:rPr>
      </w:pPr>
    </w:p>
    <w:p>
      <w:pPr>
        <w:ind w:left="367" w:hanging="367"/>
        <w:spacing w:after="0"/>
        <w:tabs>
          <w:tab w:leader="none" w:pos="367" w:val="left"/>
        </w:tabs>
        <w:numPr>
          <w:ilvl w:val="0"/>
          <w:numId w:val="3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w:t>
      </w:r>
    </w:p>
    <w:p>
      <w:pPr>
        <w:spacing w:after="0" w:line="141" w:lineRule="exact"/>
        <w:rPr>
          <w:rFonts w:ascii="Courier New" w:cs="Courier New" w:eastAsia="Courier New" w:hAnsi="Courier New"/>
          <w:sz w:val="12"/>
          <w:szCs w:val="12"/>
          <w:color w:val="auto"/>
        </w:rPr>
      </w:pPr>
    </w:p>
    <w:p>
      <w:pPr>
        <w:ind w:left="707" w:right="4539" w:hanging="357"/>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7.1. TIC may terminate this Agreement upon [***] notice, except for (i) the rights and obligations of the Parties in connection with the Put Option; (ii) Tower's obligation to repay the Purchase Price and/or to indemnify TIC; and (iii) Sections 2.7, 8, 9 and 10 hereof, which shall survive indefinitely if any of the following events occur, each an</w:t>
      </w:r>
    </w:p>
    <w:p>
      <w:pPr>
        <w:ind w:left="70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"EVENT OF DEFAULT":</w:t>
      </w:r>
    </w:p>
    <w:p>
      <w:pPr>
        <w:spacing w:after="0" w:line="141" w:lineRule="exact"/>
        <w:rPr>
          <w:rFonts w:ascii="Courier New" w:cs="Courier New" w:eastAsia="Courier New" w:hAnsi="Courier New"/>
          <w:sz w:val="12"/>
          <w:szCs w:val="12"/>
          <w:color w:val="auto"/>
        </w:rPr>
      </w:pPr>
    </w:p>
    <w:p>
      <w:pPr>
        <w:ind w:left="1067" w:hanging="353"/>
        <w:spacing w:after="0"/>
        <w:tabs>
          <w:tab w:leader="none" w:pos="1067" w:val="left"/>
        </w:tabs>
        <w:numPr>
          <w:ilvl w:val="1"/>
          <w:numId w:val="3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no Investment is consummated on or prior to such date which is</w:t>
      </w:r>
    </w:p>
    <w:p>
      <w:pPr>
        <w:spacing w:after="0" w:line="9" w:lineRule="exact"/>
        <w:rPr>
          <w:rFonts w:ascii="Courier New" w:cs="Courier New" w:eastAsia="Courier New" w:hAnsi="Courier New"/>
          <w:sz w:val="11"/>
          <w:szCs w:val="11"/>
          <w:color w:val="auto"/>
        </w:rPr>
      </w:pPr>
    </w:p>
    <w:p>
      <w:pPr>
        <w:ind w:left="1507" w:hanging="436"/>
        <w:spacing w:after="0"/>
        <w:tabs>
          <w:tab w:leader="none" w:pos="1507" w:val="left"/>
        </w:tabs>
        <w:numPr>
          <w:ilvl w:val="2"/>
          <w:numId w:val="3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from the date of signature of this Agreement.</w:t>
      </w:r>
    </w:p>
    <w:p>
      <w:pPr>
        <w:spacing w:after="0" w:line="141" w:lineRule="exact"/>
        <w:rPr>
          <w:rFonts w:ascii="Courier New" w:cs="Courier New" w:eastAsia="Courier New" w:hAnsi="Courier New"/>
          <w:sz w:val="12"/>
          <w:szCs w:val="12"/>
          <w:color w:val="auto"/>
        </w:rPr>
      </w:pPr>
    </w:p>
    <w:p>
      <w:pPr>
        <w:ind w:left="1067" w:right="4959" w:hanging="353"/>
        <w:spacing w:after="0" w:line="239" w:lineRule="auto"/>
        <w:tabs>
          <w:tab w:leader="none" w:pos="1067" w:val="left"/>
        </w:tabs>
        <w:numPr>
          <w:ilvl w:val="1"/>
          <w:numId w:val="3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Tower shall default in connection with any agreement for greater than [***] with any creditor, which entitles said creditor to accelerate the maturity thereof.</w:t>
      </w:r>
    </w:p>
    <w:p>
      <w:pPr>
        <w:spacing w:after="0" w:line="142" w:lineRule="exact"/>
        <w:rPr>
          <w:rFonts w:ascii="Courier New" w:cs="Courier New" w:eastAsia="Courier New" w:hAnsi="Courier New"/>
          <w:sz w:val="12"/>
          <w:szCs w:val="12"/>
          <w:color w:val="auto"/>
        </w:rPr>
      </w:pPr>
    </w:p>
    <w:p>
      <w:pPr>
        <w:ind w:left="1067" w:right="4539" w:hanging="353"/>
        <w:spacing w:after="0" w:line="241" w:lineRule="auto"/>
        <w:tabs>
          <w:tab w:leader="none" w:pos="1067" w:val="left"/>
        </w:tabs>
        <w:numPr>
          <w:ilvl w:val="1"/>
          <w:numId w:val="3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Tower shall file a voluntary petition in bankruptcy or a voluntary petition or answer seeking liquidation, reorganization, arrangement, readjustment of its debts, or for any other relief under the Companies Law or Companies Ordinance, or under any other act or law pertaining to insolvency or debtor relief, whether Israeli or foreign, now or hereafter existing; Tower shall enter into any agreement indicating its consent to, approval of, or acquiescence in, any such petition or proceeding; Tower shall apply for or permit the appointment by consent or acquiescence of a receiver, custodian or trustee of Tower for all or a substantial part of its property; Tower shall make an assignment for the benefit of creditors; Tower shall be unable or shall fail to pay its debts generally as such debts become due; or Tower shall admit, in writing, its inability or failure to pay its debts generally as such debts become due.</w:t>
      </w:r>
    </w:p>
    <w:p>
      <w:pPr>
        <w:spacing w:after="0" w:line="145"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 ----------</w:t>
      </w:r>
    </w:p>
    <w:p>
      <w:pPr>
        <w:spacing w:after="0" w:line="141" w:lineRule="exact"/>
        <w:rPr>
          <w:sz w:val="20"/>
          <w:szCs w:val="20"/>
          <w:color w:val="auto"/>
        </w:rPr>
      </w:pPr>
    </w:p>
    <w:p>
      <w:pPr>
        <w:ind w:left="7" w:right="4899" w:hanging="7"/>
        <w:spacing w:after="0" w:line="280" w:lineRule="auto"/>
        <w:tabs>
          <w:tab w:leader="none" w:pos="435" w:val="left"/>
        </w:tabs>
        <w:numPr>
          <w:ilvl w:val="0"/>
          <w:numId w:val="3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CONFIDENTIAL PORTION OF THIS AGREEMENT HAS BEEN OMITTED AND FILED SEPARATELY WITH THE COMMISSION PURSUANT TO A REQUEST FOR CONFIDENTIALITY.</w:t>
      </w:r>
    </w:p>
    <w:p>
      <w:pPr>
        <w:spacing w:after="0" w:line="255" w:lineRule="exact"/>
        <w:rPr>
          <w:rFonts w:ascii="Courier New" w:cs="Courier New" w:eastAsia="Courier New" w:hAnsi="Courier New"/>
          <w:sz w:val="11"/>
          <w:szCs w:val="11"/>
          <w:color w:val="auto"/>
        </w:rPr>
      </w:pPr>
    </w:p>
    <w:p>
      <w:pPr>
        <w:ind w:left="2787" w:hanging="146"/>
        <w:spacing w:after="0"/>
        <w:tabs>
          <w:tab w:leader="none" w:pos="2787" w:val="left"/>
        </w:tabs>
        <w:numPr>
          <w:ilvl w:val="1"/>
          <w:numId w:val="3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ectPr>
          <w:pgSz w:w="11900" w:h="16838" w:orient="portrait"/>
          <w:cols w:equalWidth="0" w:num="1">
            <w:col w:w="10246"/>
          </w:cols>
          <w:pgMar w:left="213" w:top="669" w:right="1440" w:bottom="1440" w:gutter="0" w:footer="0" w:header="0"/>
        </w:sectPr>
      </w:pPr>
    </w:p>
    <w:bookmarkStart w:id="187" w:name="page188"/>
    <w:bookmarkEnd w:id="187"/>
    <w:p>
      <w:pPr>
        <w:ind w:left="1067" w:right="4599" w:hanging="353"/>
        <w:spacing w:after="0" w:line="265" w:lineRule="auto"/>
        <w:tabs>
          <w:tab w:leader="none" w:pos="1067" w:val="left"/>
        </w:tabs>
        <w:numPr>
          <w:ilvl w:val="0"/>
          <w:numId w:val="3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(i) there shall have been filed against Tower an involuntary petitio n in bankruptcy or seeking liquidation, reorganization, arrangement, readjustment of its debts or for any other relief under the Companies Law or Companies Ordinance, or under any other act or law pertaining to insolvency or debtor relief; (ii) Tower shall suffer or permit the involuntary appointment of a receiver, custodian or trustee of Tower or for all or a substantial part of its property; (iii) Tower shall suffer or permit the issuance of a warrant of attachment, execution or similar process against all or any substantial part of the property of Tower; (iv) any motion, complaint or other pleading is filed in any bankruptcy case of any person or entity other than Tower and such motion, complaint or pleading seeks the consolidation of Tower's assets and liabilities with the assets and liabilities of such person or entity.</w:t>
      </w:r>
    </w:p>
    <w:p>
      <w:pPr>
        <w:spacing w:after="0" w:line="269" w:lineRule="exact"/>
        <w:rPr>
          <w:rFonts w:ascii="Courier New" w:cs="Courier New" w:eastAsia="Courier New" w:hAnsi="Courier New"/>
          <w:sz w:val="11"/>
          <w:szCs w:val="11"/>
          <w:color w:val="auto"/>
        </w:rPr>
      </w:pPr>
    </w:p>
    <w:p>
      <w:pPr>
        <w:ind w:left="1067" w:right="4539" w:hanging="353"/>
        <w:spacing w:after="0" w:line="239" w:lineRule="auto"/>
        <w:tabs>
          <w:tab w:leader="none" w:pos="1067" w:val="left"/>
        </w:tabs>
        <w:numPr>
          <w:ilvl w:val="0"/>
          <w:numId w:val="3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Board of Directors or Audit Committee of Tower shall rescind their approval of this Agreement, whether legally allowed to do so or not.</w:t>
      </w:r>
    </w:p>
    <w:p>
      <w:pPr>
        <w:spacing w:after="0" w:line="142" w:lineRule="exact"/>
        <w:rPr>
          <w:rFonts w:ascii="Courier New" w:cs="Courier New" w:eastAsia="Courier New" w:hAnsi="Courier New"/>
          <w:sz w:val="12"/>
          <w:szCs w:val="12"/>
          <w:color w:val="auto"/>
        </w:rPr>
      </w:pPr>
    </w:p>
    <w:p>
      <w:pPr>
        <w:ind w:left="1067" w:right="4679" w:hanging="353"/>
        <w:spacing w:after="0" w:line="272" w:lineRule="auto"/>
        <w:tabs>
          <w:tab w:leader="none" w:pos="1067" w:val="left"/>
        </w:tabs>
        <w:numPr>
          <w:ilvl w:val="0"/>
          <w:numId w:val="3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If the shareholders of Tower are requested to approve the terms of this Agreement and the transactions contemplated hereby and fail to approve the same at the meeting called to approve it.</w:t>
      </w:r>
    </w:p>
    <w:p>
      <w:pPr>
        <w:spacing w:after="0" w:line="125" w:lineRule="exact"/>
        <w:rPr>
          <w:sz w:val="20"/>
          <w:szCs w:val="20"/>
          <w:color w:val="auto"/>
        </w:rPr>
      </w:pPr>
    </w:p>
    <w:p>
      <w:pPr>
        <w:ind w:left="707" w:right="4599" w:hanging="356"/>
        <w:spacing w:after="0" w:line="241" w:lineRule="auto"/>
        <w:rPr>
          <w:sz w:val="20"/>
          <w:szCs w:val="20"/>
          <w:color w:val="auto"/>
        </w:rPr>
      </w:pPr>
      <w:r>
        <w:rPr>
          <w:rFonts w:ascii="Courier New" w:cs="Courier New" w:eastAsia="Courier New" w:hAnsi="Courier New"/>
          <w:sz w:val="12"/>
          <w:szCs w:val="12"/>
          <w:color w:val="auto"/>
        </w:rPr>
        <w:t>7.2. In the event any of the proceedings in Section 7.1.d shall be dismissed or removed within 60 days, this Agreement shall be reinstated or enforceable to the extent no other Event of Default has occurred and to the extent the Call Option would not have otherwise expired, as if such Event of Default had not occurred, including the reinstatement of the Call Option.</w:t>
      </w:r>
    </w:p>
    <w:p>
      <w:pPr>
        <w:spacing w:after="0" w:line="142" w:lineRule="exact"/>
        <w:rPr>
          <w:sz w:val="20"/>
          <w:szCs w:val="20"/>
          <w:color w:val="auto"/>
        </w:rPr>
      </w:pPr>
    </w:p>
    <w:p>
      <w:pPr>
        <w:ind w:left="707" w:right="4599" w:hanging="356"/>
        <w:spacing w:after="0" w:line="238" w:lineRule="auto"/>
        <w:rPr>
          <w:sz w:val="20"/>
          <w:szCs w:val="20"/>
          <w:color w:val="auto"/>
        </w:rPr>
      </w:pPr>
      <w:r>
        <w:rPr>
          <w:rFonts w:ascii="Courier New" w:cs="Courier New" w:eastAsia="Courier New" w:hAnsi="Courier New"/>
          <w:sz w:val="12"/>
          <w:szCs w:val="12"/>
          <w:color w:val="auto"/>
        </w:rPr>
        <w:t>7.3. Nothing herein shall terminate TIC's Put Option or Tower's obligation to indemnify TIC.</w:t>
      </w:r>
    </w:p>
    <w:p>
      <w:pPr>
        <w:spacing w:after="0" w:line="139" w:lineRule="exact"/>
        <w:rPr>
          <w:sz w:val="20"/>
          <w:szCs w:val="20"/>
          <w:color w:val="auto"/>
        </w:rPr>
      </w:pPr>
    </w:p>
    <w:p>
      <w:pPr>
        <w:ind w:left="367" w:hanging="367"/>
        <w:spacing w:after="0"/>
        <w:tabs>
          <w:tab w:leader="none" w:pos="367" w:val="left"/>
        </w:tabs>
        <w:numPr>
          <w:ilvl w:val="0"/>
          <w:numId w:val="3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w:t>
      </w:r>
    </w:p>
    <w:p>
      <w:pPr>
        <w:spacing w:after="0" w:line="141" w:lineRule="exact"/>
        <w:rPr>
          <w:sz w:val="20"/>
          <w:szCs w:val="20"/>
          <w:color w:val="auto"/>
        </w:rPr>
      </w:pPr>
    </w:p>
    <w:p>
      <w:pPr>
        <w:ind w:left="7" w:right="4539" w:firstLine="357"/>
        <w:spacing w:after="0" w:line="268" w:lineRule="auto"/>
        <w:rPr>
          <w:sz w:val="20"/>
          <w:szCs w:val="20"/>
          <w:color w:val="auto"/>
        </w:rPr>
      </w:pPr>
      <w:r>
        <w:rPr>
          <w:rFonts w:ascii="Courier New" w:cs="Courier New" w:eastAsia="Courier New" w:hAnsi="Courier New"/>
          <w:sz w:val="11"/>
          <w:szCs w:val="11"/>
          <w:color w:val="auto"/>
        </w:rPr>
        <w:t>All notices and other communications hereunder shall be in writing and shall be deemed given if delivered personally or by commercial delivery service, or mailed by registered or certified mail (return receipt requested) or sent via facsimile (with confirmation of receipt) to the Parties at the following address (or at such other address for a Party as shall be specified by like notice):</w:t>
      </w:r>
    </w:p>
    <w:p>
      <w:pPr>
        <w:sectPr>
          <w:pgSz w:w="11900" w:h="16838" w:orient="portrait"/>
          <w:cols w:equalWidth="0" w:num="1">
            <w:col w:w="10246"/>
          </w:cols>
          <w:pgMar w:left="213" w:top="672" w:right="1440" w:bottom="1440" w:gutter="0" w:footer="0" w:header="0"/>
        </w:sectPr>
      </w:pPr>
    </w:p>
    <w:p>
      <w:pPr>
        <w:spacing w:after="0" w:line="125"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If to Tower:</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Tower Semiconductor Ltd.</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Ramat Gavriel Industrial Area</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P.O. Box 619</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Migdal Haemek Israel 23105</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Fax. 972-4-6047242</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1"/>
          <w:szCs w:val="11"/>
          <w:color w:val="auto"/>
        </w:rPr>
        <w:t>Attn: Oren Shirazi, Acting CFO</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If to TIC: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Israel Corporation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Millennium Tower,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23 Aranha St. Tel Aviv Israel 61070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Fax: 972-3-684-4574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Attn: Chief Financial Officer</w:t>
      </w:r>
    </w:p>
    <w:p>
      <w:pPr>
        <w:spacing w:after="0" w:line="328" w:lineRule="exact"/>
        <w:rPr>
          <w:sz w:val="20"/>
          <w:szCs w:val="20"/>
          <w:color w:val="auto"/>
        </w:rPr>
      </w:pPr>
    </w:p>
    <w:p>
      <w:pPr>
        <w:sectPr>
          <w:pgSz w:w="11900" w:h="16838" w:orient="portrait"/>
          <w:cols w:equalWidth="0" w:num="2">
            <w:col w:w="2147" w:space="560"/>
            <w:col w:w="7539"/>
          </w:cols>
          <w:pgMar w:left="213" w:top="672" w:right="1440" w:bottom="1440" w:gutter="0" w:footer="0" w:header="0"/>
          <w:type w:val="continuous"/>
        </w:sectPr>
      </w:pPr>
    </w:p>
    <w:p>
      <w:pPr>
        <w:spacing w:after="0" w:line="87" w:lineRule="exact"/>
        <w:rPr>
          <w:sz w:val="20"/>
          <w:szCs w:val="20"/>
          <w:color w:val="auto"/>
        </w:rPr>
      </w:pPr>
    </w:p>
    <w:p>
      <w:pPr>
        <w:ind w:left="2647"/>
        <w:spacing w:after="0"/>
        <w:rPr>
          <w:sz w:val="20"/>
          <w:szCs w:val="20"/>
          <w:color w:val="auto"/>
        </w:rPr>
      </w:pPr>
      <w:r>
        <w:rPr>
          <w:rFonts w:ascii="Courier New" w:cs="Courier New" w:eastAsia="Courier New" w:hAnsi="Courier New"/>
          <w:sz w:val="11"/>
          <w:szCs w:val="11"/>
          <w:color w:val="auto"/>
        </w:rPr>
        <w:t>- 12 -</w:t>
      </w:r>
    </w:p>
    <w:p>
      <w:pPr>
        <w:sectPr>
          <w:pgSz w:w="11900" w:h="16838" w:orient="portrait"/>
          <w:cols w:equalWidth="0" w:num="1">
            <w:col w:w="10246"/>
          </w:cols>
          <w:pgMar w:left="213" w:top="672" w:right="1440" w:bottom="1440" w:gutter="0" w:footer="0" w:header="0"/>
          <w:type w:val="continuous"/>
        </w:sectPr>
      </w:pPr>
    </w:p>
    <w:bookmarkStart w:id="188" w:name="page189"/>
    <w:bookmarkEnd w:id="188"/>
    <w:tbl>
      <w:tblPr>
        <w:tblLayout w:type="fixed"/>
        <w:tblInd w:w="7" w:type="dxa"/>
        <w:tblCellMar>
          <w:top w:w="0" w:type="dxa"/>
          <w:left w:w="0" w:type="dxa"/>
          <w:bottom w:w="0" w:type="dxa"/>
          <w:right w:w="0" w:type="dxa"/>
        </w:tblCellMar>
      </w:tblPr>
      <w:tr>
        <w:trPr>
          <w:trHeight w:val="136"/>
        </w:trPr>
        <w:tc>
          <w:tcPr>
            <w:tcW w:w="320" w:type="dxa"/>
            <w:vAlign w:val="bottom"/>
          </w:tcPr>
          <w:p>
            <w:pPr>
              <w:spacing w:after="0"/>
              <w:rPr>
                <w:sz w:val="20"/>
                <w:szCs w:val="20"/>
                <w:color w:val="auto"/>
              </w:rPr>
            </w:pPr>
            <w:r>
              <w:rPr>
                <w:rFonts w:ascii="Courier New" w:cs="Courier New" w:eastAsia="Courier New" w:hAnsi="Courier New"/>
                <w:sz w:val="12"/>
                <w:szCs w:val="12"/>
                <w:color w:val="auto"/>
              </w:rPr>
              <w:t>with</w:t>
            </w:r>
          </w:p>
        </w:tc>
        <w:tc>
          <w:tcPr>
            <w:tcW w:w="500" w:type="dxa"/>
            <w:vAlign w:val="bottom"/>
          </w:tcPr>
          <w:p>
            <w:pPr>
              <w:ind w:left="40"/>
              <w:spacing w:after="0"/>
              <w:rPr>
                <w:sz w:val="20"/>
                <w:szCs w:val="20"/>
                <w:color w:val="auto"/>
              </w:rPr>
            </w:pPr>
            <w:r>
              <w:rPr>
                <w:rFonts w:ascii="Courier New" w:cs="Courier New" w:eastAsia="Courier New" w:hAnsi="Courier New"/>
                <w:sz w:val="12"/>
                <w:szCs w:val="12"/>
                <w:color w:val="auto"/>
              </w:rPr>
              <w:t>a copy</w:t>
            </w:r>
          </w:p>
        </w:tc>
        <w:tc>
          <w:tcPr>
            <w:tcW w:w="1640" w:type="dxa"/>
            <w:vAlign w:val="bottom"/>
          </w:tcPr>
          <w:p>
            <w:pPr>
              <w:ind w:left="20"/>
              <w:spacing w:after="0"/>
              <w:rPr>
                <w:sz w:val="20"/>
                <w:szCs w:val="20"/>
                <w:color w:val="auto"/>
              </w:rPr>
            </w:pPr>
            <w:r>
              <w:rPr>
                <w:rFonts w:ascii="Courier New" w:cs="Courier New" w:eastAsia="Courier New" w:hAnsi="Courier New"/>
                <w:sz w:val="12"/>
                <w:szCs w:val="12"/>
                <w:color w:val="auto"/>
              </w:rPr>
              <w:t>to (which shall not</w:t>
            </w:r>
          </w:p>
        </w:tc>
        <w:tc>
          <w:tcPr>
            <w:tcW w:w="3240" w:type="dxa"/>
            <w:vAlign w:val="bottom"/>
          </w:tcPr>
          <w:p>
            <w:pPr>
              <w:ind w:left="240"/>
              <w:spacing w:after="0"/>
              <w:rPr>
                <w:sz w:val="20"/>
                <w:szCs w:val="20"/>
                <w:color w:val="auto"/>
              </w:rPr>
            </w:pPr>
            <w:r>
              <w:rPr>
                <w:rFonts w:ascii="Courier New" w:cs="Courier New" w:eastAsia="Courier New" w:hAnsi="Courier New"/>
                <w:sz w:val="12"/>
                <w:szCs w:val="12"/>
                <w:color w:val="auto"/>
                <w:w w:val="98"/>
              </w:rPr>
              <w:t>with a copy to (which shall not constitute</w:t>
            </w:r>
          </w:p>
        </w:tc>
      </w:tr>
      <w:tr>
        <w:trPr>
          <w:trHeight w:val="137"/>
        </w:trPr>
        <w:tc>
          <w:tcPr>
            <w:tcW w:w="2460" w:type="dxa"/>
            <w:vAlign w:val="bottom"/>
            <w:gridSpan w:val="3"/>
          </w:tcPr>
          <w:p>
            <w:pPr>
              <w:spacing w:after="0"/>
              <w:rPr>
                <w:sz w:val="20"/>
                <w:szCs w:val="20"/>
                <w:color w:val="auto"/>
              </w:rPr>
            </w:pPr>
            <w:r>
              <w:rPr>
                <w:rFonts w:ascii="Courier New" w:cs="Courier New" w:eastAsia="Courier New" w:hAnsi="Courier New"/>
                <w:sz w:val="12"/>
                <w:szCs w:val="12"/>
                <w:color w:val="auto"/>
              </w:rPr>
              <w:t>constitute notice):</w:t>
            </w:r>
          </w:p>
        </w:tc>
        <w:tc>
          <w:tcPr>
            <w:tcW w:w="3240" w:type="dxa"/>
            <w:vAlign w:val="bottom"/>
          </w:tcPr>
          <w:p>
            <w:pPr>
              <w:ind w:left="240"/>
              <w:spacing w:after="0"/>
              <w:rPr>
                <w:sz w:val="20"/>
                <w:szCs w:val="20"/>
                <w:color w:val="auto"/>
              </w:rPr>
            </w:pPr>
            <w:r>
              <w:rPr>
                <w:rFonts w:ascii="Courier New" w:cs="Courier New" w:eastAsia="Courier New" w:hAnsi="Courier New"/>
                <w:sz w:val="12"/>
                <w:szCs w:val="12"/>
                <w:color w:val="auto"/>
              </w:rPr>
              <w:t>notice):</w:t>
            </w:r>
          </w:p>
        </w:tc>
      </w:tr>
      <w:tr>
        <w:trPr>
          <w:trHeight w:val="137"/>
        </w:trPr>
        <w:tc>
          <w:tcPr>
            <w:tcW w:w="820" w:type="dxa"/>
            <w:vAlign w:val="bottom"/>
            <w:gridSpan w:val="2"/>
          </w:tcPr>
          <w:p>
            <w:pPr>
              <w:spacing w:after="0"/>
              <w:rPr>
                <w:sz w:val="20"/>
                <w:szCs w:val="20"/>
                <w:color w:val="auto"/>
              </w:rPr>
            </w:pPr>
            <w:r>
              <w:rPr>
                <w:rFonts w:ascii="Courier New" w:cs="Courier New" w:eastAsia="Courier New" w:hAnsi="Courier New"/>
                <w:sz w:val="12"/>
                <w:szCs w:val="12"/>
                <w:color w:val="auto"/>
              </w:rPr>
              <w:t>Yigal Arnon</w:t>
            </w:r>
          </w:p>
        </w:tc>
        <w:tc>
          <w:tcPr>
            <w:tcW w:w="1640" w:type="dxa"/>
            <w:vAlign w:val="bottom"/>
          </w:tcPr>
          <w:p>
            <w:pPr>
              <w:ind w:left="20"/>
              <w:spacing w:after="0"/>
              <w:rPr>
                <w:sz w:val="20"/>
                <w:szCs w:val="20"/>
                <w:color w:val="auto"/>
              </w:rPr>
            </w:pPr>
            <w:r>
              <w:rPr>
                <w:rFonts w:ascii="Courier New" w:cs="Courier New" w:eastAsia="Courier New" w:hAnsi="Courier New"/>
                <w:sz w:val="12"/>
                <w:szCs w:val="12"/>
                <w:color w:val="auto"/>
              </w:rPr>
              <w:t>&amp; Co.</w:t>
            </w:r>
          </w:p>
        </w:tc>
        <w:tc>
          <w:tcPr>
            <w:tcW w:w="3240" w:type="dxa"/>
            <w:vAlign w:val="bottom"/>
          </w:tcPr>
          <w:p>
            <w:pPr>
              <w:ind w:left="240"/>
              <w:spacing w:after="0"/>
              <w:rPr>
                <w:sz w:val="20"/>
                <w:szCs w:val="20"/>
                <w:color w:val="auto"/>
              </w:rPr>
            </w:pPr>
            <w:r>
              <w:rPr>
                <w:rFonts w:ascii="Courier New" w:cs="Courier New" w:eastAsia="Courier New" w:hAnsi="Courier New"/>
                <w:sz w:val="12"/>
                <w:szCs w:val="12"/>
                <w:color w:val="auto"/>
              </w:rPr>
              <w:t>Gornitzky &amp; Co.</w:t>
            </w:r>
          </w:p>
        </w:tc>
      </w:tr>
      <w:tr>
        <w:trPr>
          <w:trHeight w:val="137"/>
        </w:trPr>
        <w:tc>
          <w:tcPr>
            <w:tcW w:w="820" w:type="dxa"/>
            <w:vAlign w:val="bottom"/>
            <w:gridSpan w:val="2"/>
          </w:tcPr>
          <w:p>
            <w:pPr>
              <w:spacing w:after="0"/>
              <w:rPr>
                <w:sz w:val="20"/>
                <w:szCs w:val="20"/>
                <w:color w:val="auto"/>
              </w:rPr>
            </w:pPr>
            <w:r>
              <w:rPr>
                <w:rFonts w:ascii="Courier New" w:cs="Courier New" w:eastAsia="Courier New" w:hAnsi="Courier New"/>
                <w:sz w:val="12"/>
                <w:szCs w:val="12"/>
                <w:color w:val="auto"/>
              </w:rPr>
              <w:t>One Azrieli</w:t>
            </w:r>
          </w:p>
        </w:tc>
        <w:tc>
          <w:tcPr>
            <w:tcW w:w="1640" w:type="dxa"/>
            <w:vAlign w:val="bottom"/>
          </w:tcPr>
          <w:p>
            <w:pPr>
              <w:ind w:left="20"/>
              <w:spacing w:after="0"/>
              <w:rPr>
                <w:sz w:val="20"/>
                <w:szCs w:val="20"/>
                <w:color w:val="auto"/>
              </w:rPr>
            </w:pPr>
            <w:r>
              <w:rPr>
                <w:rFonts w:ascii="Courier New" w:cs="Courier New" w:eastAsia="Courier New" w:hAnsi="Courier New"/>
                <w:sz w:val="12"/>
                <w:szCs w:val="12"/>
                <w:color w:val="auto"/>
              </w:rPr>
              <w:t>Center,</w:t>
            </w:r>
          </w:p>
        </w:tc>
        <w:tc>
          <w:tcPr>
            <w:tcW w:w="3240" w:type="dxa"/>
            <w:vAlign w:val="bottom"/>
          </w:tcPr>
          <w:p>
            <w:pPr>
              <w:ind w:left="240"/>
              <w:spacing w:after="0"/>
              <w:rPr>
                <w:sz w:val="20"/>
                <w:szCs w:val="20"/>
                <w:color w:val="auto"/>
              </w:rPr>
            </w:pPr>
            <w:r>
              <w:rPr>
                <w:rFonts w:ascii="Courier New" w:cs="Courier New" w:eastAsia="Courier New" w:hAnsi="Courier New"/>
                <w:sz w:val="12"/>
                <w:szCs w:val="12"/>
                <w:color w:val="auto"/>
              </w:rPr>
              <w:t>45 Rothschild Blvd.,</w:t>
            </w:r>
          </w:p>
        </w:tc>
      </w:tr>
      <w:tr>
        <w:trPr>
          <w:trHeight w:val="137"/>
        </w:trPr>
        <w:tc>
          <w:tcPr>
            <w:tcW w:w="2460" w:type="dxa"/>
            <w:vAlign w:val="bottom"/>
            <w:gridSpan w:val="3"/>
          </w:tcPr>
          <w:p>
            <w:pPr>
              <w:spacing w:after="0"/>
              <w:rPr>
                <w:sz w:val="20"/>
                <w:szCs w:val="20"/>
                <w:color w:val="auto"/>
              </w:rPr>
            </w:pPr>
            <w:r>
              <w:rPr>
                <w:rFonts w:ascii="Courier New" w:cs="Courier New" w:eastAsia="Courier New" w:hAnsi="Courier New"/>
                <w:sz w:val="12"/>
                <w:szCs w:val="12"/>
                <w:color w:val="auto"/>
              </w:rPr>
              <w:t>Tel Aviv 67021 Israel</w:t>
            </w:r>
          </w:p>
        </w:tc>
        <w:tc>
          <w:tcPr>
            <w:tcW w:w="3240" w:type="dxa"/>
            <w:vAlign w:val="bottom"/>
          </w:tcPr>
          <w:p>
            <w:pPr>
              <w:ind w:left="240"/>
              <w:spacing w:after="0"/>
              <w:rPr>
                <w:sz w:val="20"/>
                <w:szCs w:val="20"/>
                <w:color w:val="auto"/>
              </w:rPr>
            </w:pPr>
            <w:r>
              <w:rPr>
                <w:rFonts w:ascii="Courier New" w:cs="Courier New" w:eastAsia="Courier New" w:hAnsi="Courier New"/>
                <w:sz w:val="12"/>
                <w:szCs w:val="12"/>
                <w:color w:val="auto"/>
              </w:rPr>
              <w:t>Tel-Aviv 65784 Israel</w:t>
            </w:r>
          </w:p>
        </w:tc>
      </w:tr>
      <w:tr>
        <w:trPr>
          <w:trHeight w:val="137"/>
        </w:trPr>
        <w:tc>
          <w:tcPr>
            <w:tcW w:w="320" w:type="dxa"/>
            <w:vAlign w:val="bottom"/>
          </w:tcPr>
          <w:p>
            <w:pPr>
              <w:spacing w:after="0"/>
              <w:rPr>
                <w:sz w:val="20"/>
                <w:szCs w:val="20"/>
                <w:color w:val="auto"/>
              </w:rPr>
            </w:pPr>
            <w:r>
              <w:rPr>
                <w:rFonts w:ascii="Courier New" w:cs="Courier New" w:eastAsia="Courier New" w:hAnsi="Courier New"/>
                <w:sz w:val="12"/>
                <w:szCs w:val="12"/>
                <w:color w:val="auto"/>
              </w:rPr>
              <w:t>Fax:</w:t>
            </w:r>
          </w:p>
        </w:tc>
        <w:tc>
          <w:tcPr>
            <w:tcW w:w="21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972-3-608-7714</w:t>
            </w:r>
          </w:p>
        </w:tc>
        <w:tc>
          <w:tcPr>
            <w:tcW w:w="3240" w:type="dxa"/>
            <w:vAlign w:val="bottom"/>
          </w:tcPr>
          <w:p>
            <w:pPr>
              <w:ind w:left="240"/>
              <w:spacing w:after="0"/>
              <w:rPr>
                <w:sz w:val="20"/>
                <w:szCs w:val="20"/>
                <w:color w:val="auto"/>
              </w:rPr>
            </w:pPr>
            <w:r>
              <w:rPr>
                <w:rFonts w:ascii="Courier New" w:cs="Courier New" w:eastAsia="Courier New" w:hAnsi="Courier New"/>
                <w:sz w:val="12"/>
                <w:szCs w:val="12"/>
                <w:color w:val="auto"/>
              </w:rPr>
              <w:t>Fax: 972-3-560-6555</w:t>
            </w:r>
          </w:p>
        </w:tc>
      </w:tr>
      <w:tr>
        <w:trPr>
          <w:trHeight w:val="137"/>
        </w:trPr>
        <w:tc>
          <w:tcPr>
            <w:tcW w:w="2460" w:type="dxa"/>
            <w:vAlign w:val="bottom"/>
            <w:gridSpan w:val="3"/>
          </w:tcPr>
          <w:p>
            <w:pPr>
              <w:spacing w:after="0"/>
              <w:rPr>
                <w:sz w:val="20"/>
                <w:szCs w:val="20"/>
                <w:color w:val="auto"/>
              </w:rPr>
            </w:pPr>
            <w:r>
              <w:rPr>
                <w:rFonts w:ascii="Courier New" w:cs="Courier New" w:eastAsia="Courier New" w:hAnsi="Courier New"/>
                <w:sz w:val="12"/>
                <w:szCs w:val="12"/>
                <w:color w:val="auto"/>
              </w:rPr>
              <w:t>Attn: Adv. David H. Schapiro</w:t>
            </w:r>
          </w:p>
        </w:tc>
        <w:tc>
          <w:tcPr>
            <w:tcW w:w="3240" w:type="dxa"/>
            <w:vAlign w:val="bottom"/>
          </w:tcPr>
          <w:p>
            <w:pPr>
              <w:ind w:left="240"/>
              <w:spacing w:after="0"/>
              <w:rPr>
                <w:sz w:val="20"/>
                <w:szCs w:val="20"/>
                <w:color w:val="auto"/>
              </w:rPr>
            </w:pPr>
            <w:r>
              <w:rPr>
                <w:rFonts w:ascii="Courier New" w:cs="Courier New" w:eastAsia="Courier New" w:hAnsi="Courier New"/>
                <w:sz w:val="12"/>
                <w:szCs w:val="12"/>
                <w:color w:val="auto"/>
              </w:rPr>
              <w:t>Attn:  Adv. Zvi Ephrat</w:t>
            </w:r>
          </w:p>
        </w:tc>
      </w:tr>
      <w:tr>
        <w:trPr>
          <w:trHeight w:val="274"/>
        </w:trPr>
        <w:tc>
          <w:tcPr>
            <w:tcW w:w="320" w:type="dxa"/>
            <w:vAlign w:val="bottom"/>
          </w:tcPr>
          <w:p>
            <w:pPr>
              <w:spacing w:after="0"/>
              <w:rPr>
                <w:sz w:val="20"/>
                <w:szCs w:val="20"/>
                <w:color w:val="auto"/>
              </w:rPr>
            </w:pPr>
            <w:r>
              <w:rPr>
                <w:rFonts w:ascii="Courier New" w:cs="Courier New" w:eastAsia="Courier New" w:hAnsi="Courier New"/>
                <w:sz w:val="12"/>
                <w:szCs w:val="12"/>
                <w:color w:val="auto"/>
              </w:rPr>
              <w:t>9.</w:t>
            </w:r>
          </w:p>
        </w:tc>
        <w:tc>
          <w:tcPr>
            <w:tcW w:w="21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PUBLICITY</w:t>
            </w:r>
          </w:p>
        </w:tc>
        <w:tc>
          <w:tcPr>
            <w:tcW w:w="3240" w:type="dxa"/>
            <w:vAlign w:val="bottom"/>
          </w:tcPr>
          <w:p>
            <w:pPr>
              <w:spacing w:after="0"/>
              <w:rPr>
                <w:sz w:val="23"/>
                <w:szCs w:val="23"/>
                <w:color w:val="auto"/>
              </w:rPr>
            </w:pPr>
          </w:p>
        </w:tc>
      </w:tr>
    </w:tbl>
    <w:p>
      <w:pPr>
        <w:spacing w:after="0" w:line="141" w:lineRule="exact"/>
        <w:rPr>
          <w:sz w:val="20"/>
          <w:szCs w:val="20"/>
          <w:color w:val="auto"/>
        </w:rPr>
      </w:pPr>
    </w:p>
    <w:p>
      <w:pPr>
        <w:ind w:left="7" w:right="4759"/>
        <w:spacing w:after="0"/>
        <w:rPr>
          <w:sz w:val="20"/>
          <w:szCs w:val="20"/>
          <w:color w:val="auto"/>
        </w:rPr>
      </w:pPr>
      <w:r>
        <w:rPr>
          <w:rFonts w:ascii="Courier New" w:cs="Courier New" w:eastAsia="Courier New" w:hAnsi="Courier New"/>
          <w:sz w:val="12"/>
          <w:szCs w:val="12"/>
          <w:color w:val="auto"/>
        </w:rPr>
        <w:t>The Parties agree not to publish any press release or disclosure filing or otherwise publicize the existence, or any of the terms, of this Agreement without the prior consent of the other Party, except as may be required under law.</w:t>
      </w:r>
    </w:p>
    <w:p>
      <w:pPr>
        <w:spacing w:after="0" w:line="140" w:lineRule="exact"/>
        <w:rPr>
          <w:sz w:val="20"/>
          <w:szCs w:val="20"/>
          <w:color w:val="auto"/>
        </w:rPr>
      </w:pPr>
    </w:p>
    <w:p>
      <w:pPr>
        <w:ind w:left="367" w:hanging="367"/>
        <w:spacing w:after="0"/>
        <w:tabs>
          <w:tab w:leader="none" w:pos="367" w:val="left"/>
        </w:tabs>
        <w:numPr>
          <w:ilvl w:val="0"/>
          <w:numId w:val="3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41" w:lineRule="exact"/>
        <w:rPr>
          <w:rFonts w:ascii="Courier New" w:cs="Courier New" w:eastAsia="Courier New" w:hAnsi="Courier New"/>
          <w:sz w:val="12"/>
          <w:szCs w:val="12"/>
          <w:color w:val="auto"/>
        </w:rPr>
      </w:pPr>
    </w:p>
    <w:p>
      <w:pPr>
        <w:ind w:left="707" w:right="4539" w:hanging="357"/>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10.1. This Agreement, including the validity, interpretation, or performance of this Agreement and any of its terms or provisions, and the rights and obligations of the parties under this Agreement shall be governed by, and construed and interpreted in and only in accordance with, the domestic laws of the State of Israel without giving effect to any choice or conflict of law provision or rule that would cause the application of the laws of any jurisdiction other than the State of Israel. The competent court in Tel Aviv-Jaffa will have the sole and exclusive jurisdiction over any dispute arising under this Agreement.</w:t>
      </w:r>
    </w:p>
    <w:p>
      <w:pPr>
        <w:spacing w:after="0" w:line="144" w:lineRule="exact"/>
        <w:rPr>
          <w:rFonts w:ascii="Courier New" w:cs="Courier New" w:eastAsia="Courier New" w:hAnsi="Courier New"/>
          <w:sz w:val="12"/>
          <w:szCs w:val="12"/>
          <w:color w:val="auto"/>
        </w:rPr>
      </w:pPr>
    </w:p>
    <w:p>
      <w:pPr>
        <w:ind w:left="707" w:right="4599" w:hanging="357"/>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10.2. A Party's delay or failure to enforce at any time any of the provisions of this Agreement or any right with respect thereto shall in no way be construed to be a waiver of such provision, or rights or in any way to affect its right later to enforce them. A Party's exercise of any of its rights hereunder shall not preclude or prejudice that Party from thereafter exercising the same or any right which it may have under this Agreement, irrespective of any previous action or proceeding taken by it hereunder.</w:t>
      </w:r>
    </w:p>
    <w:p>
      <w:pPr>
        <w:spacing w:after="0" w:line="143" w:lineRule="exact"/>
        <w:rPr>
          <w:rFonts w:ascii="Courier New" w:cs="Courier New" w:eastAsia="Courier New" w:hAnsi="Courier New"/>
          <w:sz w:val="12"/>
          <w:szCs w:val="12"/>
          <w:color w:val="auto"/>
        </w:rPr>
      </w:pPr>
    </w:p>
    <w:p>
      <w:pPr>
        <w:ind w:left="707" w:right="4599" w:hanging="357"/>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10.3. This Agreement shall be binding upon and inure to the benefit of the successors and assigns of Tower and TIC.</w:t>
      </w:r>
    </w:p>
    <w:p>
      <w:pPr>
        <w:spacing w:after="0" w:line="142" w:lineRule="exact"/>
        <w:rPr>
          <w:rFonts w:ascii="Courier New" w:cs="Courier New" w:eastAsia="Courier New" w:hAnsi="Courier New"/>
          <w:sz w:val="12"/>
          <w:szCs w:val="12"/>
          <w:color w:val="auto"/>
        </w:rPr>
      </w:pPr>
    </w:p>
    <w:p>
      <w:pPr>
        <w:ind w:left="707" w:right="4759" w:hanging="357"/>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10.4. This Agreement and the Annexes hereto shall be modified only by an instrument in writing that is signed by duly-authorized representatives of the Parties.</w:t>
      </w:r>
    </w:p>
    <w:p>
      <w:pPr>
        <w:spacing w:after="0" w:line="142" w:lineRule="exact"/>
        <w:rPr>
          <w:rFonts w:ascii="Courier New" w:cs="Courier New" w:eastAsia="Courier New" w:hAnsi="Courier New"/>
          <w:sz w:val="12"/>
          <w:szCs w:val="12"/>
          <w:color w:val="auto"/>
        </w:rPr>
      </w:pPr>
    </w:p>
    <w:p>
      <w:pPr>
        <w:ind w:left="707" w:right="4539" w:hanging="357"/>
        <w:spacing w:after="0" w:line="241"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10.5.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278" w:lineRule="exact"/>
        <w:rPr>
          <w:rFonts w:ascii="Courier New" w:cs="Courier New" w:eastAsia="Courier New" w:hAnsi="Courier New"/>
          <w:sz w:val="12"/>
          <w:szCs w:val="12"/>
          <w:color w:val="auto"/>
        </w:rPr>
      </w:pPr>
    </w:p>
    <w:p>
      <w:pPr>
        <w:ind w:left="2787" w:hanging="146"/>
        <w:spacing w:after="0"/>
        <w:tabs>
          <w:tab w:leader="none" w:pos="2787" w:val="left"/>
        </w:tabs>
        <w:numPr>
          <w:ilvl w:val="1"/>
          <w:numId w:val="3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13 -</w:t>
      </w:r>
    </w:p>
    <w:p>
      <w:pPr>
        <w:sectPr>
          <w:pgSz w:w="11900" w:h="16838" w:orient="portrait"/>
          <w:cols w:equalWidth="0" w:num="1">
            <w:col w:w="10246"/>
          </w:cols>
          <w:pgMar w:left="213" w:top="669" w:right="1440" w:bottom="1440" w:gutter="0" w:footer="0" w:header="0"/>
        </w:sectPr>
      </w:pPr>
    </w:p>
    <w:bookmarkStart w:id="189" w:name="page190"/>
    <w:bookmarkEnd w:id="189"/>
    <w:p>
      <w:pPr>
        <w:ind w:left="700" w:right="4539" w:hanging="356"/>
        <w:spacing w:after="0" w:line="241" w:lineRule="auto"/>
        <w:rPr>
          <w:sz w:val="20"/>
          <w:szCs w:val="20"/>
          <w:color w:val="auto"/>
        </w:rPr>
      </w:pPr>
      <w:r>
        <w:rPr>
          <w:rFonts w:ascii="Courier New" w:cs="Courier New" w:eastAsia="Courier New" w:hAnsi="Courier New"/>
          <w:sz w:val="12"/>
          <w:szCs w:val="12"/>
          <w:color w:val="auto"/>
        </w:rPr>
        <w:t>10.6. At any time and from time to time, each Party agrees, without further consideration, to take such actions and to execute and deliver such documents as may be reasonably necessary to effectuate the purposes of this Agreement and shall refrain from taking any action that may frustrate the purpose of this Agreement.</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10.7. No Party shall be entitled to assign this Agreement or its rights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under it without the prior written consent of the other Party.</w:t>
      </w:r>
    </w:p>
    <w:p>
      <w:pPr>
        <w:spacing w:after="0" w:line="141" w:lineRule="exact"/>
        <w:rPr>
          <w:sz w:val="20"/>
          <w:szCs w:val="20"/>
          <w:color w:val="auto"/>
        </w:rPr>
      </w:pPr>
    </w:p>
    <w:p>
      <w:pPr>
        <w:ind w:left="700" w:right="4599" w:hanging="356"/>
        <w:spacing w:after="0"/>
        <w:rPr>
          <w:sz w:val="20"/>
          <w:szCs w:val="20"/>
          <w:color w:val="auto"/>
        </w:rPr>
      </w:pPr>
      <w:r>
        <w:rPr>
          <w:rFonts w:ascii="Courier New" w:cs="Courier New" w:eastAsia="Courier New" w:hAnsi="Courier New"/>
          <w:sz w:val="12"/>
          <w:szCs w:val="12"/>
          <w:color w:val="auto"/>
        </w:rPr>
        <w:t>10.8. This Agreement may be executed in one or more counterparts, all of which shall be considered one and the same agreement and shall become effective when one or more counterparts have been signed by a Party hereto and delivered to the other Party hereto.</w:t>
      </w:r>
    </w:p>
    <w:p>
      <w:pPr>
        <w:spacing w:after="0" w:line="142" w:lineRule="exact"/>
        <w:rPr>
          <w:sz w:val="20"/>
          <w:szCs w:val="20"/>
          <w:color w:val="auto"/>
        </w:rPr>
      </w:pPr>
    </w:p>
    <w:p>
      <w:pPr>
        <w:ind w:left="700" w:right="4539" w:hanging="356"/>
        <w:spacing w:after="0" w:line="241" w:lineRule="auto"/>
        <w:rPr>
          <w:sz w:val="20"/>
          <w:szCs w:val="20"/>
          <w:color w:val="auto"/>
        </w:rPr>
      </w:pPr>
      <w:r>
        <w:rPr>
          <w:rFonts w:ascii="Courier New" w:cs="Courier New" w:eastAsia="Courier New" w:hAnsi="Courier New"/>
          <w:sz w:val="12"/>
          <w:szCs w:val="12"/>
          <w:color w:val="auto"/>
        </w:rPr>
        <w:t>10.9. This document constitutes the entire agreement between the Parties with respect to the subject matter hereof, and supersedes all previous communications, representations, understandings and agreements, either oral or written, between the Parties or any official or representative thereof.</w:t>
      </w:r>
    </w:p>
    <w:p>
      <w:pPr>
        <w:spacing w:after="0" w:line="141" w:lineRule="exact"/>
        <w:rPr>
          <w:sz w:val="20"/>
          <w:szCs w:val="20"/>
          <w:color w:val="auto"/>
        </w:rPr>
      </w:pPr>
    </w:p>
    <w:p>
      <w:pPr>
        <w:ind w:left="700" w:right="4539" w:hanging="356"/>
        <w:spacing w:after="0" w:line="241" w:lineRule="auto"/>
        <w:rPr>
          <w:sz w:val="20"/>
          <w:szCs w:val="20"/>
          <w:color w:val="auto"/>
        </w:rPr>
      </w:pPr>
      <w:r>
        <w:rPr>
          <w:rFonts w:ascii="Courier New" w:cs="Courier New" w:eastAsia="Courier New" w:hAnsi="Courier New"/>
          <w:sz w:val="12"/>
          <w:szCs w:val="12"/>
          <w:color w:val="auto"/>
        </w:rPr>
        <w:t>10.10. The Parties have participated jointly in the negotiation and drafting of this Agreement. In the event that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42" w:lineRule="exact"/>
        <w:rPr>
          <w:sz w:val="20"/>
          <w:szCs w:val="20"/>
          <w:color w:val="auto"/>
        </w:rPr>
      </w:pPr>
    </w:p>
    <w:p>
      <w:pPr>
        <w:ind w:right="4819"/>
        <w:spacing w:after="0" w:line="239" w:lineRule="auto"/>
        <w:rPr>
          <w:sz w:val="20"/>
          <w:szCs w:val="20"/>
          <w:color w:val="auto"/>
        </w:rPr>
      </w:pPr>
      <w:r>
        <w:rPr>
          <w:rFonts w:ascii="Courier New" w:cs="Courier New" w:eastAsia="Courier New" w:hAnsi="Courier New"/>
          <w:sz w:val="12"/>
          <w:szCs w:val="12"/>
          <w:color w:val="auto"/>
        </w:rPr>
        <w:t>IN WITNESS WHEREOF, the Parties hereto have caused this Agreement to be duly executed as of the date first hereinabove set forth, such Parties acting by their officers, being thereunto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40" w:type="dxa"/>
            <w:vAlign w:val="bottom"/>
          </w:tcPr>
          <w:p>
            <w:pPr>
              <w:spacing w:after="0"/>
              <w:rPr>
                <w:sz w:val="20"/>
                <w:szCs w:val="20"/>
                <w:color w:val="auto"/>
              </w:rPr>
            </w:pPr>
            <w:r>
              <w:rPr>
                <w:rFonts w:ascii="Courier New" w:cs="Courier New" w:eastAsia="Courier New" w:hAnsi="Courier New"/>
                <w:sz w:val="12"/>
                <w:szCs w:val="12"/>
                <w:color w:val="auto"/>
              </w:rPr>
              <w:t>______________________________</w:t>
            </w:r>
          </w:p>
        </w:tc>
        <w:tc>
          <w:tcPr>
            <w:tcW w:w="2860" w:type="dxa"/>
            <w:vAlign w:val="bottom"/>
            <w:gridSpan w:val="2"/>
          </w:tcPr>
          <w:p>
            <w:pPr>
              <w:ind w:left="720"/>
              <w:spacing w:after="0"/>
              <w:rPr>
                <w:sz w:val="20"/>
                <w:szCs w:val="20"/>
                <w:color w:val="auto"/>
              </w:rPr>
            </w:pPr>
            <w:r>
              <w:rPr>
                <w:rFonts w:ascii="Courier New" w:cs="Courier New" w:eastAsia="Courier New" w:hAnsi="Courier New"/>
                <w:sz w:val="12"/>
                <w:szCs w:val="12"/>
                <w:color w:val="auto"/>
                <w:w w:val="98"/>
              </w:rPr>
              <w:t>______________________________</w:t>
            </w:r>
          </w:p>
        </w:tc>
      </w:tr>
      <w:tr>
        <w:trPr>
          <w:trHeight w:val="137"/>
        </w:trPr>
        <w:tc>
          <w:tcPr>
            <w:tcW w:w="2840" w:type="dxa"/>
            <w:vAlign w:val="bottom"/>
          </w:tcPr>
          <w:p>
            <w:pPr>
              <w:spacing w:after="0"/>
              <w:rPr>
                <w:sz w:val="20"/>
                <w:szCs w:val="20"/>
                <w:color w:val="auto"/>
              </w:rPr>
            </w:pPr>
            <w:r>
              <w:rPr>
                <w:rFonts w:ascii="Courier New" w:cs="Courier New" w:eastAsia="Courier New" w:hAnsi="Courier New"/>
                <w:sz w:val="12"/>
                <w:szCs w:val="12"/>
                <w:color w:val="auto"/>
              </w:rPr>
              <w:t>TOWER SEMICONDUCTOR LTD.</w:t>
            </w:r>
          </w:p>
        </w:tc>
        <w:tc>
          <w:tcPr>
            <w:tcW w:w="1180" w:type="dxa"/>
            <w:vAlign w:val="bottom"/>
          </w:tcPr>
          <w:p>
            <w:pPr>
              <w:ind w:left="720"/>
              <w:spacing w:after="0"/>
              <w:rPr>
                <w:sz w:val="20"/>
                <w:szCs w:val="20"/>
                <w:color w:val="auto"/>
              </w:rPr>
            </w:pPr>
            <w:r>
              <w:rPr>
                <w:rFonts w:ascii="Courier New" w:cs="Courier New" w:eastAsia="Courier New" w:hAnsi="Courier New"/>
                <w:sz w:val="12"/>
                <w:szCs w:val="12"/>
                <w:color w:val="auto"/>
              </w:rPr>
              <w:t>ISRAEL</w:t>
            </w:r>
          </w:p>
        </w:tc>
        <w:tc>
          <w:tcPr>
            <w:tcW w:w="1680" w:type="dxa"/>
            <w:vAlign w:val="bottom"/>
          </w:tcPr>
          <w:p>
            <w:pPr>
              <w:ind w:left="40"/>
              <w:spacing w:after="0"/>
              <w:rPr>
                <w:sz w:val="20"/>
                <w:szCs w:val="20"/>
                <w:color w:val="auto"/>
              </w:rPr>
            </w:pPr>
            <w:r>
              <w:rPr>
                <w:rFonts w:ascii="Courier New" w:cs="Courier New" w:eastAsia="Courier New" w:hAnsi="Courier New"/>
                <w:sz w:val="12"/>
                <w:szCs w:val="12"/>
                <w:color w:val="auto"/>
              </w:rPr>
              <w:t>CORPORATION LTD.</w:t>
            </w:r>
          </w:p>
        </w:tc>
      </w:tr>
      <w:tr>
        <w:trPr>
          <w:trHeight w:val="274"/>
        </w:trPr>
        <w:tc>
          <w:tcPr>
            <w:tcW w:w="2840" w:type="dxa"/>
            <w:vAlign w:val="bottom"/>
          </w:tcPr>
          <w:p>
            <w:pPr>
              <w:spacing w:after="0"/>
              <w:rPr>
                <w:sz w:val="20"/>
                <w:szCs w:val="20"/>
                <w:color w:val="auto"/>
              </w:rPr>
            </w:pPr>
            <w:r>
              <w:rPr>
                <w:rFonts w:ascii="Courier New" w:cs="Courier New" w:eastAsia="Courier New" w:hAnsi="Courier New"/>
                <w:sz w:val="12"/>
                <w:szCs w:val="12"/>
                <w:color w:val="auto"/>
              </w:rPr>
              <w:t>Name: Russell Ellwanger</w:t>
            </w:r>
          </w:p>
        </w:tc>
        <w:tc>
          <w:tcPr>
            <w:tcW w:w="1180" w:type="dxa"/>
            <w:vAlign w:val="bottom"/>
          </w:tcPr>
          <w:p>
            <w:pPr>
              <w:ind w:left="720"/>
              <w:spacing w:after="0"/>
              <w:rPr>
                <w:sz w:val="20"/>
                <w:szCs w:val="20"/>
                <w:color w:val="auto"/>
              </w:rPr>
            </w:pPr>
            <w:r>
              <w:rPr>
                <w:rFonts w:ascii="Courier New" w:cs="Courier New" w:eastAsia="Courier New" w:hAnsi="Courier New"/>
                <w:sz w:val="12"/>
                <w:szCs w:val="12"/>
                <w:color w:val="auto"/>
              </w:rPr>
              <w:t>Name:</w:t>
            </w:r>
          </w:p>
        </w:tc>
        <w:tc>
          <w:tcPr>
            <w:tcW w:w="1680" w:type="dxa"/>
            <w:vAlign w:val="bottom"/>
          </w:tcPr>
          <w:p>
            <w:pPr>
              <w:ind w:left="40"/>
              <w:spacing w:after="0"/>
              <w:rPr>
                <w:sz w:val="20"/>
                <w:szCs w:val="20"/>
                <w:color w:val="auto"/>
              </w:rPr>
            </w:pPr>
            <w:r>
              <w:rPr>
                <w:rFonts w:ascii="Courier New" w:cs="Courier New" w:eastAsia="Courier New" w:hAnsi="Courier New"/>
                <w:sz w:val="12"/>
                <w:szCs w:val="12"/>
                <w:color w:val="auto"/>
              </w:rPr>
              <w:t>___________________</w:t>
            </w:r>
          </w:p>
        </w:tc>
      </w:tr>
      <w:tr>
        <w:trPr>
          <w:trHeight w:val="137"/>
        </w:trPr>
        <w:tc>
          <w:tcPr>
            <w:tcW w:w="2840" w:type="dxa"/>
            <w:vAlign w:val="bottom"/>
          </w:tcPr>
          <w:p>
            <w:pPr>
              <w:spacing w:after="0"/>
              <w:rPr>
                <w:sz w:val="20"/>
                <w:szCs w:val="20"/>
                <w:color w:val="auto"/>
              </w:rPr>
            </w:pPr>
            <w:r>
              <w:rPr>
                <w:rFonts w:ascii="Courier New" w:cs="Courier New" w:eastAsia="Courier New" w:hAnsi="Courier New"/>
                <w:sz w:val="12"/>
                <w:szCs w:val="12"/>
                <w:color w:val="auto"/>
              </w:rPr>
              <w:t>Title: Chief Executive Officer</w:t>
            </w:r>
          </w:p>
        </w:tc>
        <w:tc>
          <w:tcPr>
            <w:tcW w:w="1180" w:type="dxa"/>
            <w:vAlign w:val="bottom"/>
          </w:tcPr>
          <w:p>
            <w:pPr>
              <w:ind w:left="720"/>
              <w:spacing w:after="0"/>
              <w:rPr>
                <w:sz w:val="20"/>
                <w:szCs w:val="20"/>
                <w:color w:val="auto"/>
              </w:rPr>
            </w:pPr>
            <w:r>
              <w:rPr>
                <w:rFonts w:ascii="Courier New" w:cs="Courier New" w:eastAsia="Courier New" w:hAnsi="Courier New"/>
                <w:sz w:val="12"/>
                <w:szCs w:val="12"/>
                <w:color w:val="auto"/>
              </w:rPr>
              <w:t>Title:</w:t>
            </w:r>
          </w:p>
        </w:tc>
        <w:tc>
          <w:tcPr>
            <w:tcW w:w="16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__________________</w:t>
            </w:r>
          </w:p>
        </w:tc>
      </w:tr>
    </w:tbl>
    <w:p>
      <w:pPr>
        <w:sectPr>
          <w:pgSz w:w="11900" w:h="16838" w:orient="portrait"/>
          <w:cols w:equalWidth="0" w:num="1">
            <w:col w:w="10239"/>
          </w:cols>
          <w:pgMar w:left="220" w:top="672" w:right="1440" w:bottom="1440" w:gutter="0" w:footer="0" w:header="0"/>
        </w:sectPr>
      </w:pPr>
    </w:p>
    <w:bookmarkStart w:id="190" w:name="page191"/>
    <w:bookmarkEnd w:id="190"/>
    <w:p>
      <w:pPr>
        <w:jc w:val="center"/>
        <w:ind w:right="-307"/>
        <w:spacing w:after="0"/>
        <w:rPr>
          <w:sz w:val="20"/>
          <w:szCs w:val="20"/>
          <w:color w:val="auto"/>
        </w:rPr>
      </w:pPr>
      <w:r>
        <w:rPr>
          <w:rFonts w:ascii="Courier New" w:cs="Courier New" w:eastAsia="Courier New" w:hAnsi="Courier New"/>
          <w:sz w:val="11"/>
          <w:szCs w:val="11"/>
          <w:color w:val="auto"/>
        </w:rPr>
        <w:t>EXHIBIT 12.1</w:t>
      </w:r>
    </w:p>
    <w:p>
      <w:pPr>
        <w:spacing w:after="0" w:line="147"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CERTIFICATION</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 Russell C. Ellwanger, certify that:</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1. I have reviewed this annual report on Form 20-F of Tower Semiconductor</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Ltd.;</w:t>
      </w:r>
    </w:p>
    <w:p>
      <w:pPr>
        <w:spacing w:after="0" w:line="141" w:lineRule="exact"/>
        <w:rPr>
          <w:sz w:val="20"/>
          <w:szCs w:val="20"/>
          <w:color w:val="auto"/>
        </w:rPr>
      </w:pPr>
    </w:p>
    <w:p>
      <w:pPr>
        <w:ind w:left="7" w:right="4539" w:firstLine="350"/>
        <w:spacing w:after="0"/>
        <w:tabs>
          <w:tab w:leader="none" w:pos="578" w:val="left"/>
        </w:tabs>
        <w:numPr>
          <w:ilvl w:val="0"/>
          <w:numId w:val="3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Courier New" w:cs="Courier New" w:eastAsia="Courier New" w:hAnsi="Courier New"/>
          <w:sz w:val="12"/>
          <w:szCs w:val="12"/>
          <w:color w:val="auto"/>
        </w:rPr>
      </w:pPr>
    </w:p>
    <w:p>
      <w:pPr>
        <w:ind w:left="7" w:right="4759" w:firstLine="350"/>
        <w:spacing w:after="0"/>
        <w:tabs>
          <w:tab w:leader="none" w:pos="578" w:val="left"/>
        </w:tabs>
        <w:numPr>
          <w:ilvl w:val="0"/>
          <w:numId w:val="3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42" w:lineRule="exact"/>
        <w:rPr>
          <w:rFonts w:ascii="Courier New" w:cs="Courier New" w:eastAsia="Courier New" w:hAnsi="Courier New"/>
          <w:sz w:val="12"/>
          <w:szCs w:val="12"/>
          <w:color w:val="auto"/>
        </w:rPr>
      </w:pPr>
    </w:p>
    <w:p>
      <w:pPr>
        <w:jc w:val="both"/>
        <w:ind w:left="7" w:right="4679" w:firstLine="350"/>
        <w:spacing w:after="0" w:line="272" w:lineRule="auto"/>
        <w:tabs>
          <w:tab w:leader="none" w:pos="578" w:val="left"/>
        </w:tabs>
        <w:numPr>
          <w:ilvl w:val="0"/>
          <w:numId w:val="3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25" w:lineRule="exact"/>
        <w:rPr>
          <w:sz w:val="20"/>
          <w:szCs w:val="20"/>
          <w:color w:val="auto"/>
        </w:rPr>
      </w:pPr>
    </w:p>
    <w:p>
      <w:pPr>
        <w:ind w:left="367" w:right="4539" w:hanging="10"/>
        <w:spacing w:after="0" w:line="241" w:lineRule="auto"/>
        <w:tabs>
          <w:tab w:leader="none" w:pos="581" w:val="left"/>
        </w:tabs>
        <w:numPr>
          <w:ilvl w:val="0"/>
          <w:numId w:val="3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Courier New" w:cs="Courier New" w:eastAsia="Courier New" w:hAnsi="Courier New"/>
          <w:sz w:val="12"/>
          <w:szCs w:val="12"/>
          <w:color w:val="auto"/>
        </w:rPr>
      </w:pPr>
    </w:p>
    <w:p>
      <w:pPr>
        <w:ind w:left="367" w:right="5039" w:hanging="10"/>
        <w:spacing w:after="0" w:line="238" w:lineRule="auto"/>
        <w:tabs>
          <w:tab w:leader="none" w:pos="581" w:val="left"/>
        </w:tabs>
        <w:numPr>
          <w:ilvl w:val="0"/>
          <w:numId w:val="3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[Paragraph omitted in accordance with SEC transition instructions contained in SEC Release 34-47986];</w:t>
      </w:r>
    </w:p>
    <w:p>
      <w:pPr>
        <w:spacing w:after="0" w:line="142" w:lineRule="exact"/>
        <w:rPr>
          <w:rFonts w:ascii="Courier New" w:cs="Courier New" w:eastAsia="Courier New" w:hAnsi="Courier New"/>
          <w:sz w:val="12"/>
          <w:szCs w:val="12"/>
          <w:color w:val="auto"/>
        </w:rPr>
      </w:pPr>
    </w:p>
    <w:p>
      <w:pPr>
        <w:ind w:left="367" w:right="4599" w:hanging="10"/>
        <w:spacing w:after="0"/>
        <w:tabs>
          <w:tab w:leader="none" w:pos="581" w:val="left"/>
        </w:tabs>
        <w:numPr>
          <w:ilvl w:val="0"/>
          <w:numId w:val="3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Courier New" w:cs="Courier New" w:eastAsia="Courier New" w:hAnsi="Courier New"/>
          <w:sz w:val="12"/>
          <w:szCs w:val="12"/>
          <w:color w:val="auto"/>
        </w:rPr>
      </w:pPr>
    </w:p>
    <w:p>
      <w:pPr>
        <w:ind w:left="367" w:right="4539" w:hanging="10"/>
        <w:spacing w:after="0" w:line="241" w:lineRule="auto"/>
        <w:tabs>
          <w:tab w:leader="none" w:pos="581" w:val="left"/>
        </w:tabs>
        <w:numPr>
          <w:ilvl w:val="0"/>
          <w:numId w:val="3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41" w:lineRule="exact"/>
        <w:rPr>
          <w:sz w:val="20"/>
          <w:szCs w:val="20"/>
          <w:color w:val="auto"/>
        </w:rPr>
      </w:pPr>
    </w:p>
    <w:p>
      <w:pPr>
        <w:ind w:left="7" w:right="4539" w:firstLine="350"/>
        <w:spacing w:after="0"/>
        <w:tabs>
          <w:tab w:leader="none" w:pos="578" w:val="left"/>
        </w:tabs>
        <w:numPr>
          <w:ilvl w:val="0"/>
          <w:numId w:val="3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sz w:val="20"/>
          <w:szCs w:val="20"/>
          <w:color w:val="auto"/>
        </w:rPr>
      </w:pPr>
    </w:p>
    <w:p>
      <w:pPr>
        <w:ind w:left="567" w:hanging="210"/>
        <w:spacing w:after="0"/>
        <w:tabs>
          <w:tab w:leader="none" w:pos="567" w:val="left"/>
        </w:tabs>
        <w:numPr>
          <w:ilvl w:val="0"/>
          <w:numId w:val="3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w:t>
      </w:r>
    </w:p>
    <w:p>
      <w:pPr>
        <w:spacing w:after="0" w:line="4" w:lineRule="exact"/>
        <w:rPr>
          <w:rFonts w:ascii="Courier New" w:cs="Courier New" w:eastAsia="Courier New" w:hAnsi="Courier New"/>
          <w:sz w:val="12"/>
          <w:szCs w:val="12"/>
          <w:color w:val="auto"/>
        </w:rPr>
      </w:pPr>
    </w:p>
    <w:p>
      <w:pPr>
        <w:ind w:left="367" w:right="453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operation of internal control over financial reporting which are reasonably likely to adversely affect the registrant's ability to record, process, summarize and report financial information; and</w:t>
      </w:r>
    </w:p>
    <w:p>
      <w:pPr>
        <w:spacing w:after="0" w:line="142" w:lineRule="exact"/>
        <w:rPr>
          <w:rFonts w:ascii="Courier New" w:cs="Courier New" w:eastAsia="Courier New" w:hAnsi="Courier New"/>
          <w:sz w:val="12"/>
          <w:szCs w:val="12"/>
          <w:color w:val="auto"/>
        </w:rPr>
      </w:pPr>
    </w:p>
    <w:p>
      <w:pPr>
        <w:ind w:left="367" w:right="4599" w:hanging="10"/>
        <w:spacing w:after="0" w:line="239" w:lineRule="auto"/>
        <w:tabs>
          <w:tab w:leader="none" w:pos="581" w:val="left"/>
        </w:tabs>
        <w:numPr>
          <w:ilvl w:val="0"/>
          <w:numId w:val="3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July 13, 2006</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/s/ Russell C. Ellwanger</w:t>
      </w:r>
    </w:p>
    <w:p>
      <w:pPr>
        <w:spacing w:after="0" w:line="1" w:lineRule="exact"/>
        <w:rPr>
          <w:sz w:val="20"/>
          <w:szCs w:val="20"/>
          <w:color w:val="auto"/>
        </w:rPr>
      </w:pPr>
    </w:p>
    <w:p>
      <w:pPr>
        <w:ind w:left="147" w:hanging="147"/>
        <w:spacing w:after="0"/>
        <w:tabs>
          <w:tab w:leader="none" w:pos="147" w:val="left"/>
        </w:tabs>
        <w:numPr>
          <w:ilvl w:val="0"/>
          <w:numId w:val="3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4" w:lineRule="exact"/>
        <w:rPr>
          <w:rFonts w:ascii="Courier New" w:cs="Courier New" w:eastAsia="Courier New" w:hAnsi="Courier New"/>
          <w:sz w:val="12"/>
          <w:szCs w:val="12"/>
          <w:color w:val="auto"/>
        </w:rPr>
      </w:pPr>
    </w:p>
    <w:p>
      <w:pPr>
        <w:ind w:left="7" w:right="8539"/>
        <w:spacing w:after="0" w:line="27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RUSSELL C. ELLWANGER CHIEF EXECUTIVE OFFICER TOWER SEMICONDUCTOR LTD.</w:t>
      </w:r>
    </w:p>
    <w:p>
      <w:pPr>
        <w:sectPr>
          <w:pgSz w:w="11900" w:h="16838" w:orient="portrait"/>
          <w:cols w:equalWidth="0" w:num="1">
            <w:col w:w="10246"/>
          </w:cols>
          <w:pgMar w:left="213" w:top="278" w:right="1440" w:bottom="1440" w:gutter="0" w:footer="0" w:header="0"/>
        </w:sectPr>
      </w:pPr>
    </w:p>
    <w:bookmarkStart w:id="191" w:name="page192"/>
    <w:bookmarkEnd w:id="191"/>
    <w:p>
      <w:pPr>
        <w:jc w:val="center"/>
        <w:ind w:right="-307"/>
        <w:spacing w:after="0"/>
        <w:rPr>
          <w:sz w:val="20"/>
          <w:szCs w:val="20"/>
          <w:color w:val="auto"/>
        </w:rPr>
      </w:pPr>
      <w:r>
        <w:rPr>
          <w:rFonts w:ascii="Courier New" w:cs="Courier New" w:eastAsia="Courier New" w:hAnsi="Courier New"/>
          <w:sz w:val="11"/>
          <w:szCs w:val="11"/>
          <w:color w:val="auto"/>
        </w:rPr>
        <w:t>EXHIBIT 12.2</w:t>
      </w:r>
    </w:p>
    <w:p>
      <w:pPr>
        <w:spacing w:after="0" w:line="147"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CERTIFICATION</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I, Oren Shirazi, certify that:</w:t>
      </w:r>
    </w:p>
    <w:p>
      <w:pPr>
        <w:spacing w:after="0" w:line="139" w:lineRule="exact"/>
        <w:rPr>
          <w:sz w:val="20"/>
          <w:szCs w:val="20"/>
          <w:color w:val="auto"/>
        </w:rPr>
      </w:pPr>
    </w:p>
    <w:p>
      <w:pPr>
        <w:ind w:left="367"/>
        <w:spacing w:after="0"/>
        <w:rPr>
          <w:sz w:val="20"/>
          <w:szCs w:val="20"/>
          <w:color w:val="auto"/>
        </w:rPr>
      </w:pPr>
      <w:r>
        <w:rPr>
          <w:rFonts w:ascii="Courier New" w:cs="Courier New" w:eastAsia="Courier New" w:hAnsi="Courier New"/>
          <w:sz w:val="12"/>
          <w:szCs w:val="12"/>
          <w:color w:val="auto"/>
        </w:rPr>
        <w:t>1. I have reviewed this annual report on Form 20-F of Tower Semiconductor</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Ltd.;</w:t>
      </w:r>
    </w:p>
    <w:p>
      <w:pPr>
        <w:spacing w:after="0" w:line="141" w:lineRule="exact"/>
        <w:rPr>
          <w:sz w:val="20"/>
          <w:szCs w:val="20"/>
          <w:color w:val="auto"/>
        </w:rPr>
      </w:pPr>
    </w:p>
    <w:p>
      <w:pPr>
        <w:ind w:left="7" w:right="4539" w:firstLine="350"/>
        <w:spacing w:after="0"/>
        <w:tabs>
          <w:tab w:leader="none" w:pos="578" w:val="left"/>
        </w:tabs>
        <w:numPr>
          <w:ilvl w:val="0"/>
          <w:numId w:val="3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Courier New" w:cs="Courier New" w:eastAsia="Courier New" w:hAnsi="Courier New"/>
          <w:sz w:val="12"/>
          <w:szCs w:val="12"/>
          <w:color w:val="auto"/>
        </w:rPr>
      </w:pPr>
    </w:p>
    <w:p>
      <w:pPr>
        <w:ind w:left="7" w:right="4759" w:firstLine="350"/>
        <w:spacing w:after="0"/>
        <w:tabs>
          <w:tab w:leader="none" w:pos="578" w:val="left"/>
        </w:tabs>
        <w:numPr>
          <w:ilvl w:val="0"/>
          <w:numId w:val="3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42" w:lineRule="exact"/>
        <w:rPr>
          <w:rFonts w:ascii="Courier New" w:cs="Courier New" w:eastAsia="Courier New" w:hAnsi="Courier New"/>
          <w:sz w:val="12"/>
          <w:szCs w:val="12"/>
          <w:color w:val="auto"/>
        </w:rPr>
      </w:pPr>
    </w:p>
    <w:p>
      <w:pPr>
        <w:jc w:val="both"/>
        <w:ind w:left="7" w:right="4679" w:firstLine="350"/>
        <w:spacing w:after="0" w:line="272" w:lineRule="auto"/>
        <w:tabs>
          <w:tab w:leader="none" w:pos="578" w:val="left"/>
        </w:tabs>
        <w:numPr>
          <w:ilvl w:val="0"/>
          <w:numId w:val="3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25" w:lineRule="exact"/>
        <w:rPr>
          <w:sz w:val="20"/>
          <w:szCs w:val="20"/>
          <w:color w:val="auto"/>
        </w:rPr>
      </w:pPr>
    </w:p>
    <w:p>
      <w:pPr>
        <w:ind w:left="367" w:right="4539" w:hanging="10"/>
        <w:spacing w:after="0" w:line="268" w:lineRule="auto"/>
        <w:tabs>
          <w:tab w:leader="none" w:pos="581" w:val="left"/>
        </w:tabs>
        <w:numPr>
          <w:ilvl w:val="0"/>
          <w:numId w:val="3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this entity , particularly during the period in which this report is being prepared;</w:t>
      </w:r>
    </w:p>
    <w:p>
      <w:pPr>
        <w:spacing w:after="0" w:line="127" w:lineRule="exact"/>
        <w:rPr>
          <w:rFonts w:ascii="Courier New" w:cs="Courier New" w:eastAsia="Courier New" w:hAnsi="Courier New"/>
          <w:sz w:val="11"/>
          <w:szCs w:val="11"/>
          <w:color w:val="auto"/>
        </w:rPr>
      </w:pPr>
    </w:p>
    <w:p>
      <w:pPr>
        <w:ind w:left="367" w:right="5039" w:hanging="10"/>
        <w:spacing w:after="0" w:line="238" w:lineRule="auto"/>
        <w:tabs>
          <w:tab w:leader="none" w:pos="581" w:val="left"/>
        </w:tabs>
        <w:numPr>
          <w:ilvl w:val="0"/>
          <w:numId w:val="3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[Paragraph omitted in accordance with SEC transition instructions contained in SEC Release 34-47986];</w:t>
      </w:r>
    </w:p>
    <w:p>
      <w:pPr>
        <w:spacing w:after="0" w:line="142" w:lineRule="exact"/>
        <w:rPr>
          <w:rFonts w:ascii="Courier New" w:cs="Courier New" w:eastAsia="Courier New" w:hAnsi="Courier New"/>
          <w:sz w:val="12"/>
          <w:szCs w:val="12"/>
          <w:color w:val="auto"/>
        </w:rPr>
      </w:pPr>
    </w:p>
    <w:p>
      <w:pPr>
        <w:ind w:left="367" w:right="4599" w:hanging="10"/>
        <w:spacing w:after="0"/>
        <w:tabs>
          <w:tab w:leader="none" w:pos="581" w:val="left"/>
        </w:tabs>
        <w:numPr>
          <w:ilvl w:val="0"/>
          <w:numId w:val="3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Courier New" w:cs="Courier New" w:eastAsia="Courier New" w:hAnsi="Courier New"/>
          <w:sz w:val="12"/>
          <w:szCs w:val="12"/>
          <w:color w:val="auto"/>
        </w:rPr>
      </w:pPr>
    </w:p>
    <w:p>
      <w:pPr>
        <w:ind w:left="367" w:right="4539" w:hanging="10"/>
        <w:spacing w:after="0" w:line="241" w:lineRule="auto"/>
        <w:tabs>
          <w:tab w:leader="none" w:pos="581" w:val="left"/>
        </w:tabs>
        <w:numPr>
          <w:ilvl w:val="0"/>
          <w:numId w:val="3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41" w:lineRule="exact"/>
        <w:rPr>
          <w:sz w:val="20"/>
          <w:szCs w:val="20"/>
          <w:color w:val="auto"/>
        </w:rPr>
      </w:pPr>
    </w:p>
    <w:p>
      <w:pPr>
        <w:ind w:left="7" w:right="4539" w:firstLine="350"/>
        <w:spacing w:after="0"/>
        <w:tabs>
          <w:tab w:leader="none" w:pos="578" w:val="left"/>
        </w:tabs>
        <w:numPr>
          <w:ilvl w:val="0"/>
          <w:numId w:val="3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sz w:val="20"/>
          <w:szCs w:val="20"/>
          <w:color w:val="auto"/>
        </w:rPr>
      </w:pPr>
    </w:p>
    <w:p>
      <w:pPr>
        <w:ind w:left="567" w:hanging="210"/>
        <w:spacing w:after="0"/>
        <w:tabs>
          <w:tab w:leader="none" w:pos="567" w:val="left"/>
        </w:tabs>
        <w:numPr>
          <w:ilvl w:val="0"/>
          <w:numId w:val="3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w:t>
      </w:r>
    </w:p>
    <w:p>
      <w:pPr>
        <w:spacing w:after="0" w:line="4" w:lineRule="exact"/>
        <w:rPr>
          <w:rFonts w:ascii="Courier New" w:cs="Courier New" w:eastAsia="Courier New" w:hAnsi="Courier New"/>
          <w:sz w:val="12"/>
          <w:szCs w:val="12"/>
          <w:color w:val="auto"/>
        </w:rPr>
      </w:pPr>
    </w:p>
    <w:p>
      <w:pPr>
        <w:ind w:left="367" w:right="4539"/>
        <w:spacing w:after="0" w:line="23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operation of internal control over financial reporting which are reasonably likely to adversely affect the registrant's ability to record, process, summarize and report financial information; and</w:t>
      </w:r>
    </w:p>
    <w:p>
      <w:pPr>
        <w:spacing w:after="0" w:line="142" w:lineRule="exact"/>
        <w:rPr>
          <w:rFonts w:ascii="Courier New" w:cs="Courier New" w:eastAsia="Courier New" w:hAnsi="Courier New"/>
          <w:sz w:val="12"/>
          <w:szCs w:val="12"/>
          <w:color w:val="auto"/>
        </w:rPr>
      </w:pPr>
    </w:p>
    <w:p>
      <w:pPr>
        <w:ind w:left="367" w:right="4599" w:hanging="10"/>
        <w:spacing w:after="0" w:line="239" w:lineRule="auto"/>
        <w:tabs>
          <w:tab w:leader="none" w:pos="581" w:val="left"/>
        </w:tabs>
        <w:numPr>
          <w:ilvl w:val="0"/>
          <w:numId w:val="3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July 13, 2006</w:t>
      </w:r>
    </w:p>
    <w:p>
      <w:pPr>
        <w:spacing w:after="0" w:line="139" w:lineRule="exact"/>
        <w:rPr>
          <w:sz w:val="20"/>
          <w:szCs w:val="20"/>
          <w:color w:val="auto"/>
        </w:rPr>
      </w:pPr>
    </w:p>
    <w:p>
      <w:pPr>
        <w:ind w:left="7"/>
        <w:spacing w:after="0"/>
        <w:rPr>
          <w:sz w:val="20"/>
          <w:szCs w:val="20"/>
          <w:color w:val="auto"/>
        </w:rPr>
      </w:pPr>
      <w:r>
        <w:rPr>
          <w:rFonts w:ascii="Courier New" w:cs="Courier New" w:eastAsia="Courier New" w:hAnsi="Courier New"/>
          <w:sz w:val="12"/>
          <w:szCs w:val="12"/>
          <w:color w:val="auto"/>
        </w:rPr>
        <w:t>/s/ Oren Shirazi</w:t>
      </w:r>
    </w:p>
    <w:p>
      <w:pPr>
        <w:spacing w:after="0" w:line="1" w:lineRule="exact"/>
        <w:rPr>
          <w:sz w:val="20"/>
          <w:szCs w:val="20"/>
          <w:color w:val="auto"/>
        </w:rPr>
      </w:pPr>
    </w:p>
    <w:p>
      <w:pPr>
        <w:ind w:left="147" w:hanging="147"/>
        <w:spacing w:after="0"/>
        <w:tabs>
          <w:tab w:leader="none" w:pos="147" w:val="left"/>
        </w:tabs>
        <w:numPr>
          <w:ilvl w:val="0"/>
          <w:numId w:val="3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 w:lineRule="exact"/>
        <w:rPr>
          <w:rFonts w:ascii="Courier New" w:cs="Courier New" w:eastAsia="Courier New" w:hAnsi="Courier New"/>
          <w:sz w:val="12"/>
          <w:szCs w:val="12"/>
          <w:color w:val="auto"/>
        </w:rPr>
      </w:pPr>
    </w:p>
    <w:p>
      <w:pPr>
        <w:ind w:left="7"/>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OREN SHIRAZI</w:t>
      </w:r>
    </w:p>
    <w:p>
      <w:pPr>
        <w:spacing w:after="0" w:line="4" w:lineRule="exact"/>
        <w:rPr>
          <w:rFonts w:ascii="Courier New" w:cs="Courier New" w:eastAsia="Courier New" w:hAnsi="Courier New"/>
          <w:sz w:val="12"/>
          <w:szCs w:val="12"/>
          <w:color w:val="auto"/>
        </w:rPr>
      </w:pPr>
    </w:p>
    <w:p>
      <w:pPr>
        <w:ind w:left="7" w:right="8099"/>
        <w:spacing w:after="0" w:line="28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ACTING CHIEF FINANCIAL OFFICER TOWER SEMICONDUCTOR LTD.</w:t>
      </w:r>
    </w:p>
    <w:p>
      <w:pPr>
        <w:sectPr>
          <w:pgSz w:w="11900" w:h="16838" w:orient="portrait"/>
          <w:cols w:equalWidth="0" w:num="1">
            <w:col w:w="10246"/>
          </w:cols>
          <w:pgMar w:left="213" w:top="416" w:right="1440" w:bottom="1440" w:gutter="0" w:footer="0" w:header="0"/>
        </w:sectPr>
      </w:pPr>
    </w:p>
    <w:bookmarkStart w:id="192" w:name="page193"/>
    <w:bookmarkEnd w:id="192"/>
    <w:p>
      <w:pPr>
        <w:jc w:val="center"/>
        <w:ind w:right="-300"/>
        <w:spacing w:after="0"/>
        <w:rPr>
          <w:sz w:val="20"/>
          <w:szCs w:val="20"/>
          <w:color w:val="auto"/>
        </w:rPr>
      </w:pPr>
      <w:r>
        <w:rPr>
          <w:rFonts w:ascii="Courier New" w:cs="Courier New" w:eastAsia="Courier New" w:hAnsi="Courier New"/>
          <w:sz w:val="11"/>
          <w:szCs w:val="11"/>
          <w:color w:val="auto"/>
        </w:rPr>
        <w:t>EXHIBIT 13.1</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CERTIFICATION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18 U.S.C SECTION 1350,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ADOPTED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SECTION 906 OF THE SARBANES-OXLEY ACT OF 2002</w:t>
      </w:r>
    </w:p>
    <w:p>
      <w:pPr>
        <w:spacing w:after="0" w:line="141" w:lineRule="exact"/>
        <w:rPr>
          <w:sz w:val="20"/>
          <w:szCs w:val="20"/>
          <w:color w:val="auto"/>
        </w:rPr>
      </w:pPr>
    </w:p>
    <w:p>
      <w:pPr>
        <w:ind w:right="4759" w:firstLine="357"/>
        <w:spacing w:after="0" w:line="241" w:lineRule="auto"/>
        <w:rPr>
          <w:sz w:val="20"/>
          <w:szCs w:val="20"/>
          <w:color w:val="auto"/>
        </w:rPr>
      </w:pPr>
      <w:r>
        <w:rPr>
          <w:rFonts w:ascii="Courier New" w:cs="Courier New" w:eastAsia="Courier New" w:hAnsi="Courier New"/>
          <w:sz w:val="12"/>
          <w:szCs w:val="12"/>
          <w:color w:val="auto"/>
        </w:rPr>
        <w:t>In connection with the Annual Report of Tower Semiconductor Ltd. (the "Registrant") on Form 20-F for the year ended December 31, 2005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142" w:lineRule="exact"/>
        <w:rPr>
          <w:sz w:val="20"/>
          <w:szCs w:val="20"/>
          <w:color w:val="auto"/>
        </w:rPr>
      </w:pPr>
    </w:p>
    <w:p>
      <w:pPr>
        <w:ind w:left="700" w:right="4759" w:hanging="350"/>
        <w:spacing w:after="0" w:line="238" w:lineRule="auto"/>
        <w:tabs>
          <w:tab w:leader="none" w:pos="700" w:val="left"/>
        </w:tabs>
        <w:numPr>
          <w:ilvl w:val="0"/>
          <w:numId w:val="3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Report fully complies with the requirements of Section 13(a) of the Securities Exchange Act of 1934; and</w:t>
      </w:r>
    </w:p>
    <w:p>
      <w:pPr>
        <w:spacing w:after="0" w:line="142" w:lineRule="exact"/>
        <w:rPr>
          <w:rFonts w:ascii="Courier New" w:cs="Courier New" w:eastAsia="Courier New" w:hAnsi="Courier New"/>
          <w:sz w:val="12"/>
          <w:szCs w:val="12"/>
          <w:color w:val="auto"/>
        </w:rPr>
      </w:pPr>
    </w:p>
    <w:p>
      <w:pPr>
        <w:ind w:left="700" w:right="4679" w:hanging="350"/>
        <w:spacing w:after="0" w:line="239" w:lineRule="auto"/>
        <w:tabs>
          <w:tab w:leader="none" w:pos="700" w:val="left"/>
        </w:tabs>
        <w:numPr>
          <w:ilvl w:val="0"/>
          <w:numId w:val="3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information contained in the Report fairly presents, in all material respects, the financial condition and results of operations of the Registrant.</w:t>
      </w:r>
    </w:p>
    <w:p>
      <w:pPr>
        <w:spacing w:after="0" w:line="277" w:lineRule="exact"/>
        <w:rPr>
          <w:sz w:val="20"/>
          <w:szCs w:val="20"/>
          <w:color w:val="auto"/>
        </w:rPr>
      </w:pPr>
    </w:p>
    <w:p>
      <w:pPr>
        <w:ind w:left="3780"/>
        <w:spacing w:after="0"/>
        <w:rPr>
          <w:sz w:val="20"/>
          <w:szCs w:val="20"/>
          <w:color w:val="auto"/>
        </w:rPr>
      </w:pPr>
      <w:r>
        <w:rPr>
          <w:rFonts w:ascii="Courier New" w:cs="Courier New" w:eastAsia="Courier New" w:hAnsi="Courier New"/>
          <w:sz w:val="12"/>
          <w:szCs w:val="12"/>
          <w:color w:val="auto"/>
        </w:rPr>
        <w:t>/s/ Russell C. Ellwanger</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2"/>
          <w:szCs w:val="12"/>
          <w:color w:val="auto"/>
        </w:rPr>
        <w:t>Russell C. Ellwanger</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2"/>
          <w:szCs w:val="12"/>
          <w:color w:val="auto"/>
        </w:rPr>
        <w:t>Chief Executive Officer</w:t>
      </w:r>
    </w:p>
    <w:p>
      <w:pPr>
        <w:spacing w:after="0" w:line="139" w:lineRule="exact"/>
        <w:rPr>
          <w:sz w:val="20"/>
          <w:szCs w:val="20"/>
          <w:color w:val="auto"/>
        </w:rPr>
      </w:pPr>
    </w:p>
    <w:p>
      <w:pPr>
        <w:ind w:left="3780"/>
        <w:spacing w:after="0"/>
        <w:rPr>
          <w:sz w:val="20"/>
          <w:szCs w:val="20"/>
          <w:color w:val="auto"/>
        </w:rPr>
      </w:pPr>
      <w:r>
        <w:rPr>
          <w:rFonts w:ascii="Courier New" w:cs="Courier New" w:eastAsia="Courier New" w:hAnsi="Courier New"/>
          <w:sz w:val="12"/>
          <w:szCs w:val="12"/>
          <w:color w:val="auto"/>
        </w:rPr>
        <w:t>July 13, 2006</w:t>
      </w:r>
    </w:p>
    <w:p>
      <w:pPr>
        <w:spacing w:after="0" w:line="279" w:lineRule="exact"/>
        <w:rPr>
          <w:sz w:val="20"/>
          <w:szCs w:val="20"/>
          <w:color w:val="auto"/>
        </w:rPr>
      </w:pPr>
    </w:p>
    <w:p>
      <w:pPr>
        <w:ind w:right="4599"/>
        <w:spacing w:after="0" w:line="239"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39"/>
          </w:cols>
          <w:pgMar w:left="220" w:top="416" w:right="1440" w:bottom="1440" w:gutter="0" w:footer="0" w:header="0"/>
        </w:sectPr>
      </w:pPr>
    </w:p>
    <w:bookmarkStart w:id="193" w:name="page194"/>
    <w:bookmarkEnd w:id="193"/>
    <w:p>
      <w:pPr>
        <w:jc w:val="center"/>
        <w:ind w:right="-300"/>
        <w:spacing w:after="0"/>
        <w:rPr>
          <w:sz w:val="20"/>
          <w:szCs w:val="20"/>
          <w:color w:val="auto"/>
        </w:rPr>
      </w:pPr>
      <w:r>
        <w:rPr>
          <w:rFonts w:ascii="Courier New" w:cs="Courier New" w:eastAsia="Courier New" w:hAnsi="Courier New"/>
          <w:sz w:val="11"/>
          <w:szCs w:val="11"/>
          <w:color w:val="auto"/>
        </w:rPr>
        <w:t>EXHIBIT 13.2</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CERTIFICATION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18 U.S.C SECTION 1350,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ADOPTED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SECTION 906 OF THE SARBANES-OXLEY ACT OF 2002</w:t>
      </w:r>
    </w:p>
    <w:p>
      <w:pPr>
        <w:spacing w:after="0" w:line="141" w:lineRule="exact"/>
        <w:rPr>
          <w:sz w:val="20"/>
          <w:szCs w:val="20"/>
          <w:color w:val="auto"/>
        </w:rPr>
      </w:pPr>
    </w:p>
    <w:p>
      <w:pPr>
        <w:ind w:right="4759" w:firstLine="357"/>
        <w:spacing w:after="0" w:line="241" w:lineRule="auto"/>
        <w:rPr>
          <w:sz w:val="20"/>
          <w:szCs w:val="20"/>
          <w:color w:val="auto"/>
        </w:rPr>
      </w:pPr>
      <w:r>
        <w:rPr>
          <w:rFonts w:ascii="Courier New" w:cs="Courier New" w:eastAsia="Courier New" w:hAnsi="Courier New"/>
          <w:sz w:val="12"/>
          <w:szCs w:val="12"/>
          <w:color w:val="auto"/>
        </w:rPr>
        <w:t>In connection with the Annual Report of Tower Semiconductor Ltd. (the "Registrant") on Form 20-F for the year ended December 31, 2005 as filed with the Securities and Exchange Commission on the date hereof (the "Report"), I, Oren Shirazi, Acting Chief Financial Officer of the Registrant, certify, pursuant to 18 U.S.C. section 1350, as adopted pursuant to section 906 of the Sarbanes-Oxley Act of 2002, that to my knowledge:</w:t>
      </w:r>
    </w:p>
    <w:p>
      <w:pPr>
        <w:spacing w:after="0" w:line="142" w:lineRule="exact"/>
        <w:rPr>
          <w:sz w:val="20"/>
          <w:szCs w:val="20"/>
          <w:color w:val="auto"/>
        </w:rPr>
      </w:pPr>
    </w:p>
    <w:p>
      <w:pPr>
        <w:ind w:left="700" w:right="4759" w:hanging="350"/>
        <w:spacing w:after="0" w:line="238" w:lineRule="auto"/>
        <w:tabs>
          <w:tab w:leader="none" w:pos="700" w:val="left"/>
        </w:tabs>
        <w:numPr>
          <w:ilvl w:val="0"/>
          <w:numId w:val="3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Report fully complies with the requirements of Section 13(a) of the Securities Exchange Act of 1934; and</w:t>
      </w:r>
    </w:p>
    <w:p>
      <w:pPr>
        <w:spacing w:after="0" w:line="142" w:lineRule="exact"/>
        <w:rPr>
          <w:rFonts w:ascii="Courier New" w:cs="Courier New" w:eastAsia="Courier New" w:hAnsi="Courier New"/>
          <w:sz w:val="12"/>
          <w:szCs w:val="12"/>
          <w:color w:val="auto"/>
        </w:rPr>
      </w:pPr>
    </w:p>
    <w:p>
      <w:pPr>
        <w:ind w:left="700" w:right="4679" w:hanging="350"/>
        <w:spacing w:after="0" w:line="239" w:lineRule="auto"/>
        <w:tabs>
          <w:tab w:leader="none" w:pos="700" w:val="left"/>
        </w:tabs>
        <w:numPr>
          <w:ilvl w:val="0"/>
          <w:numId w:val="3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information contained in the Report fairly presents, in all material respects, the financial condition and results of operations of the Registrant.</w:t>
      </w:r>
    </w:p>
    <w:p>
      <w:pPr>
        <w:spacing w:after="0" w:line="277"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/s/ Oren Shirazi</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Oren Shirazi</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1"/>
          <w:szCs w:val="11"/>
          <w:color w:val="auto"/>
        </w:rPr>
        <w:t>Acting Chief Financial Officer</w:t>
      </w:r>
    </w:p>
    <w:p>
      <w:pPr>
        <w:spacing w:after="0" w:line="10" w:lineRule="exact"/>
        <w:rPr>
          <w:sz w:val="20"/>
          <w:szCs w:val="20"/>
          <w:color w:val="auto"/>
        </w:rPr>
      </w:pPr>
    </w:p>
    <w:p>
      <w:pPr>
        <w:ind w:left="3560"/>
        <w:spacing w:after="0"/>
        <w:rPr>
          <w:sz w:val="20"/>
          <w:szCs w:val="20"/>
          <w:color w:val="auto"/>
        </w:rPr>
      </w:pPr>
      <w:r>
        <w:rPr>
          <w:rFonts w:ascii="Courier New" w:cs="Courier New" w:eastAsia="Courier New" w:hAnsi="Courier New"/>
          <w:sz w:val="12"/>
          <w:szCs w:val="12"/>
          <w:color w:val="auto"/>
        </w:rPr>
        <w:t>July 13, 2006</w:t>
      </w:r>
    </w:p>
    <w:p>
      <w:pPr>
        <w:spacing w:after="0" w:line="279" w:lineRule="exact"/>
        <w:rPr>
          <w:sz w:val="20"/>
          <w:szCs w:val="20"/>
          <w:color w:val="auto"/>
        </w:rPr>
      </w:pPr>
    </w:p>
    <w:p>
      <w:pPr>
        <w:ind w:right="4599"/>
        <w:spacing w:after="0" w:line="239"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39"/>
          </w:cols>
          <w:pgMar w:left="220" w:top="416" w:right="1440" w:bottom="1440" w:gutter="0" w:footer="0" w:header="0"/>
        </w:sectPr>
      </w:pPr>
    </w:p>
    <w:bookmarkStart w:id="194" w:name="page195"/>
    <w:bookmarkEnd w:id="194"/>
    <w:p>
      <w:pPr>
        <w:jc w:val="center"/>
        <w:ind w:right="-300"/>
        <w:spacing w:after="0"/>
        <w:rPr>
          <w:sz w:val="20"/>
          <w:szCs w:val="20"/>
          <w:color w:val="auto"/>
        </w:rPr>
      </w:pPr>
      <w:r>
        <w:rPr>
          <w:rFonts w:ascii="Courier New" w:cs="Courier New" w:eastAsia="Courier New" w:hAnsi="Courier New"/>
          <w:sz w:val="11"/>
          <w:szCs w:val="11"/>
          <w:color w:val="auto"/>
        </w:rPr>
        <w:t>EXHIBIT 14.1</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CONSENT OF INDEPENDENT REGISTERED PUBLIC ACCOUNTING FIRM</w:t>
      </w:r>
    </w:p>
    <w:p>
      <w:pPr>
        <w:spacing w:after="0" w:line="141" w:lineRule="exact"/>
        <w:rPr>
          <w:sz w:val="20"/>
          <w:szCs w:val="20"/>
          <w:color w:val="auto"/>
        </w:rPr>
      </w:pPr>
    </w:p>
    <w:p>
      <w:pPr>
        <w:ind w:right="4599"/>
        <w:spacing w:after="0" w:line="241" w:lineRule="auto"/>
        <w:rPr>
          <w:sz w:val="20"/>
          <w:szCs w:val="20"/>
          <w:color w:val="auto"/>
        </w:rPr>
      </w:pPr>
      <w:r>
        <w:rPr>
          <w:rFonts w:ascii="Courier New" w:cs="Courier New" w:eastAsia="Courier New" w:hAnsi="Courier New"/>
          <w:sz w:val="12"/>
          <w:szCs w:val="12"/>
          <w:color w:val="auto"/>
        </w:rPr>
        <w:t>We consent to the incorporation by reference in Registration Statements Nos. 333-85090, 333-97043, 333-108896, 333-110486 and 333-131315, on Form F-3, and Nos. 33-80947, 333-06482, 333-11720, 333-83204, 333-107943 and 333-117565, on Form S-8, of our report dated February 1, 2006, relating to the consolidated financial statements of Tower Semiconductor Ltd., appearing in this Annual Report on Form 20-F of Tower Semiconductor Ltd. for the year ended December 31, 2005.</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Certified Public Accountants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Member Firm of Deloitte Touche Tohmatsu</w:t>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July 13, 2006</w:t>
      </w:r>
    </w:p>
    <w:sectPr>
      <w:pgSz w:w="11900" w:h="16838" w:orient="portrait"/>
      <w:cols w:equalWidth="0" w:num="1">
        <w:col w:w="10239"/>
      </w:cols>
      <w:pgMar w:left="220" w:top="2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15CD1A"/>
    <w:multiLevelType w:val="hybridMultilevel"/>
    <w:lvl w:ilvl="0">
      <w:lvlJc w:val="left"/>
      <w:lvlText w:val="-"/>
      <w:numFmt w:val="bullet"/>
      <w:start w:val="1"/>
    </w:lvl>
  </w:abstractNum>
  <w:abstractNum w:abstractNumId="1">
    <w:nsid w:val="424479DA"/>
    <w:multiLevelType w:val="hybridMultilevel"/>
    <w:lvl w:ilvl="0">
      <w:lvlJc w:val="left"/>
      <w:lvlText w:val="-"/>
      <w:numFmt w:val="bullet"/>
      <w:start w:val="1"/>
    </w:lvl>
  </w:abstractNum>
  <w:abstractNum w:abstractNumId="2">
    <w:nsid w:val="1A9A9E69"/>
    <w:multiLevelType w:val="hybridMultilevel"/>
    <w:lvl w:ilvl="0">
      <w:lvlJc w:val="left"/>
      <w:lvlText w:val="-"/>
      <w:numFmt w:val="bullet"/>
      <w:start w:val="1"/>
    </w:lvl>
  </w:abstractNum>
  <w:abstractNum w:abstractNumId="3">
    <w:nsid w:val="475E256A"/>
    <w:multiLevelType w:val="hybridMultilevel"/>
    <w:lvl w:ilvl="0">
      <w:lvlJc w:val="left"/>
      <w:lvlText w:val="(*)"/>
      <w:numFmt w:val="bullet"/>
      <w:start w:val="1"/>
    </w:lvl>
  </w:abstractNum>
  <w:abstractNum w:abstractNumId="4">
    <w:nsid w:val="368DB37E"/>
    <w:multiLevelType w:val="hybridMultilevel"/>
    <w:lvl w:ilvl="0">
      <w:lvlJc w:val="left"/>
      <w:lvlText w:val="(*)"/>
      <w:numFmt w:val="bullet"/>
      <w:start w:val="1"/>
    </w:lvl>
  </w:abstractNum>
  <w:abstractNum w:abstractNumId="5">
    <w:nsid w:val="6A3B714C"/>
    <w:multiLevelType w:val="hybridMultilevel"/>
    <w:lvl w:ilvl="0">
      <w:lvlJc w:val="left"/>
      <w:lvlText w:val="o"/>
      <w:numFmt w:val="bullet"/>
      <w:start w:val="1"/>
    </w:lvl>
  </w:abstractNum>
  <w:abstractNum w:abstractNumId="6">
    <w:nsid w:val="327B517E"/>
    <w:multiLevelType w:val="hybridMultilevel"/>
    <w:lvl w:ilvl="0">
      <w:lvlJc w:val="left"/>
      <w:lvlText w:val="o"/>
      <w:numFmt w:val="bullet"/>
      <w:start w:val="1"/>
    </w:lvl>
  </w:abstractNum>
  <w:abstractNum w:abstractNumId="7">
    <w:nsid w:val="1F461B51"/>
    <w:multiLevelType w:val="hybridMultilevel"/>
    <w:lvl w:ilvl="0">
      <w:lvlJc w:val="left"/>
      <w:lvlText w:val="o"/>
      <w:numFmt w:val="bullet"/>
      <w:start w:val="1"/>
    </w:lvl>
  </w:abstractNum>
  <w:abstractNum w:abstractNumId="8">
    <w:nsid w:val="29BACF25"/>
    <w:multiLevelType w:val="hybridMultilevel"/>
    <w:lvl w:ilvl="0">
      <w:lvlJc w:val="left"/>
      <w:lvlText w:val="o"/>
      <w:numFmt w:val="bullet"/>
      <w:start w:val="1"/>
    </w:lvl>
  </w:abstractNum>
  <w:abstractNum w:abstractNumId="9">
    <w:nsid w:val="5D5BABB3"/>
    <w:multiLevelType w:val="hybridMultilevel"/>
    <w:lvl w:ilvl="0">
      <w:lvlJc w:val="left"/>
      <w:lvlText w:val="o"/>
      <w:numFmt w:val="bullet"/>
      <w:start w:val="1"/>
    </w:lvl>
  </w:abstractNum>
  <w:abstractNum w:abstractNumId="10">
    <w:nsid w:val="51BF6B48"/>
    <w:multiLevelType w:val="hybridMultilevel"/>
    <w:lvl w:ilvl="0">
      <w:lvlJc w:val="left"/>
      <w:lvlText w:val="o"/>
      <w:numFmt w:val="bullet"/>
      <w:start w:val="1"/>
    </w:lvl>
  </w:abstractNum>
  <w:abstractNum w:abstractNumId="11">
    <w:nsid w:val="7E0F6384"/>
    <w:multiLevelType w:val="hybridMultilevel"/>
    <w:lvl w:ilvl="0">
      <w:lvlJc w:val="left"/>
      <w:lvlText w:val="o"/>
      <w:numFmt w:val="bullet"/>
      <w:start w:val="1"/>
    </w:lvl>
  </w:abstractNum>
  <w:abstractNum w:abstractNumId="12">
    <w:nsid w:val="2B4B8B53"/>
    <w:multiLevelType w:val="hybridMultilevel"/>
    <w:lvl w:ilvl="0">
      <w:lvlJc w:val="left"/>
      <w:lvlText w:val="o"/>
      <w:numFmt w:val="bullet"/>
      <w:start w:val="1"/>
    </w:lvl>
  </w:abstractNum>
  <w:abstractNum w:abstractNumId="13">
    <w:nsid w:val="72E3413A"/>
    <w:multiLevelType w:val="hybridMultilevel"/>
    <w:lvl w:ilvl="0">
      <w:lvlJc w:val="left"/>
      <w:lvlText w:val="o"/>
      <w:numFmt w:val="bullet"/>
      <w:start w:val="1"/>
    </w:lvl>
  </w:abstractNum>
  <w:abstractNum w:abstractNumId="14">
    <w:nsid w:val="116AE494"/>
    <w:multiLevelType w:val="hybridMultilevel"/>
    <w:lvl w:ilvl="0">
      <w:lvlJc w:val="left"/>
      <w:lvlText w:val="o"/>
      <w:numFmt w:val="bullet"/>
      <w:start w:val="1"/>
    </w:lvl>
  </w:abstractNum>
  <w:abstractNum w:abstractNumId="15">
    <w:nsid w:val="3494B2FB"/>
    <w:multiLevelType w:val="hybridMultilevel"/>
    <w:lvl w:ilvl="0">
      <w:lvlJc w:val="left"/>
      <w:lvlText w:val="o"/>
      <w:numFmt w:val="bullet"/>
      <w:start w:val="1"/>
    </w:lvl>
  </w:abstractNum>
  <w:abstractNum w:abstractNumId="16">
    <w:nsid w:val="B13A31"/>
    <w:multiLevelType w:val="hybridMultilevel"/>
    <w:lvl w:ilvl="0">
      <w:lvlJc w:val="left"/>
      <w:lvlText w:val="%1."/>
      <w:numFmt w:val="upperLetter"/>
      <w:start w:val="1"/>
    </w:lvl>
  </w:abstractNum>
  <w:abstractNum w:abstractNumId="17">
    <w:nsid w:val="64429599"/>
    <w:multiLevelType w:val="hybridMultilevel"/>
    <w:lvl w:ilvl="0">
      <w:lvlJc w:val="left"/>
      <w:lvlText w:val="(%1)"/>
      <w:numFmt w:val="lowerRoman"/>
      <w:start w:val="2"/>
    </w:lvl>
  </w:abstractNum>
  <w:abstractNum w:abstractNumId="18">
    <w:nsid w:val="631F1690"/>
    <w:multiLevelType w:val="hybridMultilevel"/>
    <w:lvl w:ilvl="0">
      <w:lvlJc w:val="left"/>
      <w:lvlText w:val="(%1)"/>
      <w:numFmt w:val="lowerRoman"/>
      <w:start w:val="3"/>
    </w:lvl>
  </w:abstractNum>
  <w:abstractNum w:abstractNumId="19">
    <w:nsid w:val="25973E32"/>
    <w:multiLevelType w:val="hybridMultilevel"/>
    <w:lvl w:ilvl="0">
      <w:lvlJc w:val="left"/>
      <w:lvlText w:val="%1."/>
      <w:numFmt w:val="upperLetter"/>
      <w:start w:val="2"/>
    </w:lvl>
  </w:abstractNum>
  <w:abstractNum w:abstractNumId="20">
    <w:nsid w:val="EAD6F57"/>
    <w:multiLevelType w:val="hybridMultilevel"/>
    <w:lvl w:ilvl="0">
      <w:lvlJc w:val="left"/>
      <w:lvlText w:val="o"/>
      <w:numFmt w:val="bullet"/>
      <w:start w:val="1"/>
    </w:lvl>
  </w:abstractNum>
  <w:abstractNum w:abstractNumId="21">
    <w:nsid w:val="6EC9D844"/>
    <w:multiLevelType w:val="hybridMultilevel"/>
    <w:lvl w:ilvl="0">
      <w:lvlJc w:val="left"/>
      <w:lvlText w:val="(*)"/>
      <w:numFmt w:val="bullet"/>
      <w:start w:val="1"/>
    </w:lvl>
  </w:abstractNum>
  <w:abstractNum w:abstractNumId="22">
    <w:nsid w:val="5C49EAEE"/>
    <w:multiLevelType w:val="hybridMultilevel"/>
    <w:lvl w:ilvl="0">
      <w:lvlJc w:val="left"/>
      <w:lvlText w:val="o"/>
      <w:numFmt w:val="bullet"/>
      <w:start w:val="1"/>
    </w:lvl>
  </w:abstractNum>
  <w:abstractNum w:abstractNumId="23">
    <w:nsid w:val="64AF49B"/>
    <w:multiLevelType w:val="hybridMultilevel"/>
    <w:lvl w:ilvl="0">
      <w:lvlJc w:val="left"/>
      <w:lvlText w:val="%1."/>
      <w:numFmt w:val="upperLetter"/>
      <w:start w:val="3"/>
    </w:lvl>
  </w:abstractNum>
  <w:abstractNum w:abstractNumId="24">
    <w:nsid w:val="397C46BC"/>
    <w:multiLevelType w:val="hybridMultilevel"/>
    <w:lvl w:ilvl="0">
      <w:lvlJc w:val="left"/>
      <w:lvlText w:val="%1."/>
      <w:numFmt w:val="upperLetter"/>
      <w:start w:val="4"/>
    </w:lvl>
  </w:abstractNum>
  <w:abstractNum w:abstractNumId="25">
    <w:nsid w:val="7E448DE9"/>
    <w:multiLevelType w:val="hybridMultilevel"/>
    <w:lvl w:ilvl="0">
      <w:lvlJc w:val="left"/>
      <w:lvlText w:val="%1."/>
      <w:numFmt w:val="upperLetter"/>
      <w:start w:val="1"/>
    </w:lvl>
  </w:abstractNum>
  <w:abstractNum w:abstractNumId="26">
    <w:nsid w:val="5A9CC3E5"/>
    <w:multiLevelType w:val="hybridMultilevel"/>
    <w:lvl w:ilvl="0">
      <w:lvlJc w:val="left"/>
      <w:lvlText w:val="%1."/>
      <w:numFmt w:val="upperLetter"/>
      <w:start w:val="2"/>
    </w:lvl>
  </w:abstractNum>
  <w:abstractNum w:abstractNumId="27">
    <w:nsid w:val="1AFE3625"/>
    <w:multiLevelType w:val="hybridMultilevel"/>
    <w:lvl w:ilvl="0">
      <w:lvlJc w:val="left"/>
      <w:lvlText w:val="(%1)"/>
      <w:numFmt w:val="decimal"/>
      <w:start w:val="1"/>
    </w:lvl>
  </w:abstractNum>
  <w:abstractNum w:abstractNumId="28">
    <w:nsid w:val="3CA88ECF"/>
    <w:multiLevelType w:val="hybridMultilevel"/>
    <w:lvl w:ilvl="0">
      <w:lvlJc w:val="left"/>
      <w:lvlText w:val="(%1)"/>
      <w:numFmt w:val="decimal"/>
      <w:start w:val="2"/>
    </w:lvl>
  </w:abstractNum>
  <w:abstractNum w:abstractNumId="29">
    <w:nsid w:val="6EBE4208"/>
    <w:multiLevelType w:val="hybridMultilevel"/>
    <w:lvl w:ilvl="0">
      <w:lvlJc w:val="left"/>
      <w:lvlText w:val="(%1)"/>
      <w:numFmt w:val="lowerRoman"/>
      <w:start w:val="2"/>
    </w:lvl>
  </w:abstractNum>
  <w:abstractNum w:abstractNumId="30">
    <w:nsid w:val="C058DF5"/>
    <w:multiLevelType w:val="hybridMultilevel"/>
    <w:lvl w:ilvl="0">
      <w:lvlJc w:val="left"/>
      <w:lvlText w:val="(%1)"/>
      <w:numFmt w:val="lowerRoman"/>
      <w:start w:val="1"/>
    </w:lvl>
  </w:abstractNum>
  <w:abstractNum w:abstractNumId="31">
    <w:nsid w:val="CBE5BE9"/>
    <w:multiLevelType w:val="hybridMultilevel"/>
    <w:lvl w:ilvl="0">
      <w:lvlJc w:val="left"/>
      <w:lvlText w:val="(%1)"/>
      <w:numFmt w:val="lowerRoman"/>
      <w:start w:val="4"/>
    </w:lvl>
  </w:abstractNum>
  <w:abstractNum w:abstractNumId="32">
    <w:nsid w:val="3102BBE2"/>
    <w:multiLevelType w:val="hybridMultilevel"/>
    <w:lvl w:ilvl="0">
      <w:lvlJc w:val="left"/>
      <w:lvlText w:val="%1."/>
      <w:numFmt w:val="upperLetter"/>
      <w:start w:val="3"/>
    </w:lvl>
  </w:abstractNum>
  <w:abstractNum w:abstractNumId="33">
    <w:nsid w:val="26A02C5E"/>
    <w:multiLevelType w:val="hybridMultilevel"/>
    <w:lvl w:ilvl="0">
      <w:lvlJc w:val="left"/>
      <w:lvlText w:val="%1."/>
      <w:numFmt w:val="upperLetter"/>
      <w:start w:val="4"/>
    </w:lvl>
  </w:abstractNum>
  <w:abstractNum w:abstractNumId="34">
    <w:nsid w:val="541C8153"/>
    <w:multiLevelType w:val="hybridMultilevel"/>
    <w:lvl w:ilvl="0">
      <w:lvlJc w:val="left"/>
      <w:lvlText w:val="%1."/>
      <w:numFmt w:val="upperLetter"/>
      <w:start w:val="5"/>
    </w:lvl>
  </w:abstractNum>
  <w:abstractNum w:abstractNumId="35">
    <w:nsid w:val="67906F60"/>
    <w:multiLevelType w:val="hybridMultilevel"/>
    <w:lvl w:ilvl="0">
      <w:lvlJc w:val="left"/>
      <w:lvlText w:val="%1."/>
      <w:numFmt w:val="upperLetter"/>
      <w:start w:val="6"/>
    </w:lvl>
  </w:abstractNum>
  <w:abstractNum w:abstractNumId="36">
    <w:nsid w:val="10DB9DAA"/>
    <w:multiLevelType w:val="hybridMultilevel"/>
    <w:lvl w:ilvl="0">
      <w:lvlJc w:val="left"/>
      <w:lvlText w:val="(%1)"/>
      <w:numFmt w:val="decimal"/>
      <w:start w:val="1"/>
    </w:lvl>
  </w:abstractNum>
  <w:abstractNum w:abstractNumId="37">
    <w:nsid w:val="697D2D2"/>
    <w:multiLevelType w:val="hybridMultilevel"/>
    <w:lvl w:ilvl="0">
      <w:lvlJc w:val="left"/>
      <w:lvlText w:val="(%1)"/>
      <w:numFmt w:val="decimal"/>
      <w:start w:val="4"/>
    </w:lvl>
  </w:abstractNum>
  <w:abstractNum w:abstractNumId="38">
    <w:nsid w:val="6D68AB2"/>
    <w:multiLevelType w:val="hybridMultilevel"/>
    <w:lvl w:ilvl="0">
      <w:lvlJc w:val="left"/>
      <w:lvlText w:val="-"/>
      <w:numFmt w:val="bullet"/>
      <w:start w:val="1"/>
    </w:lvl>
  </w:abstractNum>
  <w:abstractNum w:abstractNumId="39">
    <w:nsid w:val="3A966CD0"/>
    <w:multiLevelType w:val="hybridMultilevel"/>
    <w:lvl w:ilvl="0">
      <w:lvlJc w:val="left"/>
      <w:lvlText w:val="%1."/>
      <w:numFmt w:val="upperLetter"/>
      <w:start w:val="2"/>
    </w:lvl>
  </w:abstractNum>
  <w:abstractNum w:abstractNumId="40">
    <w:nsid w:val="63F37E85"/>
    <w:multiLevelType w:val="hybridMultilevel"/>
    <w:lvl w:ilvl="0">
      <w:lvlJc w:val="left"/>
      <w:lvlText w:val="%1."/>
      <w:numFmt w:val="upperLetter"/>
      <w:start w:val="3"/>
    </w:lvl>
  </w:abstractNum>
  <w:abstractNum w:abstractNumId="41">
    <w:nsid w:val="5895F5FA"/>
    <w:multiLevelType w:val="hybridMultilevel"/>
    <w:lvl w:ilvl="0">
      <w:lvlJc w:val="left"/>
      <w:lvlText w:val="o"/>
      <w:numFmt w:val="bullet"/>
      <w:start w:val="1"/>
    </w:lvl>
  </w:abstractNum>
  <w:abstractNum w:abstractNumId="42">
    <w:nsid w:val="38A5D054"/>
    <w:multiLevelType w:val="hybridMultilevel"/>
    <w:lvl w:ilvl="0">
      <w:lvlJc w:val="left"/>
      <w:lvlText w:val="o"/>
      <w:numFmt w:val="bullet"/>
      <w:start w:val="1"/>
    </w:lvl>
  </w:abstractNum>
  <w:abstractNum w:abstractNumId="43">
    <w:nsid w:val="F3F09D8"/>
    <w:multiLevelType w:val="hybridMultilevel"/>
    <w:lvl w:ilvl="0">
      <w:lvlJc w:val="left"/>
      <w:lvlText w:val="o"/>
      <w:numFmt w:val="bullet"/>
      <w:start w:val="1"/>
    </w:lvl>
  </w:abstractNum>
  <w:abstractNum w:abstractNumId="44">
    <w:nsid w:val="4B793735"/>
    <w:multiLevelType w:val="hybridMultilevel"/>
    <w:lvl w:ilvl="0">
      <w:lvlJc w:val="left"/>
      <w:lvlText w:val="%1."/>
      <w:numFmt w:val="upperLetter"/>
      <w:start w:val="4"/>
    </w:lvl>
  </w:abstractNum>
  <w:abstractNum w:abstractNumId="45">
    <w:nsid w:val="4A10B4E8"/>
    <w:multiLevelType w:val="hybridMultilevel"/>
    <w:lvl w:ilvl="0">
      <w:lvlJc w:val="left"/>
      <w:lvlText w:val="(*)"/>
      <w:numFmt w:val="bullet"/>
      <w:start w:val="1"/>
    </w:lvl>
  </w:abstractNum>
  <w:abstractNum w:abstractNumId="46">
    <w:nsid w:val="43D3BCD4"/>
    <w:multiLevelType w:val="hybridMultilevel"/>
    <w:lvl w:ilvl="0">
      <w:lvlJc w:val="left"/>
      <w:lvlText w:val="%1."/>
      <w:numFmt w:val="upperLetter"/>
      <w:start w:val="5"/>
    </w:lvl>
  </w:abstractNum>
  <w:abstractNum w:abstractNumId="47">
    <w:nsid w:val="4C2A7166"/>
    <w:multiLevelType w:val="hybridMultilevel"/>
    <w:lvl w:ilvl="0">
      <w:lvlJc w:val="left"/>
      <w:lvlText w:val="(%1)"/>
      <w:numFmt w:val="decimal"/>
      <w:start w:val="1"/>
    </w:lvl>
  </w:abstractNum>
  <w:abstractNum w:abstractNumId="48">
    <w:nsid w:val="2E534A82"/>
    <w:multiLevelType w:val="hybridMultilevel"/>
    <w:lvl w:ilvl="0">
      <w:lvlJc w:val="left"/>
      <w:lvlText w:val="(%1)"/>
      <w:numFmt w:val="decimal"/>
      <w:start w:val="5"/>
    </w:lvl>
  </w:abstractNum>
  <w:abstractNum w:abstractNumId="49">
    <w:nsid w:val="26F2D364"/>
    <w:multiLevelType w:val="hybridMultilevel"/>
    <w:lvl w:ilvl="0">
      <w:lvlJc w:val="left"/>
      <w:lvlText w:val="(%1)"/>
      <w:numFmt w:val="decimal"/>
      <w:start w:val="6"/>
    </w:lvl>
  </w:abstractNum>
  <w:abstractNum w:abstractNumId="50">
    <w:nsid w:val="71C1AF98"/>
    <w:multiLevelType w:val="hybridMultilevel"/>
    <w:lvl w:ilvl="0">
      <w:lvlJc w:val="left"/>
      <w:lvlText w:val="%1."/>
      <w:numFmt w:val="upperLetter"/>
      <w:start w:val="2"/>
    </w:lvl>
  </w:abstractNum>
  <w:abstractNum w:abstractNumId="51">
    <w:nsid w:val="3D00B9D9"/>
    <w:multiLevelType w:val="hybridMultilevel"/>
    <w:lvl w:ilvl="0">
      <w:lvlJc w:val="left"/>
      <w:lvlText w:val="%1."/>
      <w:numFmt w:val="upperLetter"/>
      <w:start w:val="3"/>
    </w:lvl>
  </w:abstractNum>
  <w:abstractNum w:abstractNumId="52">
    <w:nsid w:val="15BCABA8"/>
    <w:multiLevelType w:val="hybridMultilevel"/>
    <w:lvl w:ilvl="0">
      <w:lvlJc w:val="left"/>
      <w:lvlText w:val="%1."/>
      <w:numFmt w:val="upperLetter"/>
      <w:start w:val="1"/>
    </w:lvl>
  </w:abstractNum>
  <w:abstractNum w:abstractNumId="53">
    <w:nsid w:val="4E0B9A87"/>
    <w:multiLevelType w:val="hybridMultilevel"/>
    <w:lvl w:ilvl="0">
      <w:lvlJc w:val="left"/>
      <w:lvlText w:val="%1."/>
      <w:numFmt w:val="upperLetter"/>
      <w:start w:val="2"/>
    </w:lvl>
  </w:abstractNum>
  <w:abstractNum w:abstractNumId="54">
    <w:nsid w:val="434BAE75"/>
    <w:multiLevelType w:val="hybridMultilevel"/>
    <w:lvl w:ilvl="0">
      <w:lvlJc w:val="left"/>
      <w:lvlText w:val="-"/>
      <w:numFmt w:val="bullet"/>
      <w:start w:val="1"/>
    </w:lvl>
  </w:abstractNum>
  <w:abstractNum w:abstractNumId="55">
    <w:nsid w:val="4F38F265"/>
    <w:multiLevelType w:val="hybridMultilevel"/>
    <w:lvl w:ilvl="0">
      <w:lvlJc w:val="left"/>
      <w:lvlText w:val="-"/>
      <w:numFmt w:val="bullet"/>
      <w:start w:val="1"/>
    </w:lvl>
  </w:abstractNum>
  <w:abstractNum w:abstractNumId="56">
    <w:nsid w:val="4C502870"/>
    <w:multiLevelType w:val="hybridMultilevel"/>
    <w:lvl w:ilvl="0">
      <w:lvlJc w:val="left"/>
      <w:lvlText w:val="o"/>
      <w:numFmt w:val="bullet"/>
      <w:start w:val="1"/>
    </w:lvl>
  </w:abstractNum>
  <w:abstractNum w:abstractNumId="57">
    <w:nsid w:val="1DE8725A"/>
    <w:multiLevelType w:val="hybridMultilevel"/>
    <w:lvl w:ilvl="0">
      <w:lvlJc w:val="left"/>
      <w:lvlText w:val="%1."/>
      <w:numFmt w:val="decimal"/>
      <w:start w:val="6"/>
    </w:lvl>
  </w:abstractNum>
  <w:abstractNum w:abstractNumId="58">
    <w:nsid w:val="6A37288A"/>
    <w:multiLevelType w:val="hybridMultilevel"/>
    <w:lvl w:ilvl="0">
      <w:lvlJc w:val="left"/>
      <w:lvlText w:val="o"/>
      <w:numFmt w:val="bullet"/>
      <w:start w:val="1"/>
    </w:lvl>
  </w:abstractNum>
  <w:abstractNum w:abstractNumId="59">
    <w:nsid w:val="8F8B73F"/>
    <w:multiLevelType w:val="hybridMultilevel"/>
    <w:lvl w:ilvl="0">
      <w:lvlJc w:val="left"/>
      <w:lvlText w:val="o"/>
      <w:numFmt w:val="bullet"/>
      <w:start w:val="1"/>
    </w:lvl>
  </w:abstractNum>
  <w:abstractNum w:abstractNumId="60">
    <w:nsid w:val="CA6B462"/>
    <w:multiLevelType w:val="hybridMultilevel"/>
    <w:lvl w:ilvl="0">
      <w:lvlJc w:val="left"/>
      <w:lvlText w:val="o"/>
      <w:numFmt w:val="bullet"/>
      <w:start w:val="1"/>
    </w:lvl>
  </w:abstractNum>
  <w:abstractNum w:abstractNumId="61">
    <w:nsid w:val="763CB680"/>
    <w:multiLevelType w:val="hybridMultilevel"/>
    <w:lvl w:ilvl="0">
      <w:lvlJc w:val="left"/>
      <w:lvlText w:val="(%1)"/>
      <w:numFmt w:val="lowerLetter"/>
      <w:start w:val="1"/>
    </w:lvl>
  </w:abstractNum>
  <w:abstractNum w:abstractNumId="62">
    <w:nsid w:val="15B71329"/>
    <w:multiLevelType w:val="hybridMultilevel"/>
    <w:lvl w:ilvl="0">
      <w:lvlJc w:val="left"/>
      <w:lvlText w:val="(%1)"/>
      <w:numFmt w:val="lowerLetter"/>
      <w:start w:val="5"/>
    </w:lvl>
  </w:abstractNum>
  <w:abstractNum w:abstractNumId="63">
    <w:nsid w:val="3DA97044"/>
    <w:multiLevelType w:val="hybridMultilevel"/>
    <w:lvl w:ilvl="0">
      <w:lvlJc w:val="left"/>
      <w:lvlText w:val="(%1)"/>
      <w:numFmt w:val="lowerLetter"/>
      <w:start w:val="6"/>
    </w:lvl>
  </w:abstractNum>
  <w:abstractNum w:abstractNumId="64">
    <w:nsid w:val="1CDCE2DE"/>
    <w:multiLevelType w:val="hybridMultilevel"/>
    <w:lvl w:ilvl="0">
      <w:lvlJc w:val="left"/>
      <w:lvlText w:val="(%1)"/>
      <w:numFmt w:val="decimal"/>
      <w:start w:val="1"/>
    </w:lvl>
  </w:abstractNum>
  <w:abstractNum w:abstractNumId="65">
    <w:nsid w:val="69D3947C"/>
    <w:multiLevelType w:val="hybridMultilevel"/>
    <w:lvl w:ilvl="0">
      <w:lvlJc w:val="left"/>
      <w:lvlText w:val="%1."/>
      <w:numFmt w:val="upperLetter"/>
      <w:start w:val="1"/>
    </w:lvl>
  </w:abstractNum>
  <w:abstractNum w:abstractNumId="66">
    <w:nsid w:val="2539DFA5"/>
    <w:multiLevelType w:val="hybridMultilevel"/>
    <w:lvl w:ilvl="0">
      <w:lvlJc w:val="left"/>
      <w:lvlText w:val="%1."/>
      <w:numFmt w:val="upperLetter"/>
      <w:start w:val="3"/>
    </w:lvl>
  </w:abstractNum>
  <w:abstractNum w:abstractNumId="67">
    <w:nsid w:val="2DB88089"/>
    <w:multiLevelType w:val="hybridMultilevel"/>
    <w:lvl w:ilvl="0">
      <w:lvlJc w:val="left"/>
      <w:lvlText w:val="%1."/>
      <w:numFmt w:val="upperLetter"/>
      <w:start w:val="4"/>
    </w:lvl>
  </w:abstractNum>
  <w:abstractNum w:abstractNumId="68">
    <w:nsid w:val="706B674E"/>
    <w:multiLevelType w:val="hybridMultilevel"/>
    <w:lvl w:ilvl="0">
      <w:lvlJc w:val="left"/>
      <w:lvlText w:val="%1."/>
      <w:numFmt w:val="upperLetter"/>
      <w:start w:val="1"/>
    </w:lvl>
    <w:lvl w:ilvl="1">
      <w:lvlJc w:val="left"/>
      <w:lvlText w:val="(%2)"/>
      <w:numFmt w:val="decimal"/>
      <w:start w:val="1"/>
    </w:lvl>
  </w:abstractNum>
  <w:abstractNum w:abstractNumId="69">
    <w:nsid w:val="2C106A57"/>
    <w:multiLevelType w:val="hybridMultilevel"/>
    <w:lvl w:ilvl="0">
      <w:lvlJc w:val="left"/>
      <w:lvlText w:val="%1."/>
      <w:numFmt w:val="upperLetter"/>
      <w:start w:val="5"/>
    </w:lvl>
    <w:lvl w:ilvl="1">
      <w:lvlJc w:val="left"/>
      <w:lvlText w:val="(%2)"/>
      <w:numFmt w:val="decimal"/>
      <w:start w:val="1"/>
    </w:lvl>
  </w:abstractNum>
  <w:abstractNum w:abstractNumId="70">
    <w:nsid w:val="684EED59"/>
    <w:multiLevelType w:val="hybridMultilevel"/>
    <w:lvl w:ilvl="0">
      <w:lvlJc w:val="left"/>
      <w:lvlText w:val="%1"/>
      <w:numFmt w:val="upperLetter"/>
      <w:start w:val="1"/>
    </w:lvl>
    <w:lvl w:ilvl="1">
      <w:lvlJc w:val="left"/>
      <w:lvlText w:val="(%2)"/>
      <w:numFmt w:val="decimal"/>
      <w:start w:val="2"/>
    </w:lvl>
  </w:abstractNum>
  <w:abstractNum w:abstractNumId="71">
    <w:nsid w:val="545EE5D3"/>
    <w:multiLevelType w:val="hybridMultilevel"/>
    <w:lvl w:ilvl="0">
      <w:lvlJc w:val="left"/>
      <w:lvlText w:val="%1."/>
      <w:numFmt w:val="upperLetter"/>
      <w:start w:val="6"/>
    </w:lvl>
    <w:lvl w:ilvl="1">
      <w:lvlJc w:val="left"/>
      <w:lvlText w:val="(%2)"/>
      <w:numFmt w:val="decimal"/>
      <w:start w:val="1"/>
    </w:lvl>
  </w:abstractNum>
  <w:abstractNum w:abstractNumId="72">
    <w:nsid w:val="4A66051"/>
    <w:multiLevelType w:val="hybridMultilevel"/>
    <w:lvl w:ilvl="0">
      <w:lvlJc w:val="left"/>
      <w:lvlText w:val="%1."/>
      <w:numFmt w:val="upperLetter"/>
      <w:start w:val="7"/>
    </w:lvl>
  </w:abstractNum>
  <w:abstractNum w:abstractNumId="73">
    <w:nsid w:val="20F4BDAD"/>
    <w:multiLevelType w:val="hybridMultilevel"/>
    <w:lvl w:ilvl="0">
      <w:lvlJc w:val="left"/>
      <w:lvlText w:val="%1."/>
      <w:numFmt w:val="upperLetter"/>
      <w:start w:val="10"/>
    </w:lvl>
  </w:abstractNum>
  <w:abstractNum w:abstractNumId="74">
    <w:nsid w:val="639DEFAC"/>
    <w:multiLevelType w:val="hybridMultilevel"/>
    <w:lvl w:ilvl="0">
      <w:lvlJc w:val="left"/>
      <w:lvlText w:val="%1."/>
      <w:numFmt w:val="upperLetter"/>
      <w:start w:val="13"/>
    </w:lvl>
  </w:abstractNum>
  <w:abstractNum w:abstractNumId="75">
    <w:nsid w:val="501F9786"/>
    <w:multiLevelType w:val="hybridMultilevel"/>
    <w:lvl w:ilvl="0">
      <w:lvlJc w:val="left"/>
      <w:lvlText w:val="%1."/>
      <w:numFmt w:val="upperLetter"/>
      <w:start w:val="14"/>
    </w:lvl>
  </w:abstractNum>
  <w:abstractNum w:abstractNumId="76">
    <w:nsid w:val="6B057295"/>
    <w:multiLevelType w:val="hybridMultilevel"/>
    <w:lvl w:ilvl="0">
      <w:lvlJc w:val="left"/>
      <w:lvlText w:val="%1."/>
      <w:numFmt w:val="upperLetter"/>
      <w:start w:val="16"/>
    </w:lvl>
    <w:lvl w:ilvl="1">
      <w:lvlJc w:val="left"/>
      <w:lvlText w:val="(%2)"/>
      <w:numFmt w:val="decimal"/>
      <w:start w:val="1"/>
    </w:lvl>
  </w:abstractNum>
  <w:abstractNum w:abstractNumId="77">
    <w:nsid w:val="2771AC80"/>
    <w:multiLevelType w:val="hybridMultilevel"/>
    <w:lvl w:ilvl="0">
      <w:lvlJc w:val="left"/>
      <w:lvlText w:val="(%1)"/>
      <w:numFmt w:val="decimal"/>
      <w:start w:val="2"/>
    </w:lvl>
  </w:abstractNum>
  <w:abstractNum w:abstractNumId="78">
    <w:nsid w:val="1C4A08EC"/>
    <w:multiLevelType w:val="hybridMultilevel"/>
    <w:lvl w:ilvl="0">
      <w:lvlJc w:val="left"/>
      <w:lvlText w:val="%1."/>
      <w:numFmt w:val="upperLetter"/>
      <w:start w:val="16"/>
    </w:lvl>
    <w:lvl w:ilvl="1">
      <w:lvlJc w:val="left"/>
      <w:lvlText w:val="(%2)"/>
      <w:numFmt w:val="decimal"/>
      <w:start w:val="2"/>
    </w:lvl>
  </w:abstractNum>
  <w:abstractNum w:abstractNumId="79">
    <w:nsid w:val="1958BD17"/>
    <w:multiLevelType w:val="hybridMultilevel"/>
    <w:lvl w:ilvl="0">
      <w:lvlJc w:val="left"/>
      <w:lvlText w:val="(*)"/>
      <w:numFmt w:val="bullet"/>
      <w:start w:val="1"/>
    </w:lvl>
  </w:abstractNum>
  <w:abstractNum w:abstractNumId="80">
    <w:nsid w:val="4E647FE4"/>
    <w:multiLevelType w:val="hybridMultilevel"/>
    <w:lvl w:ilvl="0">
      <w:lvlJc w:val="left"/>
      <w:lvlText w:val="%1."/>
      <w:numFmt w:val="upperLetter"/>
      <w:start w:val="1"/>
    </w:lvl>
  </w:abstractNum>
  <w:abstractNum w:abstractNumId="81">
    <w:nsid w:val="E0BB885"/>
    <w:multiLevelType w:val="hybridMultilevel"/>
    <w:lvl w:ilvl="0">
      <w:lvlJc w:val="left"/>
      <w:lvlText w:val="(%1)"/>
      <w:numFmt w:val="decimal"/>
      <w:start w:val="1"/>
    </w:lvl>
  </w:abstractNum>
  <w:abstractNum w:abstractNumId="82">
    <w:nsid w:val="565976F1"/>
    <w:multiLevelType w:val="hybridMultilevel"/>
    <w:lvl w:ilvl="0">
      <w:lvlJc w:val="left"/>
      <w:lvlText w:val="%1."/>
      <w:numFmt w:val="upperLetter"/>
      <w:start w:val="2"/>
    </w:lvl>
  </w:abstractNum>
  <w:abstractNum w:abstractNumId="83">
    <w:nsid w:val="64212B8C"/>
    <w:multiLevelType w:val="hybridMultilevel"/>
    <w:lvl w:ilvl="0">
      <w:lvlJc w:val="left"/>
      <w:lvlText w:val="(**)"/>
      <w:numFmt w:val="bullet"/>
      <w:start w:val="1"/>
    </w:lvl>
  </w:abstractNum>
  <w:abstractNum w:abstractNumId="84">
    <w:nsid w:val="5C17530C"/>
    <w:multiLevelType w:val="hybridMultilevel"/>
    <w:lvl w:ilvl="0">
      <w:lvlJc w:val="left"/>
      <w:lvlText w:val="%1."/>
      <w:numFmt w:val="upperLetter"/>
      <w:start w:val="2"/>
    </w:lvl>
  </w:abstractNum>
  <w:abstractNum w:abstractNumId="85">
    <w:nsid w:val="19A52566"/>
    <w:multiLevelType w:val="hybridMultilevel"/>
    <w:lvl w:ilvl="0">
      <w:lvlJc w:val="left"/>
      <w:lvlText w:val="%1."/>
      <w:numFmt w:val="upperLetter"/>
      <w:start w:val="5"/>
    </w:lvl>
  </w:abstractNum>
  <w:abstractNum w:abstractNumId="86">
    <w:nsid w:val="335A1DF1"/>
    <w:multiLevelType w:val="hybridMultilevel"/>
    <w:lvl w:ilvl="0">
      <w:lvlJc w:val="left"/>
      <w:lvlText w:val="%1."/>
      <w:numFmt w:val="upperLetter"/>
      <w:start w:val="2"/>
    </w:lvl>
  </w:abstractNum>
  <w:abstractNum w:abstractNumId="87">
    <w:nsid w:val="28677B7C"/>
    <w:multiLevelType w:val="hybridMultilevel"/>
    <w:lvl w:ilvl="0">
      <w:lvlJc w:val="left"/>
      <w:lvlText w:val="%1."/>
      <w:numFmt w:val="upperLetter"/>
      <w:start w:val="3"/>
    </w:lvl>
  </w:abstractNum>
  <w:abstractNum w:abstractNumId="88">
    <w:nsid w:val="378D97C0"/>
    <w:multiLevelType w:val="hybridMultilevel"/>
    <w:lvl w:ilvl="0">
      <w:lvlJc w:val="left"/>
      <w:lvlText w:val="%1."/>
      <w:numFmt w:val="upperLetter"/>
      <w:start w:val="2"/>
    </w:lvl>
  </w:abstractNum>
  <w:abstractNum w:abstractNumId="89">
    <w:nsid w:val="1D91467C"/>
    <w:multiLevelType w:val="hybridMultilevel"/>
    <w:lvl w:ilvl="0">
      <w:lvlJc w:val="left"/>
      <w:lvlText w:val="%1."/>
      <w:numFmt w:val="upperLetter"/>
      <w:start w:val="1"/>
    </w:lvl>
    <w:lvl w:ilvl="1">
      <w:lvlJc w:val="left"/>
      <w:lvlText w:val="(%2)"/>
      <w:numFmt w:val="decimal"/>
      <w:start w:val="1"/>
    </w:lvl>
  </w:abstractNum>
  <w:abstractNum w:abstractNumId="90">
    <w:nsid w:val="316032BB"/>
    <w:multiLevelType w:val="hybridMultilevel"/>
    <w:lvl w:ilvl="0">
      <w:lvlJc w:val="left"/>
      <w:lvlText w:val="%1."/>
      <w:numFmt w:val="upperLetter"/>
      <w:start w:val="1"/>
    </w:lvl>
    <w:lvl w:ilvl="1">
      <w:lvlJc w:val="left"/>
      <w:lvlText w:val="(%2)"/>
      <w:numFmt w:val="decimal"/>
      <w:start w:val="1"/>
    </w:lvl>
  </w:abstractNum>
  <w:abstractNum w:abstractNumId="91">
    <w:nsid w:val="44344C22"/>
    <w:multiLevelType w:val="hybridMultilevel"/>
    <w:lvl w:ilvl="0">
      <w:lvlJc w:val="left"/>
      <w:lvlText w:val="%1."/>
      <w:numFmt w:val="upperLetter"/>
      <w:start w:val="1"/>
    </w:lvl>
    <w:lvl w:ilvl="1">
      <w:lvlJc w:val="left"/>
      <w:lvlText w:val="(%2)"/>
      <w:numFmt w:val="decimal"/>
      <w:start w:val="3"/>
    </w:lvl>
  </w:abstractNum>
  <w:abstractNum w:abstractNumId="92">
    <w:nsid w:val="13CDFCFC"/>
    <w:multiLevelType w:val="hybridMultilevel"/>
    <w:lvl w:ilvl="0">
      <w:lvlJc w:val="left"/>
      <w:lvlText w:val="%1."/>
      <w:numFmt w:val="upperLetter"/>
      <w:start w:val="1"/>
    </w:lvl>
    <w:lvl w:ilvl="1">
      <w:lvlJc w:val="left"/>
      <w:lvlText w:val="(%2)"/>
      <w:numFmt w:val="decimal"/>
      <w:start w:val="5"/>
    </w:lvl>
  </w:abstractNum>
  <w:abstractNum w:abstractNumId="93">
    <w:nsid w:val="471745E4"/>
    <w:multiLevelType w:val="hybridMultilevel"/>
    <w:lvl w:ilvl="0">
      <w:lvlJc w:val="left"/>
      <w:lvlText w:val="(%1)"/>
      <w:numFmt w:val="decimal"/>
      <w:start w:val="6"/>
    </w:lvl>
  </w:abstractNum>
  <w:abstractNum w:abstractNumId="94">
    <w:nsid w:val="1DDBC66"/>
    <w:multiLevelType w:val="hybridMultilevel"/>
    <w:lvl w:ilvl="0">
      <w:lvlJc w:val="left"/>
      <w:lvlText w:val="%1."/>
      <w:numFmt w:val="upperLetter"/>
      <w:start w:val="1"/>
    </w:lvl>
    <w:lvl w:ilvl="1">
      <w:lvlJc w:val="left"/>
      <w:lvlText w:val="(%2)"/>
      <w:numFmt w:val="decimal"/>
      <w:start w:val="6"/>
    </w:lvl>
  </w:abstractNum>
  <w:abstractNum w:abstractNumId="95">
    <w:nsid w:val="30AADFDA"/>
    <w:multiLevelType w:val="hybridMultilevel"/>
    <w:lvl w:ilvl="0">
      <w:lvlJc w:val="left"/>
      <w:lvlText w:val="%1."/>
      <w:numFmt w:val="upperLetter"/>
      <w:start w:val="1"/>
    </w:lvl>
    <w:lvl w:ilvl="1">
      <w:lvlJc w:val="left"/>
      <w:lvlText w:val="(%2)"/>
      <w:numFmt w:val="decimal"/>
      <w:start w:val="6"/>
    </w:lvl>
  </w:abstractNum>
  <w:abstractNum w:abstractNumId="96">
    <w:nsid w:val="30EADA61"/>
    <w:multiLevelType w:val="hybridMultilevel"/>
    <w:lvl w:ilvl="0">
      <w:lvlJc w:val="left"/>
      <w:lvlText w:val="%1."/>
      <w:numFmt w:val="upperLetter"/>
      <w:start w:val="1"/>
    </w:lvl>
    <w:lvl w:ilvl="1">
      <w:lvlJc w:val="left"/>
      <w:lvlText w:val="(%2)"/>
      <w:numFmt w:val="decimal"/>
      <w:start w:val="6"/>
    </w:lvl>
  </w:abstractNum>
  <w:abstractNum w:abstractNumId="97">
    <w:nsid w:val="27179C0B"/>
    <w:multiLevelType w:val="hybridMultilevel"/>
    <w:lvl w:ilvl="0">
      <w:lvlJc w:val="left"/>
      <w:lvlText w:val="%1."/>
      <w:numFmt w:val="upperLetter"/>
      <w:start w:val="1"/>
    </w:lvl>
    <w:lvl w:ilvl="1">
      <w:lvlJc w:val="left"/>
      <w:lvlText w:val="(%2)"/>
      <w:numFmt w:val="decimal"/>
      <w:start w:val="6"/>
    </w:lvl>
  </w:abstractNum>
  <w:abstractNum w:abstractNumId="98">
    <w:nsid w:val="5E636063"/>
    <w:multiLevelType w:val="hybridMultilevel"/>
    <w:lvl w:ilvl="0">
      <w:lvlJc w:val="left"/>
      <w:lvlText w:val="%1."/>
      <w:numFmt w:val="upperLetter"/>
      <w:start w:val="1"/>
    </w:lvl>
    <w:lvl w:ilvl="1">
      <w:lvlJc w:val="left"/>
      <w:lvlText w:val="(%2)"/>
      <w:numFmt w:val="decimal"/>
      <w:start w:val="8"/>
    </w:lvl>
  </w:abstractNum>
  <w:abstractNum w:abstractNumId="99">
    <w:nsid w:val="215641AF"/>
    <w:multiLevelType w:val="hybridMultilevel"/>
    <w:lvl w:ilvl="0">
      <w:lvlJc w:val="left"/>
      <w:lvlText w:val="(%1)"/>
      <w:numFmt w:val="decimal"/>
      <w:start w:val="9"/>
    </w:lvl>
  </w:abstractNum>
  <w:abstractNum w:abstractNumId="100">
    <w:nsid w:val="53280662"/>
    <w:multiLevelType w:val="hybridMultilevel"/>
    <w:lvl w:ilvl="0">
      <w:lvlJc w:val="left"/>
      <w:lvlText w:val="%1."/>
      <w:numFmt w:val="upperLetter"/>
      <w:start w:val="1"/>
    </w:lvl>
    <w:lvl w:ilvl="1">
      <w:lvlJc w:val="left"/>
      <w:lvlText w:val="(%2)"/>
      <w:numFmt w:val="decimal"/>
      <w:start w:val="11"/>
    </w:lvl>
  </w:abstractNum>
  <w:abstractNum w:abstractNumId="101">
    <w:nsid w:val="46B24DBC"/>
    <w:multiLevelType w:val="hybridMultilevel"/>
    <w:lvl w:ilvl="0">
      <w:lvlJc w:val="left"/>
      <w:lvlText w:val="%1"/>
      <w:numFmt w:val="upperLetter"/>
      <w:start w:val="1"/>
    </w:lvl>
    <w:lvl w:ilvl="1">
      <w:lvlJc w:val="left"/>
      <w:lvlText w:val="(%2)"/>
      <w:numFmt w:val="decimal"/>
      <w:start w:val="1"/>
    </w:lvl>
  </w:abstractNum>
  <w:abstractNum w:abstractNumId="102">
    <w:nsid w:val="75B52783"/>
    <w:multiLevelType w:val="hybridMultilevel"/>
    <w:lvl w:ilvl="0">
      <w:lvlJc w:val="left"/>
      <w:lvlText w:val="%1."/>
      <w:numFmt w:val="upperLetter"/>
      <w:start w:val="3"/>
    </w:lvl>
    <w:lvl w:ilvl="1">
      <w:lvlJc w:val="left"/>
      <w:lvlText w:val="(%2)"/>
      <w:numFmt w:val="decimal"/>
      <w:start w:val="1"/>
    </w:lvl>
  </w:abstractNum>
  <w:abstractNum w:abstractNumId="103">
    <w:nsid w:val="57CE66B4"/>
    <w:multiLevelType w:val="hybridMultilevel"/>
    <w:lvl w:ilvl="0">
      <w:lvlJc w:val="left"/>
      <w:lvlText w:val="%1"/>
      <w:numFmt w:val="upperLetter"/>
      <w:start w:val="1"/>
    </w:lvl>
    <w:lvl w:ilvl="1">
      <w:lvlJc w:val="left"/>
      <w:lvlText w:val="(%2)"/>
      <w:numFmt w:val="decimal"/>
      <w:start w:val="3"/>
    </w:lvl>
  </w:abstractNum>
  <w:abstractNum w:abstractNumId="104">
    <w:nsid w:val="67A70B69"/>
    <w:multiLevelType w:val="hybridMultilevel"/>
    <w:lvl w:ilvl="0">
      <w:lvlJc w:val="left"/>
      <w:lvlText w:val="%1."/>
      <w:numFmt w:val="upperLetter"/>
      <w:start w:val="4"/>
    </w:lvl>
    <w:lvl w:ilvl="1">
      <w:lvlJc w:val="left"/>
      <w:lvlText w:val="(%2)"/>
      <w:numFmt w:val="decimal"/>
      <w:start w:val="1"/>
    </w:lvl>
  </w:abstractNum>
  <w:abstractNum w:abstractNumId="105">
    <w:nsid w:val="5953172F"/>
    <w:multiLevelType w:val="hybridMultilevel"/>
    <w:lvl w:ilvl="0">
      <w:lvlJc w:val="left"/>
      <w:lvlText w:val="%1."/>
      <w:numFmt w:val="upperLetter"/>
      <w:start w:val="5"/>
    </w:lvl>
    <w:lvl w:ilvl="1">
      <w:lvlJc w:val="left"/>
      <w:lvlText w:val="(%2)"/>
      <w:numFmt w:val="decimal"/>
      <w:start w:val="4"/>
    </w:lvl>
  </w:abstractNum>
  <w:abstractNum w:abstractNumId="106">
    <w:nsid w:val="27EDFE3A"/>
    <w:multiLevelType w:val="hybridMultilevel"/>
    <w:lvl w:ilvl="0">
      <w:lvlJc w:val="left"/>
      <w:lvlText w:val="%1."/>
      <w:numFmt w:val="upperLetter"/>
      <w:start w:val="1"/>
    </w:lvl>
  </w:abstractNum>
  <w:abstractNum w:abstractNumId="107">
    <w:nsid w:val="52AC7DFF"/>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08">
    <w:nsid w:val="C4C3AF"/>
    <w:multiLevelType w:val="hybridMultilevel"/>
    <w:lvl w:ilvl="0">
      <w:lvlJc w:val="left"/>
      <w:lvlText w:val="(%1)"/>
      <w:numFmt w:val="upperLetter"/>
      <w:start w:val="2"/>
    </w:lvl>
  </w:abstractNum>
  <w:abstractNum w:abstractNumId="109">
    <w:nsid w:val="44380727"/>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2"/>
    </w:lvl>
  </w:abstractNum>
  <w:abstractNum w:abstractNumId="110">
    <w:nsid w:val="6C053B16"/>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4"/>
    </w:lvl>
  </w:abstractNum>
  <w:abstractNum w:abstractNumId="111">
    <w:nsid w:val="4F294393"/>
    <w:multiLevelType w:val="hybridMultilevel"/>
    <w:lvl w:ilvl="0">
      <w:lvlJc w:val="left"/>
      <w:lvlText w:val="(%1)"/>
      <w:numFmt w:val="upperLetter"/>
      <w:start w:val="5"/>
    </w:lvl>
  </w:abstractNum>
  <w:abstractNum w:abstractNumId="112">
    <w:nsid w:val="5243BFAC"/>
    <w:multiLevelType w:val="hybridMultilevel"/>
    <w:lvl w:ilvl="0">
      <w:lvlJc w:val="left"/>
      <w:lvlText w:val="%1."/>
      <w:numFmt w:val="upperLetter"/>
      <w:start w:val="2"/>
    </w:lvl>
    <w:lvl w:ilvl="1">
      <w:lvlJc w:val="left"/>
      <w:lvlText w:val="(%2)"/>
      <w:numFmt w:val="decimal"/>
      <w:start w:val="2"/>
    </w:lvl>
  </w:abstractNum>
  <w:abstractNum w:abstractNumId="113">
    <w:nsid w:val="425EB207"/>
    <w:multiLevelType w:val="hybridMultilevel"/>
    <w:lvl w:ilvl="0">
      <w:lvlJc w:val="left"/>
      <w:lvlText w:val="%1."/>
      <w:numFmt w:val="upperLetter"/>
      <w:start w:val="2"/>
    </w:lvl>
    <w:lvl w:ilvl="1">
      <w:lvlJc w:val="left"/>
      <w:lvlText w:val="(%2)"/>
      <w:numFmt w:val="decimal"/>
      <w:start w:val="3"/>
    </w:lvl>
  </w:abstractNum>
  <w:abstractNum w:abstractNumId="114">
    <w:nsid w:val="334A6F1F"/>
    <w:multiLevelType w:val="hybridMultilevel"/>
    <w:lvl w:ilvl="0">
      <w:lvlJc w:val="left"/>
      <w:lvlText w:val="(%1)"/>
      <w:numFmt w:val="decimal"/>
      <w:start w:val="4"/>
    </w:lvl>
  </w:abstractNum>
  <w:abstractNum w:abstractNumId="115">
    <w:nsid w:val="2E5B12B8"/>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116">
    <w:nsid w:val="5C03D76D"/>
    <w:multiLevelType w:val="hybridMultilevel"/>
    <w:lvl w:ilvl="0">
      <w:lvlJc w:val="left"/>
      <w:lvlText w:val="%1."/>
      <w:numFmt w:val="upperLetter"/>
      <w:start w:val="2"/>
    </w:lvl>
    <w:lvl w:ilvl="1">
      <w:lvlJc w:val="left"/>
      <w:lvlText w:val="(%2)"/>
      <w:numFmt w:val="decimal"/>
      <w:start w:val="5"/>
    </w:lvl>
  </w:abstractNum>
  <w:abstractNum w:abstractNumId="117">
    <w:nsid w:val="66A48D11"/>
    <w:multiLevelType w:val="hybridMultilevel"/>
    <w:lvl w:ilvl="0">
      <w:lvlJc w:val="left"/>
      <w:lvlText w:val="(%1)"/>
      <w:numFmt w:val="upperLetter"/>
      <w:start w:val="1"/>
    </w:lvl>
  </w:abstractNum>
  <w:abstractNum w:abstractNumId="118">
    <w:nsid w:val="56C28E34"/>
    <w:multiLevelType w:val="hybridMultilevel"/>
    <w:lvl w:ilvl="0">
      <w:lvlJc w:val="left"/>
      <w:lvlText w:val="(%1)"/>
      <w:numFmt w:val="decimal"/>
      <w:start w:val="6"/>
    </w:lvl>
  </w:abstractNum>
  <w:abstractNum w:abstractNumId="119">
    <w:nsid w:val="13916F2D"/>
    <w:multiLevelType w:val="hybridMultilevel"/>
    <w:lvl w:ilvl="0">
      <w:lvlJc w:val="left"/>
      <w:lvlText w:val="%1."/>
      <w:numFmt w:val="upperLetter"/>
      <w:start w:val="3"/>
    </w:lvl>
  </w:abstractNum>
  <w:abstractNum w:abstractNumId="120">
    <w:nsid w:val="435D38D"/>
    <w:multiLevelType w:val="hybridMultilevel"/>
    <w:lvl w:ilvl="0">
      <w:lvlJc w:val="left"/>
      <w:lvlText w:val="%1."/>
      <w:numFmt w:val="upperLetter"/>
      <w:start w:val="7"/>
    </w:lvl>
  </w:abstractNum>
  <w:abstractNum w:abstractNumId="121">
    <w:nsid w:val="822C0EF"/>
    <w:multiLevelType w:val="hybridMultilevel"/>
    <w:lvl w:ilvl="0">
      <w:lvlJc w:val="left"/>
      <w:lvlText w:val="%1."/>
      <w:numFmt w:val="upperLetter"/>
      <w:start w:val="8"/>
    </w:lvl>
  </w:abstractNum>
  <w:abstractNum w:abstractNumId="122">
    <w:nsid w:val="57C5BB4F"/>
    <w:multiLevelType w:val="hybridMultilevel"/>
    <w:lvl w:ilvl="0">
      <w:lvlJc w:val="left"/>
      <w:lvlText w:val="%1."/>
      <w:numFmt w:val="upperLetter"/>
      <w:start w:val="1"/>
    </w:lvl>
  </w:abstractNum>
  <w:abstractNum w:abstractNumId="123">
    <w:nsid w:val="1803D089"/>
    <w:multiLevelType w:val="hybridMultilevel"/>
    <w:lvl w:ilvl="0">
      <w:lvlJc w:val="left"/>
      <w:lvlText w:val="%1."/>
      <w:numFmt w:val="upperLetter"/>
      <w:start w:val="2"/>
    </w:lvl>
  </w:abstractNum>
  <w:abstractNum w:abstractNumId="124">
    <w:nsid w:val="4F3A06D4"/>
    <w:multiLevelType w:val="hybridMultilevel"/>
    <w:lvl w:ilvl="0">
      <w:lvlJc w:val="left"/>
      <w:lvlText w:val="(*)"/>
      <w:numFmt w:val="bullet"/>
      <w:start w:val="1"/>
    </w:lvl>
  </w:abstractNum>
  <w:abstractNum w:abstractNumId="125">
    <w:nsid w:val="59A377B6"/>
    <w:multiLevelType w:val="hybridMultilevel"/>
    <w:lvl w:ilvl="0">
      <w:lvlJc w:val="left"/>
      <w:lvlText w:val="%1."/>
      <w:numFmt w:val="upperLetter"/>
      <w:start w:val="1"/>
    </w:lvl>
  </w:abstractNum>
  <w:abstractNum w:abstractNumId="126">
    <w:nsid w:val="48AEB063"/>
    <w:multiLevelType w:val="hybridMultilevel"/>
    <w:lvl w:ilvl="0">
      <w:lvlJc w:val="left"/>
      <w:lvlText w:val="%1."/>
      <w:numFmt w:val="upperLetter"/>
      <w:start w:val="2"/>
    </w:lvl>
  </w:abstractNum>
  <w:abstractNum w:abstractNumId="127">
    <w:nsid w:val="24E135"/>
    <w:multiLevelType w:val="hybridMultilevel"/>
    <w:lvl w:ilvl="0">
      <w:lvlJc w:val="left"/>
      <w:lvlText w:val="%1."/>
      <w:numFmt w:val="upperLetter"/>
      <w:start w:val="3"/>
    </w:lvl>
  </w:abstractNum>
  <w:abstractNum w:abstractNumId="128">
    <w:nsid w:val="BB13C1"/>
    <w:multiLevelType w:val="hybridMultilevel"/>
    <w:lvl w:ilvl="0">
      <w:lvlJc w:val="left"/>
      <w:lvlText w:val="%1."/>
      <w:numFmt w:val="upperLetter"/>
      <w:start w:val="4"/>
    </w:lvl>
  </w:abstractNum>
  <w:abstractNum w:abstractNumId="129">
    <w:nsid w:val="271210C7"/>
    <w:multiLevelType w:val="hybridMultilevel"/>
    <w:lvl w:ilvl="0">
      <w:lvlJc w:val="left"/>
      <w:lvlText w:val="%1."/>
      <w:numFmt w:val="upperLetter"/>
      <w:start w:val="1"/>
    </w:lvl>
  </w:abstractNum>
  <w:abstractNum w:abstractNumId="130">
    <w:nsid w:val="217B22E4"/>
    <w:multiLevelType w:val="hybridMultilevel"/>
    <w:lvl w:ilvl="0">
      <w:lvlJc w:val="left"/>
      <w:lvlText w:val="%1."/>
      <w:numFmt w:val="upperLetter"/>
      <w:start w:val="2"/>
    </w:lvl>
  </w:abstractNum>
  <w:abstractNum w:abstractNumId="131">
    <w:nsid w:val="53E31A24"/>
    <w:multiLevelType w:val="hybridMultilevel"/>
    <w:lvl w:ilvl="0">
      <w:lvlJc w:val="left"/>
      <w:lvlText w:val="%1."/>
      <w:numFmt w:val="upperLetter"/>
      <w:start w:val="3"/>
    </w:lvl>
    <w:lvl w:ilvl="1">
      <w:lvlJc w:val="left"/>
      <w:lvlText w:val="(%2)"/>
      <w:numFmt w:val="decimal"/>
      <w:start w:val="1"/>
    </w:lvl>
  </w:abstractNum>
  <w:abstractNum w:abstractNumId="132">
    <w:nsid w:val="6DC45E83"/>
    <w:multiLevelType w:val="hybridMultilevel"/>
    <w:lvl w:ilvl="0">
      <w:lvlJc w:val="left"/>
      <w:lvlText w:val="%1."/>
      <w:numFmt w:val="upperLetter"/>
      <w:start w:val="3"/>
    </w:lvl>
  </w:abstractNum>
  <w:abstractNum w:abstractNumId="133">
    <w:nsid w:val="17304A67"/>
    <w:multiLevelType w:val="hybridMultilevel"/>
    <w:lvl w:ilvl="0">
      <w:lvlJc w:val="left"/>
      <w:lvlText w:val="%1."/>
      <w:numFmt w:val="upperLetter"/>
      <w:start w:val="1"/>
    </w:lvl>
    <w:lvl w:ilvl="1">
      <w:lvlJc w:val="left"/>
      <w:lvlText w:val="(%2)"/>
      <w:numFmt w:val="decimal"/>
      <w:start w:val="1"/>
    </w:lvl>
  </w:abstractNum>
  <w:abstractNum w:abstractNumId="134">
    <w:nsid w:val="2BB180D8"/>
    <w:multiLevelType w:val="hybridMultilevel"/>
    <w:lvl w:ilvl="0">
      <w:lvlJc w:val="left"/>
      <w:lvlText w:val="(%1)"/>
      <w:numFmt w:val="decimal"/>
      <w:start w:val="2"/>
    </w:lvl>
  </w:abstractNum>
  <w:abstractNum w:abstractNumId="135">
    <w:nsid w:val="556B69ED"/>
    <w:multiLevelType w:val="hybridMultilevel"/>
    <w:lvl w:ilvl="0">
      <w:lvlJc w:val="left"/>
      <w:lvlText w:val="%1."/>
      <w:numFmt w:val="upperLetter"/>
      <w:start w:val="1"/>
    </w:lvl>
    <w:lvl w:ilvl="1">
      <w:lvlJc w:val="left"/>
      <w:lvlText w:val="(%2)"/>
      <w:numFmt w:val="decimal"/>
      <w:start w:val="2"/>
    </w:lvl>
  </w:abstractNum>
  <w:abstractNum w:abstractNumId="136">
    <w:nsid w:val="70836196"/>
    <w:multiLevelType w:val="hybridMultilevel"/>
    <w:lvl w:ilvl="0">
      <w:lvlJc w:val="left"/>
      <w:lvlText w:val="%1."/>
      <w:numFmt w:val="upperLetter"/>
      <w:start w:val="1"/>
    </w:lvl>
    <w:lvl w:ilvl="1">
      <w:lvlJc w:val="left"/>
      <w:lvlText w:val="(%2)"/>
      <w:numFmt w:val="decimal"/>
      <w:start w:val="4"/>
    </w:lvl>
    <w:lvl w:ilvl="2">
      <w:lvlJc w:val="left"/>
      <w:lvlText w:val="(%3)"/>
      <w:numFmt w:val="lowerRoman"/>
      <w:start w:val="2"/>
    </w:lvl>
  </w:abstractNum>
  <w:abstractNum w:abstractNumId="137">
    <w:nsid w:val="539F7F12"/>
    <w:multiLevelType w:val="hybridMultilevel"/>
    <w:lvl w:ilvl="0">
      <w:lvlJc w:val="left"/>
      <w:lvlText w:val="%1."/>
      <w:numFmt w:val="upperLetter"/>
      <w:start w:val="2"/>
    </w:lvl>
  </w:abstractNum>
  <w:abstractNum w:abstractNumId="138">
    <w:nsid w:val="2817E7EC"/>
    <w:multiLevelType w:val="hybridMultilevel"/>
    <w:lvl w:ilvl="0">
      <w:lvlJc w:val="left"/>
      <w:lvlText w:val="%1."/>
      <w:numFmt w:val="upperLetter"/>
      <w:start w:val="4"/>
    </w:lvl>
    <w:lvl w:ilvl="1">
      <w:lvlJc w:val="left"/>
      <w:lvlText w:val="(%2)"/>
      <w:numFmt w:val="decimal"/>
      <w:start w:val="1"/>
    </w:lvl>
  </w:abstractNum>
  <w:abstractNum w:abstractNumId="139">
    <w:nsid w:val="71482545"/>
    <w:multiLevelType w:val="hybridMultilevel"/>
    <w:lvl w:ilvl="0">
      <w:lvlJc w:val="left"/>
      <w:lvlText w:val="(%1)"/>
      <w:numFmt w:val="decimal"/>
      <w:start w:val="3"/>
    </w:lvl>
  </w:abstractNum>
  <w:abstractNum w:abstractNumId="140">
    <w:nsid w:val="17D78639"/>
    <w:multiLevelType w:val="hybridMultilevel"/>
    <w:lvl w:ilvl="0">
      <w:lvlJc w:val="left"/>
      <w:lvlText w:val="%1."/>
      <w:numFmt w:val="upperLetter"/>
      <w:start w:val="4"/>
    </w:lvl>
    <w:lvl w:ilvl="1">
      <w:lvlJc w:val="left"/>
      <w:lvlText w:val="(%2)"/>
      <w:numFmt w:val="decimal"/>
      <w:start w:val="4"/>
    </w:lvl>
  </w:abstractNum>
  <w:abstractNum w:abstractNumId="141">
    <w:nsid w:val="141D2302"/>
    <w:multiLevelType w:val="hybridMultilevel"/>
    <w:lvl w:ilvl="0">
      <w:lvlJc w:val="left"/>
      <w:lvlText w:val="%1."/>
      <w:numFmt w:val="upperLetter"/>
      <w:start w:val="6"/>
    </w:lvl>
  </w:abstractNum>
  <w:abstractNum w:abstractNumId="142">
    <w:nsid w:val="407168D8"/>
    <w:multiLevelType w:val="hybridMultilevel"/>
    <w:lvl w:ilvl="0">
      <w:lvlJc w:val="left"/>
      <w:lvlText w:val="%1."/>
      <w:numFmt w:val="upperLetter"/>
      <w:start w:val="9"/>
    </w:lvl>
  </w:abstractNum>
  <w:abstractNum w:abstractNumId="143">
    <w:nsid w:val="6A1B45E5"/>
    <w:multiLevelType w:val="hybridMultilevel"/>
    <w:lvl w:ilvl="0">
      <w:lvlJc w:val="left"/>
      <w:lvlText w:val="%1."/>
      <w:numFmt w:val="upperLetter"/>
      <w:start w:val="11"/>
    </w:lvl>
  </w:abstractNum>
  <w:abstractNum w:abstractNumId="144">
    <w:nsid w:val="567BD50A"/>
    <w:multiLevelType w:val="hybridMultilevel"/>
    <w:lvl w:ilvl="0">
      <w:lvlJc w:val="left"/>
      <w:lvlText w:val="%1."/>
      <w:numFmt w:val="upperLetter"/>
      <w:start w:val="11"/>
    </w:lvl>
  </w:abstractNum>
  <w:abstractNum w:abstractNumId="145">
    <w:nsid w:val="73BBD7F8"/>
    <w:multiLevelType w:val="hybridMultilevel"/>
    <w:lvl w:ilvl="0">
      <w:lvlJc w:val="left"/>
      <w:lvlText w:val="%1."/>
      <w:numFmt w:val="upperLetter"/>
      <w:start w:val="11"/>
    </w:lvl>
  </w:abstractNum>
  <w:abstractNum w:abstractNumId="146">
    <w:nsid w:val="1876589D"/>
    <w:multiLevelType w:val="hybridMultilevel"/>
    <w:lvl w:ilvl="0">
      <w:lvlJc w:val="left"/>
      <w:lvlText w:val="%1."/>
      <w:numFmt w:val="upperLetter"/>
      <w:start w:val="12"/>
    </w:lvl>
  </w:abstractNum>
  <w:abstractNum w:abstractNumId="147">
    <w:nsid w:val="327FAC77"/>
    <w:multiLevelType w:val="hybridMultilevel"/>
    <w:lvl w:ilvl="0">
      <w:lvlJc w:val="left"/>
      <w:lvlText w:val="%1."/>
      <w:numFmt w:val="decimal"/>
      <w:start w:val="1"/>
    </w:lvl>
  </w:abstractNum>
  <w:abstractNum w:abstractNumId="148">
    <w:nsid w:val="5A606509"/>
    <w:multiLevelType w:val="hybridMultilevel"/>
    <w:lvl w:ilvl="0">
      <w:lvlJc w:val="left"/>
      <w:lvlText w:val="%1"/>
      <w:numFmt w:val="decimal"/>
      <w:start w:val="1"/>
    </w:lvl>
    <w:lvl w:ilvl="1">
      <w:lvlJc w:val="left"/>
      <w:lvlText w:val="(%2)"/>
      <w:numFmt w:val="lowerLetter"/>
      <w:start w:val="2"/>
    </w:lvl>
  </w:abstractNum>
  <w:abstractNum w:abstractNumId="149">
    <w:nsid w:val="6F38E6D1"/>
    <w:multiLevelType w:val="hybridMultilevel"/>
    <w:lvl w:ilvl="0">
      <w:lvlJc w:val="left"/>
      <w:lvlText w:val="%1."/>
      <w:numFmt w:val="decimal"/>
      <w:start w:val="3"/>
    </w:lvl>
    <w:lvl w:ilvl="1">
      <w:lvlJc w:val="left"/>
      <w:lvlText w:val="%2"/>
      <w:numFmt w:val="lowerLetter"/>
      <w:start w:val="1"/>
    </w:lvl>
  </w:abstractNum>
  <w:abstractNum w:abstractNumId="150">
    <w:nsid w:val="46111BA5"/>
    <w:multiLevelType w:val="hybridMultilevel"/>
    <w:lvl w:ilvl="0">
      <w:lvlJc w:val="left"/>
      <w:lvlText w:val="%1."/>
      <w:numFmt w:val="lowerLetter"/>
      <w:start w:val="1"/>
    </w:lvl>
  </w:abstractNum>
  <w:abstractNum w:abstractNumId="151">
    <w:nsid w:val="5E963896"/>
    <w:multiLevelType w:val="hybridMultilevel"/>
    <w:lvl w:ilvl="0">
      <w:lvlJc w:val="left"/>
      <w:lvlText w:val="X"/>
      <w:numFmt w:val="bullet"/>
      <w:start w:val="1"/>
    </w:lvl>
  </w:abstractNum>
  <w:abstractNum w:abstractNumId="152">
    <w:nsid w:val="775BA7C1"/>
    <w:multiLevelType w:val="hybridMultilevel"/>
    <w:lvl w:ilvl="0">
      <w:lvlJc w:val="left"/>
      <w:lvlText w:val="Y"/>
      <w:numFmt w:val="bullet"/>
      <w:start w:val="1"/>
    </w:lvl>
  </w:abstractNum>
  <w:abstractNum w:abstractNumId="153">
    <w:nsid w:val="1DD6D6F4"/>
    <w:multiLevelType w:val="hybridMultilevel"/>
    <w:lvl w:ilvl="0">
      <w:lvlJc w:val="left"/>
      <w:lvlText w:val="A"/>
      <w:numFmt w:val="bullet"/>
      <w:start w:val="1"/>
    </w:lvl>
  </w:abstractNum>
  <w:abstractNum w:abstractNumId="154">
    <w:nsid w:val="769A091F"/>
    <w:multiLevelType w:val="hybridMultilevel"/>
    <w:lvl w:ilvl="0">
      <w:lvlJc w:val="left"/>
      <w:lvlText w:val="B"/>
      <w:numFmt w:val="bullet"/>
      <w:start w:val="1"/>
    </w:lvl>
  </w:abstractNum>
  <w:abstractNum w:abstractNumId="155">
    <w:nsid w:val="4695AE95"/>
    <w:multiLevelType w:val="hybridMultilevel"/>
    <w:lvl w:ilvl="0">
      <w:lvlJc w:val="left"/>
      <w:lvlText w:val="(%1)"/>
      <w:numFmt w:val="lowerRoman"/>
      <w:start w:val="1"/>
    </w:lvl>
  </w:abstractNum>
  <w:abstractNum w:abstractNumId="156">
    <w:nsid w:val="777A4EAA"/>
    <w:multiLevelType w:val="hybridMultilevel"/>
    <w:lvl w:ilvl="0">
      <w:lvlJc w:val="left"/>
      <w:lvlText w:val="%1"/>
      <w:numFmt w:val="decimal"/>
      <w:start w:val="1"/>
    </w:lvl>
    <w:lvl w:ilvl="1">
      <w:lvlJc w:val="left"/>
      <w:lvlText w:val="%2."/>
      <w:numFmt w:val="lowerLetter"/>
      <w:start w:val="3"/>
    </w:lvl>
  </w:abstractNum>
  <w:abstractNum w:abstractNumId="157">
    <w:nsid w:val="3F48B982"/>
    <w:multiLevelType w:val="hybridMultilevel"/>
    <w:lvl w:ilvl="0">
      <w:lvlJc w:val="left"/>
      <w:lvlText w:val="%1."/>
      <w:numFmt w:val="decimal"/>
      <w:start w:val="4"/>
    </w:lvl>
    <w:lvl w:ilvl="1">
      <w:lvlJc w:val="left"/>
      <w:lvlText w:val="%2"/>
      <w:numFmt w:val="lowerLetter"/>
      <w:start w:val="1"/>
    </w:lvl>
  </w:abstractNum>
  <w:abstractNum w:abstractNumId="158">
    <w:nsid w:val="46BA8FCA"/>
    <w:multiLevelType w:val="hybridMultilevel"/>
    <w:lvl w:ilvl="0">
      <w:lvlJc w:val="left"/>
      <w:lvlText w:val="%1."/>
      <w:numFmt w:val="decimal"/>
      <w:start w:val="5"/>
    </w:lvl>
    <w:lvl w:ilvl="1">
      <w:lvlJc w:val="left"/>
      <w:lvlText w:val="(%2)"/>
      <w:numFmt w:val="lowerLetter"/>
      <w:start w:val="1"/>
    </w:lvl>
  </w:abstractNum>
  <w:abstractNum w:abstractNumId="159">
    <w:nsid w:val="7835626C"/>
    <w:multiLevelType w:val="hybridMultilevel"/>
    <w:lvl w:ilvl="0">
      <w:lvlJc w:val="left"/>
      <w:lvlText w:val="%1."/>
      <w:numFmt w:val="decimal"/>
      <w:start w:val="7"/>
    </w:lvl>
    <w:lvl w:ilvl="1">
      <w:lvlJc w:val="left"/>
      <w:lvlText w:val="%2."/>
      <w:numFmt w:val="lowerLetter"/>
      <w:start w:val="1"/>
    </w:lvl>
  </w:abstractNum>
  <w:abstractNum w:abstractNumId="160">
    <w:nsid w:val="665ACA49"/>
    <w:multiLevelType w:val="hybridMultilevel"/>
    <w:lvl w:ilvl="0">
      <w:lvlJc w:val="left"/>
      <w:lvlText w:val="%1."/>
      <w:numFmt w:val="lowerLetter"/>
      <w:start w:val="3"/>
    </w:lvl>
  </w:abstractNum>
  <w:abstractNum w:abstractNumId="161">
    <w:nsid w:val="6835B2AE"/>
    <w:multiLevelType w:val="hybridMultilevel"/>
    <w:lvl w:ilvl="0">
      <w:lvlJc w:val="left"/>
      <w:lvlText w:val="%1."/>
      <w:numFmt w:val="lowerLetter"/>
      <w:start w:val="5"/>
    </w:lvl>
  </w:abstractNum>
  <w:abstractNum w:abstractNumId="162">
    <w:nsid w:val="4C187C90"/>
    <w:multiLevelType w:val="hybridMultilevel"/>
    <w:lvl w:ilvl="0">
      <w:lvlJc w:val="left"/>
      <w:lvlText w:val="%1."/>
      <w:numFmt w:val="lowerLetter"/>
      <w:start w:val="8"/>
    </w:lvl>
  </w:abstractNum>
  <w:abstractNum w:abstractNumId="163">
    <w:nsid w:val="541F28CD"/>
    <w:multiLevelType w:val="hybridMultilevel"/>
    <w:lvl w:ilvl="0">
      <w:lvlJc w:val="left"/>
      <w:lvlText w:val="%1"/>
      <w:numFmt w:val="decimal"/>
      <w:start w:val="1"/>
    </w:lvl>
    <w:lvl w:ilvl="1">
      <w:lvlJc w:val="left"/>
      <w:lvlText w:val="%2."/>
      <w:numFmt w:val="lowerLetter"/>
      <w:start w:val="11"/>
    </w:lvl>
  </w:abstractNum>
  <w:abstractNum w:abstractNumId="164">
    <w:nsid w:val="7F65FD16"/>
    <w:multiLevelType w:val="hybridMultilevel"/>
    <w:lvl w:ilvl="0">
      <w:lvlJc w:val="left"/>
      <w:lvlText w:val="%1."/>
      <w:numFmt w:val="decimal"/>
      <w:start w:val="8"/>
    </w:lvl>
    <w:lvl w:ilvl="1">
      <w:lvlJc w:val="left"/>
      <w:lvlText w:val="%2."/>
      <w:numFmt w:val="lowerLetter"/>
      <w:start w:val="1"/>
    </w:lvl>
  </w:abstractNum>
  <w:abstractNum w:abstractNumId="165">
    <w:nsid w:val="77C9FD6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6">
    <w:nsid w:val="298A92B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7">
    <w:nsid w:val="6FE95EAC"/>
    <w:multiLevelType w:val="hybridMultilevel"/>
    <w:lvl w:ilvl="0">
      <w:lvlJc w:val="left"/>
      <w:lvlText w:val="%1"/>
      <w:numFmt w:val="lowerLetter"/>
      <w:start w:val="1"/>
    </w:lvl>
    <w:lvl w:ilvl="1">
      <w:lvlJc w:val="left"/>
      <w:lvlText w:val="(%2)"/>
      <w:numFmt w:val="lowerRoman"/>
      <w:start w:val="5"/>
    </w:lvl>
  </w:abstractNum>
  <w:abstractNum w:abstractNumId="168">
    <w:nsid w:val="4B697C7A"/>
    <w:multiLevelType w:val="hybridMultilevel"/>
    <w:lvl w:ilvl="0">
      <w:lvlJc w:val="left"/>
      <w:lvlText w:val="%1."/>
      <w:numFmt w:val="lowerLetter"/>
      <w:start w:val="2"/>
    </w:lvl>
    <w:lvl w:ilvl="1">
      <w:lvlJc w:val="left"/>
      <w:lvlText w:val="%2"/>
      <w:numFmt w:val="lowerRoman"/>
      <w:start w:val="1"/>
    </w:lvl>
  </w:abstractNum>
  <w:abstractNum w:abstractNumId="169">
    <w:nsid w:val="51A27AA6"/>
    <w:multiLevelType w:val="hybridMultilevel"/>
    <w:lvl w:ilvl="0">
      <w:lvlJc w:val="left"/>
      <w:lvlText w:val="%1."/>
      <w:numFmt w:val="lowerLetter"/>
      <w:start w:val="5"/>
    </w:lvl>
  </w:abstractNum>
  <w:abstractNum w:abstractNumId="170">
    <w:nsid w:val="613183F2"/>
    <w:multiLevelType w:val="hybridMultilevel"/>
    <w:lvl w:ilvl="0">
      <w:lvlJc w:val="left"/>
      <w:lvlText w:val="%1."/>
      <w:numFmt w:val="decimal"/>
      <w:start w:val="10"/>
    </w:lvl>
    <w:lvl w:ilvl="1">
      <w:lvlJc w:val="left"/>
      <w:lvlText w:val="%2."/>
      <w:numFmt w:val="lowerLetter"/>
      <w:start w:val="1"/>
    </w:lvl>
  </w:abstractNum>
  <w:abstractNum w:abstractNumId="171">
    <w:nsid w:val="634102B4"/>
    <w:multiLevelType w:val="hybridMultilevel"/>
    <w:lvl w:ilvl="0">
      <w:lvlJc w:val="left"/>
      <w:lvlText w:val="%1"/>
      <w:numFmt w:val="decimal"/>
      <w:start w:val="1"/>
    </w:lvl>
    <w:lvl w:ilvl="1">
      <w:lvlJc w:val="left"/>
      <w:lvlText w:val="%2."/>
      <w:numFmt w:val="lowerLetter"/>
      <w:start w:val="3"/>
    </w:lvl>
  </w:abstractNum>
  <w:abstractNum w:abstractNumId="172">
    <w:nsid w:val="65BF9DA8"/>
    <w:multiLevelType w:val="hybridMultilevel"/>
    <w:lvl w:ilvl="0">
      <w:lvlJc w:val="left"/>
      <w:lvlText w:val="%1."/>
      <w:numFmt w:val="decimal"/>
      <w:start w:val="11"/>
    </w:lvl>
    <w:lvl w:ilvl="1">
      <w:lvlJc w:val="left"/>
      <w:lvlText w:val="%2"/>
      <w:numFmt w:val="lowerLetter"/>
      <w:start w:val="1"/>
    </w:lvl>
  </w:abstractNum>
  <w:abstractNum w:abstractNumId="173">
    <w:nsid w:val="21A2ECCA"/>
    <w:multiLevelType w:val="hybridMultilevel"/>
    <w:lvl w:ilvl="0">
      <w:lvlJc w:val="left"/>
      <w:lvlText w:val="%1."/>
      <w:numFmt w:val="decimal"/>
      <w:start w:val="13"/>
    </w:lvl>
  </w:abstractNum>
  <w:abstractNum w:abstractNumId="174">
    <w:nsid w:val="4D5C4899"/>
    <w:multiLevelType w:val="hybridMultilevel"/>
    <w:lvl w:ilvl="0">
      <w:lvlJc w:val="left"/>
      <w:lvlText w:val="%1."/>
      <w:numFmt w:val="decimal"/>
      <w:start w:val="14"/>
    </w:lvl>
  </w:abstractNum>
  <w:abstractNum w:abstractNumId="175">
    <w:nsid w:val="3C3B72B2"/>
    <w:multiLevelType w:val="hybridMultilevel"/>
    <w:lvl w:ilvl="0">
      <w:lvlJc w:val="left"/>
      <w:lvlText w:val="%1."/>
      <w:numFmt w:val="decimal"/>
      <w:start w:val="2"/>
    </w:lvl>
  </w:abstractNum>
  <w:abstractNum w:abstractNumId="176">
    <w:nsid w:val="155EC4C2"/>
    <w:multiLevelType w:val="hybridMultilevel"/>
    <w:lvl w:ilvl="0">
      <w:lvlJc w:val="left"/>
      <w:lvlText w:val="%1."/>
      <w:numFmt w:val="decimal"/>
      <w:start w:val="1"/>
    </w:lvl>
  </w:abstractNum>
  <w:abstractNum w:abstractNumId="177">
    <w:nsid w:val="65D2A137"/>
    <w:multiLevelType w:val="hybridMultilevel"/>
    <w:lvl w:ilvl="0">
      <w:lvlJc w:val="left"/>
      <w:lvlText w:val="%1."/>
      <w:numFmt w:val="decimal"/>
      <w:start w:val="2"/>
    </w:lvl>
  </w:abstractNum>
  <w:abstractNum w:abstractNumId="178">
    <w:nsid w:val="6EBB1F2A"/>
    <w:multiLevelType w:val="hybridMultilevel"/>
    <w:lvl w:ilvl="0">
      <w:lvlJc w:val="left"/>
      <w:lvlText w:val="%1"/>
      <w:numFmt w:val="decimal"/>
      <w:start w:val="1"/>
    </w:lvl>
    <w:lvl w:ilvl="1">
      <w:lvlJc w:val="left"/>
      <w:lvlText w:val="(%2)"/>
      <w:numFmt w:val="lowerLetter"/>
      <w:start w:val="2"/>
    </w:lvl>
  </w:abstractNum>
  <w:abstractNum w:abstractNumId="179">
    <w:nsid w:val="6FBF29CB"/>
    <w:multiLevelType w:val="hybridMultilevel"/>
    <w:lvl w:ilvl="0">
      <w:lvlJc w:val="left"/>
      <w:lvlText w:val="%1."/>
      <w:numFmt w:val="decimal"/>
      <w:start w:val="3"/>
    </w:lvl>
    <w:lvl w:ilvl="1">
      <w:lvlJc w:val="left"/>
      <w:lvlText w:val="%2"/>
      <w:numFmt w:val="lowerLetter"/>
      <w:start w:val="1"/>
    </w:lvl>
  </w:abstractNum>
  <w:abstractNum w:abstractNumId="180">
    <w:nsid w:val="550B8808"/>
    <w:multiLevelType w:val="hybridMultilevel"/>
    <w:lvl w:ilvl="0">
      <w:lvlJc w:val="left"/>
      <w:lvlText w:val="%1."/>
      <w:numFmt w:val="lowerLetter"/>
      <w:start w:val="1"/>
    </w:lvl>
  </w:abstractNum>
  <w:abstractNum w:abstractNumId="181">
    <w:nsid w:val="34CC3ACF"/>
    <w:multiLevelType w:val="hybridMultilevel"/>
    <w:lvl w:ilvl="0">
      <w:lvlJc w:val="left"/>
      <w:lvlText w:val="X"/>
      <w:numFmt w:val="bullet"/>
      <w:start w:val="1"/>
    </w:lvl>
  </w:abstractNum>
  <w:abstractNum w:abstractNumId="182">
    <w:nsid w:val="4E556261"/>
    <w:multiLevelType w:val="hybridMultilevel"/>
    <w:lvl w:ilvl="0">
      <w:lvlJc w:val="left"/>
      <w:lvlText w:val="Y"/>
      <w:numFmt w:val="bullet"/>
      <w:start w:val="1"/>
    </w:lvl>
  </w:abstractNum>
  <w:abstractNum w:abstractNumId="183">
    <w:nsid w:val="4C672FC9"/>
    <w:multiLevelType w:val="hybridMultilevel"/>
    <w:lvl w:ilvl="0">
      <w:lvlJc w:val="left"/>
      <w:lvlText w:val="A"/>
      <w:numFmt w:val="bullet"/>
      <w:start w:val="1"/>
    </w:lvl>
  </w:abstractNum>
  <w:abstractNum w:abstractNumId="184">
    <w:nsid w:val="52A311C3"/>
    <w:multiLevelType w:val="hybridMultilevel"/>
    <w:lvl w:ilvl="0">
      <w:lvlJc w:val="left"/>
      <w:lvlText w:val="B"/>
      <w:numFmt w:val="bullet"/>
      <w:start w:val="1"/>
    </w:lvl>
  </w:abstractNum>
  <w:abstractNum w:abstractNumId="185">
    <w:nsid w:val="44EF6B80"/>
    <w:multiLevelType w:val="hybridMultilevel"/>
    <w:lvl w:ilvl="0">
      <w:lvlJc w:val="left"/>
      <w:lvlText w:val="(%1)"/>
      <w:numFmt w:val="lowerRoman"/>
      <w:start w:val="1"/>
    </w:lvl>
  </w:abstractNum>
  <w:abstractNum w:abstractNumId="186">
    <w:nsid w:val="12FCDE5E"/>
    <w:multiLevelType w:val="hybridMultilevel"/>
    <w:lvl w:ilvl="0">
      <w:lvlJc w:val="left"/>
      <w:lvlText w:val="%1."/>
      <w:numFmt w:val="lowerLetter"/>
      <w:start w:val="3"/>
    </w:lvl>
  </w:abstractNum>
  <w:abstractNum w:abstractNumId="187">
    <w:nsid w:val="4A1D606E"/>
    <w:multiLevelType w:val="hybridMultilevel"/>
    <w:lvl w:ilvl="0">
      <w:lvlJc w:val="left"/>
      <w:lvlText w:val="%1."/>
      <w:numFmt w:val="decimal"/>
      <w:start w:val="4"/>
    </w:lvl>
    <w:lvl w:ilvl="1">
      <w:lvlJc w:val="left"/>
      <w:lvlText w:val="(%2)"/>
      <w:numFmt w:val="lowerLetter"/>
      <w:start w:val="1"/>
    </w:lvl>
  </w:abstractNum>
  <w:abstractNum w:abstractNumId="188">
    <w:nsid w:val="4382503"/>
    <w:multiLevelType w:val="hybridMultilevel"/>
    <w:lvl w:ilvl="0">
      <w:lvlJc w:val="left"/>
      <w:lvlText w:val="%1."/>
      <w:numFmt w:val="decimal"/>
      <w:start w:val="7"/>
    </w:lvl>
    <w:lvl w:ilvl="1">
      <w:lvlJc w:val="left"/>
      <w:lvlText w:val="%2."/>
      <w:numFmt w:val="lowerLetter"/>
      <w:start w:val="1"/>
    </w:lvl>
  </w:abstractNum>
  <w:abstractNum w:abstractNumId="189">
    <w:nsid w:val="59B76E28"/>
    <w:multiLevelType w:val="hybridMultilevel"/>
    <w:lvl w:ilvl="0">
      <w:lvlJc w:val="left"/>
      <w:lvlText w:val="%1."/>
      <w:numFmt w:val="lowerLetter"/>
      <w:start w:val="3"/>
    </w:lvl>
  </w:abstractNum>
  <w:abstractNum w:abstractNumId="190">
    <w:nsid w:val="4252C2DA"/>
    <w:multiLevelType w:val="hybridMultilevel"/>
    <w:lvl w:ilvl="0">
      <w:lvlJc w:val="left"/>
      <w:lvlText w:val="%1."/>
      <w:numFmt w:val="lowerLetter"/>
      <w:start w:val="5"/>
    </w:lvl>
  </w:abstractNum>
  <w:abstractNum w:abstractNumId="191">
    <w:nsid w:val="6A92EF4C"/>
    <w:multiLevelType w:val="hybridMultilevel"/>
    <w:lvl w:ilvl="0">
      <w:lvlJc w:val="left"/>
      <w:lvlText w:val="%1."/>
      <w:numFmt w:val="lowerLetter"/>
      <w:start w:val="8"/>
    </w:lvl>
  </w:abstractNum>
  <w:abstractNum w:abstractNumId="192">
    <w:nsid w:val="41ED20D7"/>
    <w:multiLevelType w:val="hybridMultilevel"/>
    <w:lvl w:ilvl="0">
      <w:lvlJc w:val="left"/>
      <w:lvlText w:val="%1"/>
      <w:numFmt w:val="decimal"/>
      <w:start w:val="1"/>
    </w:lvl>
    <w:lvl w:ilvl="1">
      <w:lvlJc w:val="left"/>
      <w:lvlText w:val="%2."/>
      <w:numFmt w:val="lowerLetter"/>
      <w:start w:val="11"/>
    </w:lvl>
  </w:abstractNum>
  <w:abstractNum w:abstractNumId="193">
    <w:nsid w:val="E6B3F6A"/>
    <w:multiLevelType w:val="hybridMultilevel"/>
    <w:lvl w:ilvl="0">
      <w:lvlJc w:val="left"/>
      <w:lvlText w:val="%1."/>
      <w:numFmt w:val="decimal"/>
      <w:start w:val="8"/>
    </w:lvl>
    <w:lvl w:ilvl="1">
      <w:lvlJc w:val="left"/>
      <w:lvlText w:val="%2."/>
      <w:numFmt w:val="lowerLetter"/>
      <w:start w:val="1"/>
    </w:lvl>
  </w:abstractNum>
  <w:abstractNum w:abstractNumId="194">
    <w:nsid w:val="3EB2181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5">
    <w:nsid w:val="41531DE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6">
    <w:nsid w:val="6353CD2"/>
    <w:multiLevelType w:val="hybridMultilevel"/>
    <w:lvl w:ilvl="0">
      <w:lvlJc w:val="left"/>
      <w:lvlText w:val="%1"/>
      <w:numFmt w:val="lowerLetter"/>
      <w:start w:val="1"/>
    </w:lvl>
    <w:lvl w:ilvl="1">
      <w:lvlJc w:val="left"/>
      <w:lvlText w:val="(%2)"/>
      <w:numFmt w:val="lowerRoman"/>
      <w:start w:val="5"/>
    </w:lvl>
  </w:abstractNum>
  <w:abstractNum w:abstractNumId="197">
    <w:nsid w:val="683CAAD3"/>
    <w:multiLevelType w:val="hybridMultilevel"/>
    <w:lvl w:ilvl="0">
      <w:lvlJc w:val="left"/>
      <w:lvlText w:val="%1."/>
      <w:numFmt w:val="lowerLetter"/>
      <w:start w:val="2"/>
    </w:lvl>
    <w:lvl w:ilvl="1">
      <w:lvlJc w:val="left"/>
      <w:lvlText w:val="%2"/>
      <w:numFmt w:val="lowerRoman"/>
      <w:start w:val="1"/>
    </w:lvl>
  </w:abstractNum>
  <w:abstractNum w:abstractNumId="198">
    <w:nsid w:val="313C7C99"/>
    <w:multiLevelType w:val="hybridMultilevel"/>
    <w:lvl w:ilvl="0">
      <w:lvlJc w:val="left"/>
      <w:lvlText w:val="%1."/>
      <w:numFmt w:val="lowerLetter"/>
      <w:start w:val="5"/>
    </w:lvl>
  </w:abstractNum>
  <w:abstractNum w:abstractNumId="199">
    <w:nsid w:val="519EB94C"/>
    <w:multiLevelType w:val="hybridMultilevel"/>
    <w:lvl w:ilvl="0">
      <w:lvlJc w:val="left"/>
      <w:lvlText w:val="%1."/>
      <w:numFmt w:val="decimal"/>
      <w:start w:val="10"/>
    </w:lvl>
    <w:lvl w:ilvl="1">
      <w:lvlJc w:val="left"/>
      <w:lvlText w:val="%2."/>
      <w:numFmt w:val="lowerLetter"/>
      <w:start w:val="1"/>
    </w:lvl>
  </w:abstractNum>
  <w:abstractNum w:abstractNumId="200">
    <w:nsid w:val="39DF2579"/>
    <w:multiLevelType w:val="hybridMultilevel"/>
    <w:lvl w:ilvl="0">
      <w:lvlJc w:val="left"/>
      <w:lvlText w:val="%1"/>
      <w:numFmt w:val="decimal"/>
      <w:start w:val="1"/>
    </w:lvl>
    <w:lvl w:ilvl="1">
      <w:lvlJc w:val="left"/>
      <w:lvlText w:val="%2."/>
      <w:numFmt w:val="lowerLetter"/>
      <w:start w:val="3"/>
    </w:lvl>
  </w:abstractNum>
  <w:abstractNum w:abstractNumId="201">
    <w:nsid w:val="126E008B"/>
    <w:multiLevelType w:val="hybridMultilevel"/>
    <w:lvl w:ilvl="0">
      <w:lvlJc w:val="left"/>
      <w:lvlText w:val="%1."/>
      <w:numFmt w:val="decimal"/>
      <w:start w:val="11"/>
    </w:lvl>
    <w:lvl w:ilvl="1">
      <w:lvlJc w:val="left"/>
      <w:lvlText w:val="%2"/>
      <w:numFmt w:val="lowerLetter"/>
      <w:start w:val="1"/>
    </w:lvl>
  </w:abstractNum>
  <w:abstractNum w:abstractNumId="202">
    <w:nsid w:val="34DFBC00"/>
    <w:multiLevelType w:val="hybridMultilevel"/>
    <w:lvl w:ilvl="0">
      <w:lvlJc w:val="left"/>
      <w:lvlText w:val="%1."/>
      <w:numFmt w:val="decimal"/>
      <w:start w:val="13"/>
    </w:lvl>
  </w:abstractNum>
  <w:abstractNum w:abstractNumId="203">
    <w:nsid w:val="1F9EC322"/>
    <w:multiLevelType w:val="hybridMultilevel"/>
    <w:lvl w:ilvl="0">
      <w:lvlJc w:val="left"/>
      <w:lvlText w:val="%1."/>
      <w:numFmt w:val="decimal"/>
      <w:start w:val="14"/>
    </w:lvl>
  </w:abstractNum>
  <w:abstractNum w:abstractNumId="204">
    <w:nsid w:val="3410ED56"/>
    <w:multiLevelType w:val="hybridMultilevel"/>
    <w:lvl w:ilvl="0">
      <w:lvlJc w:val="left"/>
      <w:lvlText w:val="%1."/>
      <w:numFmt w:val="decimal"/>
      <w:start w:val="2"/>
    </w:lvl>
  </w:abstractNum>
  <w:abstractNum w:abstractNumId="205">
    <w:nsid w:val="23C049A"/>
    <w:multiLevelType w:val="hybridMultilevel"/>
    <w:lvl w:ilvl="0">
      <w:lvlJc w:val="left"/>
      <w:lvlText w:val="(%1)"/>
      <w:numFmt w:val="decimal"/>
      <w:start w:val="1"/>
    </w:lvl>
  </w:abstractNum>
  <w:abstractNum w:abstractNumId="206">
    <w:nsid w:val="5BDA35D4"/>
    <w:multiLevelType w:val="hybridMultilevel"/>
    <w:lvl w:ilvl="0">
      <w:lvlJc w:val="left"/>
      <w:lvlText w:val="%1."/>
      <w:numFmt w:val="decimal"/>
      <w:start w:val="1"/>
    </w:lvl>
  </w:abstractNum>
  <w:abstractNum w:abstractNumId="207">
    <w:nsid w:val="496FB218"/>
    <w:multiLevelType w:val="hybridMultilevel"/>
    <w:lvl w:ilvl="0">
      <w:lvlJc w:val="left"/>
      <w:lvlText w:val="(%1)"/>
      <w:numFmt w:val="lowerLetter"/>
      <w:start w:val="1"/>
    </w:lvl>
    <w:lvl w:ilvl="1">
      <w:lvlJc w:val="left"/>
      <w:lvlText w:val="-"/>
      <w:numFmt w:val="bullet"/>
      <w:start w:val="1"/>
    </w:lvl>
  </w:abstractNum>
  <w:abstractNum w:abstractNumId="208">
    <w:nsid w:val="680EA5D1"/>
    <w:multiLevelType w:val="hybridMultilevel"/>
    <w:lvl w:ilvl="0">
      <w:lvlJc w:val="left"/>
      <w:lvlText w:val="(%1)"/>
      <w:numFmt w:val="lowerLetter"/>
      <w:start w:val="2"/>
    </w:lvl>
  </w:abstractNum>
  <w:abstractNum w:abstractNumId="209">
    <w:nsid w:val="4A9554FE"/>
    <w:multiLevelType w:val="hybridMultilevel"/>
    <w:lvl w:ilvl="0">
      <w:lvlJc w:val="left"/>
      <w:lvlText w:val="%1."/>
      <w:numFmt w:val="decimal"/>
      <w:start w:val="3"/>
    </w:lvl>
    <w:lvl w:ilvl="1">
      <w:lvlJc w:val="left"/>
      <w:lvlText w:val="-"/>
      <w:numFmt w:val="bullet"/>
      <w:start w:val="1"/>
    </w:lvl>
  </w:abstractNum>
  <w:abstractNum w:abstractNumId="210">
    <w:nsid w:val="392EDBE4"/>
    <w:multiLevelType w:val="hybridMultilevel"/>
    <w:lvl w:ilvl="0">
      <w:lvlJc w:val="left"/>
      <w:lvlText w:val="%1."/>
      <w:numFmt w:val="decimal"/>
      <w:start w:val="5"/>
    </w:lvl>
  </w:abstractNum>
  <w:abstractNum w:abstractNumId="211">
    <w:nsid w:val="3D1A2DD9"/>
    <w:multiLevelType w:val="hybridMultilevel"/>
    <w:lvl w:ilvl="0">
      <w:lvlJc w:val="left"/>
      <w:lvlText w:val="(%1)"/>
      <w:numFmt w:val="decimal"/>
      <w:start w:val="1"/>
    </w:lvl>
  </w:abstractNum>
  <w:abstractNum w:abstractNumId="212">
    <w:nsid w:val="7F618FCD"/>
    <w:multiLevelType w:val="hybridMultilevel"/>
    <w:lvl w:ilvl="0">
      <w:lvlJc w:val="left"/>
      <w:lvlText w:val="%1."/>
      <w:numFmt w:val="decimal"/>
      <w:start w:val="1"/>
    </w:lvl>
  </w:abstractNum>
  <w:abstractNum w:abstractNumId="213">
    <w:nsid w:val="7843E45"/>
    <w:multiLevelType w:val="hybridMultilevel"/>
    <w:lvl w:ilvl="0">
      <w:lvlJc w:val="left"/>
      <w:lvlText w:val="%1."/>
      <w:numFmt w:val="decimal"/>
      <w:start w:val="1"/>
    </w:lvl>
  </w:abstractNum>
  <w:abstractNum w:abstractNumId="214">
    <w:nsid w:val="9815DA3"/>
    <w:multiLevelType w:val="hybridMultilevel"/>
    <w:lvl w:ilvl="0">
      <w:lvlJc w:val="left"/>
      <w:lvlText w:val="%1."/>
      <w:numFmt w:val="decimal"/>
      <w:start w:val="1"/>
    </w:lvl>
  </w:abstractNum>
  <w:abstractNum w:abstractNumId="215">
    <w:nsid w:val="5204A191"/>
    <w:multiLevelType w:val="hybridMultilevel"/>
    <w:lvl w:ilvl="0">
      <w:lvlJc w:val="left"/>
      <w:lvlText w:val="(%1)"/>
      <w:numFmt w:val="lowerLetter"/>
      <w:start w:val="1"/>
    </w:lvl>
  </w:abstractNum>
  <w:abstractNum w:abstractNumId="216">
    <w:nsid w:val="4C73A9C6"/>
    <w:multiLevelType w:val="hybridMultilevel"/>
    <w:lvl w:ilvl="0">
      <w:lvlJc w:val="left"/>
      <w:lvlText w:val="[***]"/>
      <w:numFmt w:val="bullet"/>
      <w:start w:val="1"/>
    </w:lvl>
  </w:abstractNum>
  <w:abstractNum w:abstractNumId="217">
    <w:nsid w:val="1C7E3C01"/>
    <w:multiLevelType w:val="hybridMultilevel"/>
    <w:lvl w:ilvl="0">
      <w:lvlJc w:val="left"/>
      <w:lvlText w:val="%1."/>
      <w:numFmt w:val="decimal"/>
      <w:start w:val="2"/>
    </w:lvl>
  </w:abstractNum>
  <w:abstractNum w:abstractNumId="218">
    <w:nsid w:val="1C2201FF"/>
    <w:multiLevelType w:val="hybridMultilevel"/>
    <w:lvl w:ilvl="0">
      <w:lvlJc w:val="left"/>
      <w:lvlText w:val="[***]"/>
      <w:numFmt w:val="bullet"/>
      <w:start w:val="1"/>
    </w:lvl>
  </w:abstractNum>
  <w:abstractNum w:abstractNumId="219">
    <w:nsid w:val="50ABCEC9"/>
    <w:multiLevelType w:val="hybridMultilevel"/>
    <w:lvl w:ilvl="0">
      <w:lvlJc w:val="left"/>
      <w:lvlText w:val="%1."/>
      <w:numFmt w:val="decimal"/>
      <w:start w:val="3"/>
    </w:lvl>
  </w:abstractNum>
  <w:abstractNum w:abstractNumId="220">
    <w:nsid w:val="7635AA2A"/>
    <w:multiLevelType w:val="hybridMultilevel"/>
    <w:lvl w:ilvl="0">
      <w:lvlJc w:val="left"/>
      <w:lvlText w:val="[***]"/>
      <w:numFmt w:val="bullet"/>
      <w:start w:val="1"/>
    </w:lvl>
  </w:abstractNum>
  <w:abstractNum w:abstractNumId="221">
    <w:nsid w:val="5E74C4D9"/>
    <w:multiLevelType w:val="hybridMultilevel"/>
    <w:lvl w:ilvl="0">
      <w:lvlJc w:val="left"/>
      <w:lvlText w:val="[***]"/>
      <w:numFmt w:val="bullet"/>
      <w:start w:val="1"/>
    </w:lvl>
  </w:abstractNum>
  <w:abstractNum w:abstractNumId="222">
    <w:nsid w:val="3B3EBE15"/>
    <w:multiLevelType w:val="hybridMultilevel"/>
    <w:lvl w:ilvl="0">
      <w:lvlJc w:val="left"/>
      <w:lvlText w:val="[***]"/>
      <w:numFmt w:val="bullet"/>
      <w:start w:val="1"/>
    </w:lvl>
  </w:abstractNum>
  <w:abstractNum w:abstractNumId="223">
    <w:nsid w:val="3822CB01"/>
    <w:multiLevelType w:val="hybridMultilevel"/>
    <w:lvl w:ilvl="0">
      <w:lvlJc w:val="left"/>
      <w:lvlText w:val="%1."/>
      <w:numFmt w:val="decimal"/>
      <w:start w:val="4"/>
    </w:lvl>
  </w:abstractNum>
  <w:abstractNum w:abstractNumId="224">
    <w:nsid w:val="6CE00443"/>
    <w:multiLevelType w:val="hybridMultilevel"/>
    <w:lvl w:ilvl="0">
      <w:lvlJc w:val="left"/>
      <w:lvlText w:val="(%1)"/>
      <w:numFmt w:val="lowerLetter"/>
      <w:start w:val="4"/>
    </w:lvl>
  </w:abstractNum>
  <w:abstractNum w:abstractNumId="225">
    <w:nsid w:val="79F0D62F"/>
    <w:multiLevelType w:val="hybridMultilevel"/>
    <w:lvl w:ilvl="0">
      <w:lvlJc w:val="left"/>
      <w:lvlText w:val="%1."/>
      <w:numFmt w:val="decimal"/>
      <w:start w:val="5"/>
    </w:lvl>
  </w:abstractNum>
  <w:abstractNum w:abstractNumId="226">
    <w:nsid w:val="7975E8EE"/>
    <w:multiLevelType w:val="hybridMultilevel"/>
    <w:lvl w:ilvl="0">
      <w:lvlJc w:val="left"/>
      <w:lvlText w:val="[***]"/>
      <w:numFmt w:val="bullet"/>
      <w:start w:val="1"/>
    </w:lvl>
  </w:abstractNum>
  <w:abstractNum w:abstractNumId="227">
    <w:nsid w:val="73154115"/>
    <w:multiLevelType w:val="hybridMultilevel"/>
    <w:lvl w:ilvl="0">
      <w:lvlJc w:val="left"/>
      <w:lvlText w:val="[***]"/>
      <w:numFmt w:val="bullet"/>
      <w:start w:val="1"/>
    </w:lvl>
  </w:abstractNum>
  <w:abstractNum w:abstractNumId="228">
    <w:nsid w:val="622D8102"/>
    <w:multiLevelType w:val="hybridMultilevel"/>
    <w:lvl w:ilvl="0">
      <w:lvlJc w:val="left"/>
      <w:lvlText w:val="%1."/>
      <w:numFmt w:val="decimal"/>
      <w:start w:val="6"/>
    </w:lvl>
  </w:abstractNum>
  <w:abstractNum w:abstractNumId="229">
    <w:nsid w:val="2AB26587"/>
    <w:multiLevelType w:val="hybridMultilevel"/>
    <w:lvl w:ilvl="0">
      <w:lvlJc w:val="left"/>
      <w:lvlText w:val="%1."/>
      <w:numFmt w:val="decimal"/>
      <w:start w:val="7"/>
    </w:lvl>
  </w:abstractNum>
  <w:abstractNum w:abstractNumId="230">
    <w:nsid w:val="44B3FA61"/>
    <w:multiLevelType w:val="hybridMultilevel"/>
    <w:lvl w:ilvl="0">
      <w:lvlJc w:val="left"/>
      <w:lvlText w:val="%1."/>
      <w:numFmt w:val="decimal"/>
      <w:start w:val="8"/>
    </w:lvl>
  </w:abstractNum>
  <w:abstractNum w:abstractNumId="231">
    <w:nsid w:val="1C0CA67C"/>
    <w:multiLevelType w:val="hybridMultilevel"/>
    <w:lvl w:ilvl="0">
      <w:lvlJc w:val="left"/>
      <w:lvlText w:val="[***]"/>
      <w:numFmt w:val="bullet"/>
      <w:start w:val="1"/>
    </w:lvl>
  </w:abstractNum>
  <w:abstractNum w:abstractNumId="232">
    <w:nsid w:val="3D206613"/>
    <w:multiLevelType w:val="hybridMultilevel"/>
    <w:lvl w:ilvl="0">
      <w:lvlJc w:val="left"/>
      <w:lvlText w:val="[***]"/>
      <w:numFmt w:val="bullet"/>
      <w:start w:val="1"/>
    </w:lvl>
  </w:abstractNum>
  <w:abstractNum w:abstractNumId="233">
    <w:nsid w:val="7993B662"/>
    <w:multiLevelType w:val="hybridMultilevel"/>
    <w:lvl w:ilvl="0">
      <w:lvlJc w:val="left"/>
      <w:lvlText w:val="[***]"/>
      <w:numFmt w:val="bullet"/>
      <w:start w:val="1"/>
    </w:lvl>
  </w:abstractNum>
  <w:abstractNum w:abstractNumId="234">
    <w:nsid w:val="3BAB699E"/>
    <w:multiLevelType w:val="hybridMultilevel"/>
    <w:lvl w:ilvl="0">
      <w:lvlJc w:val="left"/>
      <w:lvlText w:val="%1."/>
      <w:numFmt w:val="decimal"/>
      <w:start w:val="9"/>
    </w:lvl>
  </w:abstractNum>
  <w:abstractNum w:abstractNumId="235">
    <w:nsid w:val="71315369"/>
    <w:multiLevelType w:val="hybridMultilevel"/>
    <w:lvl w:ilvl="0">
      <w:lvlJc w:val="left"/>
      <w:lvlText w:val="(%1)"/>
      <w:numFmt w:val="lowerLetter"/>
      <w:start w:val="1"/>
    </w:lvl>
  </w:abstractNum>
  <w:abstractNum w:abstractNumId="236">
    <w:nsid w:val="7BCFBAFC"/>
    <w:multiLevelType w:val="hybridMultilevel"/>
    <w:lvl w:ilvl="0">
      <w:lvlJc w:val="left"/>
      <w:lvlText w:val="[***]"/>
      <w:numFmt w:val="bullet"/>
      <w:start w:val="1"/>
    </w:lvl>
  </w:abstractNum>
  <w:abstractNum w:abstractNumId="237">
    <w:nsid w:val="17859F72"/>
    <w:multiLevelType w:val="hybridMultilevel"/>
    <w:lvl w:ilvl="0">
      <w:lvlJc w:val="left"/>
      <w:lvlText w:val="(%1)"/>
      <w:numFmt w:val="lowerLetter"/>
      <w:start w:val="1"/>
    </w:lvl>
  </w:abstractNum>
  <w:abstractNum w:abstractNumId="238">
    <w:nsid w:val="3AA10581"/>
    <w:multiLevelType w:val="hybridMultilevel"/>
    <w:lvl w:ilvl="0">
      <w:lvlJc w:val="left"/>
      <w:lvlText w:val="%1."/>
      <w:numFmt w:val="decimal"/>
      <w:start w:val="10"/>
    </w:lvl>
  </w:abstractNum>
  <w:abstractNum w:abstractNumId="239">
    <w:nsid w:val="63DE60CD"/>
    <w:multiLevelType w:val="hybridMultilevel"/>
    <w:lvl w:ilvl="0">
      <w:lvlJc w:val="left"/>
      <w:lvlText w:val="[***]"/>
      <w:numFmt w:val="bullet"/>
      <w:start w:val="1"/>
    </w:lvl>
  </w:abstractNum>
  <w:abstractNum w:abstractNumId="240">
    <w:nsid w:val="621AF471"/>
    <w:multiLevelType w:val="hybridMultilevel"/>
    <w:lvl w:ilvl="0">
      <w:lvlJc w:val="left"/>
      <w:lvlText w:val="%1."/>
      <w:numFmt w:val="decimal"/>
      <w:start w:val="11"/>
    </w:lvl>
  </w:abstractNum>
  <w:abstractNum w:abstractNumId="241">
    <w:nsid w:val="73CFE165"/>
    <w:multiLevelType w:val="hybridMultilevel"/>
    <w:lvl w:ilvl="0">
      <w:lvlJc w:val="left"/>
      <w:lvlText w:val="[***]"/>
      <w:numFmt w:val="bullet"/>
      <w:start w:val="1"/>
    </w:lvl>
  </w:abstractNum>
  <w:abstractNum w:abstractNumId="242">
    <w:nsid w:val="20F88EA6"/>
    <w:multiLevelType w:val="hybridMultilevel"/>
    <w:lvl w:ilvl="0">
      <w:lvlJc w:val="left"/>
      <w:lvlText w:val="%1."/>
      <w:numFmt w:val="decimal"/>
      <w:start w:val="12"/>
    </w:lvl>
  </w:abstractNum>
  <w:abstractNum w:abstractNumId="243">
    <w:nsid w:val="617C843E"/>
    <w:multiLevelType w:val="hybridMultilevel"/>
    <w:lvl w:ilvl="0">
      <w:lvlJc w:val="left"/>
      <w:lvlText w:val="(%1)"/>
      <w:numFmt w:val="decimal"/>
      <w:start w:val="30"/>
    </w:lvl>
    <w:lvl w:ilvl="1">
      <w:lvlJc w:val="left"/>
      <w:lvlText w:val="(%2)"/>
      <w:numFmt w:val="lowerLetter"/>
      <w:start w:val="1"/>
    </w:lvl>
  </w:abstractNum>
  <w:abstractNum w:abstractNumId="244">
    <w:nsid w:val="7B541FAB"/>
    <w:multiLevelType w:val="hybridMultilevel"/>
    <w:lvl w:ilvl="0">
      <w:lvlJc w:val="left"/>
      <w:lvlText w:val="[***]"/>
      <w:numFmt w:val="bullet"/>
      <w:start w:val="1"/>
    </w:lvl>
  </w:abstractNum>
  <w:abstractNum w:abstractNumId="245">
    <w:nsid w:val="2A79EC49"/>
    <w:multiLevelType w:val="hybridMultilevel"/>
    <w:lvl w:ilvl="0">
      <w:lvlJc w:val="left"/>
      <w:lvlText w:val="(%1)"/>
      <w:numFmt w:val="lowerLetter"/>
      <w:start w:val="2"/>
    </w:lvl>
    <w:lvl w:ilvl="1">
      <w:lvlJc w:val="left"/>
      <w:lvlText w:val="(%2)"/>
      <w:numFmt w:val="lowerRoman"/>
      <w:start w:val="1"/>
    </w:lvl>
  </w:abstractNum>
  <w:abstractNum w:abstractNumId="246">
    <w:nsid w:val="338125CF"/>
    <w:multiLevelType w:val="hybridMultilevel"/>
    <w:lvl w:ilvl="0">
      <w:lvlJc w:val="left"/>
      <w:lvlText w:val="(%1)"/>
      <w:numFmt w:val="lowerLetter"/>
      <w:start w:val="1"/>
    </w:lvl>
  </w:abstractNum>
  <w:abstractNum w:abstractNumId="247">
    <w:nsid w:val="47C7C971"/>
    <w:multiLevelType w:val="hybridMultilevel"/>
    <w:lvl w:ilvl="0">
      <w:lvlJc w:val="left"/>
      <w:lvlText w:val="(%1)"/>
      <w:numFmt w:val="lowerLetter"/>
      <w:start w:val="3"/>
    </w:lvl>
    <w:lvl w:ilvl="1">
      <w:lvlJc w:val="left"/>
      <w:lvlText w:val="(%2)"/>
      <w:numFmt w:val="lowerRoman"/>
      <w:start w:val="1"/>
    </w:lvl>
  </w:abstractNum>
  <w:abstractNum w:abstractNumId="248">
    <w:nsid w:val="46F8284B"/>
    <w:multiLevelType w:val="hybridMultilevel"/>
    <w:lvl w:ilvl="0">
      <w:lvlJc w:val="left"/>
      <w:lvlText w:val="%1."/>
      <w:numFmt w:val="decimal"/>
      <w:start w:val="13"/>
    </w:lvl>
  </w:abstractNum>
  <w:abstractNum w:abstractNumId="249">
    <w:nsid w:val="4FA327CE"/>
    <w:multiLevelType w:val="hybridMultilevel"/>
    <w:lvl w:ilvl="0">
      <w:lvlJc w:val="left"/>
      <w:lvlText w:val="(%1)"/>
      <w:numFmt w:val="lowerLetter"/>
      <w:start w:val="2"/>
    </w:lvl>
  </w:abstractNum>
  <w:abstractNum w:abstractNumId="250">
    <w:nsid w:val="1873983A"/>
    <w:multiLevelType w:val="hybridMultilevel"/>
    <w:lvl w:ilvl="0">
      <w:lvlJc w:val="left"/>
      <w:lvlText w:val="[***]"/>
      <w:numFmt w:val="bullet"/>
      <w:start w:val="1"/>
    </w:lvl>
  </w:abstractNum>
  <w:abstractNum w:abstractNumId="251">
    <w:nsid w:val="3D2DD275"/>
    <w:multiLevelType w:val="hybridMultilevel"/>
    <w:lvl w:ilvl="0">
      <w:lvlJc w:val="left"/>
      <w:lvlText w:val="(%1)"/>
      <w:numFmt w:val="lowerRoman"/>
      <w:start w:val="2"/>
    </w:lvl>
  </w:abstractNum>
  <w:abstractNum w:abstractNumId="252">
    <w:nsid w:val="2E17ECA7"/>
    <w:multiLevelType w:val="hybridMultilevel"/>
    <w:lvl w:ilvl="0">
      <w:lvlJc w:val="left"/>
      <w:lvlText w:val="%1."/>
      <w:numFmt w:val="decimal"/>
      <w:start w:val="14"/>
    </w:lvl>
  </w:abstractNum>
  <w:abstractNum w:abstractNumId="253">
    <w:nsid w:val="53B2564F"/>
    <w:multiLevelType w:val="hybridMultilevel"/>
    <w:lvl w:ilvl="0">
      <w:lvlJc w:val="left"/>
      <w:lvlText w:val="[***]"/>
      <w:numFmt w:val="bullet"/>
      <w:start w:val="1"/>
    </w:lvl>
  </w:abstractNum>
  <w:abstractNum w:abstractNumId="254">
    <w:nsid w:val="75509D76"/>
    <w:multiLevelType w:val="hybridMultilevel"/>
    <w:lvl w:ilvl="0">
      <w:lvlJc w:val="left"/>
      <w:lvlText w:val="[***]"/>
      <w:numFmt w:val="bullet"/>
      <w:start w:val="1"/>
    </w:lvl>
  </w:abstractNum>
  <w:abstractNum w:abstractNumId="255">
    <w:nsid w:val="1AF7F0E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56">
    <w:nsid w:val="4DA32C7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57">
    <w:nsid w:val="6EC68664"/>
    <w:multiLevelType w:val="hybridMultilevel"/>
    <w:lvl w:ilvl="0">
      <w:lvlJc w:val="left"/>
      <w:lvlText w:val="[***]"/>
      <w:numFmt w:val="bullet"/>
      <w:start w:val="1"/>
    </w:lvl>
  </w:abstractNum>
  <w:abstractNum w:abstractNumId="258">
    <w:nsid w:val="E0D31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o"/>
      <w:numFmt w:val="bullet"/>
      <w:start w:val="1"/>
    </w:lvl>
  </w:abstractNum>
  <w:abstractNum w:abstractNumId="259">
    <w:nsid w:val="2FD0AD8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lvl w:ilvl="3">
      <w:lvlJc w:val="left"/>
      <w:lvlText w:val="o"/>
      <w:numFmt w:val="bullet"/>
      <w:start w:val="1"/>
    </w:lvl>
  </w:abstractNum>
  <w:abstractNum w:abstractNumId="260">
    <w:nsid w:val="1978EBEB"/>
    <w:multiLevelType w:val="hybridMultilevel"/>
    <w:lvl w:ilvl="0">
      <w:lvlJc w:val="left"/>
      <w:lvlText w:val="[***]"/>
      <w:numFmt w:val="bullet"/>
      <w:start w:val="1"/>
    </w:lvl>
  </w:abstractNum>
  <w:abstractNum w:abstractNumId="261">
    <w:nsid w:val="52C12C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2">
    <w:nsid w:val="4BDD53F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63">
    <w:nsid w:val="569951F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4">
    <w:nsid w:val="4C54E2C3"/>
    <w:multiLevelType w:val="hybridMultilevel"/>
    <w:lvl w:ilvl="0">
      <w:lvlJc w:val="left"/>
      <w:lvlText w:val="[***]"/>
      <w:numFmt w:val="bullet"/>
      <w:start w:val="1"/>
    </w:lvl>
  </w:abstractNum>
  <w:abstractNum w:abstractNumId="265">
    <w:nsid w:val="788BD9B"/>
    <w:multiLevelType w:val="hybridMultilevel"/>
    <w:lvl w:ilvl="0">
      <w:lvlJc w:val="left"/>
      <w:lvlText w:val="-"/>
      <w:numFmt w:val="bullet"/>
      <w:start w:val="1"/>
    </w:lvl>
    <w:lvl w:ilvl="1">
      <w:lvlJc w:val="left"/>
      <w:lvlText w:val="%2."/>
      <w:numFmt w:val="lowerLetter"/>
      <w:start w:val="2"/>
    </w:lvl>
  </w:abstractNum>
  <w:abstractNum w:abstractNumId="266">
    <w:nsid w:val="47CAA567"/>
    <w:multiLevelType w:val="hybridMultilevel"/>
    <w:lvl w:ilvl="0">
      <w:lvlJc w:val="left"/>
      <w:lvlText w:val="[***]"/>
      <w:numFmt w:val="bullet"/>
      <w:start w:val="1"/>
    </w:lvl>
  </w:abstractNum>
  <w:abstractNum w:abstractNumId="267">
    <w:nsid w:val="48249DB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8">
    <w:nsid w:val="1F0E5D0D"/>
    <w:multiLevelType w:val="hybridMultilevel"/>
    <w:lvl w:ilvl="0">
      <w:lvlJc w:val="left"/>
      <w:lvlText w:val="%1"/>
      <w:numFmt w:val="decimal"/>
      <w:start w:val="1"/>
    </w:lvl>
    <w:lvl w:ilvl="1">
      <w:lvlJc w:val="left"/>
      <w:lvlText w:val="%2."/>
      <w:numFmt w:val="lowerLetter"/>
      <w:start w:val="4"/>
    </w:lvl>
  </w:abstractNum>
  <w:abstractNum w:abstractNumId="269">
    <w:nsid w:val="26BAAE9"/>
    <w:multiLevelType w:val="hybridMultilevel"/>
    <w:lvl w:ilvl="0">
      <w:lvlJc w:val="left"/>
      <w:lvlText w:val="%1."/>
      <w:numFmt w:val="decimal"/>
      <w:start w:val="8"/>
    </w:lvl>
    <w:lvl w:ilvl="1">
      <w:lvlJc w:val="left"/>
      <w:lvlText w:val="%2."/>
      <w:numFmt w:val="lowerLetter"/>
      <w:start w:val="1"/>
    </w:lvl>
  </w:abstractNum>
  <w:abstractNum w:abstractNumId="270">
    <w:nsid w:val="2C02FE8C"/>
    <w:multiLevelType w:val="hybridMultilevel"/>
    <w:lvl w:ilvl="0">
      <w:lvlJc w:val="left"/>
      <w:lvlText w:val="[***]"/>
      <w:numFmt w:val="bullet"/>
      <w:start w:val="1"/>
    </w:lvl>
  </w:abstractNum>
  <w:abstractNum w:abstractNumId="271">
    <w:nsid w:val="129517E"/>
    <w:multiLevelType w:val="hybridMultilevel"/>
    <w:lvl w:ilvl="0">
      <w:lvlJc w:val="left"/>
      <w:lvlText w:val="%1."/>
      <w:numFmt w:val="lowerLetter"/>
      <w:start w:val="2"/>
    </w:lvl>
  </w:abstractNum>
  <w:abstractNum w:abstractNumId="272">
    <w:nsid w:val="763B8C4E"/>
    <w:multiLevelType w:val="hybridMultilevel"/>
    <w:lvl w:ilvl="0">
      <w:lvlJc w:val="left"/>
      <w:lvlText w:val="-"/>
      <w:numFmt w:val="bullet"/>
      <w:start w:val="1"/>
    </w:lvl>
    <w:lvl w:ilvl="1">
      <w:lvlJc w:val="left"/>
      <w:lvlText w:val="%2."/>
      <w:numFmt w:val="lowerLetter"/>
      <w:start w:val="3"/>
    </w:lvl>
  </w:abstractNum>
  <w:abstractNum w:abstractNumId="273">
    <w:nsid w:val="4CFB8D32"/>
    <w:multiLevelType w:val="hybridMultilevel"/>
    <w:lvl w:ilvl="0">
      <w:lvlJc w:val="left"/>
      <w:lvlText w:val="[***]"/>
      <w:numFmt w:val="bullet"/>
      <w:start w:val="1"/>
    </w:lvl>
  </w:abstractNum>
  <w:abstractNum w:abstractNumId="274">
    <w:nsid w:val="62A5D5BD"/>
    <w:multiLevelType w:val="hybridMultilevel"/>
    <w:lvl w:ilvl="0">
      <w:lvlJc w:val="left"/>
      <w:lvlText w:val="%1."/>
      <w:numFmt w:val="decimal"/>
      <w:start w:val="10"/>
    </w:lvl>
    <w:lvl w:ilvl="1">
      <w:lvlJc w:val="left"/>
      <w:lvlText w:val="%2."/>
      <w:numFmt w:val="lowerLetter"/>
      <w:start w:val="1"/>
    </w:lvl>
  </w:abstractNum>
  <w:abstractNum w:abstractNumId="275">
    <w:nsid w:val="718FABF9"/>
    <w:multiLevelType w:val="hybridMultilevel"/>
    <w:lvl w:ilvl="0">
      <w:lvlJc w:val="left"/>
      <w:lvlText w:val="[***]"/>
      <w:numFmt w:val="bullet"/>
      <w:start w:val="1"/>
    </w:lvl>
  </w:abstractNum>
  <w:abstractNum w:abstractNumId="276">
    <w:nsid w:val="7775797C"/>
    <w:multiLevelType w:val="hybridMultilevel"/>
    <w:lvl w:ilvl="0">
      <w:lvlJc w:val="left"/>
      <w:lvlText w:val="-"/>
      <w:numFmt w:val="bullet"/>
      <w:start w:val="1"/>
    </w:lvl>
    <w:lvl w:ilvl="1">
      <w:lvlJc w:val="left"/>
      <w:lvlText w:val="%2."/>
      <w:numFmt w:val="lowerLetter"/>
      <w:start w:val="3"/>
    </w:lvl>
  </w:abstractNum>
  <w:abstractNum w:abstractNumId="277">
    <w:nsid w:val="1626FB8C"/>
    <w:multiLevelType w:val="hybridMultilevel"/>
    <w:lvl w:ilvl="0">
      <w:lvlJc w:val="left"/>
      <w:lvlText w:val="[***]"/>
      <w:numFmt w:val="bullet"/>
      <w:start w:val="1"/>
    </w:lvl>
  </w:abstractNum>
  <w:abstractNum w:abstractNumId="278">
    <w:nsid w:val="3957756A"/>
    <w:multiLevelType w:val="hybridMultilevel"/>
    <w:lvl w:ilvl="0">
      <w:lvlJc w:val="left"/>
      <w:lvlText w:val="-"/>
      <w:numFmt w:val="bullet"/>
      <w:start w:val="1"/>
    </w:lvl>
    <w:lvl w:ilvl="1">
      <w:lvlJc w:val="left"/>
      <w:lvlText w:val="%2."/>
      <w:numFmt w:val="lowerLetter"/>
      <w:start w:val="8"/>
    </w:lvl>
  </w:abstractNum>
  <w:abstractNum w:abstractNumId="279">
    <w:nsid w:val="3E6DA1C7"/>
    <w:multiLevelType w:val="hybridMultilevel"/>
    <w:lvl w:ilvl="0">
      <w:lvlJc w:val="left"/>
      <w:lvlText w:val="[***]"/>
      <w:numFmt w:val="bullet"/>
      <w:start w:val="1"/>
    </w:lvl>
  </w:abstractNum>
  <w:abstractNum w:abstractNumId="280">
    <w:nsid w:val="65CA235B"/>
    <w:multiLevelType w:val="hybridMultilevel"/>
    <w:lvl w:ilvl="0">
      <w:lvlJc w:val="left"/>
      <w:lvlText w:val="%1"/>
      <w:numFmt w:val="decimal"/>
      <w:start w:val="1"/>
    </w:lvl>
    <w:lvl w:ilvl="1">
      <w:lvlJc w:val="left"/>
      <w:lvlText w:val="%2."/>
      <w:numFmt w:val="lowerLetter"/>
      <w:start w:val="12"/>
    </w:lvl>
  </w:abstractNum>
  <w:abstractNum w:abstractNumId="281">
    <w:nsid w:val="51CB0DA4"/>
    <w:multiLevelType w:val="hybridMultilevel"/>
    <w:lvl w:ilvl="0">
      <w:lvlJc w:val="left"/>
      <w:lvlText w:val="%1."/>
      <w:numFmt w:val="decimal"/>
      <w:start w:val="12"/>
    </w:lvl>
    <w:lvl w:ilvl="1">
      <w:lvlJc w:val="left"/>
      <w:lvlText w:val="%2"/>
      <w:numFmt w:val="lowerLetter"/>
      <w:start w:val="1"/>
    </w:lvl>
  </w:abstractNum>
  <w:abstractNum w:abstractNumId="282">
    <w:nsid w:val="7B9B743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83">
    <w:nsid w:val="13E21002"/>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84">
    <w:nsid w:val="257D63F4"/>
    <w:multiLevelType w:val="hybridMultilevel"/>
    <w:lvl w:ilvl="0">
      <w:lvlJc w:val="left"/>
      <w:lvlText w:val="[***]"/>
      <w:numFmt w:val="bullet"/>
      <w:start w:val="1"/>
    </w:lvl>
  </w:abstractNum>
  <w:abstractNum w:abstractNumId="285">
    <w:nsid w:val="70EC11B2"/>
    <w:multiLevelType w:val="hybridMultilevel"/>
    <w:lvl w:ilvl="0">
      <w:lvlJc w:val="left"/>
      <w:lvlText w:val="%1."/>
      <w:numFmt w:val="decimal"/>
      <w:start w:val="14"/>
    </w:lvl>
    <w:lvl w:ilvl="1">
      <w:lvlJc w:val="left"/>
      <w:lvlText w:val="%2."/>
      <w:numFmt w:val="lowerLetter"/>
      <w:start w:val="1"/>
    </w:lvl>
  </w:abstractNum>
  <w:abstractNum w:abstractNumId="286">
    <w:nsid w:val="2EDA00ED"/>
    <w:multiLevelType w:val="hybridMultilevel"/>
    <w:lvl w:ilvl="0">
      <w:lvlJc w:val="left"/>
      <w:lvlText w:val="[***]"/>
      <w:numFmt w:val="bullet"/>
      <w:start w:val="1"/>
    </w:lvl>
  </w:abstractNum>
  <w:abstractNum w:abstractNumId="287">
    <w:nsid w:val="73209072"/>
    <w:multiLevelType w:val="hybridMultilevel"/>
    <w:lvl w:ilvl="0">
      <w:lvlJc w:val="left"/>
      <w:lvlText w:val="-"/>
      <w:numFmt w:val="bullet"/>
      <w:start w:val="1"/>
    </w:lvl>
    <w:lvl w:ilvl="1">
      <w:lvlJc w:val="left"/>
      <w:lvlText w:val="%2."/>
      <w:numFmt w:val="decimal"/>
    </w:lvl>
  </w:abstractNum>
  <w:abstractNum w:abstractNumId="288">
    <w:nsid w:val="5FB29816"/>
    <w:multiLevelType w:val="hybridMultilevel"/>
    <w:lvl w:ilvl="0">
      <w:lvlJc w:val="left"/>
      <w:lvlText w:val="[***]"/>
      <w:numFmt w:val="bullet"/>
      <w:start w:val="1"/>
    </w:lvl>
    <w:lvl w:ilvl="1">
      <w:lvlJc w:val="left"/>
      <w:lvlText w:val="%2."/>
      <w:numFmt w:val="decimal"/>
      <w:start w:val="1"/>
    </w:lvl>
  </w:abstractNum>
  <w:abstractNum w:abstractNumId="289">
    <w:nsid w:val="3CE732EC"/>
    <w:multiLevelType w:val="hybridMultilevel"/>
    <w:lvl w:ilvl="0">
      <w:lvlJc w:val="left"/>
      <w:lvlText w:val="-"/>
      <w:numFmt w:val="bullet"/>
      <w:start w:val="1"/>
    </w:lvl>
    <w:lvl w:ilvl="1">
      <w:lvlJc w:val="left"/>
      <w:lvlText w:val="%2."/>
      <w:numFmt w:val="lowerLetter"/>
      <w:start w:val="1"/>
    </w:lvl>
  </w:abstractNum>
  <w:abstractNum w:abstractNumId="290">
    <w:nsid w:val="22F13DF3"/>
    <w:multiLevelType w:val="hybridMultilevel"/>
    <w:lvl w:ilvl="0">
      <w:lvlJc w:val="left"/>
      <w:lvlText w:val="[***]"/>
      <w:numFmt w:val="bullet"/>
      <w:start w:val="1"/>
    </w:lvl>
  </w:abstractNum>
  <w:abstractNum w:abstractNumId="291">
    <w:nsid w:val="792B8401"/>
    <w:multiLevelType w:val="hybridMultilevel"/>
    <w:lvl w:ilvl="0">
      <w:lvlJc w:val="left"/>
      <w:lvlText w:val="-"/>
      <w:numFmt w:val="bullet"/>
      <w:start w:val="1"/>
    </w:lvl>
    <w:lvl w:ilvl="1">
      <w:lvlJc w:val="left"/>
      <w:lvlText w:val="%2."/>
      <w:numFmt w:val="lowerLetter"/>
      <w:start w:val="2"/>
    </w:lvl>
  </w:abstractNum>
  <w:abstractNum w:abstractNumId="292">
    <w:nsid w:val="FA85F4D"/>
    <w:multiLevelType w:val="hybridMultilevel"/>
    <w:lvl w:ilvl="0">
      <w:lvlJc w:val="left"/>
      <w:lvlText w:val="[***]"/>
      <w:numFmt w:val="bullet"/>
      <w:start w:val="1"/>
    </w:lvl>
  </w:abstractNum>
  <w:abstractNum w:abstractNumId="293">
    <w:nsid w:val="6ECE91F0"/>
    <w:multiLevelType w:val="hybridMultilevel"/>
    <w:lvl w:ilvl="0">
      <w:lvlJc w:val="left"/>
      <w:lvlText w:val="%1."/>
      <w:numFmt w:val="decimal"/>
      <w:start w:val="1"/>
    </w:lvl>
  </w:abstractNum>
  <w:abstractNum w:abstractNumId="294">
    <w:nsid w:val="4FC4D600"/>
    <w:multiLevelType w:val="hybridMultilevel"/>
    <w:lvl w:ilvl="0">
      <w:lvlJc w:val="left"/>
      <w:lvlText w:val="%1."/>
      <w:numFmt w:val="decimal"/>
      <w:start w:val="4"/>
    </w:lvl>
  </w:abstractNum>
  <w:abstractNum w:abstractNumId="295">
    <w:nsid w:val="5BFD4210"/>
    <w:multiLevelType w:val="hybridMultilevel"/>
    <w:lvl w:ilvl="0">
      <w:lvlJc w:val="left"/>
      <w:lvlText w:val="%1."/>
      <w:numFmt w:val="decimal"/>
      <w:start w:val="7"/>
    </w:lvl>
  </w:abstractNum>
  <w:abstractNum w:abstractNumId="296">
    <w:nsid w:val="76574F8B"/>
    <w:multiLevelType w:val="hybridMultilevel"/>
    <w:lvl w:ilvl="0">
      <w:lvlJc w:val="left"/>
      <w:lvlText w:val="%1."/>
      <w:numFmt w:val="decimal"/>
      <w:start w:val="8"/>
    </w:lvl>
  </w:abstractNum>
  <w:abstractNum w:abstractNumId="297">
    <w:nsid w:val="178F7B67"/>
    <w:multiLevelType w:val="hybridMultilevel"/>
    <w:lvl w:ilvl="0">
      <w:lvlJc w:val="left"/>
      <w:lvlText w:val="%1."/>
      <w:numFmt w:val="decimal"/>
      <w:start w:val="15"/>
    </w:lvl>
  </w:abstractNum>
  <w:abstractNum w:abstractNumId="298">
    <w:nsid w:val="2421DFCF"/>
    <w:multiLevelType w:val="hybridMultilevel"/>
    <w:lvl w:ilvl="0">
      <w:lvlJc w:val="left"/>
      <w:lvlText w:val="[***]"/>
      <w:numFmt w:val="bullet"/>
      <w:start w:val="1"/>
    </w:lvl>
  </w:abstractNum>
  <w:abstractNum w:abstractNumId="299">
    <w:nsid w:val="1565AC99"/>
    <w:multiLevelType w:val="hybridMultilevel"/>
    <w:lvl w:ilvl="0">
      <w:lvlJc w:val="left"/>
      <w:lvlText w:val="-"/>
      <w:numFmt w:val="bullet"/>
      <w:start w:val="1"/>
    </w:lvl>
    <w:lvl w:ilvl="1">
      <w:lvlJc w:val="left"/>
      <w:lvlText w:val="%2."/>
      <w:numFmt w:val="decimal"/>
      <w:start w:val="12"/>
    </w:lvl>
  </w:abstractNum>
  <w:abstractNum w:abstractNumId="300">
    <w:nsid w:val="19FB2650"/>
    <w:multiLevelType w:val="hybridMultilevel"/>
    <w:lvl w:ilvl="0">
      <w:lvlJc w:val="left"/>
      <w:lvlText w:val="-"/>
      <w:numFmt w:val="bullet"/>
      <w:start w:val="1"/>
    </w:lvl>
    <w:lvl w:ilvl="1">
      <w:lvlJc w:val="left"/>
      <w:lvlText w:val="%2."/>
      <w:numFmt w:val="decimal"/>
      <w:start w:val="1"/>
    </w:lvl>
  </w:abstractNum>
  <w:abstractNum w:abstractNumId="301">
    <w:nsid w:val="5024DE5B"/>
    <w:multiLevelType w:val="hybridMultilevel"/>
    <w:lvl w:ilvl="0">
      <w:lvlJc w:val="left"/>
      <w:lvlText w:val="[***]"/>
      <w:numFmt w:val="bullet"/>
      <w:start w:val="1"/>
    </w:lvl>
  </w:abstractNum>
  <w:abstractNum w:abstractNumId="302">
    <w:nsid w:val="168EFE17"/>
    <w:multiLevelType w:val="hybridMultilevel"/>
    <w:lvl w:ilvl="0">
      <w:lvlJc w:val="left"/>
      <w:lvlText w:val="%1."/>
      <w:numFmt w:val="decimal"/>
      <w:start w:val="13"/>
    </w:lvl>
  </w:abstractNum>
  <w:abstractNum w:abstractNumId="303">
    <w:nsid w:val="1036B29F"/>
    <w:multiLevelType w:val="hybridMultilevel"/>
    <w:lvl w:ilvl="0">
      <w:lvlJc w:val="left"/>
      <w:lvlText w:val="-"/>
      <w:numFmt w:val="bullet"/>
      <w:start w:val="1"/>
    </w:lvl>
  </w:abstractNum>
  <w:abstractNum w:abstractNumId="304">
    <w:nsid w:val="1D206B8E"/>
    <w:multiLevelType w:val="hybridMultilevel"/>
    <w:lvl w:ilvl="0">
      <w:lvlJc w:val="left"/>
      <w:lvlText w:val="(*)"/>
      <w:numFmt w:val="bullet"/>
      <w:start w:val="1"/>
    </w:lvl>
  </w:abstractNum>
  <w:abstractNum w:abstractNumId="305">
    <w:nsid w:val="7934D3D4"/>
    <w:multiLevelType w:val="hybridMultilevel"/>
    <w:lvl w:ilvl="0">
      <w:lvlJc w:val="left"/>
      <w:lvlText w:val="(^)"/>
      <w:numFmt w:val="bullet"/>
      <w:start w:val="1"/>
    </w:lvl>
  </w:abstractNum>
  <w:abstractNum w:abstractNumId="306">
    <w:nsid w:val="1C65E98"/>
    <w:multiLevelType w:val="hybridMultilevel"/>
    <w:lvl w:ilvl="0">
      <w:lvlJc w:val="left"/>
      <w:lvlText w:val="[***]"/>
      <w:numFmt w:val="bullet"/>
      <w:start w:val="1"/>
    </w:lvl>
  </w:abstractNum>
  <w:abstractNum w:abstractNumId="307">
    <w:nsid w:val="1495E50A"/>
    <w:multiLevelType w:val="hybridMultilevel"/>
    <w:lvl w:ilvl="0">
      <w:lvlJc w:val="left"/>
      <w:lvlText w:val="%1."/>
      <w:numFmt w:val="decimal"/>
      <w:start w:val="14"/>
    </w:lvl>
    <w:lvl w:ilvl="1">
      <w:lvlJc w:val="left"/>
      <w:lvlText w:val="%2."/>
      <w:numFmt w:val="lowerLetter"/>
      <w:start w:val="1"/>
    </w:lvl>
  </w:abstractNum>
  <w:abstractNum w:abstractNumId="308">
    <w:nsid w:val="F5BCF61"/>
    <w:multiLevelType w:val="hybridMultilevel"/>
    <w:lvl w:ilvl="0">
      <w:lvlJc w:val="left"/>
      <w:lvlText w:val="[***]"/>
      <w:numFmt w:val="bullet"/>
      <w:start w:val="1"/>
    </w:lvl>
  </w:abstractNum>
  <w:abstractNum w:abstractNumId="309">
    <w:nsid w:val="3B1DD403"/>
    <w:multiLevelType w:val="hybridMultilevel"/>
    <w:lvl w:ilvl="0">
      <w:lvlJc w:val="left"/>
      <w:lvlText w:val="%1."/>
      <w:numFmt w:val="upperLetter"/>
      <w:start w:val="1"/>
    </w:lvl>
  </w:abstractNum>
  <w:abstractNum w:abstractNumId="310">
    <w:nsid w:val="530386D1"/>
    <w:multiLevelType w:val="hybridMultilevel"/>
    <w:lvl w:ilvl="0">
      <w:lvlJc w:val="left"/>
      <w:lvlText w:val="(%1)"/>
      <w:numFmt w:val="lowerLetter"/>
      <w:start w:val="1"/>
    </w:lvl>
  </w:abstractNum>
  <w:abstractNum w:abstractNumId="311">
    <w:nsid w:val="7525F2BC"/>
    <w:multiLevelType w:val="hybridMultilevel"/>
    <w:lvl w:ilvl="0">
      <w:lvlJc w:val="left"/>
      <w:lvlText w:val="(%1)"/>
      <w:numFmt w:val="lowerLetter"/>
      <w:start w:val="1"/>
    </w:lvl>
  </w:abstractNum>
  <w:abstractNum w:abstractNumId="312">
    <w:nsid w:val="CE8E1A7"/>
    <w:multiLevelType w:val="hybridMultilevel"/>
    <w:lvl w:ilvl="0">
      <w:lvlJc w:val="left"/>
      <w:lvlText w:val="[***]"/>
      <w:numFmt w:val="bullet"/>
      <w:start w:val="1"/>
    </w:lvl>
  </w:abstractNum>
  <w:abstractNum w:abstractNumId="313">
    <w:nsid w:val="4E9EFB0D"/>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4"/>
    </w:lvl>
  </w:abstractNum>
  <w:abstractNum w:abstractNumId="314">
    <w:nsid w:val="90802BE"/>
    <w:multiLevelType w:val="hybridMultilevel"/>
    <w:lvl w:ilvl="0">
      <w:lvlJc w:val="left"/>
      <w:lvlText w:val="%1."/>
      <w:numFmt w:val="lowerRoman"/>
      <w:start w:val="1"/>
    </w:lvl>
    <w:lvl w:ilvl="1">
      <w:lvlJc w:val="left"/>
      <w:lvlText w:val="[***]"/>
      <w:numFmt w:val="bullet"/>
      <w:start w:val="1"/>
    </w:lvl>
  </w:abstractNum>
  <w:abstractNum w:abstractNumId="315">
    <w:nsid w:val="3266459B"/>
    <w:multiLevelType w:val="hybridMultilevel"/>
    <w:lvl w:ilvl="0">
      <w:lvlJc w:val="left"/>
      <w:lvlText w:val="-"/>
      <w:numFmt w:val="bullet"/>
      <w:start w:val="1"/>
    </w:lvl>
    <w:lvl w:ilvl="1">
      <w:lvlJc w:val="left"/>
      <w:lvlText w:val="(%2)"/>
      <w:numFmt w:val="upperLetter"/>
      <w:start w:val="1"/>
    </w:lvl>
  </w:abstractNum>
  <w:abstractNum w:abstractNumId="316">
    <w:nsid w:val="3F8B0CBF"/>
    <w:multiLevelType w:val="hybridMultilevel"/>
    <w:lvl w:ilvl="0">
      <w:lvlJc w:val="left"/>
      <w:lvlText w:val="[***]"/>
      <w:numFmt w:val="bullet"/>
      <w:start w:val="1"/>
    </w:lvl>
  </w:abstractNum>
  <w:abstractNum w:abstractNumId="317">
    <w:nsid w:val="37E203AB"/>
    <w:multiLevelType w:val="hybridMultilevel"/>
    <w:lvl w:ilvl="0">
      <w:lvlJc w:val="left"/>
      <w:lvlText w:val="%1"/>
      <w:numFmt w:val="lowerRoman"/>
      <w:start w:val="1"/>
    </w:lvl>
    <w:lvl w:ilvl="1">
      <w:lvlJc w:val="left"/>
      <w:lvlText w:val="(%2)"/>
      <w:numFmt w:val="upperLetter"/>
      <w:start w:val="2"/>
    </w:lvl>
  </w:abstractNum>
  <w:abstractNum w:abstractNumId="318">
    <w:nsid w:val="2586D60E"/>
    <w:multiLevelType w:val="hybridMultilevel"/>
    <w:lvl w:ilvl="0">
      <w:lvlJc w:val="left"/>
      <w:lvlText w:val="%1."/>
      <w:numFmt w:val="lowerRoman"/>
      <w:start w:val="2"/>
    </w:lvl>
    <w:lvl w:ilvl="1">
      <w:lvlJc w:val="left"/>
      <w:lvlText w:val="%2"/>
      <w:numFmt w:val="upperLetter"/>
      <w:start w:val="1"/>
    </w:lvl>
  </w:abstractNum>
  <w:abstractNum w:abstractNumId="319">
    <w:nsid w:val="1F3DA4D5"/>
    <w:multiLevelType w:val="hybridMultilevel"/>
    <w:lvl w:ilvl="0">
      <w:lvlJc w:val="left"/>
      <w:lvlText w:val="%1."/>
      <w:numFmt w:val="upperLetter"/>
      <w:start w:val="1"/>
    </w:lvl>
  </w:abstractNum>
  <w:abstractNum w:abstractNumId="320">
    <w:nsid w:val="74C93698"/>
    <w:multiLevelType w:val="hybridMultilevel"/>
    <w:lvl w:ilvl="0">
      <w:lvlJc w:val="left"/>
      <w:lvlText w:val="(%1)"/>
      <w:numFmt w:val="lowerLetter"/>
      <w:start w:val="1"/>
    </w:lvl>
  </w:abstractNum>
  <w:abstractNum w:abstractNumId="321">
    <w:nsid w:val="48781401"/>
    <w:multiLevelType w:val="hybridMultilevel"/>
    <w:lvl w:ilvl="0">
      <w:lvlJc w:val="left"/>
      <w:lvlText w:val="[***]"/>
      <w:numFmt w:val="bullet"/>
      <w:start w:val="1"/>
    </w:lvl>
  </w:abstractNum>
  <w:abstractNum w:abstractNumId="322">
    <w:nsid w:val="186928D6"/>
    <w:multiLevelType w:val="hybridMultilevel"/>
    <w:lvl w:ilvl="0">
      <w:lvlJc w:val="left"/>
      <w:lvlText w:val="(%1)"/>
      <w:numFmt w:val="lowerLetter"/>
      <w:start w:val="2"/>
    </w:lvl>
  </w:abstractNum>
  <w:abstractNum w:abstractNumId="323">
    <w:nsid w:val="47195E5"/>
    <w:multiLevelType w:val="hybridMultilevel"/>
    <w:lvl w:ilvl="0">
      <w:lvlJc w:val="left"/>
      <w:lvlText w:val="(%1)"/>
      <w:numFmt w:val="lowerLetter"/>
      <w:start w:val="1"/>
    </w:lvl>
  </w:abstractNum>
  <w:abstractNum w:abstractNumId="324">
    <w:nsid w:val="3746A5F2"/>
    <w:multiLevelType w:val="hybridMultilevel"/>
    <w:lvl w:ilvl="0">
      <w:lvlJc w:val="left"/>
      <w:lvlText w:val="[***]"/>
      <w:numFmt w:val="bullet"/>
      <w:start w:val="1"/>
    </w:lvl>
  </w:abstractNum>
  <w:abstractNum w:abstractNumId="325">
    <w:nsid w:val="682DFED6"/>
    <w:multiLevelType w:val="hybridMultilevel"/>
    <w:lvl w:ilvl="0">
      <w:lvlJc w:val="left"/>
      <w:lvlText w:val="%1."/>
      <w:numFmt w:val="decimal"/>
      <w:start w:val="1"/>
    </w:lvl>
  </w:abstractNum>
  <w:abstractNum w:abstractNumId="326">
    <w:nsid w:val="606ED7F6"/>
    <w:multiLevelType w:val="hybridMultilevel"/>
    <w:lvl w:ilvl="0">
      <w:lvlJc w:val="left"/>
      <w:lvlText w:val="[***]"/>
      <w:numFmt w:val="bullet"/>
      <w:start w:val="1"/>
    </w:lvl>
  </w:abstractNum>
  <w:abstractNum w:abstractNumId="327">
    <w:nsid w:val="2D9DF57D"/>
    <w:multiLevelType w:val="hybridMultilevel"/>
    <w:lvl w:ilvl="0">
      <w:lvlJc w:val="left"/>
      <w:lvlText w:val="[***]"/>
      <w:numFmt w:val="bullet"/>
      <w:start w:val="1"/>
    </w:lvl>
    <w:lvl w:ilvl="1">
      <w:lvlJc w:val="left"/>
      <w:lvlText w:val="-"/>
      <w:numFmt w:val="bullet"/>
      <w:start w:val="1"/>
    </w:lvl>
  </w:abstractNum>
  <w:abstractNum w:abstractNumId="328">
    <w:nsid w:val="7FBD7A3E"/>
    <w:multiLevelType w:val="hybridMultilevel"/>
    <w:lvl w:ilvl="0">
      <w:lvlJc w:val="left"/>
      <w:lvlText w:val="(%1)"/>
      <w:numFmt w:val="lowerRoman"/>
      <w:start w:val="1"/>
    </w:lvl>
  </w:abstractNum>
  <w:abstractNum w:abstractNumId="329">
    <w:nsid w:val="490B7C5"/>
    <w:multiLevelType w:val="hybridMultilevel"/>
    <w:lvl w:ilvl="0">
      <w:lvlJc w:val="left"/>
      <w:lvlText w:val="[***]"/>
      <w:numFmt w:val="bullet"/>
      <w:start w:val="1"/>
    </w:lvl>
    <w:lvl w:ilvl="1">
      <w:lvlJc w:val="left"/>
      <w:lvlText w:val="-"/>
      <w:numFmt w:val="bullet"/>
      <w:start w:val="1"/>
    </w:lvl>
  </w:abstractNum>
  <w:abstractNum w:abstractNumId="330">
    <w:nsid w:val="4303A216"/>
    <w:multiLevelType w:val="hybridMultilevel"/>
    <w:lvl w:ilvl="0">
      <w:lvlJc w:val="left"/>
      <w:lvlText w:val="%1."/>
      <w:numFmt w:val="decimal"/>
      <w:start w:val="2"/>
    </w:lvl>
  </w:abstractNum>
  <w:abstractNum w:abstractNumId="331">
    <w:nsid w:val="19B8A08E"/>
    <w:multiLevelType w:val="hybridMultilevel"/>
    <w:lvl w:ilvl="0">
      <w:lvlJc w:val="left"/>
      <w:lvlText w:val="[***]"/>
      <w:numFmt w:val="bullet"/>
      <w:start w:val="1"/>
    </w:lvl>
    <w:lvl w:ilvl="1">
      <w:lvlJc w:val="left"/>
      <w:lvlText w:val="-"/>
      <w:numFmt w:val="bullet"/>
      <w:start w:val="1"/>
    </w:lvl>
  </w:abstractNum>
  <w:abstractNum w:abstractNumId="332">
    <w:nsid w:val="54B59621"/>
    <w:multiLevelType w:val="hybridMultilevel"/>
    <w:lvl w:ilvl="0">
      <w:lvlJc w:val="left"/>
      <w:lvlText w:val="(%1)"/>
      <w:numFmt w:val="lowerRoman"/>
      <w:start w:val="10"/>
    </w:lvl>
  </w:abstractNum>
  <w:abstractNum w:abstractNumId="333">
    <w:nsid w:val="5992A02E"/>
    <w:multiLevelType w:val="hybridMultilevel"/>
    <w:lvl w:ilvl="0">
      <w:lvlJc w:val="left"/>
      <w:lvlText w:val="[***]"/>
      <w:numFmt w:val="bullet"/>
      <w:start w:val="1"/>
    </w:lvl>
    <w:lvl w:ilvl="1">
      <w:lvlJc w:val="left"/>
      <w:lvlText w:val="-"/>
      <w:numFmt w:val="bullet"/>
      <w:start w:val="1"/>
    </w:lvl>
  </w:abstractNum>
  <w:abstractNum w:abstractNumId="334">
    <w:nsid w:val="29EF532D"/>
    <w:multiLevelType w:val="hybridMultilevel"/>
    <w:lvl w:ilvl="0">
      <w:lvlJc w:val="left"/>
      <w:lvlText w:val="(%1)"/>
      <w:numFmt w:val="lowerLetter"/>
      <w:start w:val="1"/>
    </w:lvl>
  </w:abstractNum>
  <w:abstractNum w:abstractNumId="335">
    <w:nsid w:val="71D601AF"/>
    <w:multiLevelType w:val="hybridMultilevel"/>
    <w:lvl w:ilvl="0">
      <w:lvlJc w:val="left"/>
      <w:lvlText w:val="(%1)"/>
      <w:numFmt w:val="lowerRoman"/>
      <w:start w:val="2"/>
    </w:lvl>
    <w:lvl w:ilvl="1">
      <w:lvlJc w:val="left"/>
      <w:lvlText w:val="-"/>
      <w:numFmt w:val="bullet"/>
      <w:start w:val="1"/>
    </w:lvl>
  </w:abstractNum>
  <w:abstractNum w:abstractNumId="336">
    <w:nsid w:val="52C77402"/>
    <w:multiLevelType w:val="hybridMultilevel"/>
    <w:lvl w:ilvl="0">
      <w:lvlJc w:val="left"/>
      <w:lvlText w:val="%1."/>
      <w:numFmt w:val="decimal"/>
      <w:start w:val="3"/>
    </w:lvl>
  </w:abstractNum>
  <w:abstractNum w:abstractNumId="337">
    <w:nsid w:val="2BB5B1C6"/>
    <w:multiLevelType w:val="hybridMultilevel"/>
    <w:lvl w:ilvl="0">
      <w:lvlJc w:val="left"/>
      <w:lvlText w:val="[***]"/>
      <w:numFmt w:val="bullet"/>
      <w:start w:val="1"/>
    </w:lvl>
    <w:lvl w:ilvl="1">
      <w:lvlJc w:val="left"/>
      <w:lvlText w:val="-"/>
      <w:numFmt w:val="bullet"/>
      <w:start w:val="1"/>
    </w:lvl>
  </w:abstractNum>
  <w:abstractNum w:abstractNumId="338">
    <w:nsid w:val="66BE6B9"/>
    <w:multiLevelType w:val="hybridMultilevel"/>
    <w:lvl w:ilvl="0">
      <w:lvlJc w:val="left"/>
      <w:lvlText w:val="%1."/>
      <w:numFmt w:val="decimal"/>
      <w:start w:val="4"/>
    </w:lvl>
  </w:abstractNum>
  <w:abstractNum w:abstractNumId="339">
    <w:nsid w:val="62234363"/>
    <w:multiLevelType w:val="hybridMultilevel"/>
    <w:lvl w:ilvl="0">
      <w:lvlJc w:val="left"/>
      <w:lvlText w:val="%1."/>
      <w:numFmt w:val="decimal"/>
      <w:start w:val="5"/>
    </w:lvl>
    <w:lvl w:ilvl="1">
      <w:lvlJc w:val="left"/>
      <w:lvlText w:val="-"/>
      <w:numFmt w:val="bullet"/>
      <w:start w:val="1"/>
    </w:lvl>
  </w:abstractNum>
  <w:abstractNum w:abstractNumId="340">
    <w:nsid w:val="66D385C9"/>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41">
    <w:nsid w:val="596F6D8A"/>
    <w:multiLevelType w:val="hybridMultilevel"/>
    <w:lvl w:ilvl="0">
      <w:lvlJc w:val="left"/>
      <w:lvlText w:val="[***]"/>
      <w:numFmt w:val="bullet"/>
      <w:start w:val="1"/>
    </w:lvl>
    <w:lvl w:ilvl="1">
      <w:lvlJc w:val="left"/>
      <w:lvlText w:val="-"/>
      <w:numFmt w:val="bullet"/>
      <w:start w:val="1"/>
    </w:lvl>
  </w:abstractNum>
  <w:abstractNum w:abstractNumId="342">
    <w:nsid w:val="5749361F"/>
    <w:multiLevelType w:val="hybridMultilevel"/>
    <w:lvl w:ilvl="0">
      <w:lvlJc w:val="left"/>
      <w:lvlText w:val="%1."/>
      <w:numFmt w:val="lowerLetter"/>
      <w:start w:val="4"/>
    </w:lvl>
  </w:abstractNum>
  <w:abstractNum w:abstractNumId="343">
    <w:nsid w:val="73BC6770"/>
    <w:multiLevelType w:val="hybridMultilevel"/>
    <w:lvl w:ilvl="0">
      <w:lvlJc w:val="left"/>
      <w:lvlText w:val="%1."/>
      <w:numFmt w:val="decimal"/>
      <w:start w:val="8"/>
    </w:lvl>
  </w:abstractNum>
  <w:abstractNum w:abstractNumId="344">
    <w:nsid w:val="280E6897"/>
    <w:multiLevelType w:val="hybridMultilevel"/>
    <w:lvl w:ilvl="0">
      <w:lvlJc w:val="left"/>
      <w:lvlText w:val="%1."/>
      <w:numFmt w:val="decimal"/>
      <w:start w:val="10"/>
    </w:lvl>
    <w:lvl w:ilvl="1">
      <w:lvlJc w:val="left"/>
      <w:lvlText w:val="-"/>
      <w:numFmt w:val="bullet"/>
      <w:start w:val="1"/>
    </w:lvl>
  </w:abstractNum>
  <w:abstractNum w:abstractNumId="345">
    <w:nsid w:val="605138DE"/>
    <w:multiLevelType w:val="hybridMultilevel"/>
    <w:lvl w:ilvl="0">
      <w:lvlJc w:val="left"/>
      <w:lvlText w:val="%1."/>
      <w:numFmt w:val="decimal"/>
      <w:start w:val="2"/>
    </w:lvl>
  </w:abstractNum>
  <w:abstractNum w:abstractNumId="346">
    <w:nsid w:val="2622AD0C"/>
    <w:multiLevelType w:val="hybridMultilevel"/>
    <w:lvl w:ilvl="0">
      <w:lvlJc w:val="left"/>
      <w:lvlText w:val="%1)"/>
      <w:numFmt w:val="lowerLetter"/>
      <w:start w:val="1"/>
    </w:lvl>
  </w:abstractNum>
  <w:abstractNum w:abstractNumId="347">
    <w:nsid w:val="67997556"/>
    <w:multiLevelType w:val="hybridMultilevel"/>
    <w:lvl w:ilvl="0">
      <w:lvlJc w:val="left"/>
      <w:lvlText w:val="%1."/>
      <w:numFmt w:val="decimal"/>
      <w:start w:val="5"/>
    </w:lvl>
  </w:abstractNum>
  <w:abstractNum w:abstractNumId="348">
    <w:nsid w:val="18333C89"/>
    <w:multiLevelType w:val="hybridMultilevel"/>
    <w:lvl w:ilvl="0">
      <w:lvlJc w:val="left"/>
      <w:lvlText w:val="%1)"/>
      <w:numFmt w:val="lowerLetter"/>
      <w:start w:val="1"/>
    </w:lvl>
  </w:abstractNum>
  <w:abstractNum w:abstractNumId="349">
    <w:nsid w:val="4BA9831A"/>
    <w:multiLevelType w:val="hybridMultilevel"/>
    <w:lvl w:ilvl="0">
      <w:lvlJc w:val="left"/>
      <w:lvlText w:val="-"/>
      <w:numFmt w:val="bullet"/>
      <w:start w:val="1"/>
    </w:lvl>
  </w:abstractNum>
  <w:abstractNum w:abstractNumId="350">
    <w:nsid w:val="6D71A2B"/>
    <w:multiLevelType w:val="hybridMultilevel"/>
    <w:lvl w:ilvl="0">
      <w:lvlJc w:val="left"/>
      <w:lvlText w:val="%1."/>
      <w:numFmt w:val="decimal"/>
      <w:start w:val="2"/>
    </w:lvl>
  </w:abstractNum>
  <w:abstractNum w:abstractNumId="351">
    <w:nsid w:val="CFC7321"/>
    <w:multiLevelType w:val="hybridMultilevel"/>
    <w:lvl w:ilvl="0">
      <w:lvlJc w:val="left"/>
      <w:lvlText w:val="%1)"/>
      <w:numFmt w:val="lowerLetter"/>
      <w:start w:val="1"/>
    </w:lvl>
  </w:abstractNum>
  <w:abstractNum w:abstractNumId="352">
    <w:nsid w:val="1421971B"/>
    <w:multiLevelType w:val="hybridMultilevel"/>
    <w:lvl w:ilvl="0">
      <w:lvlJc w:val="left"/>
      <w:lvlText w:val="%1."/>
      <w:numFmt w:val="decimal"/>
      <w:start w:val="5"/>
    </w:lvl>
  </w:abstractNum>
  <w:abstractNum w:abstractNumId="353">
    <w:nsid w:val="1F404301"/>
    <w:multiLevelType w:val="hybridMultilevel"/>
    <w:lvl w:ilvl="0">
      <w:lvlJc w:val="left"/>
      <w:lvlText w:val="%1)"/>
      <w:numFmt w:val="lowerLetter"/>
      <w:start w:val="1"/>
    </w:lvl>
  </w:abstractNum>
  <w:abstractNum w:abstractNumId="354">
    <w:nsid w:val="116E0907"/>
    <w:multiLevelType w:val="hybridMultilevel"/>
    <w:lvl w:ilvl="0">
      <w:lvlJc w:val="left"/>
      <w:lvlText w:val="-"/>
      <w:numFmt w:val="bullet"/>
      <w:start w:val="1"/>
    </w:lvl>
  </w:abstractNum>
  <w:abstractNum w:abstractNumId="355">
    <w:nsid w:val="4B683D0D"/>
    <w:multiLevelType w:val="hybridMultilevel"/>
    <w:lvl w:ilvl="0">
      <w:lvlJc w:val="left"/>
      <w:lvlText w:val="%1."/>
      <w:numFmt w:val="decimal"/>
      <w:start w:val="1"/>
    </w:lvl>
  </w:abstractNum>
  <w:abstractNum w:abstractNumId="356">
    <w:nsid w:val="76E41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2019-12-14T03:31:27Z</dcterms:created>
  <dcterms:modified xsi:type="dcterms:W3CDTF">2019-12-14T03:31:27Z</dcterms:modified>
</cp:coreProperties>
</file>