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 xml:space="preserve">As filed with the Securities and Exchange Commission on May 7, 2007 </w:t>
      </w:r>
      <w:r>
        <w:rPr>
          <w:rFonts w:ascii="Times New Roman" w:cs="Times New Roman" w:eastAsia="Times New Roman" w:hAnsi="Times New Roman"/>
          <w:sz w:val="16"/>
          <w:szCs w:val="16"/>
          <w:color w:val="auto"/>
        </w:rPr>
        <w:t>Registration No. 333- 141640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F-3</w:t>
      </w: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231" w:right="299" w:bottom="0" w:gutter="0" w:footer="0" w:header="0"/>
        </w:sectPr>
      </w:pPr>
    </w:p>
    <w:p>
      <w:pPr>
        <w:spacing w:after="0" w:line="20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060"/>
          </w:cols>
          <w:pgMar w:left="240" w:top="231" w:right="299" w:bottom="0" w:gutter="0" w:footer="0" w:header="0"/>
          <w:type w:val="continuous"/>
        </w:sect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 Box 619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Migdal Haemek, Israel, 23105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972-4-650-6611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Tower Semiconductor USA</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4300 Stevens Creek Blvd., Suite 175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95129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408-551-6500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Facsimile: 408-551-6509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13" w:lineRule="exact"/>
        <w:rPr>
          <w:sz w:val="24"/>
          <w:szCs w:val="24"/>
          <w:color w:val="auto"/>
        </w:rPr>
      </w:pPr>
    </w:p>
    <w:tbl>
      <w:tblPr>
        <w:tblLayout w:type="fixed"/>
        <w:tblInd w:w="1780"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Copies of all Correspondence to:</w:t>
            </w:r>
          </w:p>
        </w:tc>
      </w:tr>
      <w:tr>
        <w:trPr>
          <w:trHeight w:val="216"/>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DAVID H. SCHAPIRO, ESQ</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color w:val="auto"/>
                <w:w w:val="96"/>
              </w:rPr>
              <w:t>SHELDON KRAUSE, ESQ.</w:t>
            </w:r>
          </w:p>
        </w:tc>
      </w:tr>
      <w:tr>
        <w:trPr>
          <w:trHeight w:val="221"/>
        </w:trPr>
        <w:tc>
          <w:tcPr>
            <w:tcW w:w="24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ARI FRIED, ESQ</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6"/>
              </w:rPr>
              <w:t>Eilenberg, Krause &amp; Paul LLP</w:t>
            </w:r>
          </w:p>
        </w:tc>
      </w:tr>
      <w:tr>
        <w:trPr>
          <w:trHeight w:val="253"/>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Yigal Arnon &amp; Co.</w:t>
            </w:r>
          </w:p>
        </w:tc>
        <w:tc>
          <w:tcPr>
            <w:tcW w:w="5380" w:type="dxa"/>
            <w:vAlign w:val="bottom"/>
          </w:tcPr>
          <w:p>
            <w:pPr>
              <w:jc w:val="center"/>
              <w:ind w:left="3152"/>
              <w:spacing w:after="0" w:line="253" w:lineRule="exact"/>
              <w:rPr>
                <w:sz w:val="20"/>
                <w:szCs w:val="20"/>
                <w:color w:val="auto"/>
              </w:rPr>
            </w:pPr>
            <w:r>
              <w:rPr>
                <w:rFonts w:ascii="Times New Roman" w:cs="Times New Roman" w:eastAsia="Times New Roman" w:hAnsi="Times New Roman"/>
                <w:sz w:val="18"/>
                <w:szCs w:val="18"/>
                <w:color w:val="auto"/>
                <w:w w:val="94"/>
              </w:rPr>
              <w:t>11 East 44</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Street</w:t>
            </w:r>
          </w:p>
        </w:tc>
      </w:tr>
      <w:tr>
        <w:trPr>
          <w:trHeight w:val="216"/>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 Azrieli Center</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6"/>
              </w:rPr>
              <w:t>New York, NY 10017</w:t>
            </w:r>
          </w:p>
        </w:tc>
      </w:tr>
      <w:tr>
        <w:trPr>
          <w:trHeight w:val="216"/>
        </w:trPr>
        <w:tc>
          <w:tcPr>
            <w:tcW w:w="24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5"/>
              </w:rPr>
              <w:t>Tel Aviv, 67021 Israel</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5"/>
              </w:rPr>
              <w:t>Tel: 212-986-9700</w:t>
            </w:r>
          </w:p>
        </w:tc>
      </w:tr>
      <w:tr>
        <w:trPr>
          <w:trHeight w:val="228"/>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Tel: 972-3-608-7856</w:t>
            </w:r>
          </w:p>
        </w:tc>
        <w:tc>
          <w:tcPr>
            <w:tcW w:w="5380" w:type="dxa"/>
            <w:vAlign w:val="bottom"/>
          </w:tcPr>
          <w:p>
            <w:pPr>
              <w:spacing w:after="0"/>
              <w:rPr>
                <w:sz w:val="19"/>
                <w:szCs w:val="19"/>
                <w:color w:val="auto"/>
              </w:rPr>
            </w:pP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time to time after the effective date of this registration statement.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Times New Roman" w:cs="Times New Roman" w:eastAsia="Times New Roman" w:hAnsi="Times New Roman"/>
          <w:sz w:val="21"/>
          <w:szCs w:val="21"/>
          <w:color w:val="auto"/>
        </w:rPr>
        <w:t>x</w:t>
      </w:r>
    </w:p>
    <w:p>
      <w:pPr>
        <w:spacing w:after="0" w:line="160"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Times New Roman" w:cs="Times New Roman" w:eastAsia="Times New Roman" w:hAnsi="Times New Roman"/>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7"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4"/>
          <w:szCs w:val="24"/>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4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SUBJECT TO COMPLETION</w:t>
      </w:r>
    </w:p>
    <w:p>
      <w:pPr>
        <w:spacing w:after="0" w:line="2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DATED MAY __, 2007</w:t>
      </w:r>
    </w:p>
    <w:p>
      <w:pPr>
        <w:sectPr>
          <w:pgSz w:w="11900" w:h="16838" w:orient="portrait"/>
          <w:cols w:equalWidth="0" w:num="1">
            <w:col w:w="11360"/>
          </w:cols>
          <w:pgMar w:left="240" w:top="231" w:right="29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196215</wp:posOffset>
            </wp:positionV>
            <wp:extent cx="20580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47,012,993 Ordinary Shares</w:t>
      </w:r>
    </w:p>
    <w:p>
      <w:pPr>
        <w:spacing w:after="0" w:line="225"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named in this prospectus of up to 47,012,993 ordinary shares, including 28,207,796 ordinary shares issuable upon exercise of outstanding warrants held by the selling stockholders.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0" w:lineRule="exact"/>
        <w:rPr>
          <w:sz w:val="20"/>
          <w:szCs w:val="20"/>
          <w:color w:val="auto"/>
        </w:rPr>
      </w:pPr>
    </w:p>
    <w:p>
      <w:pPr>
        <w:ind w:right="200" w:firstLine="395"/>
        <w:spacing w:after="0" w:line="26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“TSEM” and on the Tel Aviv Stock Exchange in Israel under the symbol “TSEM.” On May 6, 2007, the last reported sale price of our ordinary shares on the NASDAQ Global Market was $1.80 per share and on the Tel Aviv Stock Exchange was NIS 7.34per share.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May 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461"/>
        </w:trPr>
        <w:tc>
          <w:tcPr>
            <w:tcW w:w="3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w:anchor="page2">
              <w:r>
                <w:rPr>
                  <w:rFonts w:ascii="Times New Roman" w:cs="Times New Roman" w:eastAsia="Times New Roman" w:hAnsi="Times New Roman"/>
                  <w:sz w:val="18"/>
                  <w:szCs w:val="18"/>
                  <w:color w:val="0000EE"/>
                  <w:w w:val="96"/>
                </w:rPr>
                <w:t>ABOUT TOWER SEMICONDUCTOR LTD</w:t>
              </w:r>
            </w:hyperlink>
          </w:p>
        </w:tc>
        <w:tc>
          <w:tcPr>
            <w:tcW w:w="670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11">
              <w:r>
                <w:rPr>
                  <w:rFonts w:ascii="Times New Roman" w:cs="Times New Roman" w:eastAsia="Times New Roman" w:hAnsi="Times New Roman"/>
                  <w:sz w:val="18"/>
                  <w:szCs w:val="18"/>
                  <w:color w:val="0000EE"/>
                  <w:w w:val="96"/>
                </w:rPr>
                <w:t>SPECIAL NOTE ON FORWARD-LOOKING STATEMENTS</w:t>
              </w:r>
            </w:hyperlink>
          </w:p>
        </w:tc>
        <w:tc>
          <w:tcPr>
            <w:tcW w:w="546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11">
              <w:r>
                <w:rPr>
                  <w:rFonts w:ascii="Times New Roman" w:cs="Times New Roman" w:eastAsia="Times New Roman" w:hAnsi="Times New Roman"/>
                  <w:sz w:val="18"/>
                  <w:szCs w:val="18"/>
                  <w:color w:val="0000EE"/>
                  <w:w w:val="95"/>
                </w:rPr>
                <w:t>CAPITALIZATION</w:t>
              </w:r>
            </w:hyperlink>
          </w:p>
        </w:tc>
        <w:tc>
          <w:tcPr>
            <w:tcW w:w="846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USE OF PROCEEDS</w:t>
              </w:r>
            </w:hyperlink>
          </w:p>
        </w:tc>
        <w:tc>
          <w:tcPr>
            <w:tcW w:w="834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PLAN OF DISTRIBUTION</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SELLING STOCKHOLDERS</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DESCRIPTION OF SHARE CAPITAL</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9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TAXATION</w:t>
              </w:r>
            </w:hyperlink>
          </w:p>
        </w:tc>
        <w:tc>
          <w:tcPr>
            <w:tcW w:w="496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5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LEGAL MATTERS</w:t>
              </w:r>
            </w:hyperlink>
          </w:p>
        </w:tc>
        <w:tc>
          <w:tcPr>
            <w:tcW w:w="836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19">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WHERE YOU CAN FIND MORE INFORMATION; INCORPORATION OF INFORMATION BY REFERENCE</w:t>
              </w:r>
            </w:hyperlink>
          </w:p>
        </w:tc>
        <w:tc>
          <w:tcPr>
            <w:tcW w:w="48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TOWER SEMICONDUCTOR LTD.</w:t>
      </w:r>
    </w:p>
    <w:p>
      <w:pPr>
        <w:spacing w:after="0" w:line="295"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95"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March 31, 2007, Fab 1 is able to achieve capacity levels of approximately 16,000 wafers per month.</w:t>
      </w:r>
    </w:p>
    <w:p>
      <w:pPr>
        <w:spacing w:after="0" w:line="193" w:lineRule="exact"/>
        <w:rPr>
          <w:sz w:val="20"/>
          <w:szCs w:val="20"/>
          <w:color w:val="auto"/>
        </w:rPr>
      </w:pPr>
    </w:p>
    <w:p>
      <w:pPr>
        <w:ind w:right="60" w:firstLine="395"/>
        <w:spacing w:after="0" w:line="255" w:lineRule="auto"/>
        <w:rPr>
          <w:sz w:val="20"/>
          <w:szCs w:val="20"/>
          <w:color w:val="auto"/>
        </w:rPr>
      </w:pPr>
      <w:r>
        <w:rPr>
          <w:rFonts w:ascii="Times New Roman" w:cs="Times New Roman" w:eastAsia="Times New Roman" w:hAnsi="Times New Roman"/>
          <w:sz w:val="18"/>
          <w:szCs w:val="18"/>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March 31, 2007 was approximately 19,000 wafers per month. Depending on the process technology and product mix, when fully ramped-up we estimate that Fab 2 will be able to achieve capacity levels of up to approximately 40,000 wafers per month.</w:t>
      </w:r>
    </w:p>
    <w:p>
      <w:pPr>
        <w:sectPr>
          <w:pgSz w:w="11900" w:h="16838" w:orient="portrait"/>
          <w:cols w:equalWidth="0" w:num="1">
            <w:col w:w="11420"/>
          </w:cols>
          <w:pgMar w:left="240" w:top="123" w:right="239" w:bottom="0" w:gutter="0" w:footer="0" w:header="0"/>
        </w:sectPr>
      </w:pPr>
    </w:p>
    <w:bookmarkStart w:id="2" w:name="page3"/>
    <w:bookmarkEnd w:id="2"/>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Our manufacturing facilities and executive offices are located in the Ramat Gavriel Industrial Park, Post Office Box 619, Migdal Haemek, 23105 Israel, and our telephone number is 972-4-650-6611.</w:t>
      </w:r>
    </w:p>
    <w:p>
      <w:pPr>
        <w:spacing w:after="0" w:line="174"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Additional information about us and our operations may be found at our web 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0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Affecting Our Business</w:t>
      </w:r>
    </w:p>
    <w:p>
      <w:pPr>
        <w:spacing w:after="0" w:line="306"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72" w:lineRule="exact"/>
        <w:rPr>
          <w:sz w:val="20"/>
          <w:szCs w:val="20"/>
          <w:color w:val="auto"/>
        </w:rPr>
      </w:pPr>
    </w:p>
    <w:p>
      <w:pPr>
        <w:ind w:right="120" w:firstLine="395"/>
        <w:spacing w:after="0" w:line="286" w:lineRule="auto"/>
        <w:rPr>
          <w:sz w:val="20"/>
          <w:szCs w:val="20"/>
          <w:color w:val="auto"/>
        </w:rPr>
      </w:pPr>
      <w:r>
        <w:rPr>
          <w:rFonts w:ascii="Times New Roman" w:cs="Times New Roman" w:eastAsia="Times New Roman" w:hAnsi="Times New Roman"/>
          <w:sz w:val="16"/>
          <w:szCs w:val="16"/>
          <w:color w:val="auto"/>
        </w:rPr>
        <w:t>Fab 2 production capacity as of March 31, 2007 was approximately 19,000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38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89" w:lineRule="exact"/>
        <w:rPr>
          <w:sz w:val="20"/>
          <w:szCs w:val="20"/>
          <w:color w:val="auto"/>
        </w:rPr>
      </w:pPr>
    </w:p>
    <w:p>
      <w:pPr>
        <w:ind w:right="20" w:firstLine="395"/>
        <w:spacing w:after="0" w:line="251" w:lineRule="auto"/>
        <w:rPr>
          <w:sz w:val="20"/>
          <w:szCs w:val="20"/>
          <w:color w:val="auto"/>
        </w:rPr>
      </w:pPr>
      <w:r>
        <w:rPr>
          <w:rFonts w:ascii="Times New Roman" w:cs="Times New Roman" w:eastAsia="Times New Roman" w:hAnsi="Times New Roman"/>
          <w:sz w:val="18"/>
          <w:szCs w:val="18"/>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March 31, 2007, we received a cumulative amount of approximately $163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March 31, 2006, we have invested approximately $160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cease our operations.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84"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our future operations do not increase or if we fail to raise additional funding, we may be unable to repay our debt on a timely basis.</w:t>
      </w:r>
    </w:p>
    <w:p>
      <w:pPr>
        <w:sectPr>
          <w:pgSz w:w="11900" w:h="16838" w:orient="portrait"/>
          <w:cols w:equalWidth="0" w:num="1">
            <w:col w:w="11420"/>
          </w:cols>
          <w:pgMar w:left="240" w:top="125" w:right="239" w:bottom="84" w:gutter="0" w:footer="0" w:header="0"/>
          <w:type w:val="continuous"/>
        </w:sectPr>
      </w:pPr>
    </w:p>
    <w:bookmarkStart w:id="3" w:name="page4"/>
    <w:bookmarkEnd w:id="3"/>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38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72"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8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7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fluctuate from quarter to quarter which makes it difficult to predict our future performance.</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Inventory and supply chain management of our customers;</w:t>
      </w:r>
    </w:p>
    <w:p>
      <w:pPr>
        <w:spacing w:after="0" w:line="252" w:lineRule="exact"/>
        <w:rPr>
          <w:sz w:val="20"/>
          <w:szCs w:val="20"/>
          <w:color w:val="auto"/>
        </w:rPr>
      </w:pPr>
    </w:p>
    <w:p>
      <w:pPr>
        <w:ind w:left="1160" w:right="400" w:hanging="567"/>
        <w:spacing w:after="0" w:line="275" w:lineRule="auto"/>
        <w:rPr>
          <w:sz w:val="20"/>
          <w:szCs w:val="20"/>
          <w:color w:val="auto"/>
        </w:rPr>
      </w:pPr>
      <w:r>
        <w:rPr>
          <w:rFonts w:ascii="Times New Roman" w:cs="Times New Roman" w:eastAsia="Times New Roman" w:hAnsi="Times New Roman"/>
          <w:sz w:val="18"/>
          <w:szCs w:val="18"/>
          <w:color w:val="auto"/>
        </w:rPr>
        <w:t>—The loss of a key customer, postponement of an order from a key customer, failure of a key customer to pay accounts receivables in a timely manner or the financial condition of our customers;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Technological changes and short product life cycles;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New accounting rules affecting our results.</w:t>
      </w:r>
    </w:p>
    <w:p>
      <w:pPr>
        <w:sectPr>
          <w:pgSz w:w="11900" w:h="16838" w:orient="portrait"/>
          <w:cols w:equalWidth="0" w:num="1">
            <w:col w:w="11420"/>
          </w:cols>
          <w:pgMar w:left="240" w:top="125" w:right="239" w:bottom="0" w:gutter="0" w:footer="0" w:header="0"/>
        </w:sectPr>
      </w:pPr>
    </w:p>
    <w:bookmarkStart w:id="4" w:name="page5"/>
    <w:bookmarkEnd w:id="4"/>
    <w:p>
      <w:pPr>
        <w:ind w:right="380" w:firstLine="351"/>
        <w:spacing w:after="0" w:line="262" w:lineRule="auto"/>
        <w:rPr>
          <w:sz w:val="20"/>
          <w:szCs w:val="20"/>
          <w:color w:val="auto"/>
        </w:rPr>
      </w:pPr>
      <w:r>
        <w:rPr>
          <w:rFonts w:ascii="Times New Roman" w:cs="Times New Roman" w:eastAsia="Times New Roman" w:hAnsi="Times New Roman"/>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 including our operating results, financial condition and ability to maintain our operations.</w:t>
      </w:r>
    </w:p>
    <w:p>
      <w:pPr>
        <w:spacing w:after="0" w:line="184"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7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cycles may be long and, as a result, orders received may not meet our expectations which may adversely affect our operating results.</w:t>
      </w:r>
    </w:p>
    <w:p>
      <w:pPr>
        <w:spacing w:after="0" w:line="227"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foundry services is dependent on the demand in our customers’ end markets.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attract additional customers, our business may be adversely affected.</w:t>
      </w:r>
    </w:p>
    <w:p>
      <w:pPr>
        <w:spacing w:after="0" w:line="227"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2006, approximately 61% of our business was generated by five significant customers that contributed 33%, 11%, 7%, 5% and 5%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a relatively small number of products for a significant portion of our revenues.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receive orders from our wafer partners we may have excess capacity.</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maintain and develop our technology processes and services, we will lose customers and may not be able to attract new ones.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rapid technological developments;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evolving industry standards;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customer and product end user requirements;</w:t>
      </w:r>
    </w:p>
    <w:p>
      <w:pPr>
        <w:sectPr>
          <w:pgSz w:w="11900" w:h="16838" w:orient="portrait"/>
          <w:cols w:equalWidth="0" w:num="1">
            <w:col w:w="11420"/>
          </w:cols>
          <w:pgMar w:left="240" w:top="125" w:right="239" w:bottom="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we will lose business to our competitors.</w:t>
      </w:r>
    </w:p>
    <w:p>
      <w:pPr>
        <w:spacing w:after="0" w:line="227" w:lineRule="exact"/>
        <w:rPr>
          <w:sz w:val="20"/>
          <w:szCs w:val="20"/>
          <w:color w:val="auto"/>
        </w:rPr>
      </w:pPr>
    </w:p>
    <w:p>
      <w:pPr>
        <w:ind w:right="140" w:firstLine="348"/>
        <w:spacing w:after="0" w:line="296" w:lineRule="auto"/>
        <w:rPr>
          <w:sz w:val="20"/>
          <w:szCs w:val="20"/>
          <w:color w:val="auto"/>
        </w:rPr>
      </w:pPr>
      <w:r>
        <w:rPr>
          <w:rFonts w:ascii="Times New Roman" w:cs="Times New Roman" w:eastAsia="Times New Roman" w:hAnsi="Times New Roman"/>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better operational performance in cycle time and yields.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large amount of debt which could have significant negative consequences.</w:t>
      </w:r>
    </w:p>
    <w:p>
      <w:pPr>
        <w:spacing w:after="0" w:line="227" w:lineRule="exact"/>
        <w:rPr>
          <w:sz w:val="20"/>
          <w:szCs w:val="20"/>
          <w:color w:val="auto"/>
        </w:rPr>
      </w:pPr>
    </w:p>
    <w:p>
      <w:pPr>
        <w:ind w:firstLine="395"/>
        <w:spacing w:after="0" w:line="339" w:lineRule="auto"/>
        <w:rPr>
          <w:sz w:val="20"/>
          <w:szCs w:val="20"/>
          <w:color w:val="auto"/>
        </w:rPr>
      </w:pPr>
      <w:r>
        <w:rPr>
          <w:rFonts w:ascii="Times New Roman" w:cs="Times New Roman" w:eastAsia="Times New Roman" w:hAnsi="Times New Roman"/>
          <w:sz w:val="16"/>
          <w:szCs w:val="16"/>
          <w:color w:val="auto"/>
        </w:rPr>
        <w:t>We have a large amount of long-term debt, which could have significant negative consequences. As of March 31, 2007, we had approximately $369 million of bank debt and approximately $90 million of convertible debt. Our current and future indebtedness could have significant negative consequences, including:</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affecting our ability to make interest payments and other required debt service on our indebtedness.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satisfy the covenants set forth in our amended credit facility, our banks will be able to call our loans.</w:t>
      </w:r>
    </w:p>
    <w:p>
      <w:pPr>
        <w:spacing w:after="0" w:line="227"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banking laws may impose restrictions on the total debt that we may borrow from our banks.</w:t>
      </w:r>
    </w:p>
    <w:p>
      <w:pPr>
        <w:spacing w:after="0" w:line="227"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pacing w:after="0" w:line="19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If we experience difficulty in achieving acceptable device yields, product performance and delivery times as a result of manufacturing problems, our business will be adversely affected.</w:t>
      </w:r>
    </w:p>
    <w:p>
      <w:pPr>
        <w:sectPr>
          <w:pgSz w:w="11900" w:h="16838" w:orient="portrait"/>
          <w:cols w:equalWidth="0" w:num="1">
            <w:col w:w="11360"/>
          </w:cols>
          <w:pgMar w:left="240" w:top="125" w:right="299" w:bottom="128" w:gutter="0" w:footer="0" w:header="0"/>
        </w:sectPr>
      </w:pPr>
    </w:p>
    <w:bookmarkStart w:id="6" w:name="page7"/>
    <w:bookmarkEnd w:id="6"/>
    <w:p>
      <w:pPr>
        <w:spacing w:after="0" w:line="123"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7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exposure to currency exchange and interest rate fluctuations and inflation may increase our cost of operations.</w:t>
      </w:r>
    </w:p>
    <w:p>
      <w:pPr>
        <w:spacing w:after="0" w:line="227"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86"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0"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86"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intellectual property rights of third parties and failure to maintain or acquire licenses could harm our business.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 intellectual property rights of third parties or to defend our intellectual property rights could harm our business.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93"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75" w:lineRule="auto"/>
        <w:rPr>
          <w:sz w:val="20"/>
          <w:szCs w:val="20"/>
          <w:color w:val="auto"/>
        </w:rPr>
      </w:pPr>
      <w:r>
        <w:rPr>
          <w:rFonts w:ascii="Times New Roman" w:cs="Times New Roman" w:eastAsia="Times New Roman" w:hAnsi="Times New Roman"/>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jc w:val="both"/>
        <w:ind w:right="20" w:firstLine="341"/>
        <w:spacing w:after="0" w:line="310" w:lineRule="auto"/>
        <w:rPr>
          <w:sz w:val="20"/>
          <w:szCs w:val="20"/>
          <w:color w:val="auto"/>
        </w:rPr>
      </w:pPr>
      <w:r>
        <w:rPr>
          <w:rFonts w:ascii="Times New Roman" w:cs="Times New Roman" w:eastAsia="Times New Roman" w:hAnsi="Times New Roman"/>
          <w:sz w:val="16"/>
          <w:szCs w:val="16"/>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w:t>
      </w:r>
    </w:p>
    <w:p>
      <w:pPr>
        <w:sectPr>
          <w:pgSz w:w="11900" w:h="16961" w:orient="portrait"/>
          <w:cols w:equalWidth="0" w:num="1">
            <w:col w:w="11420"/>
          </w:cols>
          <w:pgMar w:left="240" w:top="125" w:right="239" w:bottom="0" w:gutter="0" w:footer="0" w:header="0"/>
        </w:sectPr>
      </w:pPr>
    </w:p>
    <w:bookmarkStart w:id="7" w:name="page8"/>
    <w:bookmarkEnd w:id="7"/>
    <w:p>
      <w:pPr>
        <w:ind w:right="60"/>
        <w:spacing w:after="0" w:line="275" w:lineRule="auto"/>
        <w:rPr>
          <w:sz w:val="20"/>
          <w:szCs w:val="20"/>
          <w:color w:val="auto"/>
        </w:rPr>
      </w:pPr>
      <w:r>
        <w:rPr>
          <w:rFonts w:ascii="Times New Roman" w:cs="Times New Roman" w:eastAsia="Times New Roman" w:hAnsi="Times New Roman"/>
          <w:sz w:val="18"/>
          <w:szCs w:val="18"/>
          <w:color w:val="auto"/>
        </w:rPr>
        <w:t>other intellectual property matters occurs, it could prevent us from manufacturing particular products or applying particular technologies, which could reduce our opportunities to generate revenues.</w:t>
      </w:r>
    </w:p>
    <w:p>
      <w:pPr>
        <w:spacing w:after="0" w:line="174" w:lineRule="exact"/>
        <w:rPr>
          <w:sz w:val="20"/>
          <w:szCs w:val="20"/>
          <w:color w:val="auto"/>
        </w:rPr>
      </w:pPr>
    </w:p>
    <w:p>
      <w:pPr>
        <w:ind w:right="100" w:firstLine="341"/>
        <w:spacing w:after="0" w:line="254" w:lineRule="auto"/>
        <w:rPr>
          <w:sz w:val="20"/>
          <w:szCs w:val="20"/>
          <w:color w:val="auto"/>
        </w:rPr>
      </w:pPr>
      <w:r>
        <w:rPr>
          <w:rFonts w:ascii="Times New Roman" w:cs="Times New Roman" w:eastAsia="Times New Roman" w:hAnsi="Times New Roman"/>
          <w:sz w:val="18"/>
          <w:szCs w:val="18"/>
          <w:color w:val="auto"/>
        </w:rPr>
        <w:t>As of December 31, 2006, we held 60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seriously harmed by failure to comply with environmental regulations.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risk of loss due to fire because the materials we use in our manufacturing processes are highly flammable.</w:t>
      </w:r>
    </w:p>
    <w:p>
      <w:pPr>
        <w:spacing w:after="0" w:line="22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product returns could harm our business.</w:t>
      </w:r>
    </w:p>
    <w:p>
      <w:pPr>
        <w:spacing w:after="0" w:line="308"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repay grants to the Investment Center that we received in connection with Fab 1.</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related to our international operations.</w:t>
      </w:r>
    </w:p>
    <w:p>
      <w:pPr>
        <w:spacing w:after="0" w:line="227"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1160" w:right="480" w:hanging="567"/>
        <w:spacing w:after="0" w:line="275" w:lineRule="auto"/>
        <w:rPr>
          <w:sz w:val="20"/>
          <w:szCs w:val="20"/>
          <w:color w:val="auto"/>
        </w:rPr>
      </w:pPr>
      <w:r>
        <w:rPr>
          <w:rFonts w:ascii="Times New Roman" w:cs="Times New Roman" w:eastAsia="Times New Roman" w:hAnsi="Times New Roman"/>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delays in product shipments due to local customs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we are unable to retain and recruit qualified personnel.</w:t>
      </w:r>
    </w:p>
    <w:p>
      <w:pPr>
        <w:spacing w:after="0" w:line="227" w:lineRule="exact"/>
        <w:rPr>
          <w:sz w:val="20"/>
          <w:szCs w:val="20"/>
          <w:color w:val="auto"/>
        </w:rPr>
      </w:pPr>
    </w:p>
    <w:p>
      <w:pPr>
        <w:ind w:right="80" w:firstLine="348"/>
        <w:spacing w:after="0" w:line="310" w:lineRule="auto"/>
        <w:rPr>
          <w:sz w:val="20"/>
          <w:szCs w:val="20"/>
          <w:color w:val="auto"/>
        </w:rPr>
      </w:pPr>
      <w:r>
        <w:rPr>
          <w:rFonts w:ascii="Times New Roman" w:cs="Times New Roman" w:eastAsia="Times New Roman" w:hAnsi="Times New Roman"/>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w:t>
      </w:r>
    </w:p>
    <w:p>
      <w:pPr>
        <w:sectPr>
          <w:pgSz w:w="11900" w:h="16838" w:orient="portrait"/>
          <w:cols w:equalWidth="0" w:num="1">
            <w:col w:w="11400"/>
          </w:cols>
          <w:pgMar w:left="240" w:top="125" w:right="259" w:bottom="0" w:gutter="0" w:footer="0" w:header="0"/>
        </w:sectPr>
      </w:pPr>
    </w:p>
    <w:bookmarkStart w:id="8" w:name="page9"/>
    <w:bookmarkEnd w:id="8"/>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in the future.</w:t>
      </w:r>
    </w:p>
    <w:p>
      <w:pPr>
        <w:spacing w:after="0" w:line="295"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0"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72"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83" w:lineRule="exact"/>
        <w:rPr>
          <w:sz w:val="20"/>
          <w:szCs w:val="20"/>
          <w:color w:val="auto"/>
        </w:rPr>
      </w:pPr>
    </w:p>
    <w:p>
      <w:pPr>
        <w:ind w:right="60" w:firstLine="395"/>
        <w:spacing w:after="0" w:line="254" w:lineRule="auto"/>
        <w:rPr>
          <w:sz w:val="20"/>
          <w:szCs w:val="20"/>
          <w:color w:val="auto"/>
        </w:rPr>
      </w:pPr>
      <w:r>
        <w:rPr>
          <w:rFonts w:ascii="Times New Roman" w:cs="Times New Roman" w:eastAsia="Times New Roman" w:hAnsi="Times New Roman"/>
          <w:sz w:val="18"/>
          <w:szCs w:val="18"/>
          <w:color w:val="auto"/>
        </w:rPr>
        <w:t>As of March 31, 2007, we have approximately 120.9 million ordinary shares outstanding and have outstanding securities convertible or exercisable into up to approximately 247.7 million ordinary shares. As of March 31, 2007, up to approximately 100.4 million additional ordinary shares may be issued upon the conversion of our 2002 outstanding convertible debentures, 2005 outstanding convertible debentures, 2006 outstanding convertible debentures and upon exercise of warrants held by some of our major shareholders and others including warrants to purchase approximately 9.4 million ordinary shares at an exercise price of $2.04 per share and warrants to purchase approximately 18.8 ordinary shares at an exercise price of $1.70 per share in a private placement (which shares are covered by this prospectus). Additionally, in September 2006, we issued equity equivalent capital notes to our banks and to Israel Corp., which are convertible into 51,973,684 and 65,789,474 of our ordinary shares, respectively.</w:t>
      </w:r>
    </w:p>
    <w:p>
      <w:pPr>
        <w:spacing w:after="0" w:line="195"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color w:val="auto"/>
        </w:rPr>
        <w:t>In addition, as of March 31, 2007, we had outstanding employee and directors options to purchase up to approximately 29.6 million shares at a weighted average exercise price of $1.86.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March 31, 2007, we had issued approximately 4.8 million of our ordinary shares to SanDisk Corporation and approximately 2.6 million ordinary shares to Alliance Semiconductor upon conversion of approximately $12 million of wafer credits. We expect that approximately up to $4.7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95"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Further 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51"/>
        <w:spacing w:after="0" w:line="291" w:lineRule="auto"/>
        <w:rPr>
          <w:sz w:val="20"/>
          <w:szCs w:val="20"/>
          <w:color w:val="auto"/>
        </w:rPr>
      </w:pPr>
      <w:r>
        <w:rPr>
          <w:rFonts w:ascii="Times New Roman" w:cs="Times New Roman" w:eastAsia="Times New Roman" w:hAnsi="Times New Roman"/>
          <w:sz w:val="16"/>
          <w:szCs w:val="16"/>
          <w:color w:val="auto"/>
        </w:rPr>
        <w:t>If we obtain Investment Center approval for an expansion plan (see Risk Factors – “If the Investment Center will not approve our request for a new expansion program, we would be required to seek alternative financing sources to complete the ramp-up of Fab 2, which may not be available…”), we will still need to raise considerable additional funds from other sources to finance the ramp-up of Fab 2 to exceed capacity of 24,000 wafers per month, should we decide to further increase Fab 2‘s capacity, for which we currently estimate we would need to raise approximately up to $120 million to fully ramp-up Fab 2.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sales of large amounts of our shares eligible for future sale may lower the price of our ordinary shares.</w:t>
      </w:r>
    </w:p>
    <w:p>
      <w:pPr>
        <w:spacing w:after="0" w:line="227" w:lineRule="exact"/>
        <w:rPr>
          <w:sz w:val="20"/>
          <w:szCs w:val="20"/>
          <w:color w:val="auto"/>
        </w:rPr>
      </w:pPr>
    </w:p>
    <w:p>
      <w:pPr>
        <w:ind w:right="20" w:firstLine="395"/>
        <w:spacing w:after="0" w:line="285" w:lineRule="auto"/>
        <w:rPr>
          <w:sz w:val="20"/>
          <w:szCs w:val="20"/>
          <w:color w:val="auto"/>
        </w:rPr>
      </w:pPr>
      <w:r>
        <w:rPr>
          <w:rFonts w:ascii="Times New Roman" w:cs="Times New Roman" w:eastAsia="Times New Roman" w:hAnsi="Times New Roman"/>
          <w:sz w:val="16"/>
          <w:szCs w:val="16"/>
          <w:color w:val="auto"/>
        </w:rPr>
        <w:t>Of our approximately 120.9 million outstanding ordinary shares as of March 31, 2007, approximately 59 million are freely tradable and held by non-affiliates under U.S. securities laws. In addition, certain of our affiliates (Israel Corp., SanDisk Corporation, Alliance Semiconductor, and Macronix International) hold approximately 43 million of our shares, of which (i) approximately 3.3 million are registered for resale and are therefore freely tradable under U.S. securities laws, (ii) approximately 36.4 million are currently eligible for sale subject to the time, volume and manner of sale limitations of Rule 144 promulgated under the U.S. Securities Act of 1933, as amended, and (iii) approximately 64,000 shares held by Alliance Semiconductor and approximately 3.3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March 31, 2007, up to approximately 26.7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29.7 million shares issuable upon the conversion and/or exercise of the securities sold in our June 2006 public offering in Israel and (ii) approximately 5.2 million shares issuable upon exercise of warrants sold in private placements completed in November 2006 are freely tradeable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tradeable under U.S. securities laws. The registration statement of which this prospectus forms a part covers the resale of up to approximately 18.8 million shares issued to the selling stockholders pursuant to an exemption from the registration requirements of the Securities Act of 1933 in our March 2007 private placement, as well as the resale of approximately 28.2 million shares issuable upon exercise of warrants issued in such transaction. The sales of large amounts of our ordinary shares</w:t>
      </w:r>
    </w:p>
    <w:p>
      <w:pPr>
        <w:sectPr>
          <w:pgSz w:w="11900" w:h="16838" w:orient="portrait"/>
          <w:cols w:equalWidth="0" w:num="1">
            <w:col w:w="11400"/>
          </w:cols>
          <w:pgMar w:left="240" w:top="125" w:right="259" w:bottom="0" w:gutter="0" w:footer="0" w:header="0"/>
        </w:sectPr>
      </w:pPr>
    </w:p>
    <w:bookmarkStart w:id="9" w:name="page10"/>
    <w:bookmarkEnd w:id="9"/>
    <w:p>
      <w:pPr>
        <w:ind w:right="120"/>
        <w:spacing w:after="0" w:line="275" w:lineRule="auto"/>
        <w:rPr>
          <w:sz w:val="20"/>
          <w:szCs w:val="20"/>
          <w:color w:val="auto"/>
        </w:rPr>
      </w:pPr>
      <w:r>
        <w:rPr>
          <w:rFonts w:ascii="Times New Roman" w:cs="Times New Roman" w:eastAsia="Times New Roman" w:hAnsi="Times New Roman"/>
          <w:sz w:val="18"/>
          <w:szCs w:val="18"/>
          <w:color w:val="auto"/>
        </w:rPr>
        <w:t>(or the potential for those sales even if they do not actually occur) may depress the market price of our ordinary shares. This could also impair our ability to raise capital through the sale of our equity securities.</w:t>
      </w:r>
    </w:p>
    <w:p>
      <w:pPr>
        <w:spacing w:after="0" w:line="17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72" w:lineRule="exact"/>
        <w:rPr>
          <w:sz w:val="20"/>
          <w:szCs w:val="20"/>
          <w:color w:val="auto"/>
        </w:rPr>
      </w:pPr>
    </w:p>
    <w:p>
      <w:pPr>
        <w:ind w:right="80" w:firstLine="395"/>
        <w:spacing w:after="0" w:line="254" w:lineRule="auto"/>
        <w:rPr>
          <w:sz w:val="20"/>
          <w:szCs w:val="20"/>
          <w:color w:val="auto"/>
        </w:rPr>
      </w:pPr>
      <w:r>
        <w:rPr>
          <w:rFonts w:ascii="Times New Roman" w:cs="Times New Roman" w:eastAsia="Times New Roman" w:hAnsi="Times New Roman"/>
          <w:sz w:val="18"/>
          <w:szCs w:val="18"/>
          <w:color w:val="auto"/>
        </w:rPr>
        <w:t>As of March 31, 2007, our major wafer partners and Israel Corp. collectively owned approximately 36%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The payment of the redemption amount on account of our outstanding debentures is subordinated to our indebtedness to our banks and obligations to secured creditors.</w:t>
      </w:r>
    </w:p>
    <w:p>
      <w:pPr>
        <w:spacing w:after="0" w:line="172" w:lineRule="exact"/>
        <w:rPr>
          <w:sz w:val="20"/>
          <w:szCs w:val="20"/>
          <w:color w:val="auto"/>
        </w:rPr>
      </w:pPr>
    </w:p>
    <w:p>
      <w:pPr>
        <w:ind w:right="60" w:firstLine="395"/>
        <w:spacing w:after="0" w:line="253" w:lineRule="auto"/>
        <w:rPr>
          <w:sz w:val="20"/>
          <w:szCs w:val="20"/>
          <w:color w:val="auto"/>
        </w:rPr>
      </w:pPr>
      <w:r>
        <w:rPr>
          <w:rFonts w:ascii="Times New Roman" w:cs="Times New Roman" w:eastAsia="Times New Roman" w:hAnsi="Times New Roman"/>
          <w:sz w:val="18"/>
          <w:szCs w:val="18"/>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$163 million in grants received as of March 31,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additional indebtedness.</w:t>
      </w:r>
    </w:p>
    <w:p>
      <w:pPr>
        <w:spacing w:after="0" w:line="308" w:lineRule="exact"/>
        <w:rPr>
          <w:sz w:val="20"/>
          <w:szCs w:val="20"/>
          <w:color w:val="auto"/>
        </w:rPr>
      </w:pPr>
    </w:p>
    <w:p>
      <w:pPr>
        <w:ind w:right="840" w:firstLine="341"/>
        <w:spacing w:after="0" w:line="275" w:lineRule="auto"/>
        <w:rPr>
          <w:sz w:val="20"/>
          <w:szCs w:val="20"/>
          <w:color w:val="auto"/>
        </w:rPr>
      </w:pPr>
      <w:r>
        <w:rPr>
          <w:rFonts w:ascii="Times New Roman" w:cs="Times New Roman" w:eastAsia="Times New Roman" w:hAnsi="Times New Roman"/>
          <w:sz w:val="18"/>
          <w:szCs w:val="18"/>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Instability in Israel may harm our business.</w:t>
      </w:r>
    </w:p>
    <w:p>
      <w:pPr>
        <w:spacing w:after="0" w:line="295"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74"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negatively affected by the obligations of our personnel to perform military service.</w:t>
      </w:r>
    </w:p>
    <w:p>
      <w:pPr>
        <w:spacing w:after="0" w:line="227" w:lineRule="exact"/>
        <w:rPr>
          <w:sz w:val="20"/>
          <w:szCs w:val="20"/>
          <w:color w:val="auto"/>
        </w:rPr>
      </w:pPr>
    </w:p>
    <w:p>
      <w:pPr>
        <w:jc w:val="both"/>
        <w:ind w:right="120" w:firstLine="351"/>
        <w:spacing w:after="0" w:line="256" w:lineRule="auto"/>
        <w:rPr>
          <w:sz w:val="20"/>
          <w:szCs w:val="20"/>
          <w:color w:val="auto"/>
        </w:rPr>
      </w:pPr>
      <w:r>
        <w:rPr>
          <w:rFonts w:ascii="Times New Roman" w:cs="Times New Roman" w:eastAsia="Times New Roman" w:hAnsi="Times New Roman"/>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negative economic conditions in Israel.</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If the exemption allowing us to operate our manufacturing facilities seven days a week is not renewed, our business will be adversely affected.</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88"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If we are considered to be a passive foreign investment company, either presently or in the future, U.S. Holders will be subject to adverse U.S. tax consequences.</w:t>
      </w:r>
    </w:p>
    <w:p>
      <w:pPr>
        <w:spacing w:after="0" w:line="172" w:lineRule="exact"/>
        <w:rPr>
          <w:sz w:val="20"/>
          <w:szCs w:val="20"/>
          <w:color w:val="auto"/>
        </w:rPr>
      </w:pPr>
    </w:p>
    <w:p>
      <w:pPr>
        <w:ind w:right="80" w:firstLine="348"/>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to enforce a U.S. judgment against us, our officers and directors and some of the experts named in this prospectus or to assert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claims in Israel.</w:t>
      </w:r>
    </w:p>
    <w:p>
      <w:pPr>
        <w:spacing w:after="0" w:line="213"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STATEMENTS</w:t>
      </w:r>
    </w:p>
    <w:p>
      <w:pPr>
        <w:spacing w:after="0" w:line="295" w:lineRule="exact"/>
        <w:rPr>
          <w:sz w:val="20"/>
          <w:szCs w:val="20"/>
          <w:color w:val="auto"/>
        </w:rPr>
      </w:pPr>
    </w:p>
    <w:p>
      <w:pPr>
        <w:ind w:right="200" w:firstLine="348"/>
        <w:spacing w:after="0" w:line="254" w:lineRule="auto"/>
        <w:rPr>
          <w:sz w:val="20"/>
          <w:szCs w:val="20"/>
          <w:color w:val="auto"/>
        </w:rPr>
      </w:pPr>
      <w:r>
        <w:rPr>
          <w:rFonts w:ascii="Times New Roman" w:cs="Times New Roman" w:eastAsia="Times New Roman" w:hAnsi="Times New Roman"/>
          <w:sz w:val="18"/>
          <w:szCs w:val="18"/>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95" w:lineRule="exact"/>
        <w:rPr>
          <w:sz w:val="20"/>
          <w:szCs w:val="20"/>
          <w:color w:val="auto"/>
        </w:rPr>
      </w:pPr>
    </w:p>
    <w:p>
      <w:pPr>
        <w:ind w:right="340" w:firstLine="345"/>
        <w:spacing w:after="0" w:line="310" w:lineRule="auto"/>
        <w:rPr>
          <w:sz w:val="20"/>
          <w:szCs w:val="20"/>
          <w:color w:val="auto"/>
        </w:rPr>
      </w:pPr>
      <w:r>
        <w:rPr>
          <w:rFonts w:ascii="Times New Roman" w:cs="Times New Roman" w:eastAsia="Times New Roman" w:hAnsi="Times New Roman"/>
          <w:sz w:val="16"/>
          <w:szCs w:val="16"/>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51" w:lineRule="exact"/>
        <w:rPr>
          <w:sz w:val="20"/>
          <w:szCs w:val="20"/>
          <w:color w:val="auto"/>
        </w:rPr>
      </w:pPr>
    </w:p>
    <w:p>
      <w:pPr>
        <w:ind w:right="420" w:firstLine="341"/>
        <w:spacing w:after="0" w:line="275"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95" w:lineRule="exact"/>
        <w:rPr>
          <w:sz w:val="20"/>
          <w:szCs w:val="20"/>
          <w:color w:val="auto"/>
        </w:rPr>
      </w:pPr>
    </w:p>
    <w:p>
      <w:pPr>
        <w:ind w:right="20" w:firstLine="395"/>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long-term debt, convertible debentures and capitalization as of March 31, 2007 on an actual basis. This table does not give effect to the proceeds we may receive from the exercise of the 28,207,796 warrants we issued to the selling stockholders and the issuance of shares issuable upon the exercise of such warrants and was prepared in accordance with the Israeli GAAP. The financial data is derived from our unaudited consolidated financial statements as of March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(US dollars in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0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convertibles debentures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358,798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debentures excluding current maturities..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57,853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10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customers' advances</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8"/>
                <w:szCs w:val="18"/>
                <w:color w:val="auto"/>
              </w:rPr>
              <w:t>44,050</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6" w:right="239" w:bottom="0" w:gutter="0" w:footer="0" w:header="0"/>
        </w:sectPr>
      </w:pPr>
    </w:p>
    <w:bookmarkStart w:id="11" w:name="page12"/>
    <w:bookmarkEnd w:id="11"/>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21,353</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74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Ordinary Shares, NIS 1.00 par value per share; 800,000,000</w:t>
            </w:r>
          </w:p>
        </w:tc>
        <w:tc>
          <w:tcPr>
            <w:tcW w:w="3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7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authorized shares, 122,182,946 issued shares* and 120,882,946</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shares</w:t>
            </w:r>
          </w:p>
        </w:tc>
        <w:tc>
          <w:tcPr>
            <w:tcW w:w="30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28,965</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584,400</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notes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176,401</w:t>
            </w:r>
          </w:p>
        </w:tc>
      </w:tr>
      <w:tr>
        <w:trPr>
          <w:trHeight w:val="202"/>
        </w:trPr>
        <w:tc>
          <w:tcPr>
            <w:tcW w:w="74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Equity component of convertible debentures and cumulative stock</w:t>
            </w:r>
          </w:p>
        </w:tc>
        <w:tc>
          <w:tcPr>
            <w:tcW w:w="3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8"/>
        </w:trPr>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based compensation</w:t>
            </w:r>
          </w:p>
        </w:tc>
        <w:tc>
          <w:tcPr>
            <w:tcW w:w="30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25,218</w:t>
            </w:r>
          </w:p>
        </w:tc>
      </w:tr>
      <w:tr>
        <w:trPr>
          <w:trHeight w:val="218"/>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(684,073)</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Treasury stock, 1,300,000 shares</w:t>
            </w:r>
          </w:p>
        </w:tc>
        <w:tc>
          <w:tcPr>
            <w:tcW w:w="30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(9,072)</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121,839</w:t>
            </w:r>
          </w:p>
        </w:tc>
      </w:tr>
      <w:tr>
        <w:trPr>
          <w:trHeight w:val="22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688,600</w:t>
            </w:r>
          </w:p>
        </w:tc>
      </w:tr>
      <w:tr>
        <w:trPr>
          <w:trHeight w:val="339"/>
        </w:trPr>
        <w:tc>
          <w:tcPr>
            <w:tcW w:w="3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Includes 1,300,000 treasury shares.</w:t>
            </w: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set forth on an actual basis in the foregoing table excludes the following securities as of March 31, 2007:</w:t>
      </w:r>
    </w:p>
    <w:p>
      <w:pPr>
        <w:spacing w:after="0" w:line="225" w:lineRule="exact"/>
        <w:rPr>
          <w:sz w:val="20"/>
          <w:szCs w:val="20"/>
          <w:color w:val="auto"/>
        </w:rPr>
      </w:pPr>
    </w:p>
    <w:p>
      <w:pPr>
        <w:ind w:left="1160" w:right="160" w:hanging="571"/>
        <w:spacing w:after="0" w:line="27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14.8 million ordinary shares issuable upon exercise of options granted to employees and directors at a weighted average exercise price of $2.14;</w:t>
      </w:r>
    </w:p>
    <w:p>
      <w:pPr>
        <w:spacing w:after="0" w:line="200" w:lineRule="exact"/>
        <w:rPr>
          <w:rFonts w:ascii="Times New Roman" w:cs="Times New Roman" w:eastAsia="Times New Roman" w:hAnsi="Times New Roman"/>
          <w:sz w:val="18"/>
          <w:szCs w:val="18"/>
          <w:color w:val="auto"/>
        </w:rPr>
      </w:pPr>
    </w:p>
    <w:p>
      <w:pPr>
        <w:ind w:left="1160" w:right="440" w:hanging="571"/>
        <w:spacing w:after="0" w:line="27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14,782,416 ordinary shares issuable upon exercise of options granted to our Chief Executive Officer at a weighted average exercise price of $1.58;</w:t>
      </w:r>
    </w:p>
    <w:p>
      <w:pPr>
        <w:spacing w:after="0" w:line="200" w:lineRule="exact"/>
        <w:rPr>
          <w:rFonts w:ascii="Times New Roman" w:cs="Times New Roman" w:eastAsia="Times New Roman" w:hAnsi="Times New Roman"/>
          <w:sz w:val="18"/>
          <w:szCs w:val="18"/>
          <w:color w:val="auto"/>
        </w:rPr>
      </w:pPr>
    </w:p>
    <w:p>
      <w:pPr>
        <w:ind w:left="1160" w:right="440" w:hanging="571"/>
        <w:spacing w:after="0" w:line="27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1,348,527 ordinary shares issuable upon conversion of unsecured, subordinated convertible debentures, net, that we issued in January 2002, which are convertible through December 31, 2008;</w:t>
      </w:r>
    </w:p>
    <w:p>
      <w:pPr>
        <w:spacing w:after="0" w:line="200" w:lineRule="exact"/>
        <w:rPr>
          <w:rFonts w:ascii="Times New Roman" w:cs="Times New Roman" w:eastAsia="Times New Roman" w:hAnsi="Times New Roman"/>
          <w:sz w:val="18"/>
          <w:szCs w:val="18"/>
          <w:color w:val="auto"/>
        </w:rPr>
      </w:pPr>
    </w:p>
    <w:p>
      <w:pPr>
        <w:ind w:left="1160" w:right="340" w:hanging="571"/>
        <w:spacing w:after="0" w:line="27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896,596 ordinary shares issuable upon exercise of warrants issued to our banks in connection with our credit facility with an exercise price of $6.17 per share exercisable until September 2011;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00" w:lineRule="exact"/>
        <w:rPr>
          <w:rFonts w:ascii="Times New Roman" w:cs="Times New Roman" w:eastAsia="Times New Roman" w:hAnsi="Times New Roman"/>
          <w:sz w:val="18"/>
          <w:szCs w:val="18"/>
          <w:color w:val="auto"/>
        </w:rPr>
      </w:pPr>
    </w:p>
    <w:p>
      <w:pPr>
        <w:ind w:left="1160" w:right="18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00" w:lineRule="exact"/>
        <w:rPr>
          <w:rFonts w:ascii="Times New Roman" w:cs="Times New Roman" w:eastAsia="Times New Roman" w:hAnsi="Times New Roman"/>
          <w:sz w:val="18"/>
          <w:szCs w:val="18"/>
          <w:color w:val="auto"/>
        </w:rPr>
      </w:pPr>
    </w:p>
    <w:p>
      <w:pPr>
        <w:ind w:left="1160" w:right="56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26,661,682 ordinary shares issuable upon conversion of our debentures convertible until December 2011, pursuant to the prospectus dated December 15, 2005;</w:t>
      </w:r>
    </w:p>
    <w:p>
      <w:pPr>
        <w:spacing w:after="0" w:line="200" w:lineRule="exact"/>
        <w:rPr>
          <w:rFonts w:ascii="Times New Roman" w:cs="Times New Roman" w:eastAsia="Times New Roman" w:hAnsi="Times New Roman"/>
          <w:sz w:val="18"/>
          <w:szCs w:val="18"/>
          <w:color w:val="auto"/>
        </w:rPr>
      </w:pPr>
    </w:p>
    <w:p>
      <w:pPr>
        <w:ind w:left="1160" w:right="44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117,763,158 ordinary shares issuable upon conversion of the equity equivalent convertible capital notes we issued to our banks and to Israel Corp., in September 2006;</w:t>
      </w:r>
    </w:p>
    <w:p>
      <w:pPr>
        <w:spacing w:after="0" w:line="200" w:lineRule="exact"/>
        <w:rPr>
          <w:rFonts w:ascii="Times New Roman" w:cs="Times New Roman" w:eastAsia="Times New Roman" w:hAnsi="Times New Roman"/>
          <w:sz w:val="18"/>
          <w:szCs w:val="18"/>
          <w:color w:val="auto"/>
        </w:rPr>
      </w:pPr>
    </w:p>
    <w:p>
      <w:pPr>
        <w:ind w:left="1160" w:right="12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5,481,000 ordinary shares issuable upon exercise of warrants issued in our June 2006 public offering in Israel with an exercise price of NIS 7.40 per share and exercisable until June 2009;</w:t>
      </w:r>
    </w:p>
    <w:p>
      <w:pPr>
        <w:spacing w:after="0" w:line="200" w:lineRule="exact"/>
        <w:rPr>
          <w:rFonts w:ascii="Times New Roman" w:cs="Times New Roman" w:eastAsia="Times New Roman" w:hAnsi="Times New Roman"/>
          <w:sz w:val="18"/>
          <w:szCs w:val="18"/>
          <w:color w:val="auto"/>
        </w:rPr>
      </w:pPr>
    </w:p>
    <w:p>
      <w:pPr>
        <w:ind w:left="1160" w:right="6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5,227,500 ordinary shares issuable upon exercise of warrants sold in our private placements completed in November 2006, with an exercise price of approximately $2.28 per share and exercisable until December 2010;</w:t>
      </w:r>
    </w:p>
    <w:p>
      <w:pPr>
        <w:spacing w:after="0" w:line="200" w:lineRule="exact"/>
        <w:rPr>
          <w:rFonts w:ascii="Times New Roman" w:cs="Times New Roman" w:eastAsia="Times New Roman" w:hAnsi="Times New Roman"/>
          <w:sz w:val="18"/>
          <w:szCs w:val="18"/>
          <w:color w:val="auto"/>
        </w:rPr>
      </w:pPr>
    </w:p>
    <w:p>
      <w:pPr>
        <w:ind w:left="1160" w:right="4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24,232,464 ordinary shares issuable upon conversion of our debentures convertible until December 2011, issued pursuant to our June 2006 public offering in Israel; and</w:t>
      </w:r>
    </w:p>
    <w:p>
      <w:pPr>
        <w:spacing w:after="0" w:line="200" w:lineRule="exact"/>
        <w:rPr>
          <w:rFonts w:ascii="Times New Roman" w:cs="Times New Roman" w:eastAsia="Times New Roman" w:hAnsi="Times New Roman"/>
          <w:sz w:val="18"/>
          <w:szCs w:val="18"/>
          <w:color w:val="auto"/>
        </w:rPr>
      </w:pPr>
    </w:p>
    <w:p>
      <w:pPr>
        <w:ind w:left="1160" w:right="300" w:hanging="571"/>
        <w:spacing w:after="0" w:line="27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28,207,796 ordinary shares covered by the registration statement of which this prospectus forms a part, issuable upon exercise of the warrants issued in our March 2007 private placement.</w:t>
      </w:r>
    </w:p>
    <w:p>
      <w:pPr>
        <w:spacing w:after="0" w:line="200" w:lineRule="exact"/>
        <w:rPr>
          <w:sz w:val="20"/>
          <w:szCs w:val="20"/>
          <w:color w:val="auto"/>
        </w:rPr>
      </w:pPr>
    </w:p>
    <w:p>
      <w:pPr>
        <w:spacing w:after="0" w:line="217"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March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08" w:lineRule="exact"/>
        <w:rPr>
          <w:sz w:val="20"/>
          <w:szCs w:val="20"/>
          <w:color w:val="auto"/>
        </w:rPr>
      </w:pPr>
    </w:p>
    <w:p>
      <w:pPr>
        <w:jc w:val="both"/>
        <w:ind w:right="180" w:firstLine="348"/>
        <w:spacing w:after="0" w:line="339" w:lineRule="auto"/>
        <w:rPr>
          <w:sz w:val="20"/>
          <w:szCs w:val="20"/>
          <w:color w:val="auto"/>
        </w:rPr>
      </w:pPr>
      <w:r>
        <w:rPr>
          <w:rFonts w:ascii="Times New Roman" w:cs="Times New Roman" w:eastAsia="Times New Roman" w:hAnsi="Times New Roman"/>
          <w:sz w:val="16"/>
          <w:szCs w:val="16"/>
          <w:color w:val="auto"/>
        </w:rPr>
        <w:t>We will not receive any proceeds from the sale of ordinary shares by the selling stockholders. All net proceeds from the sale of the ordinary shares covered by this prospectus will go to the selling stockholders. Upon exercise by payment of cash of any warrants whose underlying shares are covered hereby, however,</w:t>
      </w:r>
    </w:p>
    <w:p>
      <w:pPr>
        <w:sectPr>
          <w:pgSz w:w="11900" w:h="16849" w:orient="portrait"/>
          <w:cols w:equalWidth="0" w:num="1">
            <w:col w:w="11420"/>
          </w:cols>
          <w:pgMar w:left="240" w:top="140" w:right="239" w:bottom="0" w:gutter="0" w:footer="0" w:header="0"/>
        </w:sectPr>
      </w:pPr>
    </w:p>
    <w:bookmarkStart w:id="12" w:name="page13"/>
    <w:bookmarkEnd w:id="12"/>
    <w:p>
      <w:pPr>
        <w:ind w:right="160"/>
        <w:spacing w:after="0" w:line="275" w:lineRule="auto"/>
        <w:rPr>
          <w:sz w:val="20"/>
          <w:szCs w:val="20"/>
          <w:color w:val="auto"/>
        </w:rPr>
      </w:pPr>
      <w:r>
        <w:rPr>
          <w:rFonts w:ascii="Times New Roman" w:cs="Times New Roman" w:eastAsia="Times New Roman" w:hAnsi="Times New Roman"/>
          <w:sz w:val="18"/>
          <w:szCs w:val="18"/>
          <w:color w:val="auto"/>
        </w:rPr>
        <w:t>we will receive the exercise price of the warrants. If all of such warrants are exercised for cash, we will receive approximately $51 million. We expect to use the proceeds we receive from the exercise of warrants, if any, for the purchase of equipment and for general working capital purposes.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08" w:lineRule="exact"/>
        <w:rPr>
          <w:sz w:val="20"/>
          <w:szCs w:val="20"/>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The selling stockholders, which as used herein includes donees, pledgees, transferees or other successors-in-interest selling shares of ordinary shares or interests in shares of ordinary shares received after the date of this prospectus from a selling stockholder as a gift, pledge, partnership distribution or other transfer, may, from time to time, sell, transfer or otherwise dispose of any or all of their shares of ordinary shares or interests in shares of ordinary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right="260" w:firstLine="359"/>
        <w:spacing w:after="0" w:line="275" w:lineRule="auto"/>
        <w:tabs>
          <w:tab w:leader="none" w:pos="4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73"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 and</w:t>
      </w:r>
    </w:p>
    <w:p>
      <w:pPr>
        <w:spacing w:after="0" w:line="225"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 any other methods permitted by applicable law.</w:t>
      </w:r>
    </w:p>
    <w:p>
      <w:pPr>
        <w:spacing w:after="0" w:line="22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ordinary shares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ordinary shares or interests therein, the selling stockholders may enter into hedging transactions with broker-dealers or other financial institutions, which may in turn engage in short sales of the ordinary shares in the course of hedging the positions they assume. The selling stockholders may also sell our ordinary shares short and deliver these securities to close out their short positions and to return borrowed shares in connection with such short sales, or loan or pledge the ordinary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ordinary shares offered by them will be the purchase price of the ordinary shares less discounts or commissions, if any. Each of the selling stockholders reserves the right to accept and, together with their agents from time to time, to reject, in whole or in part, any proposed purchase of ordinary shares to be made directly or through agents. We will not receive any of the proceeds from this offering. Upon any exercise of any warrants by payment of cash, however, we will receive the exercise price of the warrants.</w:t>
      </w:r>
    </w:p>
    <w:p>
      <w:pPr>
        <w:spacing w:after="0" w:line="190"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4"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ordinary shares or interests therein may be deemed to be “underwriters” within the meaning of Section 2(11) of the Securities Act. Any discounts, commissions, concessions or profit they earn on any resale of the shares may be deemed to be underwriting discounts and commissions under the Securities Act. At the time a particular offering of the ordinary shares is made, a prospectus supplement, if required (or if appropriate, a post-effective amendment to this registration statement which includes this prospectus), will be filed, which will set forth the aggregate amount of ordinary shares being offered and the terms of the offering, including the name or names of any broker-dealers or agents, any discounts, commissions and other terms constituting compensation from the selling stockholders and any discount, commissions or concessions allowed or reallowed or paid to broker-dealers.</w:t>
      </w:r>
    </w:p>
    <w:p>
      <w:pPr>
        <w:spacing w:after="0" w:line="195" w:lineRule="exact"/>
        <w:rPr>
          <w:sz w:val="20"/>
          <w:szCs w:val="20"/>
          <w:color w:val="auto"/>
        </w:rPr>
      </w:pPr>
    </w:p>
    <w:p>
      <w:pPr>
        <w:ind w:right="420" w:firstLine="351"/>
        <w:spacing w:after="0" w:line="262" w:lineRule="auto"/>
        <w:rPr>
          <w:sz w:val="20"/>
          <w:szCs w:val="20"/>
          <w:color w:val="auto"/>
        </w:rPr>
      </w:pPr>
      <w:r>
        <w:rPr>
          <w:rFonts w:ascii="Times New Roman" w:cs="Times New Roman" w:eastAsia="Times New Roman" w:hAnsi="Times New Roman"/>
          <w:sz w:val="18"/>
          <w:szCs w:val="18"/>
          <w:color w:val="auto"/>
        </w:rPr>
        <w:t>Under the securities laws of some states,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sectPr>
          <w:pgSz w:w="11900" w:h="16838" w:orient="portrait"/>
          <w:cols w:equalWidth="0" w:num="1">
            <w:col w:w="11420"/>
          </w:cols>
          <w:pgMar w:left="240" w:top="125" w:right="239" w:bottom="0" w:gutter="0" w:footer="0" w:header="0"/>
        </w:sectPr>
      </w:pPr>
    </w:p>
    <w:bookmarkStart w:id="13" w:name="page14"/>
    <w:bookmarkEnd w:id="13"/>
    <w:p>
      <w:pPr>
        <w:spacing w:after="0" w:line="6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3"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4" w:lineRule="exact"/>
        <w:rPr>
          <w:sz w:val="20"/>
          <w:szCs w:val="20"/>
          <w:color w:val="auto"/>
        </w:rPr>
      </w:pPr>
    </w:p>
    <w:p>
      <w:pPr>
        <w:jc w:val="both"/>
        <w:ind w:right="320" w:firstLine="348"/>
        <w:spacing w:after="0" w:line="262" w:lineRule="auto"/>
        <w:rPr>
          <w:sz w:val="20"/>
          <w:szCs w:val="20"/>
          <w:color w:val="auto"/>
        </w:rPr>
      </w:pPr>
      <w:r>
        <w:rPr>
          <w:rFonts w:ascii="Times New Roman" w:cs="Times New Roman" w:eastAsia="Times New Roman" w:hAnsi="Times New Roman"/>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144(k) of the Securities 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incurred, or expect to incur, the following estimated expenses in connection with the sale of the securities covered by this prospectus: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shd w:val="clear" w:color="auto" w:fill="CCEEFF"/>
          </w:tcPr>
          <w:p>
            <w:pPr>
              <w:spacing w:after="0"/>
              <w:rPr>
                <w:sz w:val="18"/>
                <w:szCs w:val="18"/>
                <w:color w:val="auto"/>
              </w:rPr>
            </w:pPr>
          </w:p>
        </w:tc>
      </w:tr>
      <w:tr>
        <w:trPr>
          <w:trHeight w:val="430"/>
        </w:trPr>
        <w:tc>
          <w:tcPr>
            <w:tcW w:w="9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 fees and expenses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24"/>
                <w:szCs w:val="24"/>
                <w:color w:val="auto"/>
              </w:rPr>
            </w:pPr>
          </w:p>
        </w:tc>
      </w:tr>
      <w:tr>
        <w:trPr>
          <w:trHeight w:val="218"/>
        </w:trPr>
        <w:tc>
          <w:tcPr>
            <w:tcW w:w="9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Miscellaneous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9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2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and other information.</w:t>
      </w:r>
    </w:p>
    <w:p>
      <w:pPr>
        <w:spacing w:after="0" w:line="2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selling stockholders purchased the securities covered by this prospectus in a private placement by us consummated on March 15, 2007. In the private placement, we sold an aggregate of 18,805,197 ordinary shares and issued warrants to purchase 9,402,599 shares at an exercise price of $2.04 per share and warrants to purchase 18,805,197 shares at an exercise price of $1.70 per share. The higher-priced warrants, which we refer to as Series I Warrants, expire on the fifth anniversary of the private placement, and the lower-priced warrants, which we refer to as Series II Warrants, expire on the later of December 31, 2007 and 90 days after the effective date of the registration statement of which this prospectus forms a part. The warrant expiration date of the Series II Warrants is subject to extension to reflect periods during which the registration statement may not be effective or may otherwise become suspended or subject to a stop order. Both series of warrants contain antidilution protections that are triggered upon the occurrence of certain events. The Series I Warrants also contain a “net exercise” feature, enabling the holders to exercise their warrants on a “cashless” basis.</w:t>
      </w:r>
    </w:p>
    <w:p>
      <w:pPr>
        <w:spacing w:after="0" w:line="192" w:lineRule="exact"/>
        <w:rPr>
          <w:sz w:val="20"/>
          <w:szCs w:val="20"/>
          <w:color w:val="auto"/>
        </w:rPr>
      </w:pPr>
    </w:p>
    <w:p>
      <w:pPr>
        <w:jc w:val="both"/>
        <w:ind w:right="140" w:firstLine="351"/>
        <w:spacing w:after="0" w:line="258" w:lineRule="auto"/>
        <w:rPr>
          <w:sz w:val="20"/>
          <w:szCs w:val="20"/>
          <w:color w:val="auto"/>
        </w:rPr>
      </w:pPr>
      <w:r>
        <w:rPr>
          <w:rFonts w:ascii="Times New Roman" w:cs="Times New Roman" w:eastAsia="Times New Roman" w:hAnsi="Times New Roman"/>
          <w:sz w:val="18"/>
          <w:szCs w:val="18"/>
          <w:color w:val="auto"/>
        </w:rPr>
        <w:t>Except as described herein, we have no material relationships with any of the selling stockholders and have not had any material relationships with any of the selling stockholders in the past three years. CE Unterberg, Towbin acted as co-placement agent for the private placement in which the securities covered by this prospectus were sold. The following selling stockholders are affiliated with the placement agent or its principals: C.E. Unterberg, Towbin Capital Partners I, L.P., Marjorie &amp; Clarence E. Unterberg Foundation Inc., Thomas I. Unterberg and UT Special Opportunities Fund, L.P.</w:t>
      </w:r>
    </w:p>
    <w:p>
      <w:pPr>
        <w:spacing w:after="0" w:line="190"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Nothing in this Registration Statement shall be construed as an admission that any selling stockholder is the beneficial owner of any of our securities, other than the securities held directly by such party, nor that any selling stockholder or other persons or entities constitute a “group”, for purposes of Section 13(d) of the Exchange Act and the rules promulgated thereunder. The Series I Warrants and Series II Warrants contain a limitation on the number of ordinary shares purchasable thereunder. Under the limitation, the holder will not have the right to exercise any portion of the warrants, to the extent that after giving effect to such exercise, the holder and other persons with whom such holder’s ownership would be aggregated for purposes of beneficial ownership rules, would own in excess of 4.99% of our outstanding ordinary shares immediately after such exercise; the number of shares in the second column in the below table does not reflect this limitation. This limitation is not applicable in the case of a call by us of the Series II Warrants and may be increased to 9.99% at the election of the holder, which election will not become effective until 61 days after a holder provides us with notice thereof.</w:t>
      </w:r>
    </w:p>
    <w:p>
      <w:pPr>
        <w:spacing w:after="0" w:line="192"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assumes that each selling stockholder will sell all of the securities owned by it and covered by this prospectus. Information included in the table is based upon information provided by the selling stockholders. Our registration of these securities does not necessarily mean that the selling stockholders will sell any or all of the securities.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noted below none of the selling stockholders are broker-dealers or affiliates of broker-dealers.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Beneficially Owned</w:t>
            </w:r>
          </w:p>
        </w:tc>
      </w:tr>
      <w:tr>
        <w:trPr>
          <w:trHeight w:val="149"/>
        </w:trPr>
        <w:tc>
          <w:tcPr>
            <w:tcW w:w="4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Name and Address of Selling</w:t>
            </w:r>
          </w:p>
        </w:tc>
        <w:tc>
          <w:tcPr>
            <w:tcW w:w="1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Owned Prior to Offering/</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Upon Completion of Offering /</w:t>
            </w:r>
          </w:p>
        </w:tc>
      </w:tr>
      <w:tr>
        <w:trPr>
          <w:trHeight w:val="28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w:t>
            </w:r>
          </w:p>
        </w:tc>
        <w:tc>
          <w:tcPr>
            <w:tcW w:w="16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 Class</w:t>
            </w:r>
            <w:r>
              <w:rPr>
                <w:rFonts w:ascii="Times New Roman" w:cs="Times New Roman" w:eastAsia="Times New Roman" w:hAnsi="Times New Roman"/>
                <w:sz w:val="22"/>
                <w:szCs w:val="22"/>
                <w:b w:val="1"/>
                <w:bCs w:val="1"/>
                <w:color w:val="auto"/>
                <w:w w:val="95"/>
                <w:vertAlign w:val="superscript"/>
              </w:rPr>
              <w:t>1</w:t>
            </w:r>
          </w:p>
        </w:tc>
        <w:tc>
          <w:tcPr>
            <w:tcW w:w="80" w:type="dxa"/>
            <w:vAlign w:val="bottom"/>
          </w:tcPr>
          <w:p>
            <w:pPr>
              <w:spacing w:after="0"/>
              <w:rPr>
                <w:sz w:val="24"/>
                <w:szCs w:val="24"/>
                <w:color w:val="auto"/>
              </w:rPr>
            </w:pPr>
          </w:p>
        </w:tc>
        <w:tc>
          <w:tcPr>
            <w:tcW w:w="1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 Being Offered</w:t>
            </w:r>
          </w:p>
        </w:tc>
        <w:tc>
          <w:tcPr>
            <w:tcW w:w="6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 Class</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 Unterberg, Towbin Capital</w:t>
            </w: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Partners I, L.P.</w:t>
            </w:r>
          </w:p>
        </w:tc>
        <w:tc>
          <w:tcPr>
            <w:tcW w:w="3380" w:type="dxa"/>
            <w:vAlign w:val="bottom"/>
            <w:shd w:val="clear" w:color="auto" w:fill="CCEEFF"/>
          </w:tcPr>
          <w:p>
            <w:pPr>
              <w:jc w:val="right"/>
              <w:ind w:right="412"/>
              <w:spacing w:after="0" w:line="201" w:lineRule="exact"/>
              <w:rPr>
                <w:sz w:val="20"/>
                <w:szCs w:val="20"/>
                <w:color w:val="auto"/>
              </w:rPr>
            </w:pPr>
            <w:r>
              <w:rPr>
                <w:rFonts w:ascii="Times New Roman" w:cs="Times New Roman" w:eastAsia="Times New Roman" w:hAnsi="Times New Roman"/>
                <w:sz w:val="18"/>
                <w:szCs w:val="18"/>
                <w:color w:val="auto"/>
              </w:rPr>
              <w:t>324,677/*(2)</w:t>
            </w:r>
          </w:p>
        </w:tc>
        <w:tc>
          <w:tcPr>
            <w:tcW w:w="1920" w:type="dxa"/>
            <w:vAlign w:val="bottom"/>
            <w:shd w:val="clear" w:color="auto" w:fill="CCEEFF"/>
          </w:tcPr>
          <w:p>
            <w:pPr>
              <w:jc w:val="right"/>
              <w:ind w:right="752"/>
              <w:spacing w:after="0" w:line="201" w:lineRule="exact"/>
              <w:rPr>
                <w:sz w:val="20"/>
                <w:szCs w:val="20"/>
                <w:color w:val="auto"/>
              </w:rPr>
            </w:pPr>
            <w:r>
              <w:rPr>
                <w:rFonts w:ascii="Times New Roman" w:cs="Times New Roman" w:eastAsia="Times New Roman" w:hAnsi="Times New Roman"/>
                <w:sz w:val="18"/>
                <w:szCs w:val="18"/>
                <w:color w:val="auto"/>
              </w:rPr>
              <w:t>324,677</w:t>
            </w:r>
          </w:p>
        </w:tc>
        <w:tc>
          <w:tcPr>
            <w:tcW w:w="1420" w:type="dxa"/>
            <w:vAlign w:val="bottom"/>
            <w:shd w:val="clear" w:color="auto" w:fill="CCEEFF"/>
          </w:tcPr>
          <w:p>
            <w:pPr>
              <w:jc w:val="right"/>
              <w:ind w:right="132"/>
              <w:spacing w:after="0" w:line="201" w:lineRule="exact"/>
              <w:rPr>
                <w:sz w:val="20"/>
                <w:szCs w:val="20"/>
                <w:color w:val="auto"/>
              </w:rPr>
            </w:pPr>
            <w:r>
              <w:rPr>
                <w:rFonts w:ascii="Times New Roman" w:cs="Times New Roman" w:eastAsia="Times New Roman" w:hAnsi="Times New Roman"/>
                <w:sz w:val="18"/>
                <w:szCs w:val="18"/>
                <w:color w:val="auto"/>
              </w:rPr>
              <w:t>0/0%</w:t>
            </w:r>
          </w:p>
        </w:tc>
      </w:tr>
      <w:tr>
        <w:trPr>
          <w:trHeight w:val="22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 C.E. Unterberg, Towbin</w:t>
            </w:r>
          </w:p>
        </w:tc>
        <w:tc>
          <w:tcPr>
            <w:tcW w:w="3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1"/>
        </w:trPr>
        <w:tc>
          <w:tcPr>
            <w:tcW w:w="47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350 Madison Avenue, 10th Floor</w:t>
            </w:r>
          </w:p>
        </w:tc>
        <w:tc>
          <w:tcPr>
            <w:tcW w:w="3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38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Capital Ventures International</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Heights Capital Management</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California Street, Suite</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3250 San Francisco, CA 94111</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4,870,130/3.87%(3)</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4,870,130</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4"/>
        </w:trPr>
        <w:tc>
          <w:tcPr>
            <w:tcW w:w="41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Enable Growth Partners , L.P.</w:t>
            </w:r>
          </w:p>
        </w:tc>
        <w:tc>
          <w:tcPr>
            <w:tcW w:w="3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Ferry Building, Suite 255</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Francisco, CA 94111</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4,139,610/3.31%(4)</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4,139,610</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Enable Opportunity Partners, L.P.</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Ferry Building, Suite 255</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CA 94111</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487,012/*(5)</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487,012</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Fort Mason Master, LP</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 Embarcadero Center, Suite</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2050 San Francisco, CA 94111</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4,573,540/3.65%(6)</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4,573,540</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Fort Mason Partners, LP</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Embarcadero Center, Suite</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2050 San Francisco, CA 94111</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296,590/*(7)</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296,590</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Highbridge International LLC</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Highbridge Capital</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Management, LLC</w:t>
            </w:r>
          </w:p>
        </w:tc>
        <w:tc>
          <w:tcPr>
            <w:tcW w:w="3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 West 57th Street, 27th Floor</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10019</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10,000,000/7.64%(8)</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10,000,000</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Investcorp Interlachen</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Multi-Strategy Master Fund Limited</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Interlachen Capital Group LP</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Nicollet Mall,</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 2500 Minneapolis, MN 55402</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5,681,820/4.49%(9)</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5,681,820</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Iroquois Master Fund Ltd.</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641 Lexington Avenue, 26th</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New York, NY 10022</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3,246,755/2.62%(10)</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3,246,755</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LB I Group Inc.</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Eric Salzman, Lehman Brothers</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399 Park Avenue, 9th Floor</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4,870,130/3.87%(11)</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4,870,130</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Majorie &amp; Clarence E</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Unterberg Foundation Inc.</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 C.E. Unterberg, Towbin</w:t>
            </w:r>
          </w:p>
        </w:tc>
        <w:tc>
          <w:tcPr>
            <w:tcW w:w="3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350 Madison Avenue, 10th Floor</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811,688/*(12)</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Menora Mivtachim Insurance Ltd.</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115 Allenby Road</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Aviv Israel</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2,573,351/2.08%(13)</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1,623,378</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949,973/0.56%</w:t>
            </w:r>
          </w:p>
        </w:tc>
      </w:tr>
      <w:tr>
        <w:trPr>
          <w:trHeight w:val="21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Pierce Diversified Strategy</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Master Fund LLC, Ena</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One Ferry Building, Suite 255</w:t>
            </w:r>
          </w:p>
        </w:tc>
        <w:tc>
          <w:tcPr>
            <w:tcW w:w="3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Francisco, CA 94111</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243,508/*(14)</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243,508</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Tempo Master Fund LP</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Greenwich Plaza 2nd Floor</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Greenwich, CT 06830</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4,870,130/3.87%(15)</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4,870,130</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I. Unterberg</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C.E. Unterberg, Towbin</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350 Madison Avenue, 10th Floor</w:t>
            </w:r>
          </w:p>
        </w:tc>
        <w:tc>
          <w:tcPr>
            <w:tcW w:w="3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3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811,688/*(16)</w:t>
            </w:r>
          </w:p>
        </w:tc>
        <w:tc>
          <w:tcPr>
            <w:tcW w:w="1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02"/>
        </w:trPr>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UT Special Opportunities Fund, L.P.</w:t>
            </w:r>
          </w:p>
        </w:tc>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C.E. Unterberg Towbin</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350 Madison Avenue, 10th Floor</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38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162,337/*(17)</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162,337</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675"/>
        </w:trPr>
        <w:tc>
          <w:tcPr>
            <w:tcW w:w="1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80" w:type="dxa"/>
            <w:vAlign w:val="bottom"/>
          </w:tcPr>
          <w:p>
            <w:pPr>
              <w:jc w:val="right"/>
              <w:ind w:right="2092"/>
              <w:spacing w:after="0"/>
              <w:rPr>
                <w:sz w:val="20"/>
                <w:szCs w:val="20"/>
                <w:color w:val="auto"/>
              </w:rPr>
            </w:pPr>
            <w:r>
              <w:rPr>
                <w:rFonts w:ascii="Times New Roman" w:cs="Times New Roman" w:eastAsia="Times New Roman" w:hAnsi="Times New Roman"/>
                <w:sz w:val="18"/>
                <w:szCs w:val="18"/>
                <w:color w:val="auto"/>
              </w:rPr>
              <w:t>20</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61"/>
        </w:trPr>
        <w:tc>
          <w:tcPr>
            <w:tcW w:w="176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3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0" w:type="dxa"/>
            <w:vAlign w:val="bottom"/>
          </w:tcPr>
          <w:p>
            <w:pPr>
              <w:spacing w:after="0"/>
              <w:rPr>
                <w:sz w:val="9"/>
                <w:szCs w:val="9"/>
                <w:color w:val="auto"/>
              </w:rPr>
            </w:pPr>
          </w:p>
        </w:tc>
      </w:tr>
    </w:tbl>
    <w:p>
      <w:pPr>
        <w:spacing w:after="0" w:line="202"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less than 1%.</w:t>
      </w:r>
    </w:p>
    <w:p>
      <w:pPr>
        <w:spacing w:after="0" w:line="225" w:lineRule="exact"/>
        <w:rPr>
          <w:rFonts w:ascii="Times New Roman" w:cs="Times New Roman" w:eastAsia="Times New Roman" w:hAnsi="Times New Roman"/>
          <w:sz w:val="18"/>
          <w:szCs w:val="18"/>
          <w:color w:val="auto"/>
        </w:rPr>
      </w:pPr>
    </w:p>
    <w:p>
      <w:pPr>
        <w:ind w:left="1160" w:right="34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Beneficial ownership is calculated as of March 31, 2007 in accordance with General Instruction F. to Form 20-F and is based on 120,882,946 ordinary shares outstanding.</w:t>
      </w:r>
    </w:p>
    <w:p>
      <w:pPr>
        <w:spacing w:after="0" w:line="201" w:lineRule="exact"/>
        <w:rPr>
          <w:sz w:val="20"/>
          <w:szCs w:val="20"/>
          <w:color w:val="auto"/>
        </w:rPr>
      </w:pPr>
    </w:p>
    <w:p>
      <w:pPr>
        <w:ind w:left="1160" w:right="280" w:hanging="571"/>
        <w:spacing w:after="0" w:line="225" w:lineRule="auto"/>
        <w:tabs>
          <w:tab w:leader="none" w:pos="116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64,935 ordinary shares underlying Series I Warrants and 129,871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130" w:lineRule="exact"/>
        <w:rPr>
          <w:sz w:val="20"/>
          <w:szCs w:val="20"/>
          <w:color w:val="auto"/>
        </w:rPr>
      </w:pPr>
    </w:p>
    <w:p>
      <w:pPr>
        <w:ind w:left="1160" w:hanging="571"/>
        <w:spacing w:after="0"/>
        <w:tabs>
          <w:tab w:leader="none" w:pos="116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974,026 ordinary shares underlying Series I Warrants and 1,948,052 ordinary shares underlying Series II Warrants. Heights Capital</w:t>
      </w:r>
    </w:p>
    <w:p>
      <w:pPr>
        <w:sectPr>
          <w:pgSz w:w="11900" w:h="16838" w:orient="portrait"/>
          <w:cols w:equalWidth="0" w:num="1">
            <w:col w:w="11420"/>
          </w:cols>
          <w:pgMar w:left="240" w:top="134" w:right="239" w:bottom="0" w:gutter="0" w:footer="0" w:header="0"/>
        </w:sectPr>
      </w:pPr>
    </w:p>
    <w:bookmarkStart w:id="15" w:name="page16"/>
    <w:bookmarkEnd w:id="15"/>
    <w:p>
      <w:pPr>
        <w:ind w:left="571" w:right="100"/>
        <w:spacing w:after="0" w:line="254" w:lineRule="auto"/>
        <w:rPr>
          <w:sz w:val="20"/>
          <w:szCs w:val="20"/>
          <w:color w:val="auto"/>
        </w:rPr>
      </w:pPr>
      <w:r>
        <w:rPr>
          <w:rFonts w:ascii="Times New Roman" w:cs="Times New Roman" w:eastAsia="Times New Roman" w:hAnsi="Times New Roman"/>
          <w:sz w:val="18"/>
          <w:szCs w:val="18"/>
          <w:color w:val="auto"/>
        </w:rPr>
        <w:t>Management, Inc., the authorized agent of Capital Ventures International (“CVI”), has discretionary authority to vote and dispose of the shares held by CVI and may be deemed to be the beneficial owner of these shares. Mr. Martin Kobinger, in his capacity as Investment Manager of Heights Capital Management, Inc., may also be deemed to have investment discretion and voting power over the shares held by CVI. Mr. Kobinger disclaims any such beneficial ownership of the shares. This selling stockholder is under common control with one or more NASD members, none of whom are currently expected to participate in the sale pursuant to this prospectus of ordinary shares purchased by the selling stockholder in this offering.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19" w:lineRule="exact"/>
        <w:rPr>
          <w:sz w:val="20"/>
          <w:szCs w:val="20"/>
          <w:color w:val="auto"/>
        </w:rPr>
      </w:pPr>
    </w:p>
    <w:p>
      <w:pPr>
        <w:ind w:left="571" w:right="80" w:hanging="571"/>
        <w:spacing w:after="0" w:line="212" w:lineRule="auto"/>
        <w:tabs>
          <w:tab w:leader="none" w:pos="571"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827,922 ordinary shares underlying Series I Warrants and 1,655,844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1" w:lineRule="exact"/>
        <w:rPr>
          <w:sz w:val="20"/>
          <w:szCs w:val="20"/>
          <w:color w:val="auto"/>
        </w:rPr>
      </w:pPr>
    </w:p>
    <w:p>
      <w:pPr>
        <w:ind w:left="571" w:right="80" w:hanging="571"/>
        <w:spacing w:after="0" w:line="212" w:lineRule="auto"/>
        <w:tabs>
          <w:tab w:leader="none" w:pos="571"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97,402 ordinary shares underlying Series I Warrants and 194,805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1" w:lineRule="exact"/>
        <w:rPr>
          <w:sz w:val="20"/>
          <w:szCs w:val="20"/>
          <w:color w:val="auto"/>
        </w:rPr>
      </w:pPr>
    </w:p>
    <w:p>
      <w:pPr>
        <w:ind w:left="571" w:right="60" w:hanging="571"/>
        <w:spacing w:after="0" w:line="220" w:lineRule="auto"/>
        <w:tabs>
          <w:tab w:leader="none" w:pos="571"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914,708 ordinary shares underlying Series I Warrants and 1,829,416 ordinary shares underlying Series II Warrants. Fort Mason Capital, LLC, serves as the general partner of Fort Mason Master,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00" w:lineRule="exact"/>
        <w:rPr>
          <w:sz w:val="20"/>
          <w:szCs w:val="20"/>
          <w:color w:val="auto"/>
        </w:rPr>
      </w:pPr>
    </w:p>
    <w:p>
      <w:pPr>
        <w:spacing w:after="0" w:line="249" w:lineRule="exact"/>
        <w:rPr>
          <w:sz w:val="20"/>
          <w:szCs w:val="20"/>
          <w:color w:val="auto"/>
        </w:rPr>
      </w:pPr>
    </w:p>
    <w:p>
      <w:pPr>
        <w:ind w:left="503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71" w:right="80" w:hanging="571"/>
        <w:spacing w:after="0" w:line="220" w:lineRule="auto"/>
        <w:tabs>
          <w:tab w:leader="none" w:pos="571"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59,318 ordinary shares underlying Series I Warrants and 118,636 ordinary shares underlying Series II Warrants. Fort Mason Capital, LLC, serves as the general partner of Fort Mason Partners,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33" w:lineRule="exact"/>
        <w:rPr>
          <w:sz w:val="20"/>
          <w:szCs w:val="20"/>
          <w:color w:val="auto"/>
        </w:rPr>
      </w:pPr>
    </w:p>
    <w:p>
      <w:pPr>
        <w:ind w:left="571" w:right="40" w:hanging="571"/>
        <w:spacing w:after="0" w:line="236" w:lineRule="auto"/>
        <w:tabs>
          <w:tab w:leader="none" w:pos="571"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2,000,000 ordinary shares underlying Series I Warrants and 4,000,000 ordinary shares underlying Series II Warrants. Highbridge Capital Management, LLC is the trading manager of Highbridge International LLC and has voting control and investment discretion over the securities held by Highbridge International LLC. Mr. Glenn Dubin and Mr. Henry Swieca control Highbridge Capital Management, LLC, and have voting control and investment discretion over the securities held by Highbridge International LLC. Each of Highbridge Capital Management, LLC, Mr. Dubin and Mr. Swieca disclaims beneficial ownership of the securities held by Highbridge International LLC. Notwithstanding the amount listed for the selling stockholder, with respect to the warrants held by the selling stockholder, such amount is subject to the exercise limitation set forth in the warrants which prohibits the exercise of the warrants if such action would result in the selling stockholder and other persons with whom such selling stockholder’s ownership would be aggregated for purposes of beneficial ownership rules, owning in excess of 4.99% of our outstanding ordinary shares immediately after such exercise.</w:t>
      </w:r>
    </w:p>
    <w:p>
      <w:pPr>
        <w:spacing w:after="0" w:line="232" w:lineRule="exact"/>
        <w:rPr>
          <w:sz w:val="20"/>
          <w:szCs w:val="20"/>
          <w:color w:val="auto"/>
        </w:rPr>
      </w:pPr>
    </w:p>
    <w:p>
      <w:pPr>
        <w:ind w:left="571" w:right="40" w:hanging="571"/>
        <w:spacing w:after="0" w:line="229" w:lineRule="auto"/>
        <w:tabs>
          <w:tab w:leader="none" w:pos="571"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1,136,364 ordinary shares underlying Series I Warrants and 2,272,728 ordinary shares underlying Series II Warrants. Interlachen Capital Group LP is the trading manager of Investcorp Interlachen Multi-Strategy Master Fund Limited and has voting and investment discretion over securities held by Investcorp Interlachen Multi-Strategy Master Fund Limited. Andrew Fraley, in his role as Chief Investment Officer of Interlachen Capital Group LP, has voting control and investment discretion over securities held by Investcorp Interlachen Multi-Strategy Master Fund Limited. Interlachen Capital Group LP and Andrew Fraley disclaim beneficial ownership of the securities held by Investcorp Interlachen Multi-Strategy Master Fund Limited.</w:t>
      </w:r>
    </w:p>
    <w:p>
      <w:pPr>
        <w:spacing w:after="0" w:line="234" w:lineRule="exact"/>
        <w:rPr>
          <w:sz w:val="20"/>
          <w:szCs w:val="20"/>
          <w:color w:val="auto"/>
        </w:rPr>
      </w:pPr>
    </w:p>
    <w:p>
      <w:pPr>
        <w:ind w:left="571" w:right="620" w:hanging="571"/>
        <w:spacing w:after="0" w:line="212" w:lineRule="auto"/>
        <w:tabs>
          <w:tab w:leader="none" w:pos="571"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649,351 ordinary shares underlying Series I Warrants and 1,298,702 ordinary shares underlying Series II Warrants. Mr. Joshua Silverman, an authorized representative of Iroquois Master Fund Ltd., has the dispositive and voting authority over the shares held by the corporation.</w:t>
      </w:r>
    </w:p>
    <w:p>
      <w:pPr>
        <w:spacing w:after="0" w:line="231" w:lineRule="exact"/>
        <w:rPr>
          <w:rFonts w:ascii="Times New Roman" w:cs="Times New Roman" w:eastAsia="Times New Roman" w:hAnsi="Times New Roman"/>
          <w:sz w:val="29"/>
          <w:szCs w:val="29"/>
          <w:color w:val="auto"/>
          <w:vertAlign w:val="superscript"/>
        </w:rPr>
      </w:pPr>
    </w:p>
    <w:p>
      <w:pPr>
        <w:ind w:left="571" w:right="40" w:hanging="571"/>
        <w:spacing w:after="0" w:line="225" w:lineRule="auto"/>
        <w:tabs>
          <w:tab w:leader="none" w:pos="571"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974,026 ordinary shares underlying Series I Warrants and 1,948,052 ordinary shares underlying Series II Warrants. Lehman Brothers Holdings, Inc., a public reporting company, has voting and dispositive authority over the shares held by this selling stockholder. LB I Group Inc. is an affiliate of Lehman Brothers Inc.,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4" w:lineRule="exact"/>
        <w:rPr>
          <w:rFonts w:ascii="Times New Roman" w:cs="Times New Roman" w:eastAsia="Times New Roman" w:hAnsi="Times New Roman"/>
          <w:sz w:val="29"/>
          <w:szCs w:val="29"/>
          <w:color w:val="auto"/>
          <w:vertAlign w:val="superscript"/>
        </w:rPr>
      </w:pPr>
    </w:p>
    <w:p>
      <w:pPr>
        <w:ind w:left="571" w:right="80" w:hanging="571"/>
        <w:spacing w:after="0" w:line="225" w:lineRule="auto"/>
        <w:tabs>
          <w:tab w:leader="none" w:pos="571"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162,338 ordinary shares underlying Series I Warrants and 324,675 ordinary shares underlying Series II Warrants. Thomas I. Unterberg, President of the selling stockholder, has voting and dispositive authority with respect to these securities. Mr. Unterberg is Chairman of C.E. Unterberg Towbin Holding Co.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4" w:lineRule="exact"/>
        <w:rPr>
          <w:rFonts w:ascii="Times New Roman" w:cs="Times New Roman" w:eastAsia="Times New Roman" w:hAnsi="Times New Roman"/>
          <w:sz w:val="29"/>
          <w:szCs w:val="29"/>
          <w:color w:val="auto"/>
          <w:vertAlign w:val="superscript"/>
        </w:rPr>
      </w:pPr>
    </w:p>
    <w:p>
      <w:pPr>
        <w:ind w:left="571" w:right="100" w:hanging="571"/>
        <w:spacing w:after="0" w:line="225" w:lineRule="auto"/>
        <w:tabs>
          <w:tab w:leader="none" w:pos="571"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324,676 ordinary shares underlying Series I Warrants and 649,351 ordinary shares underlying Series II Warrants and 949,973 ordinary shares held by the selling stockholder prior to the private placement described above. This selling stockholder is a wholly-owned subsidiary of Menorah Holdings Ltd., a public company registered with the Israel Securities Authority. Certain mutual, pension and provident funds, managed by Menorah Finances Ltd., a wholly-owned subsidiary of Menorah Holdings Ltd., also hold ordinary shares. The selling stockholder disclaims beneficial ownership of these securities.</w:t>
      </w:r>
    </w:p>
    <w:p>
      <w:pPr>
        <w:spacing w:after="0" w:line="234" w:lineRule="exact"/>
        <w:rPr>
          <w:rFonts w:ascii="Times New Roman" w:cs="Times New Roman" w:eastAsia="Times New Roman" w:hAnsi="Times New Roman"/>
          <w:sz w:val="29"/>
          <w:szCs w:val="29"/>
          <w:color w:val="auto"/>
          <w:vertAlign w:val="superscript"/>
        </w:rPr>
      </w:pPr>
    </w:p>
    <w:p>
      <w:pPr>
        <w:ind w:left="571" w:right="80" w:hanging="571"/>
        <w:spacing w:after="0" w:line="212" w:lineRule="auto"/>
        <w:tabs>
          <w:tab w:leader="none" w:pos="571"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48,702 ordinary shares underlying Series I Warrants and 97,403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137" w:lineRule="exact"/>
        <w:rPr>
          <w:rFonts w:ascii="Times New Roman" w:cs="Times New Roman" w:eastAsia="Times New Roman" w:hAnsi="Times New Roman"/>
          <w:sz w:val="29"/>
          <w:szCs w:val="29"/>
          <w:color w:val="auto"/>
          <w:vertAlign w:val="superscript"/>
        </w:rPr>
      </w:pPr>
    </w:p>
    <w:p>
      <w:pPr>
        <w:ind w:left="571" w:hanging="571"/>
        <w:spacing w:after="0"/>
        <w:tabs>
          <w:tab w:leader="none" w:pos="571"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974,026 ordinary shares underlying Series I Warrants and 1,948,052 ordinary shares underlying Series II Warrants. Mr. Andrew Barnard,</w:t>
      </w:r>
    </w:p>
    <w:p>
      <w:pPr>
        <w:sectPr>
          <w:pgSz w:w="11900" w:h="16838" w:orient="portrait"/>
          <w:cols w:equalWidth="0" w:num="1">
            <w:col w:w="10831"/>
          </w:cols>
          <w:pgMar w:left="829" w:top="125" w:right="239" w:bottom="0" w:gutter="0" w:footer="0" w:header="0"/>
        </w:sectPr>
      </w:pPr>
    </w:p>
    <w:bookmarkStart w:id="16" w:name="page17"/>
    <w:bookmarkEnd w:id="16"/>
    <w:p>
      <w:pPr>
        <w:ind w:left="1160" w:right="160"/>
        <w:spacing w:after="0" w:line="275" w:lineRule="auto"/>
        <w:rPr>
          <w:sz w:val="20"/>
          <w:szCs w:val="20"/>
          <w:color w:val="auto"/>
        </w:rPr>
      </w:pPr>
      <w:r>
        <w:rPr>
          <w:rFonts w:ascii="Times New Roman" w:cs="Times New Roman" w:eastAsia="Times New Roman" w:hAnsi="Times New Roman"/>
          <w:sz w:val="18"/>
          <w:szCs w:val="18"/>
          <w:color w:val="auto"/>
        </w:rPr>
        <w:t>on behalf of JD Capital Management, LLC, the investment manager of this selling stockholder has voting and dispositive authority with respect to these securities.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480" w:hanging="571"/>
        <w:spacing w:after="0" w:line="220" w:lineRule="auto"/>
        <w:tabs>
          <w:tab w:leader="none" w:pos="116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162,338 ordinary shares underlying Series I Warrants and 324,675 ordinary shares underlying Series II Warrants. Mr. Unterberg is Chairman of C.E. Unterberg Towbin Holding Co. a registered broker-dealer. Mr. Unterberg has represented to us that he (i) purchased the securities in the ordinary course of business and (ii) did not have an agreement or understanding, directly or indirectly, with any person to distribute the securities at the time he purchased the securities.</w:t>
      </w:r>
    </w:p>
    <w:p>
      <w:pPr>
        <w:spacing w:after="0" w:line="232" w:lineRule="exact"/>
        <w:rPr>
          <w:rFonts w:ascii="Times New Roman" w:cs="Times New Roman" w:eastAsia="Times New Roman" w:hAnsi="Times New Roman"/>
          <w:sz w:val="29"/>
          <w:szCs w:val="29"/>
          <w:color w:val="auto"/>
          <w:vertAlign w:val="superscript"/>
        </w:rPr>
      </w:pPr>
    </w:p>
    <w:p>
      <w:pPr>
        <w:ind w:left="1160" w:right="280" w:hanging="571"/>
        <w:spacing w:after="0" w:line="225" w:lineRule="auto"/>
        <w:tabs>
          <w:tab w:leader="none" w:pos="116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32,467 ordinary shares underlying Series I Warrants and 64,935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08"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86"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3" w:lineRule="exact"/>
        <w:rPr>
          <w:sz w:val="20"/>
          <w:szCs w:val="20"/>
          <w:color w:val="auto"/>
        </w:rPr>
      </w:pPr>
    </w:p>
    <w:p>
      <w:pPr>
        <w:jc w:val="both"/>
        <w:ind w:right="80" w:firstLine="351"/>
        <w:spacing w:after="0" w:line="287" w:lineRule="auto"/>
        <w:rPr>
          <w:sz w:val="20"/>
          <w:szCs w:val="20"/>
          <w:color w:val="auto"/>
        </w:rPr>
      </w:pPr>
      <w:r>
        <w:rPr>
          <w:rFonts w:ascii="Times New Roman" w:cs="Times New Roman" w:eastAsia="Times New Roman" w:hAnsi="Times New Roman"/>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86"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5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0"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6" w:lineRule="auto"/>
        <w:rPr>
          <w:sz w:val="20"/>
          <w:szCs w:val="20"/>
          <w:color w:val="auto"/>
        </w:rPr>
      </w:pPr>
      <w:r>
        <w:rPr>
          <w:rFonts w:ascii="Times New Roman" w:cs="Times New Roman" w:eastAsia="Times New Roman" w:hAnsi="Times New Roman"/>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62" w:lineRule="exact"/>
        <w:rPr>
          <w:sz w:val="20"/>
          <w:szCs w:val="20"/>
          <w:color w:val="auto"/>
        </w:rPr>
      </w:pPr>
    </w:p>
    <w:p>
      <w:pPr>
        <w:ind w:right="160" w:firstLine="395"/>
        <w:spacing w:after="0" w:line="275" w:lineRule="auto"/>
        <w:rPr>
          <w:sz w:val="20"/>
          <w:szCs w:val="20"/>
          <w:color w:val="auto"/>
        </w:rPr>
      </w:pPr>
      <w:r>
        <w:rPr>
          <w:rFonts w:ascii="Times New Roman" w:cs="Times New Roman" w:eastAsia="Times New Roman" w:hAnsi="Times New Roman"/>
          <w:sz w:val="18"/>
          <w:szCs w:val="18"/>
          <w:color w:val="auto"/>
        </w:rPr>
        <w:t>As of March 31, 2007, 120,882,946 of our ordinary shares were outstanding. The above numbers of outstanding ordinary shares do not include 1.3 million treasury shares held by us through a trustee.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American Stock Transfer &amp; Trust Company, 59 Maiden Lane, New York, New York 10007.</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EXCHANGE CONTROLS AND OTHER LIMITATIONS</w:t>
      </w:r>
    </w:p>
    <w:p>
      <w:pPr>
        <w:sectPr>
          <w:pgSz w:w="11900" w:h="16838" w:orient="portrait"/>
          <w:cols w:equalWidth="0" w:num="1">
            <w:col w:w="11420"/>
          </w:cols>
          <w:pgMar w:left="240" w:top="125" w:right="239" w:bottom="304" w:gutter="0" w:footer="0" w:header="0"/>
        </w:sectPr>
      </w:pPr>
    </w:p>
    <w:bookmarkStart w:id="17" w:name="page18"/>
    <w:bookmarkEnd w:id="17"/>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9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08"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Israeli Capital Gains Tax</w:t>
      </w:r>
    </w:p>
    <w:p>
      <w:pPr>
        <w:spacing w:after="0" w:line="225"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0"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On January 1, 2006 an amendment to the Israeli tax regime became effective (the “2006 Tax Reform”). The 2006 Tax Reform significantly changed the tax rates applicable to income derived from shares.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1"/>
        <w:spacing w:after="0" w:line="310" w:lineRule="auto"/>
        <w:rPr>
          <w:sz w:val="20"/>
          <w:szCs w:val="20"/>
          <w:color w:val="auto"/>
        </w:rPr>
      </w:pPr>
      <w:r>
        <w:rPr>
          <w:rFonts w:ascii="Times New Roman" w:cs="Times New Roman" w:eastAsia="Times New Roman" w:hAnsi="Times New Roman"/>
          <w:sz w:val="16"/>
          <w:szCs w:val="16"/>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51" w:lineRule="exact"/>
        <w:rPr>
          <w:sz w:val="20"/>
          <w:szCs w:val="20"/>
          <w:color w:val="auto"/>
        </w:rPr>
      </w:pPr>
    </w:p>
    <w:p>
      <w:pPr>
        <w:ind w:right="180" w:firstLine="341"/>
        <w:spacing w:after="0" w:line="258" w:lineRule="auto"/>
        <w:rPr>
          <w:sz w:val="20"/>
          <w:szCs w:val="20"/>
          <w:color w:val="auto"/>
        </w:rPr>
      </w:pPr>
      <w:r>
        <w:rPr>
          <w:rFonts w:ascii="Times New Roman" w:cs="Times New Roman" w:eastAsia="Times New Roman" w:hAnsi="Times New Roman"/>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0"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93"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74"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w:t>
      </w:r>
    </w:p>
    <w:p>
      <w:pPr>
        <w:sectPr>
          <w:pgSz w:w="11900" w:h="16838" w:orient="portrait"/>
          <w:cols w:equalWidth="0" w:num="1">
            <w:col w:w="11400"/>
          </w:cols>
          <w:pgMar w:left="240" w:top="125" w:right="259" w:bottom="0" w:gutter="0" w:footer="0" w:header="0"/>
        </w:sectPr>
      </w:pPr>
    </w:p>
    <w:bookmarkStart w:id="18" w:name="page19"/>
    <w:bookmarkEnd w:id="18"/>
    <w:p>
      <w:pPr>
        <w:ind w:right="300"/>
        <w:spacing w:after="0" w:line="275" w:lineRule="auto"/>
        <w:rPr>
          <w:sz w:val="20"/>
          <w:szCs w:val="20"/>
          <w:color w:val="auto"/>
        </w:rPr>
      </w:pPr>
      <w:r>
        <w:rPr>
          <w:rFonts w:ascii="Times New Roman" w:cs="Times New Roman" w:eastAsia="Times New Roman" w:hAnsi="Times New Roman"/>
          <w:sz w:val="18"/>
          <w:szCs w:val="18"/>
          <w:color w:val="auto"/>
        </w:rPr>
        <w:t>withholding, as explained below, foreign resident individuals and corporations will be subject to tax of 25% or less, according to the relevant treaty relating to their domicile country.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Israeli Tax on Dividend Income</w:t>
      </w:r>
    </w:p>
    <w:p>
      <w:pPr>
        <w:spacing w:after="0" w:line="225" w:lineRule="exact"/>
        <w:rPr>
          <w:sz w:val="20"/>
          <w:szCs w:val="20"/>
          <w:color w:val="auto"/>
        </w:rPr>
      </w:pPr>
    </w:p>
    <w:p>
      <w:pPr>
        <w:jc w:val="both"/>
        <w:ind w:right="160" w:firstLine="351"/>
        <w:spacing w:after="0" w:line="258" w:lineRule="auto"/>
        <w:rPr>
          <w:sz w:val="20"/>
          <w:szCs w:val="20"/>
          <w:color w:val="auto"/>
        </w:rPr>
      </w:pPr>
      <w:r>
        <w:rPr>
          <w:rFonts w:ascii="Times New Roman" w:cs="Times New Roman" w:eastAsia="Times New Roman" w:hAnsi="Times New Roman"/>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0"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PFIC Rules</w:t>
      </w:r>
    </w:p>
    <w:p>
      <w:pPr>
        <w:spacing w:after="0" w:line="225"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86"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9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Since 1998, we have not declared or paid cash dividends on any of our shares and we have no current intention of paying any cash dividends in the future.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agreement that we entered into with our banks, as amended, prohibits the payment of dividends.</w:t>
      </w:r>
    </w:p>
    <w:p>
      <w:pPr>
        <w:spacing w:after="0" w:line="213"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08" w:lineRule="exact"/>
        <w:rPr>
          <w:sz w:val="20"/>
          <w:szCs w:val="20"/>
          <w:color w:val="auto"/>
        </w:rPr>
      </w:pPr>
    </w:p>
    <w:p>
      <w:pPr>
        <w:ind w:right="520" w:firstLine="348"/>
        <w:spacing w:after="0" w:line="339" w:lineRule="auto"/>
        <w:rPr>
          <w:sz w:val="20"/>
          <w:szCs w:val="20"/>
          <w:color w:val="auto"/>
        </w:rPr>
      </w:pPr>
      <w:r>
        <w:rPr>
          <w:rFonts w:ascii="Times New Roman" w:cs="Times New Roman" w:eastAsia="Times New Roman" w:hAnsi="Times New Roman"/>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08"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audited consolidated financial statements incorporated in this prospectus by reference from the company’s Annual Report on Form 20-F for the year ended December 31, 2005 and the company’s report on Form 6-K filed on February 8, 2007,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AGENT FOR SERVICE OF PROCESS IN THE UNITED STATES</w:t>
      </w:r>
    </w:p>
    <w:p>
      <w:pPr>
        <w:sectPr>
          <w:pgSz w:w="11900" w:h="16838" w:orient="portrait"/>
          <w:cols w:equalWidth="0" w:num="1">
            <w:col w:w="11400"/>
          </w:cols>
          <w:pgMar w:left="240" w:top="125" w:right="259" w:bottom="0" w:gutter="0" w:footer="0" w:header="0"/>
        </w:sectPr>
      </w:pPr>
    </w:p>
    <w:bookmarkStart w:id="19" w:name="page20"/>
    <w:bookmarkEnd w:id="19"/>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BY REFERENCE</w:t>
      </w:r>
    </w:p>
    <w:p>
      <w:pPr>
        <w:spacing w:after="0" w:line="294"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6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75" w:lineRule="auto"/>
        <w:rPr>
          <w:sz w:val="20"/>
          <w:szCs w:val="20"/>
          <w:color w:val="auto"/>
        </w:rPr>
      </w:pPr>
      <w:r>
        <w:rPr>
          <w:rFonts w:ascii="Times New Roman" w:cs="Times New Roman" w:eastAsia="Times New Roman" w:hAnsi="Times New Roman"/>
          <w:sz w:val="18"/>
          <w:szCs w:val="18"/>
          <w:color w:val="auto"/>
        </w:rPr>
        <w:t>—Annual report on Form 20-F for the year ended December 31, 2005, filed on July 13, 2006, to the extent the information in that report has not been updated or superseded by this prospectus;</w:t>
      </w:r>
    </w:p>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July 2006 No. 3 (filed on July 26,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2 (filed on September 12,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3 (filed on September 13,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5 (filed on September 25,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October 2006 No. 1 (filed on October 18,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5 (filed on November 7,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8 (filed on November 24, 2006).</w:t>
      </w:r>
    </w:p>
    <w:p>
      <w:pPr>
        <w:sectPr>
          <w:pgSz w:w="11900" w:h="16838" w:orient="portrait"/>
          <w:cols w:equalWidth="0" w:num="1">
            <w:col w:w="11420"/>
          </w:cols>
          <w:pgMar w:left="240" w:top="125" w:right="239" w:bottom="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4 (filed on December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January 2007 No. 2 (filed on January 23,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February 2007 No. 2 (filed on February 8,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February 2007 No. 3 (filed on February 12,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March 2007 No. 1 (filed on March 15,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May 2007 No. 2 (filed on May 2, 2007).</w:t>
      </w:r>
    </w:p>
    <w:p>
      <w:pPr>
        <w:spacing w:after="0" w:line="252" w:lineRule="exact"/>
        <w:rPr>
          <w:sz w:val="20"/>
          <w:szCs w:val="20"/>
          <w:color w:val="auto"/>
        </w:rPr>
      </w:pPr>
    </w:p>
    <w:p>
      <w:pPr>
        <w:ind w:left="1720" w:right="240" w:hanging="567"/>
        <w:spacing w:after="0" w:line="275" w:lineRule="auto"/>
        <w:rPr>
          <w:sz w:val="20"/>
          <w:szCs w:val="20"/>
          <w:color w:val="auto"/>
        </w:rPr>
      </w:pPr>
      <w:r>
        <w:rPr>
          <w:rFonts w:ascii="Times New Roman" w:cs="Times New Roman" w:eastAsia="Times New Roman" w:hAnsi="Times New Roman"/>
          <w:sz w:val="18"/>
          <w:szCs w:val="18"/>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200" w:lineRule="exact"/>
        <w:rPr>
          <w:sz w:val="20"/>
          <w:szCs w:val="20"/>
          <w:color w:val="auto"/>
        </w:rPr>
      </w:pPr>
    </w:p>
    <w:p>
      <w:pPr>
        <w:spacing w:after="0" w:line="217"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6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Click on “Investor Relations” and then “Filings.”</w:t>
      </w:r>
    </w:p>
    <w:p>
      <w:pPr>
        <w:spacing w:after="0" w:line="186"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Times New Roman" w:cs="Times New Roman" w:eastAsia="Times New Roman" w:hAnsi="Times New Roman"/>
          <w:sz w:val="18"/>
          <w:szCs w:val="18"/>
          <w:u w:val="single" w:color="auto"/>
          <w:color w:val="auto"/>
        </w:rPr>
        <w:t>www.magna.isa.gov.il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297815</wp:posOffset>
            </wp:positionV>
            <wp:extent cx="2058035"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47,012,993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152400</wp:posOffset>
            </wp:positionV>
            <wp:extent cx="11061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205105</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May __, 2007</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ectPr>
          <w:pgSz w:w="11900" w:h="16838" w:orient="portrait"/>
          <w:cols w:equalWidth="0" w:num="1">
            <w:col w:w="11360"/>
          </w:cols>
          <w:pgMar w:left="240" w:top="584" w:right="299"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Israeli Companies Law-1999, or the Companies Law, provides that a company may include in its articles of association provisions allowing it to:</w:t>
      </w:r>
    </w:p>
    <w:p>
      <w:pPr>
        <w:sectPr>
          <w:pgSz w:w="11900" w:h="16838" w:orient="portrait"/>
          <w:cols w:equalWidth="0" w:num="1">
            <w:col w:w="11360"/>
          </w:cols>
          <w:pgMar w:left="240" w:top="584" w:right="299" w:bottom="0" w:gutter="0" w:footer="0" w:header="0"/>
          <w:type w:val="continuous"/>
        </w:sectPr>
      </w:pPr>
    </w:p>
    <w:bookmarkStart w:id="21" w:name="page22"/>
    <w:bookmarkEnd w:id="21"/>
    <w:p>
      <w:pPr>
        <w:jc w:val="both"/>
        <w:ind w:left="580" w:right="80" w:hanging="572"/>
        <w:spacing w:after="0" w:line="26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13"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duty of care to the company or any other person;</w:t>
      </w:r>
    </w:p>
    <w:p>
      <w:pPr>
        <w:spacing w:after="0" w:line="252" w:lineRule="exact"/>
        <w:rPr>
          <w:rFonts w:ascii="Times New Roman" w:cs="Times New Roman" w:eastAsia="Times New Roman" w:hAnsi="Times New Roman"/>
          <w:sz w:val="18"/>
          <w:szCs w:val="18"/>
          <w:color w:val="auto"/>
        </w:rPr>
      </w:pPr>
    </w:p>
    <w:p>
      <w:pPr>
        <w:ind w:left="1160" w:right="140" w:hanging="571"/>
        <w:spacing w:after="0" w:line="275"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which may be imposed upon him in favor of other persons.</w:t>
      </w:r>
    </w:p>
    <w:p>
      <w:pPr>
        <w:spacing w:after="0" w:line="25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 office holder of the company for:</w:t>
      </w:r>
    </w:p>
    <w:p>
      <w:pPr>
        <w:spacing w:after="0" w:line="252" w:lineRule="exact"/>
        <w:rPr>
          <w:rFonts w:ascii="Times New Roman" w:cs="Times New Roman" w:eastAsia="Times New Roman" w:hAnsi="Times New Roman"/>
          <w:sz w:val="18"/>
          <w:szCs w:val="18"/>
          <w:color w:val="auto"/>
        </w:rPr>
      </w:pPr>
    </w:p>
    <w:p>
      <w:pPr>
        <w:ind w:left="1160" w:right="60" w:hanging="571"/>
        <w:spacing w:after="0" w:line="262"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13" w:lineRule="exact"/>
        <w:rPr>
          <w:rFonts w:ascii="Times New Roman" w:cs="Times New Roman" w:eastAsia="Times New Roman" w:hAnsi="Times New Roman"/>
          <w:sz w:val="18"/>
          <w:szCs w:val="18"/>
          <w:color w:val="auto"/>
        </w:rPr>
      </w:pPr>
    </w:p>
    <w:p>
      <w:pPr>
        <w:ind w:left="1160" w:hanging="571"/>
        <w:spacing w:after="0" w:line="258"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217" w:lineRule="exact"/>
        <w:rPr>
          <w:rFonts w:ascii="Times New Roman" w:cs="Times New Roman" w:eastAsia="Times New Roman" w:hAnsi="Times New Roman"/>
          <w:sz w:val="18"/>
          <w:szCs w:val="18"/>
          <w:color w:val="auto"/>
        </w:rPr>
      </w:pPr>
    </w:p>
    <w:p>
      <w:pPr>
        <w:ind w:left="1160" w:right="20" w:hanging="571"/>
        <w:spacing w:after="0" w:line="255"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74" w:lineRule="exact"/>
        <w:rPr>
          <w:sz w:val="20"/>
          <w:szCs w:val="20"/>
          <w:color w:val="auto"/>
        </w:rPr>
      </w:pPr>
    </w:p>
    <w:p>
      <w:pPr>
        <w:ind w:left="1160" w:right="220" w:hanging="571"/>
        <w:spacing w:after="0" w:line="310" w:lineRule="auto"/>
        <w:tabs>
          <w:tab w:leader="none" w:pos="11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78"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2" w:lineRule="exact"/>
        <w:rPr>
          <w:sz w:val="20"/>
          <w:szCs w:val="20"/>
          <w:color w:val="auto"/>
        </w:rPr>
      </w:pPr>
    </w:p>
    <w:p>
      <w:pPr>
        <w:ind w:left="1160" w:hanging="571"/>
        <w:spacing w:after="0"/>
        <w:tabs>
          <w:tab w:leader="none" w:pos="116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breach of his fiduciary duty, except to the extent described above;</w:t>
      </w:r>
    </w:p>
    <w:p>
      <w:pPr>
        <w:spacing w:after="0" w:line="230" w:lineRule="exact"/>
        <w:rPr>
          <w:rFonts w:ascii="Times New Roman" w:cs="Times New Roman" w:eastAsia="Times New Roman" w:hAnsi="Times New Roman"/>
          <w:sz w:val="27"/>
          <w:szCs w:val="27"/>
          <w:color w:val="auto"/>
          <w:vertAlign w:val="superscript"/>
        </w:rPr>
      </w:pPr>
    </w:p>
    <w:p>
      <w:pPr>
        <w:ind w:left="1160" w:right="780" w:hanging="571"/>
        <w:spacing w:after="0" w:line="206" w:lineRule="auto"/>
        <w:tabs>
          <w:tab w:leader="none" w:pos="116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breach of his duty of care, if such breach was done intentionally, recklessly or with disregard of the circumstances of the breach or its consequences;</w:t>
      </w:r>
    </w:p>
    <w:p>
      <w:pPr>
        <w:spacing w:after="0" w:line="149" w:lineRule="exact"/>
        <w:rPr>
          <w:rFonts w:ascii="Times New Roman" w:cs="Times New Roman" w:eastAsia="Times New Roman" w:hAnsi="Times New Roman"/>
          <w:sz w:val="27"/>
          <w:szCs w:val="27"/>
          <w:color w:val="auto"/>
          <w:vertAlign w:val="superscript"/>
        </w:rPr>
      </w:pPr>
    </w:p>
    <w:p>
      <w:pPr>
        <w:ind w:left="1160" w:hanging="571"/>
        <w:spacing w:after="0"/>
        <w:tabs>
          <w:tab w:leader="none" w:pos="116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 act or omission done with the intent to unlawfully realize personal gain; or</w:t>
      </w:r>
    </w:p>
    <w:p>
      <w:pPr>
        <w:spacing w:after="0" w:line="148" w:lineRule="exact"/>
        <w:rPr>
          <w:rFonts w:ascii="Times New Roman" w:cs="Times New Roman" w:eastAsia="Times New Roman" w:hAnsi="Times New Roman"/>
          <w:sz w:val="27"/>
          <w:szCs w:val="27"/>
          <w:color w:val="auto"/>
          <w:vertAlign w:val="superscript"/>
        </w:rPr>
      </w:pPr>
    </w:p>
    <w:p>
      <w:pPr>
        <w:ind w:left="1160" w:hanging="571"/>
        <w:spacing w:after="0"/>
        <w:tabs>
          <w:tab w:leader="none" w:pos="116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fine or monetary settlement imposed upon him.</w:t>
      </w:r>
    </w:p>
    <w:p>
      <w:pPr>
        <w:spacing w:after="0" w:line="200" w:lineRule="exact"/>
        <w:rPr>
          <w:sz w:val="20"/>
          <w:szCs w:val="20"/>
          <w:color w:val="auto"/>
        </w:rPr>
      </w:pPr>
    </w:p>
    <w:p>
      <w:pPr>
        <w:spacing w:after="0" w:line="247"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86"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86"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4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EXHIBITS</w:t>
      </w:r>
    </w:p>
    <w:p>
      <w:pPr>
        <w:sectPr>
          <w:pgSz w:w="11900" w:h="16838" w:orient="portrait"/>
          <w:cols w:equalWidth="0" w:num="1">
            <w:col w:w="11420"/>
          </w:cols>
          <w:pgMar w:left="240" w:top="125" w:right="239" w:bottom="0" w:gutter="0" w:footer="0" w:header="0"/>
          <w:type w:val="continuous"/>
        </w:sectPr>
      </w:pPr>
    </w:p>
    <w:bookmarkStart w:id="22" w:name="page23"/>
    <w:bookmarkEnd w:id="22"/>
    <w:tbl>
      <w:tblPr>
        <w:tblLayout w:type="fixed"/>
        <w:tblInd w:w="360" w:type="dxa"/>
        <w:tblCellMar>
          <w:top w:w="0" w:type="dxa"/>
          <w:left w:w="0" w:type="dxa"/>
          <w:bottom w:w="0" w:type="dxa"/>
          <w:right w:w="0" w:type="dxa"/>
        </w:tblCellMar>
      </w:tblPr>
      <w:tr>
        <w:trPr>
          <w:trHeight w:val="207"/>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Numbers</w:t>
            </w:r>
          </w:p>
        </w:tc>
        <w:tc>
          <w:tcPr>
            <w:tcW w:w="1880" w:type="dxa"/>
            <w:vAlign w:val="bottom"/>
            <w:tcBorders>
              <w:top w:val="single" w:sz="8" w:color="auto"/>
            </w:tcBorders>
          </w:tcPr>
          <w:p>
            <w:pPr>
              <w:spacing w:after="0"/>
              <w:rPr>
                <w:sz w:val="17"/>
                <w:szCs w:val="17"/>
                <w:color w:val="auto"/>
              </w:rPr>
            </w:pPr>
          </w:p>
        </w:tc>
        <w:tc>
          <w:tcPr>
            <w:tcW w:w="8120" w:type="dxa"/>
            <w:vAlign w:val="bottom"/>
          </w:tcPr>
          <w:p>
            <w:pPr>
              <w:spacing w:after="0"/>
              <w:rPr>
                <w:sz w:val="17"/>
                <w:szCs w:val="17"/>
                <w:color w:val="auto"/>
              </w:rPr>
            </w:pPr>
          </w:p>
        </w:tc>
      </w:tr>
      <w:tr>
        <w:trPr>
          <w:trHeight w:val="465"/>
        </w:trPr>
        <w:tc>
          <w:tcPr>
            <w:tcW w:w="680" w:type="dxa"/>
            <w:vAlign w:val="bottom"/>
            <w:tcBorders>
              <w:top w:val="single" w:sz="8" w:color="auto"/>
            </w:tcBorders>
          </w:tcPr>
          <w:p>
            <w:pPr>
              <w:jc w:val="center"/>
              <w:ind w:right="252"/>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 like</w:t>
            </w: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number exhibit filed with the Registrant's Registration Statement on Form F-1, File No. 333-0126909). Pursuant to approvals by shareholders,</w:t>
            </w:r>
          </w:p>
        </w:tc>
      </w:tr>
      <w:tr>
        <w:trPr>
          <w:trHeight w:val="228"/>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Articles of Association provide for an authorized share capital of NIS 800,000,000 divided into 800,000,000 shares.</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4.1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4.2</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Schedules to the Securities Purchase Agreement*</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4.3</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4.4</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6(b) to the Registration Rights Agreement*</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5.1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Yigal Arnon &amp; Co. **</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5"/>
              </w:rPr>
              <w:t>23.1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 **</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5"/>
              </w:rPr>
              <w:t>23.2</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Brightman Almagor &amp; Co.</w:t>
            </w:r>
          </w:p>
        </w:tc>
      </w:tr>
      <w:tr>
        <w:trPr>
          <w:trHeight w:val="459"/>
        </w:trPr>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5"/>
              </w:rPr>
              <w:t>24.1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Report on Form 6-K dated March 2007 No. 1 (filed on March 15, 2007).</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00" w:lineRule="exact"/>
        <w:rPr>
          <w:sz w:val="20"/>
          <w:szCs w:val="20"/>
          <w:color w:val="auto"/>
        </w:rPr>
      </w:pPr>
    </w:p>
    <w:p>
      <w:pPr>
        <w:spacing w:after="0" w:line="270" w:lineRule="exact"/>
        <w:rPr>
          <w:sz w:val="20"/>
          <w:szCs w:val="20"/>
          <w:color w:val="auto"/>
        </w:rPr>
      </w:pPr>
    </w:p>
    <w:p>
      <w:pPr>
        <w:ind w:left="720" w:hanging="536"/>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80" w:hanging="516"/>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ind w:left="580" w:right="60" w:firstLine="184"/>
        <w:spacing w:after="0" w:line="293" w:lineRule="auto"/>
        <w:tabs>
          <w:tab w:leader="none" w:pos="1318"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1" w:lineRule="exact"/>
        <w:rPr>
          <w:rFonts w:ascii="Times New Roman" w:cs="Times New Roman" w:eastAsia="Times New Roman" w:hAnsi="Times New Roman"/>
          <w:sz w:val="16"/>
          <w:szCs w:val="16"/>
          <w:color w:val="auto"/>
        </w:rPr>
      </w:pPr>
    </w:p>
    <w:p>
      <w:pPr>
        <w:ind w:left="580" w:right="420" w:firstLine="184"/>
        <w:spacing w:after="0" w:line="275" w:lineRule="auto"/>
        <w:tabs>
          <w:tab w:leader="none" w:pos="13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0" w:lineRule="exact"/>
        <w:rPr>
          <w:sz w:val="20"/>
          <w:szCs w:val="20"/>
          <w:color w:val="auto"/>
        </w:rPr>
      </w:pPr>
    </w:p>
    <w:p>
      <w:pPr>
        <w:jc w:val="both"/>
        <w:ind w:right="260" w:firstLine="184"/>
        <w:spacing w:after="0" w:line="262" w:lineRule="auto"/>
        <w:tabs>
          <w:tab w:leader="none" w:pos="7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6" w:lineRule="exact"/>
        <w:rPr>
          <w:rFonts w:ascii="Times New Roman" w:cs="Times New Roman" w:eastAsia="Times New Roman" w:hAnsi="Times New Roman"/>
          <w:sz w:val="18"/>
          <w:szCs w:val="18"/>
          <w:color w:val="auto"/>
        </w:rPr>
      </w:pPr>
    </w:p>
    <w:p>
      <w:pPr>
        <w:ind w:right="200" w:firstLine="184"/>
        <w:spacing w:after="0" w:line="275" w:lineRule="auto"/>
        <w:tabs>
          <w:tab w:leader="none" w:pos="7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73" w:lineRule="exact"/>
        <w:rPr>
          <w:rFonts w:ascii="Times New Roman" w:cs="Times New Roman" w:eastAsia="Times New Roman" w:hAnsi="Times New Roman"/>
          <w:sz w:val="18"/>
          <w:szCs w:val="18"/>
          <w:color w:val="auto"/>
        </w:rPr>
      </w:pPr>
    </w:p>
    <w:p>
      <w:pPr>
        <w:ind w:firstLine="184"/>
        <w:spacing w:after="0" w:line="254" w:lineRule="auto"/>
        <w:tabs>
          <w:tab w:leader="none" w:pos="7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2" w:lineRule="exact"/>
        <w:rPr>
          <w:rFonts w:ascii="Times New Roman" w:cs="Times New Roman" w:eastAsia="Times New Roman" w:hAnsi="Times New Roman"/>
          <w:sz w:val="18"/>
          <w:szCs w:val="18"/>
          <w:color w:val="auto"/>
        </w:rPr>
      </w:pPr>
    </w:p>
    <w:p>
      <w:pPr>
        <w:ind w:left="740" w:hanging="55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ectPr>
          <w:pgSz w:w="11900" w:h="16838" w:orient="portrait"/>
          <w:cols w:equalWidth="0" w:num="1">
            <w:col w:w="11420"/>
          </w:cols>
          <w:pgMar w:left="240" w:top="108" w:right="239" w:bottom="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430B (230.430B of this chapter):</w:t>
      </w:r>
    </w:p>
    <w:p>
      <w:pPr>
        <w:spacing w:after="0" w:line="252" w:lineRule="exact"/>
        <w:rPr>
          <w:rFonts w:ascii="Times New Roman" w:cs="Times New Roman" w:eastAsia="Times New Roman" w:hAnsi="Times New Roman"/>
          <w:sz w:val="18"/>
          <w:szCs w:val="18"/>
          <w:color w:val="auto"/>
        </w:rPr>
      </w:pPr>
    </w:p>
    <w:p>
      <w:pPr>
        <w:ind w:left="2300" w:right="80" w:hanging="577"/>
        <w:spacing w:after="0" w:line="275" w:lineRule="auto"/>
        <w:tabs>
          <w:tab w:leader="none" w:pos="23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shall be deemed to be part of the registration statement as of the date the filed prospectus was deemed part of and included in the registration statement; and</w:t>
      </w:r>
    </w:p>
    <w:p>
      <w:pPr>
        <w:spacing w:after="0" w:line="200" w:lineRule="exact"/>
        <w:rPr>
          <w:rFonts w:ascii="Times New Roman" w:cs="Times New Roman" w:eastAsia="Times New Roman" w:hAnsi="Times New Roman"/>
          <w:sz w:val="18"/>
          <w:szCs w:val="18"/>
          <w:color w:val="auto"/>
        </w:rPr>
      </w:pPr>
    </w:p>
    <w:p>
      <w:pPr>
        <w:ind w:left="2300" w:right="60" w:hanging="577"/>
        <w:spacing w:after="0" w:line="287" w:lineRule="auto"/>
        <w:tabs>
          <w:tab w:leader="none" w:pos="2300" w:val="left"/>
        </w:tabs>
        <w:numPr>
          <w:ilvl w:val="2"/>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0" w:lineRule="exact"/>
        <w:rPr>
          <w:rFonts w:ascii="Times New Roman" w:cs="Times New Roman" w:eastAsia="Times New Roman" w:hAnsi="Times New Roman"/>
          <w:sz w:val="16"/>
          <w:szCs w:val="16"/>
          <w:color w:val="auto"/>
        </w:rPr>
      </w:pPr>
    </w:p>
    <w:p>
      <w:pPr>
        <w:spacing w:after="0" w:line="215" w:lineRule="exact"/>
        <w:rPr>
          <w:rFonts w:ascii="Times New Roman" w:cs="Times New Roman" w:eastAsia="Times New Roman" w:hAnsi="Times New Roman"/>
          <w:sz w:val="16"/>
          <w:szCs w:val="16"/>
          <w:color w:val="auto"/>
        </w:rPr>
      </w:pPr>
    </w:p>
    <w:p>
      <w:pPr>
        <w:ind w:left="1720" w:hanging="564"/>
        <w:spacing w:after="0" w:line="254" w:lineRule="auto"/>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right="280" w:firstLine="184"/>
        <w:spacing w:after="0" w:line="301" w:lineRule="auto"/>
        <w:tabs>
          <w:tab w:leader="none" w:pos="72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275" w:lineRule="exact"/>
        <w:rPr>
          <w:rFonts w:ascii="Times New Roman" w:cs="Times New Roman" w:eastAsia="Times New Roman" w:hAnsi="Times New Roman"/>
          <w:sz w:val="16"/>
          <w:szCs w:val="16"/>
          <w:color w:val="auto"/>
        </w:rPr>
      </w:pPr>
    </w:p>
    <w:p>
      <w:pPr>
        <w:ind w:left="1720" w:right="240" w:hanging="564"/>
        <w:spacing w:after="0" w:line="275" w:lineRule="auto"/>
        <w:tabs>
          <w:tab w:leader="none" w:pos="1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00" w:lineRule="exact"/>
        <w:rPr>
          <w:rFonts w:ascii="Times New Roman" w:cs="Times New Roman" w:eastAsia="Times New Roman" w:hAnsi="Times New Roman"/>
          <w:sz w:val="18"/>
          <w:szCs w:val="18"/>
          <w:color w:val="auto"/>
        </w:rPr>
      </w:pPr>
    </w:p>
    <w:p>
      <w:pPr>
        <w:ind w:left="1720" w:right="80" w:hanging="564"/>
        <w:spacing w:after="0" w:line="275" w:lineRule="auto"/>
        <w:tabs>
          <w:tab w:leader="none" w:pos="1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00"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right="100" w:firstLine="184"/>
        <w:spacing w:after="0" w:line="256" w:lineRule="auto"/>
        <w:tabs>
          <w:tab w:leader="none" w:pos="7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2" w:lineRule="exact"/>
        <w:rPr>
          <w:rFonts w:ascii="Times New Roman" w:cs="Times New Roman" w:eastAsia="Times New Roman" w:hAnsi="Times New Roman"/>
          <w:sz w:val="18"/>
          <w:szCs w:val="18"/>
          <w:color w:val="auto"/>
        </w:rPr>
      </w:pPr>
    </w:p>
    <w:p>
      <w:pPr>
        <w:ind w:right="100" w:firstLine="184"/>
        <w:spacing w:after="0" w:line="291" w:lineRule="auto"/>
        <w:tabs>
          <w:tab w:leader="none" w:pos="72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0"/>
          <w:szCs w:val="20"/>
          <w:color w:val="auto"/>
        </w:rPr>
      </w:pPr>
    </w:p>
    <w:p>
      <w:pPr>
        <w:ind w:right="500" w:firstLine="395"/>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Amendment No.1 to the Registration Statement on Form F-3 to be signed on its behalf by the undersigned, thereunto duly authorized, in the City of Migdal Haemek, Israel, on May 7, 2007.</w:t>
      </w:r>
    </w:p>
    <w:p>
      <w:pPr>
        <w:spacing w:after="0" w:line="1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ectPr>
          <w:pgSz w:w="11900" w:h="16838" w:orient="portrait"/>
          <w:cols w:equalWidth="0" w:num="1">
            <w:col w:w="11380"/>
          </w:cols>
          <w:pgMar w:left="240" w:top="125" w:right="279" w:bottom="0" w:gutter="0" w:footer="0" w:header="0"/>
        </w:sectPr>
      </w:pPr>
    </w:p>
    <w:bookmarkStart w:id="24" w:name="page25"/>
    <w:bookmarkEnd w:id="24"/>
    <w:p>
      <w:pPr>
        <w:ind w:left="5720"/>
        <w:spacing w:after="0"/>
        <w:rPr>
          <w:sz w:val="20"/>
          <w:szCs w:val="20"/>
          <w:color w:val="auto"/>
        </w:rPr>
      </w:pPr>
      <w:r>
        <w:rPr>
          <w:rFonts w:ascii="Times New Roman" w:cs="Times New Roman" w:eastAsia="Times New Roman" w:hAnsi="Times New Roman"/>
          <w:sz w:val="18"/>
          <w:szCs w:val="18"/>
          <w:color w:val="auto"/>
        </w:rPr>
        <w:t>By: /s/ Russell C. Ellwanger</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00" w:lineRule="exact"/>
        <w:rPr>
          <w:sz w:val="20"/>
          <w:szCs w:val="20"/>
          <w:color w:val="auto"/>
        </w:rPr>
      </w:pPr>
    </w:p>
    <w:p>
      <w:pPr>
        <w:spacing w:after="0" w:line="256"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4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Russell C. Ellwanger</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Finance and Acting Chief</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Oren Shirazi</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Nir Gilad</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Melvin Keating</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Miri Katz</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Russell C. Ellwanger</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Russell C. Ellwanger</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341" w:right="239"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in Fact)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8</w:t>
            </w:r>
          </w:p>
        </w:tc>
      </w:tr>
      <w:tr>
        <w:trPr>
          <w:trHeight w:val="174"/>
        </w:trPr>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7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05"/>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2"/>
        </w:trPr>
        <w:tc>
          <w:tcPr>
            <w:tcW w:w="13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Numbers</w:t>
            </w:r>
          </w:p>
        </w:tc>
        <w:tc>
          <w:tcPr>
            <w:tcW w:w="100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65"/>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3.1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 like</w:t>
            </w: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number exhibit filed with the Registrant's Registration Statement on Form F-1, File No. 333-0126909). Pursuant to approvals by shareholders,</w:t>
            </w:r>
          </w:p>
        </w:tc>
      </w:tr>
      <w:tr>
        <w:trPr>
          <w:trHeight w:val="228"/>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Articles of Association provide for an authorized share capital of NIS 800,000,000 divided into 800,000,000 shares.</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4.1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4.2</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Schedules to the Securities Purchase Agreement*</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4.3</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4.4</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6(b) to the Registration Rights Agreement*</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5.1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Yigal Arnon &amp; Co. **</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5"/>
              </w:rPr>
              <w:t>23.1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 **</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5"/>
              </w:rPr>
              <w:t>23.2</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Brightman Almagor &amp; Co.</w:t>
            </w:r>
          </w:p>
        </w:tc>
      </w:tr>
      <w:tr>
        <w:trPr>
          <w:trHeight w:val="459"/>
        </w:trPr>
        <w:tc>
          <w:tcPr>
            <w:tcW w:w="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5"/>
              </w:rPr>
              <w:t>24.1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hanging="572"/>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Report on Form 6-K dated March 2007 No. 1 (filed on March 15, 2007).</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5398770</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the Registration Statement on Form F-3 (No. 333-141640) of (i) our report dated February 1, 2006, relating to the financial statements of Tower Semiconductor Ltd. appearing in the Annual Report on Form 20-F of Tower Semiconductor Ltd. for the year ended December 31, 2005, and (ii) our report dated February 7, 2007, relating to the financial statements of Tower Semiconductor Ltd. for the year ended December 31, 2006 appearing in the Report on Form 6-K of Tower Semiconductor Ltd. filed on February 8, 2007. We also consent to the reference to us under the heading “Experts” in this Amendment No. 1 to the Registration Statement.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Deloitte Touche Tohmatsu</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emdash "/>
      <w:numFmt w:val="bullet"/>
      <w:start w:val="1"/>
    </w:lvl>
  </w:abstractNum>
  <w:abstractNum w:abstractNumId="1">
    <w:nsid w:val="257130A3"/>
    <w:multiLevelType w:val="hybridMultilevel"/>
    <w:lvl w:ilvl="0">
      <w:lvlJc w:val="left"/>
      <w:lvlText w:val="\emdash "/>
      <w:numFmt w:val="bullet"/>
      <w:start w:val="1"/>
    </w:lvl>
  </w:abstractNum>
  <w:abstractNum w:abstractNumId="2">
    <w:nsid w:val="62BBD95A"/>
    <w:multiLevelType w:val="hybridMultilevel"/>
    <w:lvl w:ilvl="0">
      <w:lvlJc w:val="left"/>
      <w:lvlText w:val="\emdash "/>
      <w:numFmt w:val="bullet"/>
      <w:start w:val="1"/>
    </w:lvl>
  </w:abstractNum>
  <w:abstractNum w:abstractNumId="3">
    <w:nsid w:val="436C6125"/>
    <w:multiLevelType w:val="hybridMultilevel"/>
    <w:lvl w:ilvl="0">
      <w:lvlJc w:val="left"/>
      <w:lvlText w:val="\emdash "/>
      <w:numFmt w:val="bullet"/>
      <w:start w:val="1"/>
    </w:lvl>
  </w:abstractNum>
  <w:abstractNum w:abstractNumId="4">
    <w:nsid w:val="628C895D"/>
    <w:multiLevelType w:val="hybridMultilevel"/>
    <w:lvl w:ilvl="0">
      <w:lvlJc w:val="left"/>
      <w:lvlText w:val="\emdash "/>
      <w:numFmt w:val="bullet"/>
      <w:start w:val="1"/>
    </w:lvl>
  </w:abstractNum>
  <w:abstractNum w:abstractNumId="5">
    <w:nsid w:val="333AB105"/>
    <w:multiLevelType w:val="hybridMultilevel"/>
    <w:lvl w:ilvl="0">
      <w:lvlJc w:val="left"/>
      <w:lvlText w:val="\emdash "/>
      <w:numFmt w:val="bullet"/>
      <w:start w:val="1"/>
    </w:lvl>
  </w:abstractNum>
  <w:abstractNum w:abstractNumId="6">
    <w:nsid w:val="721DA317"/>
    <w:multiLevelType w:val="hybridMultilevel"/>
    <w:lvl w:ilvl="0">
      <w:lvlJc w:val="left"/>
      <w:lvlText w:val="\emdash "/>
      <w:numFmt w:val="bullet"/>
      <w:start w:val="1"/>
    </w:lvl>
  </w:abstractNum>
  <w:abstractNum w:abstractNumId="7">
    <w:nsid w:val="2443A858"/>
    <w:multiLevelType w:val="hybridMultilevel"/>
    <w:lvl w:ilvl="0">
      <w:lvlJc w:val="left"/>
      <w:lvlText w:val="\emdash "/>
      <w:numFmt w:val="bullet"/>
      <w:start w:val="1"/>
    </w:lvl>
  </w:abstractNum>
  <w:abstractNum w:abstractNumId="8">
    <w:nsid w:val="2D1D5AE9"/>
    <w:multiLevelType w:val="hybridMultilevel"/>
    <w:lvl w:ilvl="0">
      <w:lvlJc w:val="left"/>
      <w:lvlText w:val="(%1)"/>
      <w:numFmt w:val="lowerRoman"/>
      <w:start w:val="1"/>
    </w:lvl>
  </w:abstractNum>
  <w:abstractNum w:abstractNumId="9">
    <w:nsid w:val="6763845E"/>
    <w:multiLevelType w:val="hybridMultilevel"/>
    <w:lvl w:ilvl="0">
      <w:lvlJc w:val="left"/>
      <w:lvlText w:val="(%1)"/>
      <w:numFmt w:val="lowerRoman"/>
      <w:start w:val="5"/>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2"/>
      <w:numFmt w:val="decimal"/>
      <w:start w:val="1"/>
    </w:lvl>
  </w:abstractNum>
  <w:abstractNum w:abstractNumId="12">
    <w:nsid w:val="79838CB2"/>
    <w:multiLevelType w:val="hybridMultilevel"/>
    <w:lvl w:ilvl="0">
      <w:lvlJc w:val="left"/>
      <w:lvlText w:val="2"/>
      <w:numFmt w:val="bullet"/>
      <w:start w:val="1"/>
    </w:lvl>
  </w:abstractNum>
  <w:abstractNum w:abstractNumId="13">
    <w:nsid w:val="4353D0CD"/>
    <w:multiLevelType w:val="hybridMultilevel"/>
    <w:lvl w:ilvl="0">
      <w:lvlJc w:val="left"/>
      <w:lvlText w:val="3"/>
      <w:numFmt w:val="bullet"/>
      <w:start w:val="1"/>
    </w:lvl>
  </w:abstractNum>
  <w:abstractNum w:abstractNumId="14">
    <w:nsid w:val="B03E0C6"/>
    <w:multiLevelType w:val="hybridMultilevel"/>
    <w:lvl w:ilvl="0">
      <w:lvlJc w:val="left"/>
      <w:lvlText w:val="4"/>
      <w:numFmt w:val="bullet"/>
      <w:start w:val="1"/>
    </w:lvl>
  </w:abstractNum>
  <w:abstractNum w:abstractNumId="15">
    <w:nsid w:val="189A769B"/>
    <w:multiLevelType w:val="hybridMultilevel"/>
    <w:lvl w:ilvl="0">
      <w:lvlJc w:val="left"/>
      <w:lvlText w:val="5"/>
      <w:numFmt w:val="bullet"/>
      <w:start w:val="1"/>
    </w:lvl>
  </w:abstractNum>
  <w:abstractNum w:abstractNumId="16">
    <w:nsid w:val="54E49EB4"/>
    <w:multiLevelType w:val="hybridMultilevel"/>
    <w:lvl w:ilvl="0">
      <w:lvlJc w:val="left"/>
      <w:lvlText w:val="6"/>
      <w:numFmt w:val="bullet"/>
      <w:start w:val="1"/>
    </w:lvl>
  </w:abstractNum>
  <w:abstractNum w:abstractNumId="17">
    <w:nsid w:val="71F32454"/>
    <w:multiLevelType w:val="hybridMultilevel"/>
    <w:lvl w:ilvl="0">
      <w:lvlJc w:val="left"/>
      <w:lvlText w:val="7"/>
      <w:numFmt w:val="bullet"/>
      <w:start w:val="1"/>
    </w:lvl>
  </w:abstractNum>
  <w:abstractNum w:abstractNumId="18">
    <w:nsid w:val="2CA88611"/>
    <w:multiLevelType w:val="hybridMultilevel"/>
    <w:lvl w:ilvl="0">
      <w:lvlJc w:val="left"/>
      <w:lvlText w:val="8"/>
      <w:numFmt w:val="bullet"/>
      <w:start w:val="1"/>
    </w:lvl>
  </w:abstractNum>
  <w:abstractNum w:abstractNumId="19">
    <w:nsid w:val="836C40E"/>
    <w:multiLevelType w:val="hybridMultilevel"/>
    <w:lvl w:ilvl="0">
      <w:lvlJc w:val="left"/>
      <w:lvlText w:val="9"/>
      <w:numFmt w:val="bullet"/>
      <w:start w:val="1"/>
    </w:lvl>
  </w:abstractNum>
  <w:abstractNum w:abstractNumId="20">
    <w:nsid w:val="2901D82"/>
    <w:multiLevelType w:val="hybridMultilevel"/>
    <w:lvl w:ilvl="0">
      <w:lvlJc w:val="left"/>
      <w:lvlText w:val="%1"/>
      <w:numFmt w:val="decimal"/>
      <w:start w:val="10"/>
    </w:lvl>
  </w:abstractNum>
  <w:abstractNum w:abstractNumId="21">
    <w:nsid w:val="3A95F874"/>
    <w:multiLevelType w:val="hybridMultilevel"/>
    <w:lvl w:ilvl="0">
      <w:lvlJc w:val="left"/>
      <w:lvlText w:val="%1"/>
      <w:numFmt w:val="decimal"/>
      <w:start w:val="16"/>
    </w:lvl>
  </w:abstractNum>
  <w:abstractNum w:abstractNumId="22">
    <w:nsid w:val="8138641"/>
    <w:multiLevelType w:val="hybridMultilevel"/>
    <w:lvl w:ilvl="0">
      <w:lvlJc w:val="left"/>
      <w:lvlText w:val="\emdash "/>
      <w:numFmt w:val="bullet"/>
      <w:start w:val="1"/>
    </w:lvl>
  </w:abstractNum>
  <w:abstractNum w:abstractNumId="23">
    <w:nsid w:val="1E7FF521"/>
    <w:multiLevelType w:val="hybridMultilevel"/>
    <w:lvl w:ilvl="0">
      <w:lvlJc w:val="left"/>
      <w:lvlText w:val="\emdash "/>
      <w:numFmt w:val="bullet"/>
      <w:start w:val="1"/>
    </w:lvl>
  </w:abstractNum>
  <w:abstractNum w:abstractNumId="24">
    <w:nsid w:val="7C3DBD3D"/>
    <w:multiLevelType w:val="hybridMultilevel"/>
    <w:lvl w:ilvl="0">
      <w:lvlJc w:val="left"/>
      <w:lvlText w:val="%1."/>
      <w:numFmt w:val="decimal"/>
      <w:start w:val="1"/>
    </w:lvl>
    <w:lvl w:ilvl="1">
      <w:lvlJc w:val="left"/>
      <w:lvlText w:val="(%2)"/>
      <w:numFmt w:val="lowerLetter"/>
      <w:start w:val="1"/>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š"/>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1"/>
    </w:lvl>
    <w:lvl w:ilvl="1">
      <w:lvlJc w:val="left"/>
      <w:lvlText w:val="(%2)"/>
      <w:numFmt w:val="lowerRoman"/>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2">
    <w:nsid w:val="5577F8E1"/>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33">
    <w:nsid w:val="440BADFC"/>
    <w:multiLevelType w:val="hybridMultilevel"/>
    <w:lvl w:ilvl="0">
      <w:lvlJc w:val="left"/>
      <w:lvlText w:val="%1"/>
      <w:numFmt w:val="lowerLetter"/>
      <w:start w:val="1"/>
    </w:lvl>
    <w:lvl w:ilvl="1">
      <w:lvlJc w:val="left"/>
      <w:lvlText w:val="%2."/>
      <w:numFmt w:val="lowerRoman"/>
      <w:start w:val="1"/>
    </w:lvl>
  </w:abstractNum>
  <w:abstractNum w:abstractNumId="34">
    <w:nsid w:val="5072367"/>
    <w:multiLevelType w:val="hybridMultilevel"/>
    <w:lvl w:ilvl="0">
      <w:lvlJc w:val="left"/>
      <w:lvlText w:val="(%1)"/>
      <w:numFmt w:val="lowerLetter"/>
      <w:start w:val="2"/>
    </w:lvl>
    <w:lvl w:ilvl="1">
      <w:lvlJc w:val="left"/>
      <w:lvlText w:val="%2"/>
      <w:numFmt w:val="lowerRoman"/>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2019-12-14T04:22:15Z</dcterms:created>
  <dcterms:modified xsi:type="dcterms:W3CDTF">2019-12-14T04:22:15Z</dcterms:modified>
</cp:coreProperties>
</file>