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month of July 2004 (No. 2)</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jc w:val="center"/>
        <w:ind w:right="3239"/>
        <w:spacing w:after="0" w:line="237" w:lineRule="auto"/>
        <w:rPr>
          <w:sz w:val="20"/>
          <w:szCs w:val="20"/>
          <w:color w:val="auto"/>
        </w:rPr>
      </w:pPr>
      <w:r>
        <w:rPr>
          <w:rFonts w:ascii="Courier New" w:cs="Courier New" w:eastAsia="Courier New" w:hAnsi="Courier New"/>
          <w:sz w:val="15"/>
          <w:szCs w:val="15"/>
          <w:color w:val="auto"/>
        </w:rPr>
        <w:t>P.O. Box 619, Migdal Haemek,</w:t>
      </w:r>
    </w:p>
    <w:p>
      <w:pPr>
        <w:jc w:val="center"/>
        <w:ind w:right="3239"/>
        <w:spacing w:after="0" w:line="238" w:lineRule="auto"/>
        <w:rPr>
          <w:sz w:val="20"/>
          <w:szCs w:val="20"/>
          <w:color w:val="auto"/>
        </w:rPr>
      </w:pPr>
      <w:r>
        <w:rPr>
          <w:rFonts w:ascii="Courier New" w:cs="Courier New" w:eastAsia="Courier New" w:hAnsi="Courier New"/>
          <w:sz w:val="15"/>
          <w:szCs w:val="15"/>
          <w:color w:val="auto"/>
        </w:rPr>
        <w:t>Israel 23105 (Address of</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principal executive offices)</w:t>
      </w:r>
    </w:p>
    <w:p>
      <w:pPr>
        <w:spacing w:after="0" w:line="173" w:lineRule="exact"/>
        <w:rPr>
          <w:sz w:val="24"/>
          <w:szCs w:val="24"/>
          <w:color w:val="auto"/>
        </w:rPr>
      </w:pPr>
    </w:p>
    <w:p>
      <w:pPr>
        <w:ind w:right="3499" w:firstLine="525"/>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38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173" w:lineRule="exact"/>
        <w:rPr>
          <w:sz w:val="24"/>
          <w:szCs w:val="24"/>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9" w:lineRule="exact"/>
        <w:rPr>
          <w:sz w:val="24"/>
          <w:szCs w:val="24"/>
          <w:color w:val="auto"/>
        </w:rPr>
      </w:pPr>
    </w:p>
    <w:p>
      <w:pPr>
        <w:ind w:left="2800"/>
        <w:spacing w:after="0"/>
        <w:tabs>
          <w:tab w:leader="none" w:pos="358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On July 21, 2004, the Registrant announced its financial results for the six month and three month periods ended June 30, 2004. Attached hereto as Exhibit 99.1 is the press release relating to such announcement and attached hereto as Exhibit 99.2 are the Registrant's unaudited condensed interim consolidated financial statements for the six month and three month periods ended June 30, 2004.</w:t>
      </w:r>
    </w:p>
    <w:p>
      <w:pPr>
        <w:spacing w:after="0" w:line="175" w:lineRule="exact"/>
        <w:rPr>
          <w:sz w:val="24"/>
          <w:szCs w:val="24"/>
          <w:color w:val="auto"/>
        </w:rPr>
      </w:pPr>
    </w:p>
    <w:p>
      <w:pPr>
        <w:ind w:right="3839" w:firstLine="525"/>
        <w:spacing w:after="0" w:line="261" w:lineRule="auto"/>
        <w:rPr>
          <w:sz w:val="20"/>
          <w:szCs w:val="20"/>
          <w:color w:val="auto"/>
        </w:rPr>
      </w:pPr>
      <w:r>
        <w:rPr>
          <w:rFonts w:ascii="Courier New" w:cs="Courier New" w:eastAsia="Courier New" w:hAnsi="Courier New"/>
          <w:sz w:val="14"/>
          <w:szCs w:val="14"/>
          <w:color w:val="auto"/>
        </w:rPr>
        <w:t>This Form 6-K is being incorporated by reference into all effective registration statements filed by us under the Securities Act of 1933.</w:t>
      </w:r>
    </w:p>
    <w:p>
      <w:pPr>
        <w:sectPr>
          <w:pgSz w:w="11900" w:h="16838" w:orient="portrait"/>
          <w:cols w:equalWidth="0" w:num="1">
            <w:col w:w="10239"/>
          </w:cols>
          <w:pgMar w:left="220" w:top="225" w:right="1440" w:bottom="1440" w:gutter="0" w:footer="0" w:header="0"/>
        </w:sectPr>
      </w:pPr>
    </w:p>
    <w:bookmarkStart w:id="1" w:name="page2"/>
    <w:bookmarkEnd w:id="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July 21, 2004</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Tamar Cohen</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
        <w:spacing w:after="0"/>
        <w:tabs>
          <w:tab w:leader="none" w:pos="860" w:val="left"/>
        </w:tabs>
        <w:rPr>
          <w:sz w:val="20"/>
          <w:szCs w:val="20"/>
          <w:color w:val="auto"/>
        </w:rPr>
      </w:pPr>
      <w:r>
        <w:rPr>
          <w:rFonts w:ascii="Courier New" w:cs="Courier New" w:eastAsia="Courier New" w:hAnsi="Courier New"/>
          <w:sz w:val="15"/>
          <w:szCs w:val="15"/>
          <w:color w:val="auto"/>
        </w:rPr>
        <w:t>Name:</w:t>
        <w:tab/>
        <w:t>Tamar Cohen</w:t>
      </w:r>
    </w:p>
    <w:p>
      <w:pPr>
        <w:ind w:left="280"/>
        <w:spacing w:after="0" w:line="237" w:lineRule="auto"/>
        <w:rPr>
          <w:sz w:val="20"/>
          <w:szCs w:val="20"/>
          <w:color w:val="auto"/>
        </w:rPr>
      </w:pPr>
      <w:r>
        <w:rPr>
          <w:rFonts w:ascii="Courier New" w:cs="Courier New" w:eastAsia="Courier New" w:hAnsi="Courier New"/>
          <w:sz w:val="15"/>
          <w:szCs w:val="15"/>
          <w:color w:val="auto"/>
        </w:rPr>
        <w:t>Title: Corporate Secretary</w:t>
      </w:r>
    </w:p>
    <w:p>
      <w:pPr>
        <w:sectPr>
          <w:pgSz w:w="11900" w:h="16838" w:orient="portrait"/>
          <w:cols w:equalWidth="0" w:num="2">
            <w:col w:w="2780" w:space="720"/>
            <w:col w:w="6739"/>
          </w:cols>
          <w:pgMar w:left="220" w:top="617" w:right="1440" w:bottom="1440" w:gutter="0" w:footer="0" w:header="0"/>
          <w:type w:val="continuous"/>
        </w:sectPr>
      </w:pPr>
    </w:p>
    <w:bookmarkStart w:id="2" w:name="page3"/>
    <w:bookmarkEnd w:id="2"/>
    <w:p>
      <w:pPr>
        <w:ind w:left="5960"/>
        <w:spacing w:after="0"/>
        <w:rPr>
          <w:sz w:val="20"/>
          <w:szCs w:val="20"/>
          <w:color w:val="auto"/>
        </w:rPr>
      </w:pPr>
      <w:r>
        <w:rPr>
          <w:rFonts w:ascii="Courier New" w:cs="Courier New" w:eastAsia="Courier New" w:hAnsi="Courier New"/>
          <w:sz w:val="14"/>
          <w:szCs w:val="14"/>
          <w:color w:val="auto"/>
        </w:rPr>
        <w:t>Exhibit 99.1</w:t>
      </w:r>
    </w:p>
    <w:p>
      <w:pPr>
        <w:spacing w:after="0" w:line="17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TOWER SEMICONDUCTOR LTD. ANNOUNCES SECOND QUARTER AND SIX MONTHS 2004 RESULTS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Quarterly Revenues Increased 161 Percent Year-Over-Year</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24 Percent Sequentially</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MIGDAL HAEMEK, Israel - July 21, 2004 - Tower Semiconductor Ltd. (NASDAQ: TSEM; TASE: TSEM) today announced results for the second quarter and six months ended June 30, 2004.</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Revenues for the second quarter of 2004 totaled $33.7 million, an increase of 161 percent over $12.9 million reported in the second quarter of 2003 and an increase of 24 percent over revenues of $27.2 million in the first quarter of 2004.</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loss in the second quarter narrowed to $36.5 million, or $0.55 per share, compared to a loss of $38.5 million, or $0.61 per share, for the first quarter of the year. In the second quarter of 2003 the company reported a net loss of $16.8 million, or $0.37 per share.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Revenues for the six months ended June 30, 2004, were $60.9 million, an increase of 139 percent over revenues of $25.5 million for the six months ended June 30, 2003. The company reported a loss of $75.0 million, or $1.16 per share, compared with a loss of $31.2 million, or $0.70 per share, in the six months ended June 30, 2003.</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Tower said the second quarter and first half losses reflect the high investment made in Fab 2 and its resulting depreciation, and that it is on course toward positive EBITDA by year-end. The company expects Q-3 2004 revenues to be in the range of $35 million and $38 million.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 am very pleased that we were able to achieve our performance goals this quarter for both Fab 1 and Fab 2," said Carmel Vernia, Tower's chairman and chief executive officer. "Fab 1 is profitable, and its utilization continues to increase. Fab 2 is still expected to reach 14,000 installed capacity by year-end and we continue to experience higher demand than our current installed capacity from virtually all markets, especially for consumer devices, which results in strong revenue growth."</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"Progress was also made in our specialized technologies, with the receipt of our first customer commitment for 0.18-micron embedded flash. Additionally, we shipped first product samples of 0.18-micron CMOS image sensors to two customers and started development work for the RFID tag market, combining our know how and expertise in two of our specialized areas - embedded NVM and mixed signal technologies. We have also continued to execute per plan on our 0.13-micron technology transfer and infrastructure activities."</w:t>
      </w:r>
    </w:p>
    <w:p>
      <w:pPr>
        <w:spacing w:after="0" w:line="17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During the second quarter, the company received a Gold Supplier award for the fifth-consecutive year from Freescale Semiconductor Inc., a subsidiary of Motorola Inc.</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will host a conference call to discuss these results on Wednesday, July 21, 2004 at 11:00 a.m. Eastern time / 18:00 Israel time. To participate, call 1-800-946-0712 (U.S. toll-free number) or 1-719-457-2641 (international) and mention ID code: TOWER. Callers in Israel are invited to call locally, at 03-918-0610. The conference call also will be Webcast live at www.companyboardroom.com and at www.towersemi.com. The call will be available on both Web sites for replay for 90 days.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Tower Semiconductor Ltd. is a pure-play independent wafer foundry established in 1993. The company manufactures integrated circuits with geometries ranging from 1.0 to 0.18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3" w:lineRule="exact"/>
        <w:rPr>
          <w:sz w:val="20"/>
          <w:szCs w:val="20"/>
          <w:color w:val="auto"/>
        </w:rPr>
      </w:pPr>
    </w:p>
    <w:p>
      <w:pPr>
        <w:ind w:right="3239" w:firstLine="10"/>
        <w:spacing w:after="0" w:line="255" w:lineRule="auto"/>
        <w:tabs>
          <w:tab w:leader="none" w:pos="3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capitalize on increases in demand for foundry services, (vi) meeting the conditions to receive Israeli government grants and tax benefits approved for Fab 2 and obtaining the approval of the Israeli Investment Center to extend the five-year investment period under our Fab 2 approved enterprise program and of amendments to our modified business plan, (vii) attracting additional customers, (viii) not receiving orders from our wafer partners and technology providers, (ix) failing to maintain and develop our technology processes and services, (x) competing effectively, (xi) our large amount of debt and our satisfying the covenants set forth in our amended facility agreement, and (xii) achieving acceptable device yields, product performance and delivery times. A more complete discussion of risks and uncertainties that may affect the</w:t>
      </w:r>
    </w:p>
    <w:p>
      <w:pPr>
        <w:sectPr>
          <w:pgSz w:w="11900" w:h="16838" w:orient="portrait"/>
          <w:cols w:equalWidth="0" w:num="1">
            <w:col w:w="10239"/>
          </w:cols>
          <w:pgMar w:left="220" w:top="141" w:right="1440" w:bottom="0" w:gutter="0" w:footer="0" w:header="0"/>
        </w:sectPr>
      </w:pPr>
    </w:p>
    <w:bookmarkStart w:id="3" w:name="page4"/>
    <w:bookmarkEnd w:id="3"/>
    <w:p>
      <w:pPr>
        <w:ind w:right="3399"/>
        <w:spacing w:after="0" w:line="236" w:lineRule="auto"/>
        <w:rPr>
          <w:sz w:val="20"/>
          <w:szCs w:val="20"/>
          <w:color w:val="auto"/>
        </w:rPr>
      </w:pPr>
      <w:r>
        <w:rPr>
          <w:rFonts w:ascii="Courier New" w:cs="Courier New" w:eastAsia="Courier New" w:hAnsi="Courier New"/>
          <w:sz w:val="15"/>
          <w:szCs w:val="15"/>
          <w:color w:val="auto"/>
        </w:rPr>
        <w:t>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3"/>
              </w:rPr>
              <w:t># # #</w:t>
            </w:r>
          </w:p>
        </w:tc>
        <w:tc>
          <w:tcPr>
            <w:tcW w:w="2220" w:type="dxa"/>
            <w:vAlign w:val="bottom"/>
          </w:tcPr>
          <w:p>
            <w:pPr>
              <w:spacing w:after="0"/>
              <w:rPr>
                <w:sz w:val="14"/>
                <w:szCs w:val="14"/>
                <w:color w:val="auto"/>
              </w:rPr>
            </w:pPr>
          </w:p>
        </w:tc>
      </w:tr>
      <w:tr>
        <w:trPr>
          <w:trHeight w:val="336"/>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PR Agency Contact</w:t>
            </w:r>
          </w:p>
        </w:tc>
        <w:tc>
          <w:tcPr>
            <w:tcW w:w="27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Investor Relations Contact</w:t>
            </w:r>
          </w:p>
        </w:tc>
        <w:tc>
          <w:tcPr>
            <w:tcW w:w="2220" w:type="dxa"/>
            <w:vAlign w:val="bottom"/>
          </w:tcPr>
          <w:p>
            <w:pPr>
              <w:ind w:left="220"/>
              <w:spacing w:after="0"/>
              <w:rPr>
                <w:sz w:val="20"/>
                <w:szCs w:val="20"/>
                <w:color w:val="auto"/>
              </w:rPr>
            </w:pPr>
            <w:r>
              <w:rPr>
                <w:rFonts w:ascii="Courier New" w:cs="Courier New" w:eastAsia="Courier New" w:hAnsi="Courier New"/>
                <w:sz w:val="15"/>
                <w:szCs w:val="15"/>
                <w:color w:val="auto"/>
              </w:rPr>
              <w:t>Corporate Contact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Julie Lass</w:t>
            </w:r>
          </w:p>
        </w:tc>
        <w:tc>
          <w:tcPr>
            <w:tcW w:w="920" w:type="dxa"/>
            <w:vAlign w:val="bottom"/>
          </w:tcPr>
          <w:p>
            <w:pPr>
              <w:spacing w:after="0"/>
              <w:rPr>
                <w:sz w:val="14"/>
                <w:szCs w:val="14"/>
                <w:color w:val="auto"/>
              </w:rPr>
            </w:pPr>
          </w:p>
        </w:tc>
        <w:tc>
          <w:tcPr>
            <w:tcW w:w="27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Sheldon Lutch</w:t>
            </w:r>
          </w:p>
        </w:tc>
        <w:tc>
          <w:tcPr>
            <w:tcW w:w="2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Michael Axelrod</w:t>
            </w: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Loomis Group Fusion</w:t>
            </w:r>
          </w:p>
        </w:tc>
        <w:tc>
          <w:tcPr>
            <w:tcW w:w="27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IR &amp; Communications</w:t>
            </w:r>
          </w:p>
        </w:tc>
        <w:tc>
          <w:tcPr>
            <w:tcW w:w="2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Tower Semiconductor USA</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 (512) 328</w:t>
            </w: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8855</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 268</w:t>
            </w:r>
          </w:p>
        </w:tc>
        <w:tc>
          <w:tcPr>
            <w:tcW w:w="14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1816</w:t>
            </w:r>
          </w:p>
        </w:tc>
        <w:tc>
          <w:tcPr>
            <w:tcW w:w="2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 (408) 330 6871</w:t>
            </w: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lass@loomisgroup.com</w:t>
            </w:r>
          </w:p>
        </w:tc>
        <w:tc>
          <w:tcPr>
            <w:tcW w:w="27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sheldon@fusionir.com</w:t>
            </w:r>
          </w:p>
        </w:tc>
        <w:tc>
          <w:tcPr>
            <w:tcW w:w="2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pr@towersemi.com</w:t>
            </w:r>
          </w:p>
        </w:tc>
      </w:tr>
    </w:tbl>
    <w:p>
      <w:pPr>
        <w:sectPr>
          <w:pgSz w:w="11900" w:h="16838" w:orient="portrait"/>
          <w:cols w:equalWidth="0" w:num="1">
            <w:col w:w="10239"/>
          </w:cols>
          <w:pgMar w:left="220" w:top="141"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700" w:type="dxa"/>
            <w:vAlign w:val="bottom"/>
            <w:gridSpan w:val="3"/>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JUNE 30,</w:t>
            </w:r>
          </w:p>
        </w:tc>
        <w:tc>
          <w:tcPr>
            <w:tcW w:w="13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 S S E T 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19,115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42,279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44,042</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19,113</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11,631</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20,067</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25,712</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2,112</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128,398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100,305</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4,918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4,848</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10,918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10,848</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589,271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568,412</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ASSETS, NET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102,094</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108,770</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$ 830,681</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SHORT-TERM DEBT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51,082</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40,249</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8,853</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59,935</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49,813</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461,000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431,000</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25,508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25,783</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LIABILITY IN RESPECT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45,762</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46,347</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8,209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5,935</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600,414</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558,878</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ORDINARY SHARES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16,251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13,150</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517,041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427,881</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(293,927)</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(218,904)</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239,339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238,529</w:t>
            </w:r>
          </w:p>
        </w:tc>
      </w:tr>
      <w:tr>
        <w:trPr>
          <w:trHeight w:val="168"/>
        </w:trPr>
        <w:tc>
          <w:tcPr>
            <w:tcW w:w="5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230,267</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229,457</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$ 830,681</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53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tbl>
      <w:tblPr>
        <w:tblLayout w:type="fixed"/>
        <w:tblInd w:w="0" w:type="dxa"/>
        <w:tblCellMar>
          <w:top w:w="0" w:type="dxa"/>
          <w:left w:w="0" w:type="dxa"/>
          <w:bottom w:w="0" w:type="dxa"/>
          <w:right w:w="0" w:type="dxa"/>
        </w:tblCellMar>
      </w:tblPr>
      <w:tr>
        <w:trPr>
          <w:trHeight w:val="169"/>
        </w:trPr>
        <w:tc>
          <w:tcPr>
            <w:tcW w:w="6920" w:type="dxa"/>
            <w:vAlign w:val="bottom"/>
            <w:gridSpan w:val="5"/>
          </w:tcPr>
          <w:p>
            <w:pPr>
              <w:jc w:val="right"/>
              <w:ind w:right="70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Six months ended</w:t>
            </w:r>
          </w:p>
        </w:tc>
        <w:tc>
          <w:tcPr>
            <w:tcW w:w="400" w:type="dxa"/>
            <w:vAlign w:val="bottom"/>
          </w:tcPr>
          <w:p>
            <w:pPr>
              <w:spacing w:after="0"/>
              <w:rPr>
                <w:sz w:val="24"/>
                <w:szCs w:val="24"/>
                <w:color w:val="auto"/>
              </w:rPr>
            </w:pPr>
          </w:p>
        </w:tc>
        <w:tc>
          <w:tcPr>
            <w:tcW w:w="21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w w:val="98"/>
              </w:rPr>
              <w:t>Three months ended</w:t>
            </w:r>
          </w:p>
        </w:tc>
      </w:tr>
      <w:tr>
        <w:trPr>
          <w:trHeight w:val="168"/>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1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9"/>
              </w:rPr>
              <w:t>2004</w:t>
            </w:r>
          </w:p>
        </w:tc>
        <w:tc>
          <w:tcPr>
            <w:tcW w:w="14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2003</w:t>
            </w:r>
          </w:p>
        </w:tc>
        <w:tc>
          <w:tcPr>
            <w:tcW w:w="40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c>
          <w:tcPr>
            <w:tcW w:w="14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2003</w:t>
            </w:r>
          </w:p>
        </w:tc>
      </w:tr>
      <w:tr>
        <w:trPr>
          <w:trHeight w:val="168"/>
        </w:trPr>
        <w:tc>
          <w:tcPr>
            <w:tcW w:w="412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60,899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25,471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33,652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12,879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104,399</w:t>
            </w:r>
          </w:p>
        </w:tc>
        <w:tc>
          <w:tcPr>
            <w:tcW w:w="1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37,268</w:t>
            </w:r>
          </w:p>
        </w:tc>
        <w:tc>
          <w:tcPr>
            <w:tcW w:w="40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54,250</w:t>
            </w:r>
          </w:p>
        </w:tc>
        <w:tc>
          <w:tcPr>
            <w:tcW w:w="14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19,334</w:t>
            </w:r>
          </w:p>
        </w:tc>
      </w:tr>
      <w:tr>
        <w:trPr>
          <w:trHeight w:val="168"/>
        </w:trPr>
        <w:tc>
          <w:tcPr>
            <w:tcW w:w="412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GROSS LOSS</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(43,500)</w:t>
            </w:r>
          </w:p>
        </w:tc>
        <w:tc>
          <w:tcPr>
            <w:tcW w:w="1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(11,797)</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(20,598)</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(6,455)</w:t>
            </w:r>
          </w:p>
        </w:tc>
      </w:tr>
      <w:tr>
        <w:trPr>
          <w:trHeight w:val="168"/>
        </w:trPr>
        <w:tc>
          <w:tcPr>
            <w:tcW w:w="412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1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7,256</w:t>
            </w:r>
          </w:p>
        </w:tc>
        <w:tc>
          <w:tcPr>
            <w:tcW w:w="1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8,656</w:t>
            </w:r>
          </w:p>
        </w:tc>
        <w:tc>
          <w:tcPr>
            <w:tcW w:w="40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3,751</w:t>
            </w:r>
          </w:p>
        </w:tc>
        <w:tc>
          <w:tcPr>
            <w:tcW w:w="14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4,799</w:t>
            </w:r>
          </w:p>
        </w:tc>
      </w:tr>
      <w:tr>
        <w:trPr>
          <w:trHeight w:val="168"/>
        </w:trPr>
        <w:tc>
          <w:tcPr>
            <w:tcW w:w="41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40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11,021</w:t>
            </w:r>
          </w:p>
        </w:tc>
        <w:tc>
          <w:tcPr>
            <w:tcW w:w="1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10,764</w:t>
            </w:r>
          </w:p>
        </w:tc>
        <w:tc>
          <w:tcPr>
            <w:tcW w:w="40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5,430</w:t>
            </w:r>
          </w:p>
        </w:tc>
        <w:tc>
          <w:tcPr>
            <w:tcW w:w="14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5,120</w:t>
            </w:r>
          </w:p>
        </w:tc>
      </w:tr>
      <w:tr>
        <w:trPr>
          <w:trHeight w:val="168"/>
        </w:trPr>
        <w:tc>
          <w:tcPr>
            <w:tcW w:w="412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18,277</w:t>
            </w:r>
          </w:p>
        </w:tc>
        <w:tc>
          <w:tcPr>
            <w:tcW w:w="1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19,420</w:t>
            </w:r>
          </w:p>
        </w:tc>
        <w:tc>
          <w:tcPr>
            <w:tcW w:w="40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9,181</w:t>
            </w:r>
          </w:p>
        </w:tc>
        <w:tc>
          <w:tcPr>
            <w:tcW w:w="14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9,919</w:t>
            </w:r>
          </w:p>
        </w:tc>
      </w:tr>
      <w:tr>
        <w:trPr>
          <w:trHeight w:val="168"/>
        </w:trPr>
        <w:tc>
          <w:tcPr>
            <w:tcW w:w="412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OPERATING LOSS</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(61,777)</w:t>
            </w:r>
          </w:p>
        </w:tc>
        <w:tc>
          <w:tcPr>
            <w:tcW w:w="1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(31,217)</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(29,779)</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(16,374)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EXPENSE, NET</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(13,340)</w:t>
            </w:r>
          </w:p>
        </w:tc>
        <w:tc>
          <w:tcPr>
            <w:tcW w:w="1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(6,809)</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40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94</w:t>
            </w:r>
          </w:p>
        </w:tc>
        <w:tc>
          <w:tcPr>
            <w:tcW w:w="1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w:t>
            </w:r>
          </w:p>
        </w:tc>
        <w:tc>
          <w:tcPr>
            <w:tcW w:w="40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56</w:t>
            </w:r>
          </w:p>
        </w:tc>
        <w:tc>
          <w:tcPr>
            <w:tcW w:w="14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12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1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(75,023)</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 (31,180)</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(36,532)</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(16,830)</w:t>
            </w:r>
          </w:p>
        </w:tc>
      </w:tr>
      <w:tr>
        <w:trPr>
          <w:trHeight w:val="168"/>
        </w:trPr>
        <w:tc>
          <w:tcPr>
            <w:tcW w:w="412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ORDINARY SHARE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1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 Loss per share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(0.37)</w:t>
            </w:r>
          </w:p>
        </w:tc>
      </w:tr>
      <w:tr>
        <w:trPr>
          <w:trHeight w:val="168"/>
        </w:trPr>
        <w:tc>
          <w:tcPr>
            <w:tcW w:w="412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3239" w:hanging="530"/>
        <w:spacing w:after="0" w:line="258" w:lineRule="auto"/>
        <w:tabs>
          <w:tab w:leader="none" w:pos="5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and diluted loss per share in accordance with U.S. GAAP would be $1.18 and $0.56 for the six and three months ended June 30, 2004 [$0.70 and $0.37 in the six and three months ended June 30, 2003, respectively].</w:t>
      </w:r>
    </w:p>
    <w:p>
      <w:pPr>
        <w:sectPr>
          <w:pgSz w:w="11900" w:h="16838" w:orient="portrait"/>
          <w:cols w:equalWidth="0" w:num="1">
            <w:col w:w="10239"/>
          </w:cols>
          <w:pgMar w:left="220" w:top="617" w:right="1440" w:bottom="1440" w:gutter="0" w:footer="0" w:header="0"/>
        </w:sectPr>
      </w:pPr>
    </w:p>
    <w:bookmarkStart w:id="6" w:name="page7"/>
    <w:bookmarkEnd w:id="6"/>
    <w:p>
      <w:pPr>
        <w:jc w:val="center"/>
        <w:ind w:right="3139"/>
        <w:spacing w:after="0"/>
        <w:rPr>
          <w:sz w:val="20"/>
          <w:szCs w:val="20"/>
          <w:color w:val="auto"/>
        </w:rPr>
      </w:pPr>
      <w:r>
        <w:rPr>
          <w:rFonts w:ascii="Courier New" w:cs="Courier New" w:eastAsia="Courier New" w:hAnsi="Courier New"/>
          <w:sz w:val="14"/>
          <w:szCs w:val="14"/>
          <w:color w:val="auto"/>
        </w:rPr>
        <w:t>TOWER SEMICONDUCTOR LTD. AND SUBSIDIARY</w:t>
      </w:r>
    </w:p>
    <w:p>
      <w:pPr>
        <w:spacing w:after="0" w:line="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UNAUDITED CONDENSED INTERIM</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AS OF JUNE 30, 2004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INDEX TO UNAUDITED CONDENSED INTERIM</w:t>
      </w:r>
    </w:p>
    <w:tbl>
      <w:tblPr>
        <w:tblLayout w:type="fixed"/>
        <w:tblInd w:w="0" w:type="dxa"/>
        <w:tblCellMar>
          <w:top w:w="0" w:type="dxa"/>
          <w:left w:w="0" w:type="dxa"/>
          <w:bottom w:w="0" w:type="dxa"/>
          <w:right w:w="0" w:type="dxa"/>
        </w:tblCellMar>
      </w:tblPr>
      <w:tr>
        <w:trPr>
          <w:trHeight w:val="168"/>
        </w:trPr>
        <w:tc>
          <w:tcPr>
            <w:tcW w:w="5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 FINANCIAL STATEMENTS</w:t>
            </w:r>
          </w:p>
        </w:tc>
      </w:tr>
      <w:tr>
        <w:trPr>
          <w:trHeight w:val="168"/>
        </w:trPr>
        <w:tc>
          <w:tcPr>
            <w:tcW w:w="50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AS OF JUNE 30, 2004</w:t>
            </w:r>
          </w:p>
        </w:tc>
      </w:tr>
      <w:tr>
        <w:trPr>
          <w:trHeight w:val="336"/>
        </w:trPr>
        <w:tc>
          <w:tcPr>
            <w:tcW w:w="404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ACCOUNTANTS' REVIEW REPORT</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STATEMENTS OF CHANGES IN SHAREHOLDERS' EQUITY</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6-14</w:t>
            </w:r>
          </w:p>
        </w:tc>
      </w:tr>
    </w:tbl>
    <w:p>
      <w:pPr>
        <w:sectPr>
          <w:pgSz w:w="11900" w:h="16838" w:orient="portrait"/>
          <w:cols w:equalWidth="0" w:num="1">
            <w:col w:w="10239"/>
          </w:cols>
          <w:pgMar w:left="220" w:top="14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Tower Semiconductor Ltd.</w:t>
      </w:r>
    </w:p>
    <w:p>
      <w:pPr>
        <w:spacing w:after="0" w:line="238" w:lineRule="auto"/>
        <w:rPr>
          <w:sz w:val="20"/>
          <w:szCs w:val="20"/>
          <w:color w:val="auto"/>
        </w:rPr>
      </w:pPr>
      <w:r>
        <w:rPr>
          <w:rFonts w:ascii="Courier New" w:cs="Courier New" w:eastAsia="Courier New" w:hAnsi="Courier New"/>
          <w:sz w:val="15"/>
          <w:szCs w:val="15"/>
          <w:color w:val="auto"/>
        </w:rPr>
        <w:t>Migdal Ha'emek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ind w:left="700"/>
        <w:spacing w:after="0" w:line="237" w:lineRule="auto"/>
        <w:tabs>
          <w:tab w:leader="none" w:pos="1220" w:val="left"/>
        </w:tabs>
        <w:rPr>
          <w:sz w:val="20"/>
          <w:szCs w:val="20"/>
          <w:color w:val="auto"/>
        </w:rPr>
      </w:pPr>
      <w:r>
        <w:rPr>
          <w:rFonts w:ascii="Courier New" w:cs="Courier New" w:eastAsia="Courier New" w:hAnsi="Courier New"/>
          <w:sz w:val="15"/>
          <w:szCs w:val="15"/>
          <w:color w:val="auto"/>
        </w:rPr>
        <w:t>Re:</w:t>
        <w:tab/>
        <w:t>Review of Unaudited Condensed Interim</w:t>
      </w:r>
    </w:p>
    <w:p>
      <w:pPr>
        <w:ind w:left="1240"/>
        <w:spacing w:after="0" w:line="238" w:lineRule="auto"/>
        <w:rPr>
          <w:sz w:val="20"/>
          <w:szCs w:val="20"/>
          <w:color w:val="auto"/>
        </w:rPr>
      </w:pPr>
      <w:r>
        <w:rPr>
          <w:rFonts w:ascii="Courier New" w:cs="Courier New" w:eastAsia="Courier New" w:hAnsi="Courier New"/>
          <w:sz w:val="15"/>
          <w:szCs w:val="15"/>
          <w:color w:val="auto"/>
        </w:rPr>
        <w:t>Consolidated Financial Statements as of June 30, 2004</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("the Company") and its subsidiary, as follows:</w:t>
      </w:r>
    </w:p>
    <w:p>
      <w:pPr>
        <w:spacing w:after="0" w:line="167"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Balance sheet as of June 30, 2004.</w:t>
      </w:r>
    </w:p>
    <w:p>
      <w:pPr>
        <w:spacing w:after="0" w:line="172" w:lineRule="exact"/>
        <w:rPr>
          <w:rFonts w:ascii="Courier New" w:cs="Courier New" w:eastAsia="Courier New" w:hAnsi="Courier New"/>
          <w:sz w:val="15"/>
          <w:szCs w:val="15"/>
          <w:color w:val="auto"/>
        </w:rPr>
      </w:pPr>
    </w:p>
    <w:p>
      <w:pPr>
        <w:ind w:right="3319" w:firstLine="10"/>
        <w:spacing w:after="0" w:line="234" w:lineRule="auto"/>
        <w:tabs>
          <w:tab w:leader="none" w:pos="1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Statements of operations for the six months and three months ended June 30, 2004.</w:t>
      </w:r>
    </w:p>
    <w:p>
      <w:pPr>
        <w:spacing w:after="0" w:line="173" w:lineRule="exact"/>
        <w:rPr>
          <w:rFonts w:ascii="Courier New" w:cs="Courier New" w:eastAsia="Courier New" w:hAnsi="Courier New"/>
          <w:sz w:val="15"/>
          <w:szCs w:val="15"/>
          <w:color w:val="auto"/>
        </w:rPr>
      </w:pPr>
    </w:p>
    <w:p>
      <w:pPr>
        <w:ind w:right="3399" w:firstLine="10"/>
        <w:spacing w:after="0" w:line="234" w:lineRule="auto"/>
        <w:tabs>
          <w:tab w:leader="none" w:pos="1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Statements of changes in shareholders' equity for the six months and three months ended June 30, 2004.</w:t>
      </w:r>
    </w:p>
    <w:p>
      <w:pPr>
        <w:spacing w:after="0" w:line="173" w:lineRule="exact"/>
        <w:rPr>
          <w:rFonts w:ascii="Courier New" w:cs="Courier New" w:eastAsia="Courier New" w:hAnsi="Courier New"/>
          <w:sz w:val="15"/>
          <w:szCs w:val="15"/>
          <w:color w:val="auto"/>
        </w:rPr>
      </w:pPr>
    </w:p>
    <w:p>
      <w:pPr>
        <w:ind w:right="3319" w:firstLine="10"/>
        <w:spacing w:after="0" w:line="234" w:lineRule="auto"/>
        <w:tabs>
          <w:tab w:leader="none" w:pos="1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Statements of cash flows for the six months and three months ended June 30, 2004.</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periods presented is summarized in Note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Firm of Deloitte Touche Tohmatsu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July 21, 2004</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617" w:right="1440" w:bottom="1440" w:gutter="0" w:footer="0" w:header="0"/>
        </w:sectPr>
      </w:pPr>
    </w:p>
    <w:bookmarkStart w:id="8" w:name="page9"/>
    <w:bookmarkEnd w:id="8"/>
    <w:p>
      <w:pPr>
        <w:jc w:val="center"/>
        <w:ind w:right="38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84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6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As of June 30,</w:t>
            </w:r>
          </w:p>
        </w:tc>
        <w:tc>
          <w:tcPr>
            <w:tcW w:w="13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6840" w:type="dxa"/>
            <w:vAlign w:val="bottom"/>
          </w:tcPr>
          <w:p>
            <w:pPr>
              <w:spacing w:after="0"/>
              <w:rPr>
                <w:sz w:val="14"/>
                <w:szCs w:val="14"/>
                <w:color w:val="auto"/>
              </w:rPr>
            </w:pPr>
          </w:p>
        </w:tc>
        <w:tc>
          <w:tcPr>
            <w:tcW w:w="280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840" w:type="dxa"/>
            <w:vAlign w:val="bottom"/>
          </w:tcPr>
          <w:p>
            <w:pPr>
              <w:spacing w:after="0"/>
              <w:rPr>
                <w:sz w:val="14"/>
                <w:szCs w:val="14"/>
                <w:color w:val="auto"/>
              </w:rPr>
            </w:pPr>
          </w:p>
        </w:tc>
        <w:tc>
          <w:tcPr>
            <w:tcW w:w="280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19,115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12,277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5,000</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42,279</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2,021</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44,042</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doubtful accounts of $0, $71 and $0, respectively)</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19,113</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5,441</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11,631</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20,067</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20,717</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25,712</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13,275</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2,112</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2,455</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128,398</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61,186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100,305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4,918</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12,437</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4,848</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6,000</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6,000</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10,918</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18,437</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10,848</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589,271</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574,196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568,412</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 NET</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102,094</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107,823</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108,770</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$ 830,681</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$ 761,642</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debt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51,082</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79,810</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40,249</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8,853</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9,322</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59,935</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93,132</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49,813</w:t>
            </w:r>
          </w:p>
        </w:tc>
      </w:tr>
      <w:tr>
        <w:trPr>
          <w:trHeight w:val="336"/>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461,000</w:t>
            </w:r>
          </w:p>
        </w:tc>
        <w:tc>
          <w:tcPr>
            <w:tcW w:w="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308,000</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431,000</w:t>
            </w:r>
          </w:p>
        </w:tc>
      </w:tr>
      <w:tr>
        <w:trPr>
          <w:trHeight w:val="336"/>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25,508</w:t>
            </w:r>
          </w:p>
        </w:tc>
        <w:tc>
          <w:tcPr>
            <w:tcW w:w="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26,549</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25,783</w:t>
            </w:r>
          </w:p>
        </w:tc>
      </w:tr>
      <w:tr>
        <w:trPr>
          <w:trHeight w:val="336"/>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45,762</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47,246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46,347</w:t>
            </w:r>
          </w:p>
        </w:tc>
      </w:tr>
      <w:tr>
        <w:trPr>
          <w:trHeight w:val="336"/>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8,209</w:t>
            </w:r>
          </w:p>
        </w:tc>
        <w:tc>
          <w:tcPr>
            <w:tcW w:w="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6,011</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5,935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600,414</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480,938</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558,878</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1.00 par value - authorized 150,000,000,</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100,000,000 and 150,000,000 shares, respectively;</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 66,894,593, 49,241,064 and 52,996,097 shares, respectively</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16,251</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12,291</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13,150</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517,041</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413,334</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427,881</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3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3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(293,927)</w:t>
            </w:r>
          </w:p>
        </w:tc>
        <w:tc>
          <w:tcPr>
            <w:tcW w:w="3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(135,823)</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(218,904)</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239,339</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289,776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238,529</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3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(9,072)</w:t>
            </w:r>
          </w:p>
        </w:tc>
        <w:tc>
          <w:tcPr>
            <w:tcW w:w="34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(9,072)</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230,267</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280,704</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229,457</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$ 830,681</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$ 761,642</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940"/>
          </w:cols>
          <w:pgMar w:left="220" w:top="617" w:right="739" w:bottom="1440" w:gutter="0" w:footer="0" w:header="0"/>
        </w:sectPr>
      </w:pPr>
    </w:p>
    <w:bookmarkStart w:id="9" w:name="page10"/>
    <w:bookmarkEnd w:id="9"/>
    <w:p>
      <w:pPr>
        <w:jc w:val="center"/>
        <w:ind w:right="358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58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tbl>
      <w:tblPr>
        <w:tblLayout w:type="fixed"/>
        <w:tblInd w:w="0" w:type="dxa"/>
        <w:tblCellMar>
          <w:top w:w="0" w:type="dxa"/>
          <w:left w:w="0" w:type="dxa"/>
          <w:bottom w:w="0" w:type="dxa"/>
          <w:right w:w="0" w:type="dxa"/>
        </w:tblCellMar>
      </w:tblPr>
      <w:tr>
        <w:trPr>
          <w:trHeight w:val="169"/>
        </w:trPr>
        <w:tc>
          <w:tcPr>
            <w:tcW w:w="6660" w:type="dxa"/>
            <w:vAlign w:val="bottom"/>
            <w:gridSpan w:val="5"/>
          </w:tcPr>
          <w:p>
            <w:pPr>
              <w:jc w:val="right"/>
              <w:ind w:right="44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c>
          <w:tcPr>
            <w:tcW w:w="400" w:type="dxa"/>
            <w:vAlign w:val="bottom"/>
          </w:tcPr>
          <w:p>
            <w:pPr>
              <w:spacing w:after="0"/>
              <w:rPr>
                <w:sz w:val="24"/>
                <w:szCs w:val="24"/>
                <w:color w:val="auto"/>
              </w:rPr>
            </w:pPr>
          </w:p>
        </w:tc>
        <w:tc>
          <w:tcPr>
            <w:tcW w:w="226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Three months ended</w:t>
            </w:r>
          </w:p>
        </w:tc>
        <w:tc>
          <w:tcPr>
            <w:tcW w:w="1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June 30,</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860" w:type="dxa"/>
            <w:vAlign w:val="bottom"/>
          </w:tcPr>
          <w:p>
            <w:pPr>
              <w:spacing w:after="0"/>
              <w:rPr>
                <w:sz w:val="14"/>
                <w:szCs w:val="14"/>
                <w:color w:val="auto"/>
              </w:rPr>
            </w:pPr>
          </w:p>
        </w:tc>
        <w:tc>
          <w:tcPr>
            <w:tcW w:w="280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2003</w:t>
            </w:r>
          </w:p>
        </w:tc>
        <w:tc>
          <w:tcPr>
            <w:tcW w:w="400" w:type="dxa"/>
            <w:vAlign w:val="bottom"/>
          </w:tcPr>
          <w:p>
            <w:pPr>
              <w:spacing w:after="0"/>
              <w:rPr>
                <w:sz w:val="14"/>
                <w:szCs w:val="14"/>
                <w:color w:val="auto"/>
              </w:rPr>
            </w:pPr>
          </w:p>
        </w:tc>
        <w:tc>
          <w:tcPr>
            <w:tcW w:w="12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2004</w:t>
            </w:r>
          </w:p>
        </w:tc>
        <w:tc>
          <w:tcPr>
            <w:tcW w:w="2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2003</w:t>
            </w:r>
          </w:p>
        </w:tc>
        <w:tc>
          <w:tcPr>
            <w:tcW w:w="48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2003</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280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60,899</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25,471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33,652</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12,879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61,368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104,399</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37,268</w:t>
            </w:r>
          </w:p>
        </w:tc>
        <w:tc>
          <w:tcPr>
            <w:tcW w:w="40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54,250</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19,334</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122,395</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GROSS LOSS</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(43,500)</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(11,797)</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(20,598)</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(6,455)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(61,027)</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7,256</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8,656</w:t>
            </w:r>
          </w:p>
        </w:tc>
        <w:tc>
          <w:tcPr>
            <w:tcW w:w="40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3,751</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4,799</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20,709</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40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11,021</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10,764</w:t>
            </w:r>
          </w:p>
        </w:tc>
        <w:tc>
          <w:tcPr>
            <w:tcW w:w="40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5,430</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5,120</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22,615</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18,277</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19,420</w:t>
            </w:r>
          </w:p>
        </w:tc>
        <w:tc>
          <w:tcPr>
            <w:tcW w:w="40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9,181</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9,919</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43,324</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LOSS</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(61,777)</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(31,217)</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(29,779)</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(16,374)</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(104,351)</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4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(13,340)</w:t>
            </w:r>
          </w:p>
        </w:tc>
        <w:tc>
          <w:tcPr>
            <w:tcW w:w="4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w:t>
            </w:r>
          </w:p>
        </w:tc>
        <w:tc>
          <w:tcPr>
            <w:tcW w:w="400" w:type="dxa"/>
            <w:vAlign w:val="bottom"/>
          </w:tcPr>
          <w:p>
            <w:pPr>
              <w:spacing w:after="0"/>
              <w:rPr>
                <w:sz w:val="24"/>
                <w:szCs w:val="2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(6,809)</w:t>
            </w:r>
          </w:p>
        </w:tc>
        <w:tc>
          <w:tcPr>
            <w:tcW w:w="2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(515)</w:t>
            </w:r>
          </w:p>
        </w:tc>
        <w:tc>
          <w:tcPr>
            <w:tcW w:w="4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(9,826)</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40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w:t>
            </w:r>
          </w:p>
        </w:tc>
        <w:tc>
          <w:tcPr>
            <w:tcW w:w="400" w:type="dxa"/>
            <w:vAlign w:val="bottom"/>
          </w:tcPr>
          <w:p>
            <w:pPr>
              <w:spacing w:after="0"/>
              <w:rPr>
                <w:sz w:val="24"/>
                <w:szCs w:val="24"/>
                <w:color w:val="auto"/>
              </w:rPr>
            </w:pPr>
          </w:p>
        </w:tc>
        <w:tc>
          <w:tcPr>
            <w:tcW w:w="1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4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(75,023)</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(31,180)</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(36,532)</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(16,830)</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ORDINARY SHARE</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per share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used to compute</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(75,009)</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(31,180)</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(36,525)</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(16,830)</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$(114,114)</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Weighted average number of ordinary</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40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64,812</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44,481</w:t>
            </w:r>
          </w:p>
        </w:tc>
        <w:tc>
          <w:tcPr>
            <w:tcW w:w="40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66,632</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45,515</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47,608</w:t>
            </w:r>
          </w:p>
        </w:tc>
      </w:tr>
      <w:tr>
        <w:trPr>
          <w:trHeight w:val="168"/>
        </w:trPr>
        <w:tc>
          <w:tcPr>
            <w:tcW w:w="386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680"/>
          </w:cols>
          <w:pgMar w:left="220" w:top="617" w:right="999" w:bottom="1440" w:gutter="0" w:footer="0" w:header="0"/>
        </w:sectPr>
      </w:pPr>
    </w:p>
    <w:bookmarkStart w:id="10" w:name="page11"/>
    <w:bookmarkEnd w:id="10"/>
    <w:p>
      <w:pPr>
        <w:jc w:val="center"/>
        <w:ind w:right="4280"/>
        <w:spacing w:after="0"/>
        <w:rPr>
          <w:sz w:val="20"/>
          <w:szCs w:val="20"/>
          <w:color w:val="auto"/>
        </w:rPr>
      </w:pPr>
      <w:r>
        <w:rPr>
          <w:rFonts w:ascii="Courier New" w:cs="Courier New" w:eastAsia="Courier New" w:hAnsi="Courier New"/>
          <w:sz w:val="15"/>
          <w:szCs w:val="15"/>
          <w:color w:val="auto"/>
        </w:rPr>
        <w:t>TOWER SEMICONDUCTOR LTD.</w:t>
      </w:r>
    </w:p>
    <w:p>
      <w:pPr>
        <w:jc w:val="center"/>
        <w:ind w:right="4200"/>
        <w:spacing w:after="0" w:line="237" w:lineRule="auto"/>
        <w:rPr>
          <w:sz w:val="20"/>
          <w:szCs w:val="20"/>
          <w:color w:val="auto"/>
        </w:rPr>
      </w:pPr>
      <w:r>
        <w:rPr>
          <w:rFonts w:ascii="Courier New" w:cs="Courier New" w:eastAsia="Courier New" w:hAnsi="Courier New"/>
          <w:sz w:val="15"/>
          <w:szCs w:val="15"/>
          <w:color w:val="auto"/>
        </w:rPr>
        <w:t>STATEMENTS OF CHANGES IN SHAREHOLDERS' EQUITY</w:t>
      </w:r>
    </w:p>
    <w:tbl>
      <w:tblPr>
        <w:tblLayout w:type="fixed"/>
        <w:tblInd w:w="0" w:type="dxa"/>
        <w:tblCellMar>
          <w:top w:w="0" w:type="dxa"/>
          <w:left w:w="0" w:type="dxa"/>
          <w:bottom w:w="0" w:type="dxa"/>
          <w:right w:w="0" w:type="dxa"/>
        </w:tblCellMar>
      </w:tblPr>
      <w:tr>
        <w:trPr>
          <w:trHeight w:val="169"/>
        </w:trPr>
        <w:tc>
          <w:tcPr>
            <w:tcW w:w="6780" w:type="dxa"/>
            <w:vAlign w:val="bottom"/>
            <w:gridSpan w:val="7"/>
          </w:tcPr>
          <w:p>
            <w:pPr>
              <w:jc w:val="right"/>
              <w:ind w:right="56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9"/>
              </w:rPr>
              <w:t>Proceeds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88"/>
              </w:rPr>
              <w:t>on</w:t>
            </w: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Shareholder</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account</w:t>
            </w: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receivables</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18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Ordinary shares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Additional</w:t>
            </w:r>
          </w:p>
        </w:tc>
        <w:tc>
          <w:tcPr>
            <w:tcW w:w="22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of</w:t>
            </w: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and</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18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paid-in</w:t>
            </w:r>
          </w:p>
        </w:tc>
        <w:tc>
          <w:tcPr>
            <w:tcW w:w="2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share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unearned</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w:t>
            </w:r>
          </w:p>
        </w:tc>
        <w:tc>
          <w:tcPr>
            <w:tcW w:w="1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Treasury</w:t>
            </w:r>
          </w:p>
        </w:tc>
        <w:tc>
          <w:tcPr>
            <w:tcW w:w="9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hares</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w:t>
            </w: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94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2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 -----------</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52,996,097</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13,150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$427,881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16,428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(218,904)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$ 229,457</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Changes during six-month period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2,358,746</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15,979</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(16,428)</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related costs</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public offering</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11,444,500</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72,536</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95,250</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(75,023)</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(75,023)</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2004</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66,894,593</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16,251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$517,041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(293,927)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$ 230,267</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44,735,532</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11,294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$400,808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(104,643)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$ 298,334</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Changes during six-month period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 the Fab 2 constructor</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related costs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4,505,532</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12,381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13,378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(31,180)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(31,180)</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2003</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49,241,064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12,291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$413,334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(135,823)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$ 280,704</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BALANCE - APRIL 1, 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66,882,383</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16,248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$516,962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(257,395)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$ 266,717</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Changes during three-month</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 (unaudited):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11,960</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(36,532)</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(36,532)</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2004</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66,894,593</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16,251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$517,041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(293,927)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$ 230,267</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BALANCE - APRIL 1, 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44,735,532</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11,294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$400,887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(118,993)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$ 284,082</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Changes during three-month</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 (unaudited):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shares, net of</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related costs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4,505,532</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12,447</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13,444</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(16,830)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(16,830)</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2003</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49,241,064</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12,291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$413,334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(135,823)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$ 280,704</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44,735,532</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11,294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$400,808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(104,643)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$ 298,334</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Changes during 2003:</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 the Fab 2 constructor</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to the Facility Agreement with</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Banks</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related costs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8,260,565</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22,723</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24,579</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16,428</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(114,261)</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52,996,097</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$427,881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16,428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(218,904)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$ 229,457</w:t>
            </w:r>
          </w:p>
        </w:tc>
      </w:tr>
      <w:tr>
        <w:trPr>
          <w:trHeight w:val="168"/>
        </w:trPr>
        <w:tc>
          <w:tcPr>
            <w:tcW w:w="29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300"/>
          </w:cols>
          <w:pgMar w:left="220" w:top="617" w:right="379"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See notes to condensed interim consolidated financial statements.</w:t>
      </w:r>
    </w:p>
    <w:p>
      <w:pPr>
        <w:sectPr>
          <w:pgSz w:w="11900" w:h="16838" w:orient="portrait"/>
          <w:cols w:equalWidth="0" w:num="1">
            <w:col w:w="10239"/>
          </w:cols>
          <w:pgMar w:left="220" w:top="310" w:right="1440" w:bottom="1440" w:gutter="0" w:footer="0" w:header="0"/>
        </w:sectPr>
      </w:pPr>
    </w:p>
    <w:p>
      <w:pPr>
        <w:spacing w:after="0" w:line="3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310" w:right="1440" w:bottom="1440" w:gutter="0" w:footer="0" w:header="0"/>
          <w:type w:val="continuous"/>
        </w:sectPr>
      </w:pPr>
    </w:p>
    <w:bookmarkStart w:id="12" w:name="page13"/>
    <w:bookmarkEnd w:id="12"/>
    <w:p>
      <w:pPr>
        <w:jc w:val="center"/>
        <w:ind w:right="44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tbl>
      <w:tblPr>
        <w:tblLayout w:type="fixed"/>
        <w:tblInd w:w="0" w:type="dxa"/>
        <w:tblCellMar>
          <w:top w:w="0" w:type="dxa"/>
          <w:left w:w="0" w:type="dxa"/>
          <w:bottom w:w="0" w:type="dxa"/>
          <w:right w:w="0" w:type="dxa"/>
        </w:tblCellMar>
      </w:tblPr>
      <w:tr>
        <w:trPr>
          <w:trHeight w:val="169"/>
        </w:trPr>
        <w:tc>
          <w:tcPr>
            <w:tcW w:w="6840" w:type="dxa"/>
            <w:vAlign w:val="bottom"/>
            <w:gridSpan w:val="3"/>
          </w:tcPr>
          <w:p>
            <w:pPr>
              <w:jc w:val="right"/>
              <w:ind w:right="62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c>
          <w:tcPr>
            <w:tcW w:w="300" w:type="dxa"/>
            <w:vAlign w:val="bottom"/>
          </w:tcPr>
          <w:p>
            <w:pPr>
              <w:spacing w:after="0"/>
              <w:rPr>
                <w:sz w:val="24"/>
                <w:szCs w:val="24"/>
                <w:color w:val="auto"/>
              </w:rPr>
            </w:pPr>
          </w:p>
        </w:tc>
        <w:tc>
          <w:tcPr>
            <w:tcW w:w="20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Three months ended</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June 30,</w:t>
            </w:r>
          </w:p>
        </w:tc>
        <w:tc>
          <w:tcPr>
            <w:tcW w:w="300" w:type="dxa"/>
            <w:vAlign w:val="bottom"/>
          </w:tcPr>
          <w:p>
            <w:pPr>
              <w:spacing w:after="0"/>
              <w:rPr>
                <w:sz w:val="14"/>
                <w:szCs w:val="14"/>
                <w:color w:val="auto"/>
              </w:rPr>
            </w:pP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600" w:type="dxa"/>
            <w:vAlign w:val="bottom"/>
          </w:tcPr>
          <w:p>
            <w:pPr>
              <w:spacing w:after="0"/>
              <w:rPr>
                <w:sz w:val="14"/>
                <w:szCs w:val="14"/>
                <w:color w:val="auto"/>
              </w:rPr>
            </w:pPr>
          </w:p>
        </w:tc>
        <w:tc>
          <w:tcPr>
            <w:tcW w:w="246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2004</w:t>
            </w:r>
          </w:p>
        </w:tc>
        <w:tc>
          <w:tcPr>
            <w:tcW w:w="2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2004</w:t>
            </w:r>
          </w:p>
        </w:tc>
        <w:tc>
          <w:tcPr>
            <w:tcW w:w="1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14"/>
                <w:szCs w:val="14"/>
                <w:color w:val="auto"/>
              </w:rPr>
            </w:pPr>
          </w:p>
        </w:tc>
        <w:tc>
          <w:tcPr>
            <w:tcW w:w="206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246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OPERATING ACTIVITIES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600" w:type="dxa"/>
            <w:vAlign w:val="bottom"/>
          </w:tcPr>
          <w:p>
            <w:pPr>
              <w:ind w:left="280"/>
              <w:spacing w:after="0"/>
              <w:rPr>
                <w:sz w:val="20"/>
                <w:szCs w:val="20"/>
                <w:color w:val="auto"/>
              </w:rPr>
            </w:pPr>
            <w:r>
              <w:rPr>
                <w:rFonts w:ascii="Courier New" w:cs="Courier New" w:eastAsia="Courier New" w:hAnsi="Courier New"/>
                <w:sz w:val="15"/>
                <w:szCs w:val="15"/>
                <w:color w:val="auto"/>
              </w:rPr>
              <w:t>Loss for the period</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(75,023)</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(31,180)</w:t>
            </w:r>
          </w:p>
        </w:tc>
        <w:tc>
          <w:tcPr>
            <w:tcW w:w="1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(36,532)</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 (16,830)</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$(114,261)</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55,406</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8,878</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28,477</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4,207</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54,611</w:t>
            </w: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Effect of indexation and translation on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534</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w:t>
            </w: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w:t>
            </w:r>
          </w:p>
        </w:tc>
        <w:tc>
          <w:tcPr>
            <w:tcW w:w="3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w:t>
            </w: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(7,482)</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2,015</w:t>
            </w:r>
          </w:p>
        </w:tc>
        <w:tc>
          <w:tcPr>
            <w:tcW w:w="3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(3,558)</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1,259</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(4,175)</w:t>
            </w: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other receivables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and other current assets</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(649)</w:t>
            </w:r>
          </w:p>
        </w:tc>
        <w:tc>
          <w:tcPr>
            <w:tcW w:w="3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(1,420)</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1,898</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1,264</w:t>
            </w: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(6,330)</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3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(4,128)</w:t>
            </w: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(6,221)</w:t>
            </w: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trade accounts payable</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3,479</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3,864</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801</w:t>
            </w: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(726)</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1,225</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640</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1,733</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1,467</w:t>
            </w: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other long-term liabilities</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2,274</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605</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(32,030)</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(15,422)</w:t>
            </w:r>
          </w:p>
        </w:tc>
        <w:tc>
          <w:tcPr>
            <w:tcW w:w="3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(15,831)</w:t>
            </w: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(7,145)</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(66,779)</w:t>
            </w:r>
          </w:p>
        </w:tc>
      </w:tr>
      <w:tr>
        <w:trPr>
          <w:trHeight w:val="168"/>
        </w:trPr>
        <w:tc>
          <w:tcPr>
            <w:tcW w:w="5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long-term liability</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 respect of customers' advances</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(504)</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(32,534)</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(15,422)</w:t>
            </w:r>
          </w:p>
        </w:tc>
        <w:tc>
          <w:tcPr>
            <w:tcW w:w="3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(15,818)</w:t>
            </w: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(7,145)</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(67,678)</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600" w:type="dxa"/>
            <w:vAlign w:val="bottom"/>
          </w:tcPr>
          <w:p>
            <w:pPr>
              <w:ind w:left="280"/>
              <w:spacing w:after="0"/>
              <w:rPr>
                <w:sz w:val="20"/>
                <w:szCs w:val="20"/>
                <w:color w:val="auto"/>
              </w:rPr>
            </w:pPr>
            <w:r>
              <w:rPr>
                <w:rFonts w:ascii="Courier New" w:cs="Courier New" w:eastAsia="Courier New" w:hAnsi="Courier New"/>
                <w:sz w:val="15"/>
                <w:szCs w:val="15"/>
                <w:color w:val="auto"/>
                <w:w w:val="99"/>
              </w:rPr>
              <w:t>Decrease in cash, short-term and long-term interest-bearing</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deposits designated for investments relating to Fab 2</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1,693</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48,773</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35,802</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19,522</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14,341</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(80,287)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(103,664)</w:t>
            </w:r>
          </w:p>
        </w:tc>
        <w:tc>
          <w:tcPr>
            <w:tcW w:w="3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(55,033)</w:t>
            </w: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(55,631)</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(179,310)</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12,502</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17,356</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9,991</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10,636</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33,811</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(702)</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(16,497)</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(10,737)</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(22,098)</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deposits, net</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5,500</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(66,690)</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(48,468)</w:t>
            </w:r>
          </w:p>
        </w:tc>
        <w:tc>
          <w:tcPr>
            <w:tcW w:w="3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(6,174)</w:t>
            </w: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(32,153)</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(142,534)</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600" w:type="dxa"/>
            <w:vAlign w:val="bottom"/>
          </w:tcPr>
          <w:p>
            <w:pPr>
              <w:ind w:left="280"/>
              <w:spacing w:after="0"/>
              <w:rPr>
                <w:sz w:val="20"/>
                <w:szCs w:val="20"/>
                <w:color w:val="auto"/>
              </w:rPr>
            </w:pPr>
            <w:r>
              <w:rPr>
                <w:rFonts w:ascii="Courier New" w:cs="Courier New" w:eastAsia="Courier New" w:hAnsi="Courier New"/>
                <w:sz w:val="15"/>
                <w:szCs w:val="15"/>
                <w:color w:val="auto"/>
              </w:rPr>
              <w:t>Proceeds from (costs related to) issuance of shares, net</w:t>
            </w:r>
          </w:p>
        </w:tc>
        <w:tc>
          <w:tcPr>
            <w:tcW w:w="320" w:type="dxa"/>
            <w:vAlign w:val="bottom"/>
          </w:tcPr>
          <w:p>
            <w:pPr>
              <w:spacing w:after="0"/>
              <w:rPr>
                <w:sz w:val="24"/>
                <w:szCs w:val="24"/>
                <w:color w:val="auto"/>
              </w:rPr>
            </w:pP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75,225</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13,310</w:t>
            </w:r>
          </w:p>
        </w:tc>
        <w:tc>
          <w:tcPr>
            <w:tcW w:w="30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w:t>
            </w:r>
          </w:p>
        </w:tc>
        <w:tc>
          <w:tcPr>
            <w:tcW w:w="1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13,425</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24,375</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666</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(13,000)</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 net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connection with re-borrowing</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187,000</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30,000</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57,000</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27,000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105,891</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68,310</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29,761</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39,425</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214,803</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CASH AND CASH EQUIVALENTS</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6,667</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4,420</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7,769</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12,448</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7,857</w:t>
            </w: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11,346</w:t>
            </w: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12,150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 - END OF PERIOD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19,115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12,277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19,115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12,277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12,448</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ACTIVITIES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60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property and equipment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28,182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39,774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26,183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30,468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17,160</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Stock-based compensation related to</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Facility Agreement with the Banks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4,205</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7,374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3,153</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60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period for interest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11,977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7,879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5,446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15,674</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period for income taxes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5600" w:type="dxa"/>
            <w:vAlign w:val="bottom"/>
          </w:tcPr>
          <w:p>
            <w:pPr>
              <w:spacing w:after="0"/>
              <w:rPr>
                <w:sz w:val="14"/>
                <w:szCs w:val="14"/>
                <w:color w:val="auto"/>
              </w:rPr>
            </w:pPr>
          </w:p>
        </w:tc>
        <w:tc>
          <w:tcPr>
            <w:tcW w:w="12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1540"/>
          </w:cols>
          <w:pgMar w:left="220" w:top="617" w:right="139" w:bottom="180" w:gutter="0" w:footer="0" w:header="0"/>
        </w:sectPr>
      </w:pPr>
    </w:p>
    <w:bookmarkStart w:id="13" w:name="page14"/>
    <w:bookmarkEnd w:id="1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1 - BASIS OF PRESENTATION</w:t>
      </w:r>
    </w:p>
    <w:p>
      <w:pPr>
        <w:spacing w:after="0" w:line="173" w:lineRule="exact"/>
        <w:rPr>
          <w:sz w:val="20"/>
          <w:szCs w:val="20"/>
          <w:color w:val="auto"/>
        </w:rPr>
      </w:pPr>
    </w:p>
    <w:p>
      <w:pPr>
        <w:ind w:left="1060" w:right="3239" w:hanging="526"/>
        <w:spacing w:after="0" w:line="255" w:lineRule="auto"/>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June 30, 2004 and for the six months and three months then ended ("interim financial statements") of Tower Semiconductor Ltd. ("the Company") and subsidiary should be read in conjunction with the audited consolidated financial statements of the Company and subsidiary as of December 31, 2003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64" w:lineRule="exact"/>
        <w:rPr>
          <w:rFonts w:ascii="Courier New" w:cs="Courier New" w:eastAsia="Courier New" w:hAnsi="Courier New"/>
          <w:sz w:val="14"/>
          <w:szCs w:val="14"/>
          <w:color w:val="auto"/>
        </w:rPr>
      </w:pPr>
    </w:p>
    <w:p>
      <w:pPr>
        <w:ind w:left="1060" w:right="3239" w:hanging="526"/>
        <w:spacing w:after="0" w:line="236"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financial statements have been prepared in conformity with generally accepted accounting principles ("GAAP") in Israel, which, as applicable to these interim financial statements, differ in certain respects from GAAP in the United States of America ("U.S. GAAP"), as indicated in Note 5.</w:t>
      </w:r>
    </w:p>
    <w:p>
      <w:pPr>
        <w:spacing w:after="0" w:line="173" w:lineRule="exact"/>
        <w:rPr>
          <w:rFonts w:ascii="Courier New" w:cs="Courier New" w:eastAsia="Courier New" w:hAnsi="Courier New"/>
          <w:sz w:val="15"/>
          <w:szCs w:val="15"/>
          <w:color w:val="auto"/>
        </w:rPr>
      </w:pPr>
    </w:p>
    <w:p>
      <w:pPr>
        <w:ind w:left="106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w:t>
      </w:r>
    </w:p>
    <w:p>
      <w:pPr>
        <w:spacing w:after="0" w:line="172" w:lineRule="exact"/>
        <w:rPr>
          <w:rFonts w:ascii="Courier New" w:cs="Courier New" w:eastAsia="Courier New" w:hAnsi="Courier New"/>
          <w:sz w:val="15"/>
          <w:szCs w:val="15"/>
          <w:color w:val="auto"/>
        </w:rPr>
      </w:pPr>
    </w:p>
    <w:p>
      <w:pPr>
        <w:ind w:left="1060" w:right="34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w:t>
      </w:r>
    </w:p>
    <w:p>
      <w:pPr>
        <w:spacing w:after="0" w:line="1" w:lineRule="exact"/>
        <w:rPr>
          <w:rFonts w:ascii="Courier New" w:cs="Courier New" w:eastAsia="Courier New" w:hAnsi="Courier New"/>
          <w:sz w:val="15"/>
          <w:szCs w:val="15"/>
          <w:color w:val="auto"/>
        </w:rPr>
      </w:pPr>
    </w:p>
    <w:p>
      <w:pPr>
        <w:ind w:left="10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200-millimeter wafers. The Company has entered into several related agreements and other arrangements and has completed public and private financing deals, which, as of the approval date of the interim financial statements, have provided an aggregate of $1,226,100 of financing for Fab 2.</w:t>
      </w:r>
    </w:p>
    <w:p>
      <w:pPr>
        <w:spacing w:after="0" w:line="173"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2003, in which Fab 2 was substantially completed, the Company began commercial production and shipment of wafers to its customers utilizing the 0.18 micron process technology. With the commencement of Fab 2 operations, the Company began to depreciate and amortize Fab 2 assets, as well as to expense most of the ongoing direct costs related to the construction and equipping of Fab 2 and transfer of the Fab 2 technology that had been previously capitalized.</w:t>
      </w:r>
    </w:p>
    <w:p>
      <w:pPr>
        <w:spacing w:after="0" w:line="177"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Fab 2 project is a complex undertaking, which entails substantial risks and uncertainties. For further details concerning the Fab 2 project and related agreements, which were amended several times, risks and uncertainties, see Note 13A to the 2003 audited consolidated financial statements.</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617" w:right="1440" w:bottom="1440" w:gutter="0" w:footer="0" w:header="0"/>
        </w:sectPr>
      </w:pPr>
    </w:p>
    <w:bookmarkStart w:id="14" w:name="page15"/>
    <w:bookmarkEnd w:id="1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2 - MAJOR CUSTOMERS</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Sales to major customers as a percentage of total sales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Six</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months ended</w:t>
            </w:r>
          </w:p>
        </w:tc>
      </w:tr>
      <w:tr>
        <w:trPr>
          <w:trHeight w:val="168"/>
        </w:trPr>
        <w:tc>
          <w:tcPr>
            <w:tcW w:w="1940" w:type="dxa"/>
            <w:vAlign w:val="bottom"/>
          </w:tcPr>
          <w:p>
            <w:pPr>
              <w:spacing w:after="0"/>
              <w:rPr>
                <w:sz w:val="14"/>
                <w:szCs w:val="14"/>
                <w:color w:val="auto"/>
              </w:rPr>
            </w:pPr>
          </w:p>
        </w:tc>
        <w:tc>
          <w:tcPr>
            <w:tcW w:w="166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1940" w:type="dxa"/>
            <w:vAlign w:val="bottom"/>
          </w:tcPr>
          <w:p>
            <w:pPr>
              <w:spacing w:after="0"/>
              <w:rPr>
                <w:sz w:val="14"/>
                <w:szCs w:val="14"/>
                <w:color w:val="auto"/>
              </w:rPr>
            </w:pPr>
          </w:p>
        </w:tc>
        <w:tc>
          <w:tcPr>
            <w:tcW w:w="166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2004</w:t>
            </w:r>
          </w:p>
        </w:tc>
        <w:tc>
          <w:tcPr>
            <w:tcW w:w="26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2003</w:t>
            </w:r>
          </w:p>
        </w:tc>
      </w:tr>
      <w:tr>
        <w:trPr>
          <w:trHeight w:val="168"/>
        </w:trPr>
        <w:tc>
          <w:tcPr>
            <w:tcW w:w="1940" w:type="dxa"/>
            <w:vAlign w:val="bottom"/>
          </w:tcPr>
          <w:p>
            <w:pPr>
              <w:spacing w:after="0"/>
              <w:rPr>
                <w:sz w:val="14"/>
                <w:szCs w:val="14"/>
                <w:color w:val="auto"/>
              </w:rPr>
            </w:pP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940" w:type="dxa"/>
            <w:vAlign w:val="bottom"/>
          </w:tcPr>
          <w:p>
            <w:pPr>
              <w:spacing w:after="0"/>
              <w:rPr>
                <w:sz w:val="14"/>
                <w:szCs w:val="14"/>
                <w:color w:val="auto"/>
              </w:rPr>
            </w:pPr>
          </w:p>
        </w:tc>
        <w:tc>
          <w:tcPr>
            <w:tcW w:w="16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25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26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E</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12</w:t>
            </w:r>
          </w:p>
        </w:tc>
      </w:tr>
    </w:tbl>
    <w:p>
      <w:pPr>
        <w:spacing w:after="0" w:line="173" w:lineRule="exact"/>
        <w:rPr>
          <w:sz w:val="20"/>
          <w:szCs w:val="20"/>
          <w:color w:val="auto"/>
        </w:rPr>
      </w:pPr>
    </w:p>
    <w:p>
      <w:pPr>
        <w:ind w:left="540" w:right="3319" w:hanging="530"/>
        <w:spacing w:after="0" w:line="258" w:lineRule="auto"/>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sales to three different customers each of whom accounted for between 1% and 9% of sales during the six months ended June 30, 2004, and to three customers (2%-6%) during the six months ended June 30, 2003.</w:t>
      </w:r>
    </w:p>
    <w:p>
      <w:pPr>
        <w:spacing w:after="0" w:line="15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3 - RECENT DEVELOPMENTS RELATING TO FAB 2</w:t>
      </w:r>
    </w:p>
    <w:p>
      <w:pPr>
        <w:spacing w:after="0" w:line="173" w:lineRule="exact"/>
        <w:rPr>
          <w:sz w:val="20"/>
          <w:szCs w:val="20"/>
          <w:color w:val="auto"/>
        </w:rPr>
      </w:pPr>
    </w:p>
    <w:p>
      <w:pPr>
        <w:ind w:left="1060" w:right="3679" w:hanging="526"/>
        <w:spacing w:after="0" w:line="234"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Shares Issued to the Primary Wafer Partners and Equity Investors</w:t>
      </w:r>
    </w:p>
    <w:p>
      <w:pPr>
        <w:spacing w:after="0" w:line="173"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2004, the primary Wafer Partners and Equity Investors were issued an aggregate of 2,346,786 Ordinary Shares of the Company in consideration for their final $16,428 committed investment made in December 2003. The shares were issued at a per share price of $7.00, a price equal to the offering price at the public offering described in Note 4A.</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10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Fab 2 approved enterprise program, investments in respect of Fab 2 are to be completed by December 31, 2005, five years from the date the approval certificate was obtained. Due to the later than planned commencement of construction of Fab 2 and prevailing market conditions, the Company does not currently expect to complete Fab 2 investments by the end of 2005. Following the Company's notification to the Investment Center of its revised investment schedule contemplated in an updated plan for the construction and equipping of Fab 2, including, among others, its reduced rate of annual investments and lower than projected expectations for Fab 2 sales, the Company received from the Investment Center, in July 2004, an approval to said revised investment schedule.</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617" w:right="1440" w:bottom="1440" w:gutter="0" w:footer="0" w:header="0"/>
        </w:sectPr>
      </w:pPr>
    </w:p>
    <w:bookmarkStart w:id="15" w:name="page16"/>
    <w:bookmarkEnd w:id="1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3 - RECENT DEVELOPMENTS RELATING TO FAB 2 (cont.)</w:t>
      </w:r>
    </w:p>
    <w:p>
      <w:pPr>
        <w:spacing w:after="0" w:line="166" w:lineRule="exact"/>
        <w:rPr>
          <w:sz w:val="20"/>
          <w:szCs w:val="20"/>
          <w:color w:val="auto"/>
        </w:rPr>
      </w:pPr>
    </w:p>
    <w:p>
      <w:pPr>
        <w:ind w:left="1060" w:hanging="526"/>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 (cont.)</w:t>
      </w:r>
    </w:p>
    <w:p>
      <w:pPr>
        <w:spacing w:after="0" w:line="172" w:lineRule="exact"/>
        <w:rPr>
          <w:rFonts w:ascii="Courier New" w:cs="Courier New" w:eastAsia="Courier New" w:hAnsi="Courier New"/>
          <w:sz w:val="15"/>
          <w:szCs w:val="15"/>
          <w:color w:val="auto"/>
        </w:rPr>
      </w:pPr>
    </w:p>
    <w:p>
      <w:pPr>
        <w:ind w:left="10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While Israeli law currently limits the ability of the Investment Center to extend the investment period beyond five years, the Company's management estimates, based on discussions held with the Investment Center, prior and subsequent to the balance sheet date, that it is probable that satisfactory arrangements will be made to enable the extension of the investment period.</w:t>
      </w:r>
    </w:p>
    <w:p>
      <w:pPr>
        <w:spacing w:after="0" w:line="174" w:lineRule="exact"/>
        <w:rPr>
          <w:rFonts w:ascii="Courier New" w:cs="Courier New" w:eastAsia="Courier New" w:hAnsi="Courier New"/>
          <w:sz w:val="15"/>
          <w:szCs w:val="15"/>
          <w:color w:val="auto"/>
        </w:rPr>
      </w:pPr>
    </w:p>
    <w:p>
      <w:pPr>
        <w:ind w:left="10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approved enterprise program, the Company is eligible to receive grants of 20% of up to $1,250,000 invested in Fab 2 plant and equipment, or an aggregate of up to $250,000, of which as of the balance sheet date, an aggregate of $130,513 has been already received from the Investment Center.</w:t>
      </w:r>
    </w:p>
    <w:p>
      <w:pPr>
        <w:spacing w:after="0" w:line="16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2" w:lineRule="exact"/>
        <w:rPr>
          <w:rFonts w:ascii="Courier New" w:cs="Courier New" w:eastAsia="Courier New" w:hAnsi="Courier New"/>
          <w:sz w:val="15"/>
          <w:szCs w:val="15"/>
          <w:color w:val="auto"/>
        </w:rPr>
      </w:pPr>
    </w:p>
    <w:p>
      <w:pPr>
        <w:ind w:left="106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reported period, the Company entered into hedging transactions as follows:</w:t>
      </w:r>
    </w:p>
    <w:p>
      <w:pPr>
        <w:spacing w:after="0" w:line="173"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exchange agreements (cylinder options, options and forward contracts) to hedge exposure related to purchase of machinery and equipment and salary and wage costs, the aggregate outstanding amounts of which as of June 30, 2004 was $4,071 and $3,000, respectively.</w:t>
      </w:r>
    </w:p>
    <w:p>
      <w:pPr>
        <w:spacing w:after="0" w:line="173"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hedge interest rate exposure on long-term bank loans under the Facility Agreement, in the aggregate amount as of June 30, 2004 of $80,000. As of the balance sheet date, out of the total $461,000 long-term bank loans under that agreement, $292,000 is under hedging transactions.</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4 - OTHER RECENT DEVELOPMENTS</w:t>
      </w:r>
    </w:p>
    <w:p>
      <w:pPr>
        <w:spacing w:after="0" w:line="166" w:lineRule="exact"/>
        <w:rPr>
          <w:sz w:val="20"/>
          <w:szCs w:val="20"/>
          <w:color w:val="auto"/>
        </w:rPr>
      </w:pPr>
    </w:p>
    <w:p>
      <w:pPr>
        <w:ind w:left="1060" w:hanging="526"/>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Offering Completed in the First Quarter of 2004</w:t>
      </w:r>
    </w:p>
    <w:p>
      <w:pPr>
        <w:spacing w:after="0" w:line="172" w:lineRule="exact"/>
        <w:rPr>
          <w:rFonts w:ascii="Courier New" w:cs="Courier New" w:eastAsia="Courier New" w:hAnsi="Courier New"/>
          <w:sz w:val="15"/>
          <w:szCs w:val="15"/>
          <w:color w:val="auto"/>
        </w:rPr>
      </w:pPr>
    </w:p>
    <w:p>
      <w:pPr>
        <w:ind w:left="106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first quarter of 2004, the Company completed a public offering of its Ordinary Shares at a price of $7.00 per share. Following the offering, and including the partial exercise of over-allotment option the Company granted the underwriters, the Company issued 11,444,500 of its Ordinary Shares, in consideration for gross proceeds of $80,112 (net of related costs - $75,086).</w:t>
      </w:r>
    </w:p>
    <w:p>
      <w:pPr>
        <w:spacing w:after="0" w:line="32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617" w:right="1440" w:bottom="1440" w:gutter="0" w:footer="0" w:header="0"/>
        </w:sectPr>
      </w:pPr>
    </w:p>
    <w:bookmarkStart w:id="16" w:name="page17"/>
    <w:bookmarkEnd w:id="1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4 - OTHER RECENT DEVELOPMENTS (cont.)</w:t>
      </w:r>
    </w:p>
    <w:p>
      <w:pPr>
        <w:spacing w:after="0" w:line="166" w:lineRule="exact"/>
        <w:rPr>
          <w:sz w:val="20"/>
          <w:szCs w:val="20"/>
          <w:color w:val="auto"/>
        </w:rPr>
      </w:pPr>
    </w:p>
    <w:p>
      <w:pPr>
        <w:ind w:left="1060" w:hanging="526"/>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Siliconix</w:t>
      </w:r>
    </w:p>
    <w:p>
      <w:pPr>
        <w:spacing w:after="0" w:line="172" w:lineRule="exact"/>
        <w:rPr>
          <w:rFonts w:ascii="Courier New" w:cs="Courier New" w:eastAsia="Courier New" w:hAnsi="Courier New"/>
          <w:sz w:val="15"/>
          <w:szCs w:val="15"/>
          <w:color w:val="auto"/>
        </w:rPr>
      </w:pPr>
    </w:p>
    <w:p>
      <w:pPr>
        <w:ind w:left="10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2004, the Company and chip maker Siliconix incorporated, an 80% owned subsidiary of Vishay Intertechnology Inc., entered into a definitive long-term foundry agreement for semiconductor manufacturing. Pursuant to the agreement, Siliconix will place with the Company orders valued at approximately $200,000 for the purchase of wafers to be manufactured in the Company's Fab 1 over a seven to ten year period. Approximately $53,000 of that amount will be delivered over an initial three year period starting after the completion of the transfer of Siliconix's technology to Fab 1. The agreement provides that Siliconix will advance the Company $20,000 to be used primarily for the purchase of additional equipment required to satisfy Siliconix's orders, which will be credited towards the purchase price of the wafers. Management estimates that the receipt of the $20,000 shall occur during the third quarter of 2004.</w:t>
      </w:r>
    </w:p>
    <w:p>
      <w:pPr>
        <w:spacing w:after="0" w:line="16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106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2003, certain shareholders of the Company filed a shareholders' class action complaint in the United States against the Company and certain of its directors, Wafer Partners and Equity Investors (the "Defendants"). The plaintiffs have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plaintiffs seek damages in unspecified amounts, which could be substantial, and unspecified rescissory relief. The Company believes that the complaint is without merit and is vigorously contesting it. In January 2004, the Defendants filed with the court a motion to dismiss the action, and in April 2004 the plaintiffs filed an opposition to the motion to dismiss. In May 2004, the Defendants filed a reply brief and in July 2004, the plaintiffs filed a sur-reply memorandum in further opposition to the Defendants' motion to dismiss. As of the date of the interim financial statements, the Court has not rendered a decision with regard to the motion to dismiss.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617" w:right="1440" w:bottom="1440" w:gutter="0" w:footer="0" w:header="0"/>
        </w:sectPr>
      </w:pPr>
    </w:p>
    <w:bookmarkStart w:id="17" w:name="page18"/>
    <w:bookmarkEnd w:id="1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5 - MATERIAL DIFFERENCES BETWEEN ISRAELI AND U.S. GAAP</w:t>
      </w:r>
    </w:p>
    <w:p>
      <w:pPr>
        <w:spacing w:after="0" w:line="173" w:lineRule="exact"/>
        <w:rPr>
          <w:sz w:val="20"/>
          <w:szCs w:val="20"/>
          <w:color w:val="auto"/>
        </w:rPr>
      </w:pPr>
    </w:p>
    <w:p>
      <w:pPr>
        <w:ind w:left="540" w:right="3499"/>
        <w:spacing w:after="0" w:line="256" w:lineRule="auto"/>
        <w:rPr>
          <w:sz w:val="20"/>
          <w:szCs w:val="20"/>
          <w:color w:val="auto"/>
        </w:rPr>
      </w:pPr>
      <w:r>
        <w:rPr>
          <w:rFonts w:ascii="Courier New" w:cs="Courier New" w:eastAsia="Courier New" w:hAnsi="Courier New"/>
          <w:sz w:val="14"/>
          <w:szCs w:val="14"/>
          <w:color w:val="auto"/>
        </w:rPr>
        <w:t>With regard to the Company's interim financial statements, the material differences between GAAP in Israel and in the U.S. relate to the following. See G below for the presentation of the Company's unaudited balance sheet as of June 30, 2004 in accordance with U.S. GAAP.</w:t>
      </w:r>
    </w:p>
    <w:p>
      <w:pPr>
        <w:spacing w:after="0" w:line="164" w:lineRule="exact"/>
        <w:rPr>
          <w:sz w:val="20"/>
          <w:szCs w:val="20"/>
          <w:color w:val="auto"/>
        </w:rPr>
      </w:pPr>
    </w:p>
    <w:p>
      <w:pPr>
        <w:ind w:left="1060" w:right="3399" w:hanging="526"/>
        <w:spacing w:after="0" w:line="23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173"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cash, short-term and long-term interest-bearing deposits designated for investments relating to Fab 2 should be excluded from current assets and long-term investments and presented separately as a non-current asset. Accordingly, as of June 30, 2004, $42,279 and $4,918 were reclassified, respectively, from current assets and long-term investments to a long-term asset (as of December 31, 2003 - $44,042 and $4,848, respectively).</w:t>
      </w:r>
    </w:p>
    <w:p>
      <w:pPr>
        <w:spacing w:after="0" w:line="159"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2" w:lineRule="exact"/>
        <w:rPr>
          <w:rFonts w:ascii="Courier New" w:cs="Courier New" w:eastAsia="Courier New" w:hAnsi="Courier New"/>
          <w:sz w:val="15"/>
          <w:szCs w:val="15"/>
          <w:color w:val="auto"/>
        </w:rPr>
      </w:pPr>
    </w:p>
    <w:p>
      <w:pPr>
        <w:ind w:left="10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as of June 30, 2004 an amount of $15,492 was reclassified from other long-term liabilities to long-term investments (as of December 31, 2003 - $14,607).</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June 30, 2004 would have resulted in: an increase in other long-term liabilities in the amount of $4,003; a decrease in other comprehensive loss for the six months ended June 30, 2004 in the net amount of $6,581; an accumulated other comprehensive loss component of equity balance as of June 30, 2004 in the amount of $9,316; and in a decrease of $5,283 in property and equipment, net as of June 30, 2004.</w:t>
      </w:r>
    </w:p>
    <w:p>
      <w:pPr>
        <w:spacing w:after="0" w:line="339"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617" w:right="1440" w:bottom="1440" w:gutter="0" w:footer="0" w:header="0"/>
        </w:sectPr>
      </w:pPr>
    </w:p>
    <w:bookmarkStart w:id="18" w:name="page19"/>
    <w:bookmarkEnd w:id="1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5 - MATERIAL DIFFERENCES BETWEEN ISRAELI AND U.S. GAAP (cont.)</w:t>
      </w:r>
    </w:p>
    <w:p>
      <w:pPr>
        <w:spacing w:after="0" w:line="166" w:lineRule="exact"/>
        <w:rPr>
          <w:sz w:val="20"/>
          <w:szCs w:val="20"/>
          <w:color w:val="auto"/>
        </w:rPr>
      </w:pPr>
    </w:p>
    <w:p>
      <w:pPr>
        <w:ind w:left="1060" w:hanging="526"/>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June 30, 2004 in accordance with SFAS 123, as amended by SFAS 148, the Company's pro forma loss and loss per share would have been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Six months ended</w:t>
            </w:r>
          </w:p>
        </w:tc>
        <w:tc>
          <w:tcPr>
            <w:tcW w:w="400" w:type="dxa"/>
            <w:vAlign w:val="bottom"/>
          </w:tcPr>
          <w:p>
            <w:pPr>
              <w:spacing w:after="0"/>
              <w:rPr>
                <w:sz w:val="14"/>
                <w:szCs w:val="14"/>
                <w:color w:val="auto"/>
              </w:rPr>
            </w:pPr>
          </w:p>
        </w:tc>
        <w:tc>
          <w:tcPr>
            <w:tcW w:w="21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680" w:type="dxa"/>
            <w:vAlign w:val="bottom"/>
          </w:tcPr>
          <w:p>
            <w:pPr>
              <w:spacing w:after="0"/>
              <w:rPr>
                <w:sz w:val="14"/>
                <w:szCs w:val="14"/>
                <w:color w:val="auto"/>
              </w:rPr>
            </w:pPr>
          </w:p>
        </w:tc>
        <w:tc>
          <w:tcPr>
            <w:tcW w:w="2800" w:type="dxa"/>
            <w:vAlign w:val="bottom"/>
            <w:gridSpan w:val="4"/>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2800" w:type="dxa"/>
            <w:vAlign w:val="bottom"/>
            <w:gridSpan w:val="4"/>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4"/>
              </w:rPr>
              <w:t>2004</w:t>
            </w:r>
          </w:p>
        </w:tc>
        <w:tc>
          <w:tcPr>
            <w:tcW w:w="80" w:type="dxa"/>
            <w:vAlign w:val="bottom"/>
          </w:tcPr>
          <w:p>
            <w:pPr>
              <w:spacing w:after="0"/>
              <w:rPr>
                <w:sz w:val="14"/>
                <w:szCs w:val="14"/>
                <w:color w:val="auto"/>
              </w:rPr>
            </w:pPr>
          </w:p>
        </w:tc>
        <w:tc>
          <w:tcPr>
            <w:tcW w:w="10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4"/>
              </w:rPr>
              <w:t>2003</w:t>
            </w:r>
          </w:p>
        </w:tc>
        <w:tc>
          <w:tcPr>
            <w:tcW w:w="400" w:type="dxa"/>
            <w:vAlign w:val="bottom"/>
          </w:tcPr>
          <w:p>
            <w:pPr>
              <w:spacing w:after="0"/>
              <w:rPr>
                <w:sz w:val="14"/>
                <w:szCs w:val="14"/>
                <w:color w:val="auto"/>
              </w:rPr>
            </w:pPr>
          </w:p>
        </w:tc>
        <w:tc>
          <w:tcPr>
            <w:tcW w:w="126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w w:val="94"/>
              </w:rPr>
              <w:t>2004</w:t>
            </w:r>
          </w:p>
        </w:tc>
        <w:tc>
          <w:tcPr>
            <w:tcW w:w="14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2003</w:t>
            </w:r>
          </w:p>
        </w:tc>
      </w:tr>
      <w:tr>
        <w:trPr>
          <w:trHeight w:val="168"/>
        </w:trPr>
        <w:tc>
          <w:tcPr>
            <w:tcW w:w="4680" w:type="dxa"/>
            <w:vAlign w:val="bottom"/>
          </w:tcPr>
          <w:p>
            <w:pPr>
              <w:spacing w:after="0"/>
              <w:rPr>
                <w:sz w:val="14"/>
                <w:szCs w:val="14"/>
                <w:color w:val="auto"/>
              </w:rPr>
            </w:pP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 as reported</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according to U.S. GAAP</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(see H below)</w:t>
            </w:r>
          </w:p>
        </w:tc>
        <w:tc>
          <w:tcPr>
            <w:tcW w:w="17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$(75,023)</w:t>
            </w: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$(31,180)</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$(36,532)</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$(16,830)</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stock-based compensation</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determined under APB 25</w:t>
            </w:r>
          </w:p>
        </w:tc>
        <w:tc>
          <w:tcPr>
            <w:tcW w:w="40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w:t>
            </w:r>
          </w:p>
        </w:tc>
        <w:tc>
          <w:tcPr>
            <w:tcW w:w="400" w:type="dxa"/>
            <w:vAlign w:val="bottom"/>
          </w:tcPr>
          <w:p>
            <w:pPr>
              <w:spacing w:after="0"/>
              <w:rPr>
                <w:sz w:val="14"/>
                <w:szCs w:val="14"/>
                <w:color w:val="auto"/>
              </w:rPr>
            </w:pP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4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(2,322)</w:t>
            </w:r>
          </w:p>
        </w:tc>
        <w:tc>
          <w:tcPr>
            <w:tcW w:w="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(5,690)</w:t>
            </w:r>
          </w:p>
        </w:tc>
        <w:tc>
          <w:tcPr>
            <w:tcW w:w="40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(991)</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(4,079)</w:t>
            </w:r>
          </w:p>
        </w:tc>
      </w:tr>
      <w:tr>
        <w:trPr>
          <w:trHeight w:val="168"/>
        </w:trPr>
        <w:tc>
          <w:tcPr>
            <w:tcW w:w="4680" w:type="dxa"/>
            <w:vAlign w:val="bottom"/>
          </w:tcPr>
          <w:p>
            <w:pPr>
              <w:spacing w:after="0"/>
              <w:rPr>
                <w:sz w:val="14"/>
                <w:szCs w:val="14"/>
                <w:color w:val="auto"/>
              </w:rPr>
            </w:pP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loss</w:t>
            </w:r>
          </w:p>
        </w:tc>
        <w:tc>
          <w:tcPr>
            <w:tcW w:w="17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$(77,345)</w:t>
            </w: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$(36,843)</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$(37,523)</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$(20,901)</w:t>
            </w:r>
          </w:p>
        </w:tc>
      </w:tr>
      <w:tr>
        <w:trPr>
          <w:trHeight w:val="168"/>
        </w:trPr>
        <w:tc>
          <w:tcPr>
            <w:tcW w:w="4680" w:type="dxa"/>
            <w:vAlign w:val="bottom"/>
          </w:tcPr>
          <w:p>
            <w:pPr>
              <w:spacing w:after="0"/>
              <w:rPr>
                <w:sz w:val="14"/>
                <w:szCs w:val="14"/>
                <w:color w:val="auto"/>
              </w:rPr>
            </w:pP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Basic loss per share As reported according to U.S.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GAAP (see I below)</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(0.37)</w:t>
            </w:r>
          </w:p>
        </w:tc>
      </w:tr>
      <w:tr>
        <w:trPr>
          <w:trHeight w:val="168"/>
        </w:trPr>
        <w:tc>
          <w:tcPr>
            <w:tcW w:w="4680" w:type="dxa"/>
            <w:vAlign w:val="bottom"/>
          </w:tcPr>
          <w:p>
            <w:pPr>
              <w:spacing w:after="0"/>
              <w:rPr>
                <w:sz w:val="14"/>
                <w:szCs w:val="14"/>
                <w:color w:val="auto"/>
              </w:rPr>
            </w:pP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(0.83)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68"/>
        </w:trPr>
        <w:tc>
          <w:tcPr>
            <w:tcW w:w="4680" w:type="dxa"/>
            <w:vAlign w:val="bottom"/>
          </w:tcPr>
          <w:p>
            <w:pPr>
              <w:spacing w:after="0"/>
              <w:rPr>
                <w:sz w:val="14"/>
                <w:szCs w:val="14"/>
                <w:color w:val="auto"/>
              </w:rPr>
            </w:pPr>
          </w:p>
        </w:tc>
        <w:tc>
          <w:tcPr>
            <w:tcW w:w="1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680" w:type="dxa"/>
            <w:vAlign w:val="bottom"/>
          </w:tcPr>
          <w:p>
            <w:pPr>
              <w:ind w:left="3240"/>
              <w:spacing w:after="0"/>
              <w:rPr>
                <w:sz w:val="20"/>
                <w:szCs w:val="20"/>
                <w:color w:val="auto"/>
              </w:rPr>
            </w:pPr>
            <w:r>
              <w:rPr>
                <w:rFonts w:ascii="Courier New" w:cs="Courier New" w:eastAsia="Courier New" w:hAnsi="Courier New"/>
                <w:sz w:val="15"/>
                <w:szCs w:val="15"/>
                <w:color w:val="auto"/>
              </w:rPr>
              <w:t>- 11 -</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9" w:name="page20"/>
    <w:bookmarkEnd w:id="1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5 - MATERIAL DIFFERENCES BETWEEN ISRAELI AND U.S. GAAP (cont.)</w:t>
      </w:r>
    </w:p>
    <w:p>
      <w:pPr>
        <w:spacing w:after="0" w:line="166" w:lineRule="exact"/>
        <w:rPr>
          <w:sz w:val="20"/>
          <w:szCs w:val="20"/>
          <w:color w:val="auto"/>
        </w:rPr>
      </w:pPr>
    </w:p>
    <w:p>
      <w:pPr>
        <w:ind w:left="1060" w:hanging="526"/>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June 30, 2004 and December 31, 2003 in the amount of $2,363 (net of $196 related issuance expenses), and a decrease in convertible debentures as of such dates in the amount of $2,559. The effect of amortization of the discount on the convertible debentures under U.S.GAAP for the six-month and three-month periods ended June 30, 2004 would have been immaterial.</w:t>
      </w:r>
    </w:p>
    <w:p>
      <w:pPr>
        <w:spacing w:after="0" w:line="164" w:lineRule="exact"/>
        <w:rPr>
          <w:rFonts w:ascii="Courier New" w:cs="Courier New" w:eastAsia="Courier New" w:hAnsi="Courier New"/>
          <w:sz w:val="15"/>
          <w:szCs w:val="15"/>
          <w:color w:val="auto"/>
        </w:rPr>
      </w:pPr>
    </w:p>
    <w:p>
      <w:pPr>
        <w:ind w:left="1060" w:right="3579" w:hanging="526"/>
        <w:spacing w:after="0" w:line="234" w:lineRule="auto"/>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Proceeds on Account of Shares in Accordance with U.S. GAAP (SFAS 150)</w:t>
      </w:r>
    </w:p>
    <w:p>
      <w:pPr>
        <w:spacing w:after="0" w:line="173" w:lineRule="exact"/>
        <w:rPr>
          <w:rFonts w:ascii="Courier New" w:cs="Courier New" w:eastAsia="Courier New" w:hAnsi="Courier New"/>
          <w:sz w:val="15"/>
          <w:szCs w:val="15"/>
          <w:color w:val="auto"/>
        </w:rPr>
      </w:pPr>
    </w:p>
    <w:p>
      <w:pPr>
        <w:ind w:left="10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SFAS No. 150, "Accounting For Certain Financial Instruments with Characteristics of Both Liabilities and Equity", a financial instrument that embodies an unconditional obligation (as defined in that guidance), that the issuer must or may settle by issuing a variable number of its equity shares, shall be classified as a liability if, at inception, the monetary value of the obligation is based solely or predominantly on, among others, a fixed monetary amount known at inception. Accordingly, the $16,428 described in Note 3A, and which according to Israeli GAAP was presented as of December 31, 2003 as "Proceeds on account of share capital", were reclassified as of December 31, 2003 under SFAS 150 as "Liability in respect of variable number of shares to be issued". Such presentation for the U.S. GAAP purposes was required since as of December 31, 2003, the amount of shares the Company was to issue in consideration of the aggregate of $16,428 was not determined as of such date, and was actually based on mechanisms that embody a variable number of shares. Following the issuance of shares, as described in Note 3A, the $16,428 amount is presented for U.S. GAAP purposes as well as paid in equity.</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617" w:right="1440" w:bottom="1440" w:gutter="0" w:footer="0" w:header="0"/>
        </w:sectPr>
      </w:pPr>
    </w:p>
    <w:bookmarkStart w:id="20" w:name="page21"/>
    <w:bookmarkEnd w:id="2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5 - MATERIAL DIFFERENCES BETWEEN ISRAELI AND U.S. GAAP (cont.)</w:t>
      </w:r>
    </w:p>
    <w:p>
      <w:pPr>
        <w:spacing w:after="0" w:line="16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Balance Sheets in Accordance with U.S. GAAP</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As of June 30, 2004</w:t>
            </w:r>
          </w:p>
        </w:tc>
        <w:tc>
          <w:tcPr>
            <w:tcW w:w="180" w:type="dxa"/>
            <w:vAlign w:val="bottom"/>
          </w:tcPr>
          <w:p>
            <w:pPr>
              <w:spacing w:after="0"/>
              <w:rPr>
                <w:sz w:val="14"/>
                <w:szCs w:val="14"/>
                <w:color w:val="auto"/>
              </w:rPr>
            </w:pPr>
          </w:p>
        </w:tc>
        <w:tc>
          <w:tcPr>
            <w:tcW w:w="2960" w:type="dxa"/>
            <w:vAlign w:val="bottom"/>
            <w:gridSpan w:val="5"/>
          </w:tcPr>
          <w:p>
            <w:pPr>
              <w:jc w:val="right"/>
              <w:ind w:right="427"/>
              <w:spacing w:after="0"/>
              <w:rPr>
                <w:sz w:val="20"/>
                <w:szCs w:val="20"/>
                <w:color w:val="auto"/>
              </w:rPr>
            </w:pPr>
            <w:r>
              <w:rPr>
                <w:rFonts w:ascii="Courier New" w:cs="Courier New" w:eastAsia="Courier New" w:hAnsi="Courier New"/>
                <w:sz w:val="15"/>
                <w:szCs w:val="15"/>
                <w:color w:val="auto"/>
              </w:rPr>
              <w:t>As of December 31, 2003</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296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0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U.S.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As per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 per</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As per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As per</w:t>
            </w:r>
          </w:p>
        </w:tc>
      </w:tr>
      <w:tr>
        <w:trPr>
          <w:trHeight w:val="168"/>
        </w:trPr>
        <w:tc>
          <w:tcPr>
            <w:tcW w:w="460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GAAP</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Israeli</w:t>
            </w:r>
          </w:p>
        </w:tc>
        <w:tc>
          <w:tcPr>
            <w:tcW w:w="220" w:type="dxa"/>
            <w:vAlign w:val="bottom"/>
          </w:tcPr>
          <w:p>
            <w:pPr>
              <w:spacing w:after="0"/>
              <w:rPr>
                <w:sz w:val="14"/>
                <w:szCs w:val="14"/>
                <w:color w:val="auto"/>
              </w:rPr>
            </w:pP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Adjust-</w:t>
            </w:r>
          </w:p>
        </w:tc>
        <w:tc>
          <w:tcPr>
            <w:tcW w:w="1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Israeli</w:t>
            </w:r>
          </w:p>
        </w:tc>
        <w:tc>
          <w:tcPr>
            <w:tcW w:w="180" w:type="dxa"/>
            <w:vAlign w:val="bottom"/>
          </w:tcPr>
          <w:p>
            <w:pPr>
              <w:spacing w:after="0"/>
              <w:rPr>
                <w:sz w:val="14"/>
                <w:szCs w:val="14"/>
                <w:color w:val="auto"/>
              </w:rPr>
            </w:pPr>
          </w:p>
        </w:tc>
        <w:tc>
          <w:tcPr>
            <w:tcW w:w="9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Adjust-</w:t>
            </w:r>
          </w:p>
        </w:tc>
        <w:tc>
          <w:tcPr>
            <w:tcW w:w="2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460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remark</w:t>
            </w:r>
          </w:p>
        </w:tc>
        <w:tc>
          <w:tcPr>
            <w:tcW w:w="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3"/>
              </w:rPr>
              <w:t>ments</w:t>
            </w:r>
          </w:p>
        </w:tc>
        <w:tc>
          <w:tcPr>
            <w:tcW w:w="1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GAAP</w:t>
            </w:r>
          </w:p>
        </w:tc>
        <w:tc>
          <w:tcPr>
            <w:tcW w:w="180" w:type="dxa"/>
            <w:vAlign w:val="bottom"/>
          </w:tcPr>
          <w:p>
            <w:pPr>
              <w:spacing w:after="0"/>
              <w:rPr>
                <w:sz w:val="14"/>
                <w:szCs w:val="14"/>
                <w:color w:val="auto"/>
              </w:rPr>
            </w:pPr>
          </w:p>
        </w:tc>
        <w:tc>
          <w:tcPr>
            <w:tcW w:w="9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ments</w:t>
            </w:r>
          </w:p>
        </w:tc>
        <w:tc>
          <w:tcPr>
            <w:tcW w:w="2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60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12,448</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Cash and short-term interest-bearing deposits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designated for investments relating to Fab 2</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42,279</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(42,279)</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44,042</w:t>
            </w:r>
          </w:p>
        </w:tc>
        <w:tc>
          <w:tcPr>
            <w:tcW w:w="1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(44,042)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19,113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19,113</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11,631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11,631</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20,067</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20,067</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11,073</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25,712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25,712</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19,382</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2,112</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1,729</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128,398</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(42,279)</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86,119</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100,305</w:t>
            </w:r>
          </w:p>
        </w:tc>
        <w:tc>
          <w:tcPr>
            <w:tcW w:w="1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(44,042)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56,263</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designated for investments relating to Fab 2</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4,918</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(4,918)</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4,848</w:t>
            </w:r>
          </w:p>
        </w:tc>
        <w:tc>
          <w:tcPr>
            <w:tcW w:w="1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(4,848)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15,492</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21,492</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c>
          <w:tcPr>
            <w:tcW w:w="1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14,607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20,607</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10,918</w:t>
            </w:r>
          </w:p>
        </w:tc>
        <w:tc>
          <w:tcPr>
            <w:tcW w:w="2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10,574</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21,492</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10,848</w:t>
            </w:r>
          </w:p>
        </w:tc>
        <w:tc>
          <w:tcPr>
            <w:tcW w:w="1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9,759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20,607</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589,271</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(5,283)</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583,988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568,412</w:t>
            </w:r>
          </w:p>
        </w:tc>
        <w:tc>
          <w:tcPr>
            <w:tcW w:w="1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(5,947)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562,465</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CASH AND SHORT-TERM AND LONG-TERM</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INTEREST-BEARING DEPOSITS DESIGNATED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INVESTMENTS RELATING TO FAB 2</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47,197</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47,197</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48,890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48,890</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OTHER ASSETS, NET</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E</w:t>
            </w:r>
          </w:p>
        </w:tc>
        <w:tc>
          <w:tcPr>
            <w:tcW w:w="1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102,094</w:t>
            </w:r>
          </w:p>
        </w:tc>
        <w:tc>
          <w:tcPr>
            <w:tcW w:w="22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w:t>
            </w:r>
          </w:p>
        </w:tc>
        <w:tc>
          <w:tcPr>
            <w:tcW w:w="1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101,898</w:t>
            </w:r>
          </w:p>
        </w:tc>
        <w:tc>
          <w:tcPr>
            <w:tcW w:w="1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108,770</w:t>
            </w:r>
          </w:p>
        </w:tc>
        <w:tc>
          <w:tcPr>
            <w:tcW w:w="18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108,574</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880"/>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spacing w:after="0"/>
              <w:rPr>
                <w:sz w:val="24"/>
                <w:szCs w:val="24"/>
                <w:color w:val="auto"/>
              </w:rPr>
            </w:pP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$ 830,681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10,013</w:t>
            </w: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$ 840,694</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$ 788,335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8,464</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$ 796,799</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6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51,082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51,082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40,249</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40,249</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8,853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8,853</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9,564</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59,935</w:t>
            </w:r>
          </w:p>
        </w:tc>
        <w:tc>
          <w:tcPr>
            <w:tcW w:w="2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59,935</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49,813</w:t>
            </w:r>
          </w:p>
        </w:tc>
        <w:tc>
          <w:tcPr>
            <w:tcW w:w="1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49,813</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461,000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461,000</w:t>
            </w:r>
          </w:p>
        </w:tc>
        <w:tc>
          <w:tcPr>
            <w:tcW w:w="1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431,000</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431,000</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E</w:t>
            </w:r>
          </w:p>
        </w:tc>
        <w:tc>
          <w:tcPr>
            <w:tcW w:w="1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25,508</w:t>
            </w:r>
          </w:p>
        </w:tc>
        <w:tc>
          <w:tcPr>
            <w:tcW w:w="22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(2,559)</w:t>
            </w:r>
          </w:p>
        </w:tc>
        <w:tc>
          <w:tcPr>
            <w:tcW w:w="1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22,949</w:t>
            </w:r>
          </w:p>
        </w:tc>
        <w:tc>
          <w:tcPr>
            <w:tcW w:w="1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25,783</w:t>
            </w:r>
          </w:p>
        </w:tc>
        <w:tc>
          <w:tcPr>
            <w:tcW w:w="18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(2,559)</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23,224</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LIABILITY IN RESPECT OF A VARIABLE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NUMBER OF SHARES TO BE ISSUED</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16,428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45,762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45,762</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46,347</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46,347</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B,C</w:t>
            </w:r>
          </w:p>
        </w:tc>
        <w:tc>
          <w:tcPr>
            <w:tcW w:w="1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8,209</w:t>
            </w:r>
          </w:p>
        </w:tc>
        <w:tc>
          <w:tcPr>
            <w:tcW w:w="22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19,495</w:t>
            </w:r>
          </w:p>
        </w:tc>
        <w:tc>
          <w:tcPr>
            <w:tcW w:w="1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27,704</w:t>
            </w:r>
          </w:p>
        </w:tc>
        <w:tc>
          <w:tcPr>
            <w:tcW w:w="1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5,935</w:t>
            </w:r>
          </w:p>
        </w:tc>
        <w:tc>
          <w:tcPr>
            <w:tcW w:w="18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24,527</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30,462</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600,414</w:t>
            </w:r>
          </w:p>
        </w:tc>
        <w:tc>
          <w:tcPr>
            <w:tcW w:w="22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16,936</w:t>
            </w:r>
          </w:p>
        </w:tc>
        <w:tc>
          <w:tcPr>
            <w:tcW w:w="1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617,350</w:t>
            </w:r>
          </w:p>
        </w:tc>
        <w:tc>
          <w:tcPr>
            <w:tcW w:w="1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558,878</w:t>
            </w:r>
          </w:p>
        </w:tc>
        <w:tc>
          <w:tcPr>
            <w:tcW w:w="18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38,396</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597,274</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Ordinary shares, NIS 1.00 par value -</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authorized 150,000,000 shares;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issued 66,894,593 and 52,996,097 shares,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16,251</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16,251</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13,150</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13,150</w:t>
            </w:r>
          </w:p>
        </w:tc>
      </w:tr>
      <w:tr>
        <w:trPr>
          <w:trHeight w:val="168"/>
        </w:trPr>
        <w:tc>
          <w:tcPr>
            <w:tcW w:w="4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respectively</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517,041</w:t>
            </w:r>
          </w:p>
        </w:tc>
        <w:tc>
          <w:tcPr>
            <w:tcW w:w="2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519,404</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427,881</w:t>
            </w:r>
          </w:p>
        </w:tc>
        <w:tc>
          <w:tcPr>
            <w:tcW w:w="1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430,244</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16,428</w:t>
            </w:r>
          </w:p>
        </w:tc>
        <w:tc>
          <w:tcPr>
            <w:tcW w:w="1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(16,428)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(9,316)</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(9,316)</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(15,897)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(15,897)</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(293,927)</w:t>
            </w:r>
          </w:p>
        </w:tc>
        <w:tc>
          <w:tcPr>
            <w:tcW w:w="2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(293,897)</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(218,904)</w:t>
            </w:r>
          </w:p>
        </w:tc>
        <w:tc>
          <w:tcPr>
            <w:tcW w:w="1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(218,874)</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239,339</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(6,923)</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232,416</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238,529</w:t>
            </w:r>
          </w:p>
        </w:tc>
        <w:tc>
          <w:tcPr>
            <w:tcW w:w="1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(29,932)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208,597</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230,267</w:t>
            </w:r>
          </w:p>
        </w:tc>
        <w:tc>
          <w:tcPr>
            <w:tcW w:w="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(6,923)</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223,344</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229,457</w:t>
            </w:r>
          </w:p>
        </w:tc>
        <w:tc>
          <w:tcPr>
            <w:tcW w:w="1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(29,932)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199,525</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880"/>
              <w:spacing w:after="0"/>
              <w:rPr>
                <w:sz w:val="20"/>
                <w:szCs w:val="20"/>
                <w:color w:val="auto"/>
              </w:rPr>
            </w:pPr>
            <w:r>
              <w:rPr>
                <w:rFonts w:ascii="Courier New" w:cs="Courier New" w:eastAsia="Courier New" w:hAnsi="Courier New"/>
                <w:sz w:val="15"/>
                <w:szCs w:val="15"/>
                <w:color w:val="auto"/>
                <w:w w:val="97"/>
              </w:rPr>
              <w:t>TOTAL LIABILITIES AND SHAREHOLDERS' EQUITY</w:t>
            </w:r>
          </w:p>
        </w:tc>
        <w:tc>
          <w:tcPr>
            <w:tcW w:w="660" w:type="dxa"/>
            <w:vAlign w:val="bottom"/>
          </w:tcPr>
          <w:p>
            <w:pPr>
              <w:spacing w:after="0"/>
              <w:rPr>
                <w:sz w:val="24"/>
                <w:szCs w:val="24"/>
                <w:color w:val="auto"/>
              </w:rPr>
            </w:pP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$ 830,681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10,013</w:t>
            </w: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$ 840,694</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$ 788,335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8,464</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$ 796,799</w:t>
            </w:r>
          </w:p>
        </w:tc>
      </w:tr>
      <w:tr>
        <w:trPr>
          <w:trHeight w:val="168"/>
        </w:trPr>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617" w:right="139" w:bottom="0" w:gutter="0" w:footer="0" w:header="0"/>
        </w:sectPr>
      </w:pPr>
    </w:p>
    <w:bookmarkStart w:id="21" w:name="page22"/>
    <w:bookmarkEnd w:id="21"/>
    <w:p>
      <w:pPr>
        <w:ind w:left="202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9019"/>
          </w:cols>
          <w:pgMar w:left="1440" w:top="646" w:right="1440" w:bottom="1440" w:gutter="0" w:footer="0" w:header="0"/>
        </w:sectPr>
      </w:pPr>
    </w:p>
    <w:bookmarkStart w:id="22" w:name="page23"/>
    <w:bookmarkEnd w:id="2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5 - MATERIAL DIFFERENCES BETWEEN ISRAELI AND U.S. GAAP (cont.)</w:t>
      </w:r>
    </w:p>
    <w:p>
      <w:pPr>
        <w:spacing w:after="0" w:line="166" w:lineRule="exact"/>
        <w:rPr>
          <w:sz w:val="20"/>
          <w:szCs w:val="20"/>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106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(C above) and APB 14 (E above) would not have materially affected the results of operations for the six-month and three-month periods ended June 30, 2004 and 2003.</w:t>
      </w:r>
    </w:p>
    <w:p>
      <w:pPr>
        <w:spacing w:after="0" w:line="154"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2" w:lineRule="exact"/>
        <w:rPr>
          <w:rFonts w:ascii="Courier New" w:cs="Courier New" w:eastAsia="Courier New" w:hAnsi="Courier New"/>
          <w:sz w:val="15"/>
          <w:szCs w:val="15"/>
          <w:color w:val="auto"/>
        </w:rPr>
      </w:pPr>
    </w:p>
    <w:p>
      <w:pPr>
        <w:ind w:left="106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(SFAS 128, including the implementation of SFAS 133 and SFAS 138, and APB 14 as described in H above), the basic and diluted loss per share for the six-month and three-month periods ended June 30, 2004 would be $1.18 and $0.56, respectively (during the corresponding periods - $0.70 and $0.37, respectively).</w:t>
      </w:r>
    </w:p>
    <w:p>
      <w:pPr>
        <w:spacing w:after="0" w:line="15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5"/>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upperLetter"/>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upperLetter"/>
      <w:start w:val="1"/>
    </w:lvl>
    <w:lvl w:ilvl="1">
      <w:lvlJc w:val="left"/>
      <w:lvlText w:val="-"/>
      <w:numFmt w:val="bullet"/>
      <w:start w:val="1"/>
    </w:lvl>
  </w:abstractNum>
  <w:abstractNum w:abstractNumId="6">
    <w:nsid w:val="4DB127F8"/>
    <w:multiLevelType w:val="hybridMultilevel"/>
    <w:lvl w:ilvl="0">
      <w:lvlJc w:val="left"/>
      <w:lvlText w:val="%1."/>
      <w:numFmt w:val="upperLetter"/>
      <w:start w:val="2"/>
    </w:lvl>
    <w:lvl w:ilvl="1">
      <w:lvlJc w:val="left"/>
      <w:lvlText w:val="(%2)"/>
      <w:numFmt w:val="decimal"/>
      <w:start w:val="1"/>
    </w:lvl>
  </w:abstractNum>
  <w:abstractNum w:abstractNumId="7">
    <w:nsid w:val="216231B"/>
    <w:multiLevelType w:val="hybridMultilevel"/>
    <w:lvl w:ilvl="0">
      <w:lvlJc w:val="left"/>
      <w:lvlText w:val="%1."/>
      <w:numFmt w:val="upperLetter"/>
      <w:start w:val="1"/>
    </w:lvl>
    <w:lvl w:ilvl="1">
      <w:lvlJc w:val="left"/>
      <w:lvlText w:val="-"/>
      <w:numFmt w:val="bullet"/>
      <w:start w:val="1"/>
    </w:lvl>
  </w:abstractNum>
  <w:abstractNum w:abstractNumId="8">
    <w:nsid w:val="1F16E9E8"/>
    <w:multiLevelType w:val="hybridMultilevel"/>
    <w:lvl w:ilvl="0">
      <w:lvlJc w:val="left"/>
      <w:lvlText w:val="%1."/>
      <w:numFmt w:val="upperLetter"/>
      <w:start w:val="2"/>
    </w:lvl>
    <w:lvl w:ilvl="1">
      <w:lvlJc w:val="left"/>
      <w:lvlText w:val="-"/>
      <w:numFmt w:val="bullet"/>
      <w:start w:val="1"/>
    </w:lvl>
  </w:abstractNum>
  <w:abstractNum w:abstractNumId="9">
    <w:nsid w:val="1190CDE7"/>
    <w:multiLevelType w:val="hybridMultilevel"/>
    <w:lvl w:ilvl="0">
      <w:lvlJc w:val="left"/>
      <w:lvlText w:val="%1."/>
      <w:numFmt w:val="upperLetter"/>
      <w:start w:val="1"/>
    </w:lvl>
    <w:lvl w:ilvl="1">
      <w:lvlJc w:val="left"/>
      <w:lvlText w:val="-"/>
      <w:numFmt w:val="bullet"/>
      <w:start w:val="1"/>
    </w:lvl>
  </w:abstractNum>
  <w:abstractNum w:abstractNumId="10">
    <w:nsid w:val="66EF438D"/>
    <w:multiLevelType w:val="hybridMultilevel"/>
    <w:lvl w:ilvl="0">
      <w:lvlJc w:val="left"/>
      <w:lvlText w:val="%1."/>
      <w:numFmt w:val="upperLetter"/>
      <w:start w:val="4"/>
    </w:lvl>
  </w:abstractNum>
  <w:abstractNum w:abstractNumId="11">
    <w:nsid w:val="140E0F76"/>
    <w:multiLevelType w:val="hybridMultilevel"/>
    <w:lvl w:ilvl="0">
      <w:lvlJc w:val="left"/>
      <w:lvlText w:val="%1."/>
      <w:numFmt w:val="upperLetter"/>
      <w:start w:val="5"/>
    </w:lvl>
    <w:lvl w:ilvl="1">
      <w:lvlJc w:val="left"/>
      <w:lvlText w:val="-"/>
      <w:numFmt w:val="bullet"/>
      <w:start w:val="1"/>
    </w:lvl>
  </w:abstractNum>
  <w:abstractNum w:abstractNumId="12">
    <w:nsid w:val="3352255A"/>
    <w:multiLevelType w:val="hybridMultilevel"/>
    <w:lvl w:ilvl="0">
      <w:lvlJc w:val="left"/>
      <w:lvlText w:val="%1."/>
      <w:numFmt w:val="upperLetter"/>
      <w:start w:val="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2019-12-14T04:22:45Z</dcterms:created>
  <dcterms:modified xsi:type="dcterms:W3CDTF">2019-12-14T04:22:45Z</dcterms:modified>
</cp:coreProperties>
</file>