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800"/>
        <w:spacing w:after="0"/>
        <w:rPr>
          <w:sz w:val="20"/>
          <w:szCs w:val="20"/>
          <w:color w:val="auto"/>
        </w:rPr>
      </w:pPr>
      <w:r>
        <w:rPr>
          <w:rFonts w:ascii="Courier New" w:cs="Courier New" w:eastAsia="Courier New" w:hAnsi="Courier New"/>
          <w:sz w:val="18"/>
          <w:szCs w:val="18"/>
          <w:color w:val="auto"/>
        </w:rPr>
        <w:t>FORM 6-K</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spacing w:after="0"/>
        <w:tabs>
          <w:tab w:leader="none" w:pos="520" w:val="left"/>
          <w:tab w:leader="none" w:pos="1040" w:val="left"/>
          <w:tab w:leader="none" w:pos="1780" w:val="left"/>
          <w:tab w:leader="none" w:pos="2200" w:val="left"/>
          <w:tab w:leader="none" w:pos="3140" w:val="left"/>
          <w:tab w:leader="none" w:pos="3780" w:val="left"/>
          <w:tab w:leader="none" w:pos="4420" w:val="left"/>
        </w:tabs>
        <w:rPr>
          <w:sz w:val="20"/>
          <w:szCs w:val="20"/>
          <w:color w:val="auto"/>
        </w:rPr>
      </w:pPr>
      <w:r>
        <w:rPr>
          <w:rFonts w:ascii="Courier New" w:cs="Courier New" w:eastAsia="Courier New" w:hAnsi="Courier New"/>
          <w:sz w:val="18"/>
          <w:szCs w:val="18"/>
          <w:color w:val="auto"/>
        </w:rPr>
        <w:t>For</w:t>
        <w:tab/>
        <w:t>the</w:t>
        <w:tab/>
        <w:t>month</w:t>
        <w:tab/>
        <w:t>of</w:t>
        <w:tab/>
        <w:t>October</w:t>
        <w:tab/>
        <w:t>2002</w:t>
        <w:tab/>
        <w:t>(No.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87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0" w:lineRule="exact"/>
        <w:rPr>
          <w:sz w:val="24"/>
          <w:szCs w:val="24"/>
          <w:color w:val="auto"/>
        </w:rPr>
      </w:pPr>
    </w:p>
    <w:p>
      <w:pPr>
        <w:spacing w:after="0" w:line="204"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P.O. BOX 619, MIGDAL HAEMEK, ISRAEL 10556</w:t>
      </w:r>
    </w:p>
    <w:p>
      <w:pPr>
        <w:ind w:left="2120"/>
        <w:spacing w:after="0" w:line="238"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ind w:left="540"/>
              <w:spacing w:after="0"/>
              <w:rPr>
                <w:sz w:val="20"/>
                <w:szCs w:val="20"/>
                <w:color w:val="auto"/>
              </w:rPr>
            </w:pPr>
            <w:r>
              <w:rPr>
                <w:rFonts w:ascii="Courier New" w:cs="Courier New" w:eastAsia="Courier New" w:hAnsi="Courier New"/>
                <w:sz w:val="18"/>
                <w:szCs w:val="18"/>
                <w:color w:val="auto"/>
              </w:rPr>
              <w:t>Indicate</w:t>
            </w:r>
          </w:p>
        </w:tc>
        <w:tc>
          <w:tcPr>
            <w:tcW w:w="306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8"/>
              </w:rPr>
              <w:t>by  check  mark  whether the</w:t>
            </w:r>
          </w:p>
        </w:tc>
        <w:tc>
          <w:tcPr>
            <w:tcW w:w="3840" w:type="dxa"/>
            <w:vAlign w:val="bottom"/>
          </w:tcPr>
          <w:p>
            <w:pPr>
              <w:ind w:left="40"/>
              <w:spacing w:after="0"/>
              <w:rPr>
                <w:sz w:val="20"/>
                <w:szCs w:val="20"/>
                <w:color w:val="auto"/>
              </w:rPr>
            </w:pPr>
            <w:r>
              <w:rPr>
                <w:rFonts w:ascii="Courier New" w:cs="Courier New" w:eastAsia="Courier New" w:hAnsi="Courier New"/>
                <w:sz w:val="18"/>
                <w:szCs w:val="18"/>
                <w:color w:val="auto"/>
                <w:w w:val="97"/>
              </w:rPr>
              <w:t>registrant files or will file annual</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reports  under</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cover  Form</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20-F</w:t>
            </w:r>
          </w:p>
        </w:tc>
        <w:tc>
          <w:tcPr>
            <w:tcW w:w="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or</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Form</w:t>
            </w:r>
          </w:p>
        </w:tc>
        <w:tc>
          <w:tcPr>
            <w:tcW w:w="38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40-F.</w:t>
            </w:r>
          </w:p>
        </w:tc>
      </w:tr>
      <w:tr>
        <w:trPr>
          <w:trHeight w:val="608"/>
        </w:trPr>
        <w:tc>
          <w:tcPr>
            <w:tcW w:w="1540" w:type="dxa"/>
            <w:vAlign w:val="bottom"/>
          </w:tcPr>
          <w:p>
            <w:pPr>
              <w:spacing w:after="0"/>
              <w:rPr>
                <w:sz w:val="24"/>
                <w:szCs w:val="24"/>
                <w:color w:val="auto"/>
              </w:rPr>
            </w:pP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Form</w:t>
            </w:r>
          </w:p>
        </w:tc>
        <w:tc>
          <w:tcPr>
            <w:tcW w:w="620" w:type="dxa"/>
            <w:vAlign w:val="bottom"/>
          </w:tcPr>
          <w:p>
            <w:pPr>
              <w:ind w:left="100"/>
              <w:spacing w:after="0"/>
              <w:rPr>
                <w:sz w:val="20"/>
                <w:szCs w:val="20"/>
                <w:color w:val="auto"/>
              </w:rPr>
            </w:pPr>
            <w:r>
              <w:rPr>
                <w:rFonts w:ascii="Courier New" w:cs="Courier New" w:eastAsia="Courier New" w:hAnsi="Courier New"/>
                <w:sz w:val="18"/>
                <w:szCs w:val="18"/>
                <w:color w:val="auto"/>
              </w:rPr>
              <w:t>20-F</w:t>
            </w:r>
          </w:p>
        </w:tc>
        <w:tc>
          <w:tcPr>
            <w:tcW w:w="540" w:type="dxa"/>
            <w:vAlign w:val="bottom"/>
          </w:tcPr>
          <w:p>
            <w:pPr>
              <w:ind w:left="320"/>
              <w:spacing w:after="0"/>
              <w:rPr>
                <w:sz w:val="20"/>
                <w:szCs w:val="20"/>
                <w:color w:val="auto"/>
              </w:rPr>
            </w:pPr>
            <w:r>
              <w:rPr>
                <w:rFonts w:ascii="Courier New" w:cs="Courier New" w:eastAsia="Courier New" w:hAnsi="Courier New"/>
                <w:sz w:val="18"/>
                <w:szCs w:val="18"/>
                <w:color w:val="auto"/>
              </w:rPr>
              <w:t>X</w:t>
            </w:r>
          </w:p>
        </w:tc>
        <w:tc>
          <w:tcPr>
            <w:tcW w:w="432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Form  40-F___</w:t>
            </w:r>
          </w:p>
        </w:tc>
      </w:tr>
      <w:tr>
        <w:trPr>
          <w:trHeight w:val="203"/>
        </w:trPr>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2"/>
              </w:rPr>
              <w:t>----</w:t>
            </w:r>
          </w:p>
        </w:tc>
        <w:tc>
          <w:tcPr>
            <w:tcW w:w="480" w:type="dxa"/>
            <w:vAlign w:val="bottom"/>
          </w:tcPr>
          <w:p>
            <w:pPr>
              <w:spacing w:after="0"/>
              <w:rPr>
                <w:sz w:val="17"/>
                <w:szCs w:val="17"/>
                <w:color w:val="auto"/>
              </w:rPr>
            </w:pPr>
          </w:p>
        </w:tc>
        <w:tc>
          <w:tcPr>
            <w:tcW w:w="3840" w:type="dxa"/>
            <w:vAlign w:val="bottom"/>
          </w:tcPr>
          <w:p>
            <w:pPr>
              <w:spacing w:after="0"/>
              <w:rPr>
                <w:sz w:val="17"/>
                <w:szCs w:val="17"/>
                <w:color w:val="auto"/>
              </w:rPr>
            </w:pPr>
          </w:p>
        </w:tc>
      </w:tr>
    </w:tbl>
    <w:p>
      <w:pPr>
        <w:spacing w:after="0" w:line="200" w:lineRule="exact"/>
        <w:rPr>
          <w:sz w:val="24"/>
          <w:szCs w:val="24"/>
          <w:color w:val="auto"/>
        </w:rPr>
      </w:pPr>
    </w:p>
    <w:p>
      <w:pPr>
        <w:spacing w:after="0" w:line="209" w:lineRule="exact"/>
        <w:rPr>
          <w:sz w:val="24"/>
          <w:szCs w:val="24"/>
          <w:color w:val="auto"/>
        </w:rPr>
      </w:pPr>
    </w:p>
    <w:p>
      <w:pPr>
        <w:jc w:val="both"/>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ectPr>
          <w:pgSz w:w="11900" w:h="16838" w:orient="portrait"/>
          <w:cols w:equalWidth="0" w:num="1">
            <w:col w:w="10219"/>
          </w:cols>
          <w:pgMar w:left="240" w:top="852" w:right="1440" w:bottom="1440" w:gutter="0" w:footer="0" w:header="0"/>
        </w:sectPr>
      </w:pPr>
    </w:p>
    <w:p>
      <w:pPr>
        <w:spacing w:after="0" w:line="381" w:lineRule="exact"/>
        <w:rPr>
          <w:sz w:val="24"/>
          <w:szCs w:val="24"/>
          <w:color w:val="auto"/>
        </w:rPr>
      </w:pPr>
    </w:p>
    <w:p>
      <w:pPr>
        <w:ind w:left="3480"/>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36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w:t>
      </w:r>
    </w:p>
    <w:p>
      <w:pPr>
        <w:spacing w:after="0" w:line="20" w:lineRule="exact"/>
        <w:rPr>
          <w:sz w:val="24"/>
          <w:szCs w:val="24"/>
          <w:color w:val="auto"/>
        </w:rPr>
      </w:pPr>
      <w:r>
        <w:rPr>
          <w:sz w:val="24"/>
          <w:szCs w:val="24"/>
          <w:color w:val="auto"/>
        </w:rPr>
        <w:br w:type="column"/>
      </w:r>
    </w:p>
    <w:p>
      <w:pPr>
        <w:spacing w:after="0" w:line="355"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X</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4">
            <w:col w:w="3800" w:space="0"/>
            <w:col w:w="420" w:space="220"/>
            <w:col w:w="200" w:space="100"/>
            <w:col w:w="5479"/>
          </w:cols>
          <w:pgMar w:left="240" w:top="852" w:right="1440" w:bottom="1440" w:gutter="0" w:footer="0" w:header="0"/>
          <w:type w:val="continuous"/>
        </w:sectPr>
      </w:pPr>
    </w:p>
    <w:bookmarkStart w:id="1" w:name="page2"/>
    <w:bookmarkEnd w:id="1"/>
    <w:p>
      <w:pPr>
        <w:jc w:val="both"/>
        <w:ind w:right="1779" w:firstLine="527"/>
        <w:spacing w:after="0" w:line="290" w:lineRule="auto"/>
        <w:rPr>
          <w:sz w:val="20"/>
          <w:szCs w:val="20"/>
          <w:color w:val="auto"/>
        </w:rPr>
      </w:pPr>
      <w:r>
        <w:rPr>
          <w:rFonts w:ascii="Courier New" w:cs="Courier New" w:eastAsia="Courier New" w:hAnsi="Courier New"/>
          <w:sz w:val="16"/>
          <w:szCs w:val="16"/>
          <w:color w:val="auto"/>
        </w:rPr>
        <w:t>On October 1, 2002, the Registrant announced the effective prospectus for a rights offering. A copy of the press release is attached hereto as Exhibit 1.</w:t>
      </w:r>
    </w:p>
    <w:p>
      <w:pPr>
        <w:spacing w:after="0" w:line="170"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On October 2, 2002, the Registrant announced certain investors had made $44.7 million in additional investment. A copy of the press release is attached hereto as Exhibit 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3100" w:type="dxa"/>
            <w:vAlign w:val="bottom"/>
            <w:gridSpan w:val="6"/>
          </w:tcPr>
          <w:p>
            <w:pPr>
              <w:jc w:val="right"/>
              <w:ind w:right="12"/>
              <w:spacing w:after="0"/>
              <w:rPr>
                <w:sz w:val="20"/>
                <w:szCs w:val="20"/>
                <w:color w:val="auto"/>
              </w:rPr>
            </w:pPr>
            <w:r>
              <w:rPr>
                <w:rFonts w:ascii="Courier New" w:cs="Courier New" w:eastAsia="Courier New" w:hAnsi="Courier New"/>
                <w:sz w:val="18"/>
                <w:szCs w:val="18"/>
                <w:color w:val="auto"/>
                <w:w w:val="98"/>
              </w:rPr>
              <w:t>On  October  22,  2002,  the</w:t>
            </w:r>
          </w:p>
        </w:tc>
        <w:tc>
          <w:tcPr>
            <w:tcW w:w="4860" w:type="dxa"/>
            <w:vAlign w:val="bottom"/>
            <w:gridSpan w:val="5"/>
          </w:tcPr>
          <w:p>
            <w:pPr>
              <w:ind w:left="120"/>
              <w:spacing w:after="0"/>
              <w:rPr>
                <w:sz w:val="20"/>
                <w:szCs w:val="20"/>
                <w:color w:val="auto"/>
              </w:rPr>
            </w:pPr>
            <w:r>
              <w:rPr>
                <w:rFonts w:ascii="Courier New" w:cs="Courier New" w:eastAsia="Courier New" w:hAnsi="Courier New"/>
                <w:sz w:val="18"/>
                <w:szCs w:val="18"/>
                <w:color w:val="auto"/>
                <w:w w:val="97"/>
              </w:rPr>
              <w:t>Registrant  announced  that certain investors</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exercised</w:t>
            </w:r>
          </w:p>
        </w:tc>
        <w:tc>
          <w:tcPr>
            <w:tcW w:w="580" w:type="dxa"/>
            <w:vAlign w:val="bottom"/>
          </w:tcPr>
          <w:p>
            <w:pPr>
              <w:jc w:val="center"/>
              <w:ind w:left="52"/>
              <w:spacing w:after="0" w:line="203" w:lineRule="exact"/>
              <w:rPr>
                <w:sz w:val="20"/>
                <w:szCs w:val="20"/>
                <w:color w:val="auto"/>
              </w:rPr>
            </w:pPr>
            <w:r>
              <w:rPr>
                <w:rFonts w:ascii="Courier New" w:cs="Courier New" w:eastAsia="Courier New" w:hAnsi="Courier New"/>
                <w:sz w:val="18"/>
                <w:szCs w:val="18"/>
                <w:color w:val="auto"/>
                <w:w w:val="98"/>
              </w:rPr>
              <w:t>the</w:t>
            </w:r>
          </w:p>
        </w:tc>
        <w:tc>
          <w:tcPr>
            <w:tcW w:w="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rights</w:t>
            </w:r>
          </w:p>
        </w:tc>
        <w:tc>
          <w:tcPr>
            <w:tcW w:w="246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distributed to them in</w:t>
            </w:r>
          </w:p>
        </w:tc>
        <w:tc>
          <w:tcPr>
            <w:tcW w:w="37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7"/>
              </w:rPr>
              <w:t>the Registrant's rights offering. A</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copy</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w:t>
            </w: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w:t>
            </w:r>
          </w:p>
        </w:tc>
        <w:tc>
          <w:tcPr>
            <w:tcW w:w="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press</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release</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is</w:t>
            </w:r>
          </w:p>
        </w:tc>
        <w:tc>
          <w:tcPr>
            <w:tcW w:w="1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attached</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hereto</w:t>
            </w:r>
          </w:p>
        </w:tc>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w:t>
            </w:r>
          </w:p>
        </w:tc>
        <w:tc>
          <w:tcPr>
            <w:tcW w:w="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w:t>
            </w:r>
          </w:p>
        </w:tc>
      </w:tr>
      <w:tr>
        <w:trPr>
          <w:trHeight w:val="405"/>
        </w:trPr>
        <w:tc>
          <w:tcPr>
            <w:tcW w:w="480" w:type="dxa"/>
            <w:vAlign w:val="bottom"/>
          </w:tcPr>
          <w:p>
            <w:pPr>
              <w:spacing w:after="0"/>
              <w:rPr>
                <w:sz w:val="24"/>
                <w:szCs w:val="24"/>
                <w:color w:val="auto"/>
              </w:rPr>
            </w:pP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rPr>
              <w:t>On</w:t>
            </w:r>
          </w:p>
        </w:tc>
        <w:tc>
          <w:tcPr>
            <w:tcW w:w="840" w:type="dxa"/>
            <w:vAlign w:val="bottom"/>
            <w:gridSpan w:val="2"/>
          </w:tcPr>
          <w:p>
            <w:pPr>
              <w:jc w:val="center"/>
              <w:ind w:right="12"/>
              <w:spacing w:after="0"/>
              <w:rPr>
                <w:sz w:val="20"/>
                <w:szCs w:val="20"/>
                <w:color w:val="auto"/>
              </w:rPr>
            </w:pPr>
            <w:r>
              <w:rPr>
                <w:rFonts w:ascii="Courier New" w:cs="Courier New" w:eastAsia="Courier New" w:hAnsi="Courier New"/>
                <w:sz w:val="18"/>
                <w:szCs w:val="18"/>
                <w:color w:val="auto"/>
                <w:w w:val="97"/>
              </w:rPr>
              <w:t>October</w:t>
            </w:r>
          </w:p>
        </w:tc>
        <w:tc>
          <w:tcPr>
            <w:tcW w:w="480" w:type="dxa"/>
            <w:vAlign w:val="bottom"/>
          </w:tcPr>
          <w:p>
            <w:pPr>
              <w:ind w:left="100"/>
              <w:spacing w:after="0"/>
              <w:rPr>
                <w:sz w:val="20"/>
                <w:szCs w:val="20"/>
                <w:color w:val="auto"/>
              </w:rPr>
            </w:pPr>
            <w:r>
              <w:rPr>
                <w:rFonts w:ascii="Courier New" w:cs="Courier New" w:eastAsia="Courier New" w:hAnsi="Courier New"/>
                <w:sz w:val="18"/>
                <w:szCs w:val="18"/>
                <w:color w:val="auto"/>
              </w:rPr>
              <w:t>24,</w:t>
            </w:r>
          </w:p>
        </w:tc>
        <w:tc>
          <w:tcPr>
            <w:tcW w:w="840" w:type="dxa"/>
            <w:vAlign w:val="bottom"/>
          </w:tcPr>
          <w:p>
            <w:pPr>
              <w:ind w:left="160"/>
              <w:spacing w:after="0"/>
              <w:rPr>
                <w:sz w:val="20"/>
                <w:szCs w:val="20"/>
                <w:color w:val="auto"/>
              </w:rPr>
            </w:pPr>
            <w:r>
              <w:rPr>
                <w:rFonts w:ascii="Courier New" w:cs="Courier New" w:eastAsia="Courier New" w:hAnsi="Courier New"/>
                <w:sz w:val="18"/>
                <w:szCs w:val="18"/>
                <w:color w:val="auto"/>
              </w:rPr>
              <w:t>2002,</w:t>
            </w:r>
          </w:p>
        </w:tc>
        <w:tc>
          <w:tcPr>
            <w:tcW w:w="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the</w:t>
            </w:r>
          </w:p>
        </w:tc>
        <w:tc>
          <w:tcPr>
            <w:tcW w:w="1160" w:type="dxa"/>
            <w:vAlign w:val="bottom"/>
          </w:tcPr>
          <w:p>
            <w:pPr>
              <w:ind w:left="120"/>
              <w:spacing w:after="0"/>
              <w:rPr>
                <w:sz w:val="20"/>
                <w:szCs w:val="20"/>
                <w:color w:val="auto"/>
              </w:rPr>
            </w:pPr>
            <w:r>
              <w:rPr>
                <w:rFonts w:ascii="Courier New" w:cs="Courier New" w:eastAsia="Courier New" w:hAnsi="Courier New"/>
                <w:sz w:val="18"/>
                <w:szCs w:val="18"/>
                <w:color w:val="auto"/>
                <w:w w:val="94"/>
              </w:rPr>
              <w:t>Registrant</w:t>
            </w:r>
          </w:p>
        </w:tc>
        <w:tc>
          <w:tcPr>
            <w:tcW w:w="12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announced</w:t>
            </w:r>
          </w:p>
        </w:tc>
        <w:tc>
          <w:tcPr>
            <w:tcW w:w="940" w:type="dxa"/>
            <w:vAlign w:val="bottom"/>
          </w:tcPr>
          <w:p>
            <w:pPr>
              <w:ind w:left="160"/>
              <w:spacing w:after="0"/>
              <w:rPr>
                <w:sz w:val="20"/>
                <w:szCs w:val="20"/>
                <w:color w:val="auto"/>
              </w:rPr>
            </w:pPr>
            <w:r>
              <w:rPr>
                <w:rFonts w:ascii="Courier New" w:cs="Courier New" w:eastAsia="Courier New" w:hAnsi="Courier New"/>
                <w:sz w:val="18"/>
                <w:szCs w:val="18"/>
                <w:color w:val="auto"/>
              </w:rPr>
              <w:t>that it</w:t>
            </w:r>
          </w:p>
        </w:tc>
        <w:tc>
          <w:tcPr>
            <w:tcW w:w="1540" w:type="dxa"/>
            <w:vAlign w:val="bottom"/>
          </w:tcPr>
          <w:p>
            <w:pPr>
              <w:ind w:left="60"/>
              <w:spacing w:after="0"/>
              <w:rPr>
                <w:sz w:val="20"/>
                <w:szCs w:val="20"/>
                <w:color w:val="auto"/>
              </w:rPr>
            </w:pPr>
            <w:r>
              <w:rPr>
                <w:rFonts w:ascii="Courier New" w:cs="Courier New" w:eastAsia="Courier New" w:hAnsi="Courier New"/>
                <w:sz w:val="18"/>
                <w:szCs w:val="18"/>
                <w:color w:val="auto"/>
                <w:w w:val="96"/>
              </w:rPr>
              <w:t>had raised $35</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million</w:t>
            </w:r>
          </w:p>
        </w:tc>
        <w:tc>
          <w:tcPr>
            <w:tcW w:w="840" w:type="dxa"/>
            <w:vAlign w:val="bottom"/>
            <w:gridSpan w:val="2"/>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through</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w:t>
            </w:r>
          </w:p>
        </w:tc>
        <w:tc>
          <w:tcPr>
            <w:tcW w:w="246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rights offering and an</w:t>
            </w:r>
          </w:p>
        </w:tc>
        <w:tc>
          <w:tcPr>
            <w:tcW w:w="37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7"/>
              </w:rPr>
              <w:t>investment by a certain investor. A</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copy</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w:t>
            </w: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w:t>
            </w:r>
          </w:p>
        </w:tc>
        <w:tc>
          <w:tcPr>
            <w:tcW w:w="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press</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release</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is</w:t>
            </w:r>
          </w:p>
        </w:tc>
        <w:tc>
          <w:tcPr>
            <w:tcW w:w="1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attached</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hereto</w:t>
            </w:r>
          </w:p>
        </w:tc>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w:t>
            </w:r>
          </w:p>
        </w:tc>
        <w:tc>
          <w:tcPr>
            <w:tcW w:w="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w:t>
            </w:r>
          </w:p>
        </w:tc>
      </w:tr>
    </w:tbl>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On October 30, 2002, the Registrant announced its financial results for the three months and nine months ended September 30, 2002. A copy of the press release is attached hereto as Exhibit 5.</w:t>
      </w:r>
    </w:p>
    <w:p>
      <w:pPr>
        <w:spacing w:after="0" w:line="209"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This Form 6-K is being incorporated by reference in all effective registration statements filed by the Registrant under the Securities Act of 1933.</w:t>
      </w:r>
    </w:p>
    <w:p>
      <w:pPr>
        <w:sectPr>
          <w:pgSz w:w="11900" w:h="16838" w:orient="portrait"/>
          <w:cols w:equalWidth="0" w:num="1">
            <w:col w:w="10219"/>
          </w:cols>
          <w:pgMar w:left="240" w:top="723"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jc w:val="center"/>
        <w:ind w:right="-320"/>
        <w:spacing w:after="0"/>
        <w:tabs>
          <w:tab w:leader="none" w:pos="180" w:val="left"/>
          <w:tab w:leader="none" w:pos="180" w:val="left"/>
        </w:tabs>
        <w:rPr>
          <w:sz w:val="20"/>
          <w:szCs w:val="20"/>
          <w:color w:val="auto"/>
        </w:rPr>
      </w:pPr>
      <w:r>
        <w:rPr>
          <w:rFonts w:ascii="Courier New" w:cs="Courier New" w:eastAsia="Courier New" w:hAnsi="Courier New"/>
          <w:sz w:val="18"/>
          <w:szCs w:val="18"/>
          <w:color w:val="auto"/>
        </w:rPr>
        <w:t>TOWER</w:t>
        <w:tab/>
        <w:t>SEMICONDUCTOR</w:t>
      </w:r>
      <w:r>
        <w:rPr>
          <w:sz w:val="20"/>
          <w:szCs w:val="20"/>
          <w:color w:val="auto"/>
        </w:rPr>
        <w:tab/>
      </w:r>
      <w:r>
        <w:rPr>
          <w:rFonts w:ascii="Courier New" w:cs="Courier New" w:eastAsia="Courier New" w:hAnsi="Courier New"/>
          <w:sz w:val="16"/>
          <w:szCs w:val="16"/>
          <w:color w:val="auto"/>
        </w:rPr>
        <w:t>LTD.</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720" w:val="left"/>
          <w:tab w:leader="none" w:pos="1680" w:val="left"/>
          <w:tab w:leader="none" w:pos="2200" w:val="left"/>
        </w:tabs>
        <w:rPr>
          <w:sz w:val="20"/>
          <w:szCs w:val="20"/>
          <w:color w:val="auto"/>
        </w:rPr>
      </w:pPr>
      <w:r>
        <w:rPr>
          <w:rFonts w:ascii="Courier New" w:cs="Courier New" w:eastAsia="Courier New" w:hAnsi="Courier New"/>
          <w:sz w:val="18"/>
          <w:szCs w:val="18"/>
          <w:color w:val="auto"/>
        </w:rPr>
        <w:t>Date:</w:t>
        <w:tab/>
        <w:t>October</w:t>
        <w:tab/>
        <w:t>30,</w:t>
      </w:r>
      <w:r>
        <w:rPr>
          <w:sz w:val="20"/>
          <w:szCs w:val="20"/>
          <w:color w:val="auto"/>
        </w:rPr>
        <w:tab/>
      </w:r>
      <w:r>
        <w:rPr>
          <w:rFonts w:ascii="Courier New" w:cs="Courier New" w:eastAsia="Courier New" w:hAnsi="Courier New"/>
          <w:sz w:val="16"/>
          <w:szCs w:val="16"/>
          <w:color w:val="auto"/>
        </w:rPr>
        <w:t>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By: /s/Sheldon</w:t>
      </w:r>
      <w:r>
        <w:rPr>
          <w:sz w:val="20"/>
          <w:szCs w:val="20"/>
          <w:color w:val="auto"/>
        </w:rPr>
        <w:tab/>
      </w:r>
      <w:r>
        <w:rPr>
          <w:rFonts w:ascii="Courier New" w:cs="Courier New" w:eastAsia="Courier New" w:hAnsi="Courier New"/>
          <w:sz w:val="16"/>
          <w:szCs w:val="16"/>
          <w:color w:val="auto"/>
        </w:rPr>
        <w:t>Krause</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tabs>
          <w:tab w:leader="none" w:pos="1140" w:val="left"/>
          <w:tab w:leader="none" w:pos="2100" w:val="left"/>
        </w:tabs>
        <w:rPr>
          <w:sz w:val="20"/>
          <w:szCs w:val="20"/>
          <w:color w:val="auto"/>
        </w:rPr>
      </w:pPr>
      <w:r>
        <w:rPr>
          <w:rFonts w:ascii="Courier New" w:cs="Courier New" w:eastAsia="Courier New" w:hAnsi="Courier New"/>
          <w:sz w:val="18"/>
          <w:szCs w:val="18"/>
          <w:color w:val="auto"/>
        </w:rPr>
        <w:t>Name:</w:t>
        <w:tab/>
        <w:t>Sheldon</w:t>
      </w:r>
      <w:r>
        <w:rPr>
          <w:sz w:val="20"/>
          <w:szCs w:val="20"/>
          <w:color w:val="auto"/>
        </w:rPr>
        <w:tab/>
      </w:r>
      <w:r>
        <w:rPr>
          <w:rFonts w:ascii="Courier New" w:cs="Courier New" w:eastAsia="Courier New" w:hAnsi="Courier New"/>
          <w:sz w:val="16"/>
          <w:szCs w:val="16"/>
          <w:color w:val="auto"/>
        </w:rPr>
        <w:t>Krause</w:t>
      </w:r>
    </w:p>
    <w:p>
      <w:pPr>
        <w:ind w:left="420"/>
        <w:spacing w:after="0"/>
        <w:tabs>
          <w:tab w:leader="none" w:pos="1240" w:val="left"/>
          <w:tab w:leader="none" w:pos="2400" w:val="left"/>
        </w:tabs>
        <w:rPr>
          <w:sz w:val="20"/>
          <w:szCs w:val="20"/>
          <w:color w:val="auto"/>
        </w:rPr>
      </w:pPr>
      <w:r>
        <w:rPr>
          <w:rFonts w:ascii="Courier New" w:cs="Courier New" w:eastAsia="Courier New" w:hAnsi="Courier New"/>
          <w:sz w:val="18"/>
          <w:szCs w:val="18"/>
          <w:color w:val="auto"/>
        </w:rPr>
        <w:t>Title:</w:t>
        <w:tab/>
        <w:t>Assistant</w:t>
      </w:r>
      <w:r>
        <w:rPr>
          <w:sz w:val="20"/>
          <w:szCs w:val="20"/>
          <w:color w:val="auto"/>
        </w:rPr>
        <w:tab/>
      </w:r>
      <w:r>
        <w:rPr>
          <w:rFonts w:ascii="Courier New" w:cs="Courier New" w:eastAsia="Courier New" w:hAnsi="Courier New"/>
          <w:sz w:val="16"/>
          <w:szCs w:val="16"/>
          <w:color w:val="auto"/>
        </w:rPr>
        <w:t>Secretary</w:t>
      </w:r>
    </w:p>
    <w:p>
      <w:pPr>
        <w:sectPr>
          <w:pgSz w:w="11900" w:h="16838" w:orient="portrait"/>
          <w:cols w:equalWidth="0" w:num="2">
            <w:col w:w="3180" w:space="720"/>
            <w:col w:w="6319"/>
          </w:cols>
          <w:pgMar w:left="240" w:top="514" w:right="1440" w:bottom="1440" w:gutter="0" w:footer="0" w:header="0"/>
          <w:type w:val="continuous"/>
        </w:sectPr>
      </w:pPr>
    </w:p>
    <w:bookmarkStart w:id="3" w:name="page4"/>
    <w:bookmarkEnd w:id="3"/>
    <w:p>
      <w:pPr>
        <w:spacing w:after="0" w:line="8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EXHIBIT 1</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TOWER SEMICONDUCTOR LTD. ANNOUNCES EFFECTIVE PROSPECTUS FOR RIGHTS OFFERING</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MIGDAL HAEMEK, Israel-Oct. 1 2002--Tower Semiconductor Ltd. (NASDAQ: TSEM; TASE: TOWER) today announced that the registration statement previously filed by Tower with Securities and Exchange Commission and the Israel Securities Authority with respect to Tower's previously announced rights offering was declared effective. The record date for the rights offering is 5 pm (New York City time), today, September 30, 2002.</w:t>
      </w:r>
    </w:p>
    <w:p>
      <w:pPr>
        <w:spacing w:after="0" w:line="210"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As previously announced, Tower is distributing rights to purchase a total of 6,858,469 ordinary shares and warrants to purchase 3,086,311 ordinary shares to shareholders and employee option holders of record as of 5:00 p.m. New York City time today, September 30, 2002. Tower is issuing one right for each 4.94 shares owned by record holders as of the record date. Each right entitles a record holder to purchase one share and 0.45 of a warrant, at a subscription price of $5.00 per right. The rights are exercisable during the 23-day period beginning after 5:00 p.m., New York City time (midnight, Israel time) on September 30, 2002 and ending on October 23, 2002 at 5:00 p.m., New York City time (11:00 p.m., Israel time).</w:t>
      </w:r>
    </w:p>
    <w:p>
      <w:pPr>
        <w:spacing w:after="0" w:line="215"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Each whole warrant entitles the holder to purchase one share at an exercise price of $7.50 per share. The warrants expire on October 31, 2006. Tower will not issue fractional rights or warrants; the number of rights each record holder receives will be rounded down to the nearest whole number and the number of warrants issued upon a record holder's exercise of its rights will be rounded down to the nearest whole number.</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0" w:type="dxa"/>
            <w:vAlign w:val="bottom"/>
          </w:tcPr>
          <w:p>
            <w:pPr>
              <w:spacing w:after="0"/>
              <w:rPr>
                <w:sz w:val="20"/>
                <w:szCs w:val="20"/>
                <w:color w:val="auto"/>
              </w:rPr>
            </w:pPr>
            <w:r>
              <w:rPr>
                <w:rFonts w:ascii="Courier New" w:cs="Courier New" w:eastAsia="Courier New" w:hAnsi="Courier New"/>
                <w:sz w:val="18"/>
                <w:szCs w:val="18"/>
                <w:color w:val="auto"/>
              </w:rPr>
              <w:t>The</w:t>
            </w:r>
          </w:p>
        </w:tc>
        <w:tc>
          <w:tcPr>
            <w:tcW w:w="860" w:type="dxa"/>
            <w:vAlign w:val="bottom"/>
          </w:tcPr>
          <w:p>
            <w:pPr>
              <w:ind w:left="120"/>
              <w:spacing w:after="0"/>
              <w:rPr>
                <w:sz w:val="20"/>
                <w:szCs w:val="20"/>
                <w:color w:val="auto"/>
              </w:rPr>
            </w:pPr>
            <w:r>
              <w:rPr>
                <w:rFonts w:ascii="Courier New" w:cs="Courier New" w:eastAsia="Courier New" w:hAnsi="Courier New"/>
                <w:sz w:val="18"/>
                <w:szCs w:val="18"/>
                <w:color w:val="auto"/>
              </w:rPr>
              <w:t>rights</w:t>
            </w:r>
          </w:p>
        </w:tc>
        <w:tc>
          <w:tcPr>
            <w:tcW w:w="580" w:type="dxa"/>
            <w:vAlign w:val="bottom"/>
          </w:tcPr>
          <w:p>
            <w:pPr>
              <w:ind w:left="100"/>
              <w:spacing w:after="0"/>
              <w:rPr>
                <w:sz w:val="20"/>
                <w:szCs w:val="20"/>
                <w:color w:val="auto"/>
              </w:rPr>
            </w:pPr>
            <w:r>
              <w:rPr>
                <w:rFonts w:ascii="Courier New" w:cs="Courier New" w:eastAsia="Courier New" w:hAnsi="Courier New"/>
                <w:sz w:val="18"/>
                <w:szCs w:val="18"/>
                <w:color w:val="auto"/>
              </w:rPr>
              <w:t>and</w:t>
            </w:r>
          </w:p>
        </w:tc>
        <w:tc>
          <w:tcPr>
            <w:tcW w:w="15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the  warrants</w:t>
            </w:r>
          </w:p>
        </w:tc>
        <w:tc>
          <w:tcPr>
            <w:tcW w:w="9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will  be</w:t>
            </w:r>
          </w:p>
        </w:tc>
        <w:tc>
          <w:tcPr>
            <w:tcW w:w="174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transferable.</w:t>
            </w: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420" w:type="dxa"/>
            <w:vAlign w:val="bottom"/>
          </w:tcPr>
          <w:p>
            <w:pPr>
              <w:spacing w:after="0"/>
              <w:rPr>
                <w:sz w:val="20"/>
                <w:szCs w:val="20"/>
                <w:color w:val="auto"/>
              </w:rPr>
            </w:pPr>
            <w:r>
              <w:rPr>
                <w:rFonts w:ascii="Courier New" w:cs="Courier New" w:eastAsia="Courier New" w:hAnsi="Courier New"/>
                <w:sz w:val="18"/>
                <w:szCs w:val="18"/>
                <w:color w:val="auto"/>
                <w:w w:val="92"/>
              </w:rPr>
              <w:t>This</w:t>
            </w:r>
          </w:p>
        </w:tc>
        <w:tc>
          <w:tcPr>
            <w:tcW w:w="2280" w:type="dxa"/>
            <w:vAlign w:val="bottom"/>
            <w:gridSpan w:val="3"/>
          </w:tcPr>
          <w:p>
            <w:pPr>
              <w:ind w:left="220"/>
              <w:spacing w:after="0"/>
              <w:rPr>
                <w:sz w:val="20"/>
                <w:szCs w:val="20"/>
                <w:color w:val="auto"/>
              </w:rPr>
            </w:pPr>
            <w:r>
              <w:rPr>
                <w:rFonts w:ascii="Courier New" w:cs="Courier New" w:eastAsia="Courier New" w:hAnsi="Courier New"/>
                <w:sz w:val="18"/>
                <w:szCs w:val="18"/>
                <w:color w:val="auto"/>
                <w:w w:val="99"/>
              </w:rPr>
              <w:t>press release shall</w:t>
            </w:r>
          </w:p>
        </w:tc>
        <w:tc>
          <w:tcPr>
            <w:tcW w:w="1620" w:type="dxa"/>
            <w:vAlign w:val="bottom"/>
            <w:gridSpan w:val="3"/>
          </w:tcPr>
          <w:p>
            <w:pPr>
              <w:jc w:val="right"/>
              <w:ind w:right="12"/>
              <w:spacing w:after="0"/>
              <w:rPr>
                <w:sz w:val="20"/>
                <w:szCs w:val="20"/>
                <w:color w:val="auto"/>
              </w:rPr>
            </w:pPr>
            <w:r>
              <w:rPr>
                <w:rFonts w:ascii="Courier New" w:cs="Courier New" w:eastAsia="Courier New" w:hAnsi="Courier New"/>
                <w:sz w:val="18"/>
                <w:szCs w:val="18"/>
                <w:color w:val="auto"/>
                <w:w w:val="99"/>
              </w:rPr>
              <w:t>not constitute</w:t>
            </w:r>
          </w:p>
        </w:tc>
        <w:tc>
          <w:tcPr>
            <w:tcW w:w="1220" w:type="dxa"/>
            <w:vAlign w:val="bottom"/>
          </w:tcPr>
          <w:p>
            <w:pPr>
              <w:spacing w:after="0"/>
              <w:rPr>
                <w:sz w:val="20"/>
                <w:szCs w:val="20"/>
                <w:color w:val="auto"/>
              </w:rPr>
            </w:pPr>
            <w:r>
              <w:rPr>
                <w:rFonts w:ascii="Courier New" w:cs="Courier New" w:eastAsia="Courier New" w:hAnsi="Courier New"/>
                <w:sz w:val="18"/>
                <w:szCs w:val="18"/>
                <w:color w:val="auto"/>
              </w:rPr>
              <w:t>an offer to</w:t>
            </w:r>
          </w:p>
        </w:tc>
        <w:tc>
          <w:tcPr>
            <w:tcW w:w="520" w:type="dxa"/>
            <w:vAlign w:val="bottom"/>
          </w:tcPr>
          <w:p>
            <w:pPr>
              <w:ind w:left="60"/>
              <w:spacing w:after="0"/>
              <w:rPr>
                <w:sz w:val="20"/>
                <w:szCs w:val="20"/>
                <w:color w:val="auto"/>
              </w:rPr>
            </w:pPr>
            <w:r>
              <w:rPr>
                <w:rFonts w:ascii="Courier New" w:cs="Courier New" w:eastAsia="Courier New" w:hAnsi="Courier New"/>
                <w:sz w:val="18"/>
                <w:szCs w:val="18"/>
                <w:color w:val="auto"/>
              </w:rPr>
              <w:t>sell</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or the</w:t>
            </w:r>
          </w:p>
        </w:tc>
        <w:tc>
          <w:tcPr>
            <w:tcW w:w="1700" w:type="dxa"/>
            <w:vAlign w:val="bottom"/>
            <w:gridSpan w:val="2"/>
          </w:tcPr>
          <w:p>
            <w:pPr>
              <w:ind w:left="120"/>
              <w:spacing w:after="0"/>
              <w:rPr>
                <w:sz w:val="20"/>
                <w:szCs w:val="20"/>
                <w:color w:val="auto"/>
              </w:rPr>
            </w:pPr>
            <w:r>
              <w:rPr>
                <w:rFonts w:ascii="Courier New" w:cs="Courier New" w:eastAsia="Courier New" w:hAnsi="Courier New"/>
                <w:sz w:val="18"/>
                <w:szCs w:val="18"/>
                <w:color w:val="auto"/>
                <w:w w:val="96"/>
              </w:rPr>
              <w:t>solicitation of</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an</w:t>
            </w:r>
          </w:p>
        </w:tc>
        <w:tc>
          <w:tcPr>
            <w:tcW w:w="33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8"/>
              </w:rPr>
              <w:t>offer to buy nor shall there be</w:t>
            </w:r>
          </w:p>
        </w:tc>
        <w:tc>
          <w:tcPr>
            <w:tcW w:w="30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any sale of these securities</w:t>
            </w:r>
          </w:p>
        </w:tc>
        <w:tc>
          <w:tcPr>
            <w:tcW w:w="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any State in</w:t>
            </w:r>
          </w:p>
        </w:tc>
      </w:tr>
      <w:tr>
        <w:trPr>
          <w:trHeight w:val="203"/>
        </w:trPr>
        <w:tc>
          <w:tcPr>
            <w:tcW w:w="1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which  such</w:t>
            </w:r>
          </w:p>
        </w:tc>
        <w:tc>
          <w:tcPr>
            <w:tcW w:w="24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8"/>
              </w:rPr>
              <w:t>offer, solicitation or</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sale</w:t>
            </w:r>
          </w:p>
        </w:tc>
        <w:tc>
          <w:tcPr>
            <w:tcW w:w="24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would be unlawful prior</w:t>
            </w:r>
          </w:p>
        </w:tc>
        <w:tc>
          <w:tcPr>
            <w:tcW w:w="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registration</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or</w:t>
            </w:r>
          </w:p>
        </w:tc>
        <w:tc>
          <w:tcPr>
            <w:tcW w:w="1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qualification</w:t>
            </w:r>
          </w:p>
        </w:tc>
        <w:tc>
          <w:tcPr>
            <w:tcW w:w="8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under</w:t>
            </w:r>
          </w:p>
        </w:tc>
        <w:tc>
          <w:tcPr>
            <w:tcW w:w="16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the  securities</w:t>
            </w:r>
          </w:p>
        </w:tc>
        <w:tc>
          <w:tcPr>
            <w:tcW w:w="1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laws  of</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any</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such</w:t>
            </w:r>
          </w:p>
        </w:tc>
        <w:tc>
          <w:tcPr>
            <w:tcW w:w="1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State.</w:t>
            </w:r>
          </w:p>
        </w:tc>
      </w:tr>
    </w:tbl>
    <w:p>
      <w:pPr>
        <w:spacing w:after="0" w:line="207" w:lineRule="exact"/>
        <w:rPr>
          <w:sz w:val="20"/>
          <w:szCs w:val="20"/>
          <w:color w:val="auto"/>
        </w:rPr>
      </w:pPr>
    </w:p>
    <w:p>
      <w:pPr>
        <w:jc w:val="both"/>
        <w:ind w:right="1779" w:firstLine="8"/>
        <w:spacing w:after="0" w:line="236" w:lineRule="auto"/>
        <w:tabs>
          <w:tab w:leader="none" w:pos="31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copy of the prospectus relating to these securities, may be obtained from Tower at P.O. Box 619, Migdal Haemek, Israel 23105, Attention: Ms. Tamar Cohen, Corporate Secretary or by calling Tower at 972-4-650-6998.</w:t>
      </w:r>
    </w:p>
    <w:p>
      <w:pPr>
        <w:spacing w:after="0" w:line="203" w:lineRule="exact"/>
        <w:rPr>
          <w:sz w:val="20"/>
          <w:szCs w:val="20"/>
          <w:color w:val="auto"/>
        </w:rPr>
      </w:pPr>
    </w:p>
    <w:p>
      <w:pPr>
        <w:spacing w:after="0"/>
        <w:tabs>
          <w:tab w:leader="none" w:pos="720" w:val="left"/>
          <w:tab w:leader="none" w:pos="1460" w:val="left"/>
          <w:tab w:leader="none" w:pos="3040" w:val="left"/>
        </w:tabs>
        <w:rPr>
          <w:sz w:val="20"/>
          <w:szCs w:val="20"/>
          <w:color w:val="auto"/>
        </w:rPr>
      </w:pPr>
      <w:r>
        <w:rPr>
          <w:rFonts w:ascii="Courier New" w:cs="Courier New" w:eastAsia="Courier New" w:hAnsi="Courier New"/>
          <w:sz w:val="18"/>
          <w:szCs w:val="18"/>
          <w:color w:val="auto"/>
        </w:rPr>
        <w:t>ABOUT</w:t>
        <w:tab/>
        <w:t>TOWER</w:t>
        <w:tab/>
        <w:t>SEMICONDUCTOR</w:t>
      </w:r>
      <w:r>
        <w:rPr>
          <w:sz w:val="20"/>
          <w:szCs w:val="20"/>
          <w:color w:val="auto"/>
        </w:rPr>
        <w:tab/>
      </w:r>
      <w:r>
        <w:rPr>
          <w:rFonts w:ascii="Courier New" w:cs="Courier New" w:eastAsia="Courier New" w:hAnsi="Courier New"/>
          <w:sz w:val="16"/>
          <w:szCs w:val="16"/>
          <w:color w:val="auto"/>
        </w:rPr>
        <w:t>LTD.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Tower Semiconductor Ltd. is a pure-play independent wafer foundry established in 1993. The company manufactures integrated circuits with geometries ranging from 1.0 to 0.18 microns; it also provides complementary manufacturing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 microns and can produce up to 18,000 150mm wafers per month. Fab 2 features 0.18-micron and below process technologies, including foundry-standard technology, and will offer full production capacity of 33,000 200mm wafers per month. The Tower Web site is located at www.towersemi.com.</w:t>
      </w:r>
    </w:p>
    <w:p>
      <w:pPr>
        <w:spacing w:after="0" w:line="8"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440" w:right="1440" w:bottom="1440" w:gutter="0" w:footer="0" w:header="0"/>
        </w:sectPr>
      </w:pPr>
    </w:p>
    <w:bookmarkStart w:id="4" w:name="page5"/>
    <w:bookmarkEnd w:id="4"/>
    <w:p>
      <w:pPr>
        <w:ind w:left="3800"/>
        <w:spacing w:after="0"/>
        <w:rPr>
          <w:sz w:val="20"/>
          <w:szCs w:val="20"/>
          <w:color w:val="auto"/>
        </w:rPr>
      </w:pPr>
      <w:r>
        <w:rPr>
          <w:rFonts w:ascii="Courier New" w:cs="Courier New" w:eastAsia="Courier New" w:hAnsi="Courier New"/>
          <w:sz w:val="18"/>
          <w:szCs w:val="18"/>
          <w:color w:val="auto"/>
        </w:rPr>
        <w:t>EXHIBIT 2</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jc w:val="center"/>
        <w:ind w:right="1559"/>
        <w:spacing w:after="0"/>
        <w:rPr>
          <w:sz w:val="20"/>
          <w:szCs w:val="20"/>
          <w:color w:val="auto"/>
        </w:rPr>
      </w:pPr>
      <w:r>
        <w:rPr>
          <w:rFonts w:ascii="Courier New" w:cs="Courier New" w:eastAsia="Courier New" w:hAnsi="Courier New"/>
          <w:sz w:val="18"/>
          <w:szCs w:val="18"/>
          <w:color w:val="auto"/>
        </w:rPr>
        <w:t>TOWER SEMICONDUCTOR RECEIVES $44.7 MILLION FROM ITS STRATEGIC AND EQUITY</w:t>
      </w:r>
    </w:p>
    <w:p>
      <w:pPr>
        <w:jc w:val="center"/>
        <w:ind w:right="1679"/>
        <w:spacing w:after="0" w:line="238" w:lineRule="auto"/>
        <w:rPr>
          <w:sz w:val="20"/>
          <w:szCs w:val="20"/>
          <w:color w:val="auto"/>
        </w:rPr>
      </w:pPr>
      <w:r>
        <w:rPr>
          <w:rFonts w:ascii="Courier New" w:cs="Courier New" w:eastAsia="Courier New" w:hAnsi="Courier New"/>
          <w:sz w:val="18"/>
          <w:szCs w:val="18"/>
          <w:color w:val="auto"/>
        </w:rPr>
        <w:t>INVESTORS</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TOTAL INVESTMENT TO DATE IS 85 PERCENT OF THE COMMITTED INVESTMENT</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MIGDAL HAEMEK, ISRAEL - OCTOBER 2, 2002 - Tower Semiconductor (NASDAQ: TSEM, TASE: TOWER) today announced the receipt of $ 44.7 million of the aggregate $305 million investment committed to the Fab 2 project by Tower's partners.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Of this installment, $14.7 million has been established as a credit to be applied primarily against future wafer purchases from Fab 2 production and $30.0 million has been established against 6,126,340 ordinary shares for the price of $4.908 per share, which is the average trading price at the last 30 trading days prior to the payment. These shares are distributed as follows: SanDisk Corporation (NASDAQ: SNDK) - 1,344,829 shares; Alliance Semiconductor (NASDAQ: ALSC) - 1,344,829 shares; Macronix International (NASDAQ: MXICY) - 1,344,829 shares; Israel Corporation- Technologies (ICTech) Ltd. - 1,494,161 shares QuickLogic - (NASDAQ: QUIK) 448,276 shares and The Challenge Fund - 149,416 shares.</w:t>
      </w:r>
    </w:p>
    <w:p>
      <w:pPr>
        <w:spacing w:after="0" w:line="215"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To date, the wafer and financial partners have invested a total of $ 260.7 million.</w:t>
      </w:r>
    </w:p>
    <w:p>
      <w:pPr>
        <w:spacing w:after="0" w:line="203" w:lineRule="exact"/>
        <w:rPr>
          <w:sz w:val="20"/>
          <w:szCs w:val="20"/>
          <w:color w:val="auto"/>
        </w:rPr>
      </w:pPr>
    </w:p>
    <w:p>
      <w:pPr>
        <w:spacing w:after="0"/>
        <w:tabs>
          <w:tab w:leader="none" w:pos="720" w:val="left"/>
          <w:tab w:leader="none" w:pos="1460" w:val="left"/>
          <w:tab w:leader="none" w:pos="3040" w:val="left"/>
        </w:tabs>
        <w:rPr>
          <w:sz w:val="20"/>
          <w:szCs w:val="20"/>
          <w:color w:val="auto"/>
        </w:rPr>
      </w:pPr>
      <w:r>
        <w:rPr>
          <w:rFonts w:ascii="Courier New" w:cs="Courier New" w:eastAsia="Courier New" w:hAnsi="Courier New"/>
          <w:sz w:val="18"/>
          <w:szCs w:val="18"/>
          <w:color w:val="auto"/>
        </w:rPr>
        <w:t>ABOUT</w:t>
        <w:tab/>
        <w:t>TOWER</w:t>
        <w:tab/>
        <w:t>SEMICONDUCTOR</w:t>
      </w:r>
      <w:r>
        <w:rPr>
          <w:sz w:val="20"/>
          <w:szCs w:val="20"/>
          <w:color w:val="auto"/>
        </w:rPr>
        <w:tab/>
      </w:r>
      <w:r>
        <w:rPr>
          <w:rFonts w:ascii="Courier New" w:cs="Courier New" w:eastAsia="Courier New" w:hAnsi="Courier New"/>
          <w:sz w:val="16"/>
          <w:szCs w:val="16"/>
          <w:color w:val="auto"/>
        </w:rPr>
        <w:t>LTD</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Tower Semiconductor Ltd. is a pure-play independent wafer foundry established in</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gridSpan w:val="3"/>
          </w:tcPr>
          <w:p>
            <w:pPr>
              <w:spacing w:after="0"/>
              <w:rPr>
                <w:sz w:val="20"/>
                <w:szCs w:val="20"/>
                <w:color w:val="auto"/>
              </w:rPr>
            </w:pPr>
            <w:r>
              <w:rPr>
                <w:rFonts w:ascii="Courier New" w:cs="Courier New" w:eastAsia="Courier New" w:hAnsi="Courier New"/>
                <w:sz w:val="18"/>
                <w:szCs w:val="18"/>
                <w:color w:val="auto"/>
                <w:w w:val="98"/>
              </w:rPr>
              <w:t>1993.  The company manufactures</w:t>
            </w:r>
          </w:p>
        </w:tc>
        <w:tc>
          <w:tcPr>
            <w:tcW w:w="3800" w:type="dxa"/>
            <w:vAlign w:val="bottom"/>
          </w:tcPr>
          <w:p>
            <w:pPr>
              <w:jc w:val="right"/>
              <w:spacing w:after="0"/>
              <w:rPr>
                <w:sz w:val="20"/>
                <w:szCs w:val="20"/>
                <w:color w:val="auto"/>
              </w:rPr>
            </w:pPr>
            <w:r>
              <w:rPr>
                <w:rFonts w:ascii="Courier New" w:cs="Courier New" w:eastAsia="Courier New" w:hAnsi="Courier New"/>
                <w:sz w:val="18"/>
                <w:szCs w:val="18"/>
                <w:color w:val="auto"/>
                <w:w w:val="98"/>
              </w:rPr>
              <w:t>integrated circuits with geometries</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w w:val="95"/>
              </w:rPr>
              <w:t>ranging from</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1.0  to</w:t>
            </w:r>
          </w:p>
        </w:tc>
        <w:tc>
          <w:tcPr>
            <w:tcW w:w="62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0.18 microns; it also provides complementary manufacturing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services and</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design</w:t>
            </w:r>
          </w:p>
        </w:tc>
        <w:tc>
          <w:tcPr>
            <w:tcW w:w="1460" w:type="dxa"/>
            <w:vAlign w:val="bottom"/>
          </w:tcPr>
          <w:p>
            <w:pPr>
              <w:spacing w:after="0" w:line="203" w:lineRule="exact"/>
              <w:rPr>
                <w:sz w:val="20"/>
                <w:szCs w:val="20"/>
                <w:color w:val="auto"/>
              </w:rPr>
            </w:pPr>
            <w:r>
              <w:rPr>
                <w:rFonts w:ascii="Courier New" w:cs="Courier New" w:eastAsia="Courier New" w:hAnsi="Courier New"/>
                <w:sz w:val="18"/>
                <w:szCs w:val="18"/>
                <w:color w:val="auto"/>
              </w:rPr>
              <w:t>support.  In</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addition</w:t>
            </w:r>
          </w:p>
        </w:tc>
        <w:tc>
          <w:tcPr>
            <w:tcW w:w="3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to digital CMOS process technology,</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Tower offers</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advanced</w:t>
            </w:r>
          </w:p>
        </w:tc>
        <w:tc>
          <w:tcPr>
            <w:tcW w:w="14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5"/>
              </w:rPr>
              <w:t>non-volatile</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memory</w:t>
            </w:r>
          </w:p>
        </w:tc>
        <w:tc>
          <w:tcPr>
            <w:tcW w:w="3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solutions,  mixed-signal  and  CMOS</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image-sensor</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technologies. To provide</w:t>
            </w:r>
          </w:p>
        </w:tc>
        <w:tc>
          <w:tcPr>
            <w:tcW w:w="586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8"/>
              </w:rPr>
              <w:t>world-class customer service, the company maintains two</w:t>
            </w:r>
          </w:p>
        </w:tc>
      </w:tr>
      <w:tr>
        <w:trPr>
          <w:trHeight w:val="203"/>
        </w:trPr>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manufacturing</w:t>
            </w:r>
          </w:p>
        </w:tc>
        <w:tc>
          <w:tcPr>
            <w:tcW w:w="148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rPr>
              <w:t>facilities:</w:t>
            </w:r>
          </w:p>
        </w:tc>
        <w:tc>
          <w:tcPr>
            <w:tcW w:w="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Fab</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has  process</w:t>
            </w:r>
          </w:p>
        </w:tc>
        <w:tc>
          <w:tcPr>
            <w:tcW w:w="3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technologies  from 1.0 to 0.35</w:t>
            </w:r>
          </w:p>
        </w:tc>
      </w:tr>
      <w:tr>
        <w:trPr>
          <w:trHeight w:val="203"/>
        </w:trPr>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microns  and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can</w:t>
            </w:r>
          </w:p>
        </w:tc>
        <w:tc>
          <w:tcPr>
            <w:tcW w:w="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produce</w:t>
            </w:r>
          </w:p>
        </w:tc>
        <w:tc>
          <w:tcPr>
            <w:tcW w:w="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up</w:t>
            </w:r>
          </w:p>
        </w:tc>
        <w:tc>
          <w:tcPr>
            <w:tcW w:w="5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to 20,000 150mm wafers per month. Fab 2 features</w:t>
            </w:r>
          </w:p>
        </w:tc>
      </w:tr>
      <w:tr>
        <w:trPr>
          <w:trHeight w:val="203"/>
        </w:trPr>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0.18-micron</w:t>
            </w:r>
          </w:p>
        </w:tc>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6"/>
              </w:rPr>
              <w:t>below</w:t>
            </w:r>
          </w:p>
        </w:tc>
        <w:tc>
          <w:tcPr>
            <w:tcW w:w="10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process</w:t>
            </w:r>
          </w:p>
        </w:tc>
        <w:tc>
          <w:tcPr>
            <w:tcW w:w="48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technologies,  including  foundry-standard</w:t>
            </w:r>
          </w:p>
        </w:tc>
      </w:tr>
      <w:tr>
        <w:trPr>
          <w:trHeight w:val="203"/>
        </w:trPr>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technology,</w:t>
            </w:r>
          </w:p>
        </w:tc>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54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w w:val="97"/>
              </w:rPr>
              <w:t>will offer full production capacity of 33,000 200mm wafers per</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month.</w:t>
            </w:r>
          </w:p>
        </w:tc>
        <w:tc>
          <w:tcPr>
            <w:tcW w:w="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The</w:t>
            </w:r>
          </w:p>
        </w:tc>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Tower</w:t>
            </w:r>
          </w:p>
        </w:tc>
        <w:tc>
          <w:tcPr>
            <w:tcW w:w="6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Web</w:t>
            </w:r>
          </w:p>
        </w:tc>
        <w:tc>
          <w:tcPr>
            <w:tcW w:w="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site</w:t>
            </w:r>
          </w:p>
        </w:tc>
        <w:tc>
          <w:tcPr>
            <w:tcW w:w="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83"/>
              </w:rPr>
              <w:t>is</w:t>
            </w:r>
          </w:p>
        </w:tc>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located  at</w:t>
            </w:r>
          </w:p>
        </w:tc>
        <w:tc>
          <w:tcPr>
            <w:tcW w:w="338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w w:val="96"/>
              </w:rPr>
              <w:t>www.towersemi.com.</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SAFE</w:t>
            </w:r>
          </w:p>
        </w:tc>
        <w:tc>
          <w:tcPr>
            <w:tcW w:w="740" w:type="dxa"/>
            <w:vAlign w:val="bottom"/>
          </w:tcPr>
          <w:p>
            <w:pPr>
              <w:spacing w:after="0"/>
              <w:rPr>
                <w:sz w:val="20"/>
                <w:szCs w:val="20"/>
                <w:color w:val="auto"/>
              </w:rPr>
            </w:pPr>
            <w:r>
              <w:rPr>
                <w:rFonts w:ascii="Courier New" w:cs="Courier New" w:eastAsia="Courier New" w:hAnsi="Courier New"/>
                <w:sz w:val="18"/>
                <w:szCs w:val="18"/>
                <w:color w:val="auto"/>
              </w:rPr>
              <w:t>HARBOR</w:t>
            </w: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380" w:type="dxa"/>
            <w:vAlign w:val="bottom"/>
          </w:tcPr>
          <w:p>
            <w:pPr>
              <w:spacing w:after="0"/>
              <w:rPr>
                <w:sz w:val="24"/>
                <w:szCs w:val="24"/>
                <w:color w:val="auto"/>
              </w:rPr>
            </w:pPr>
          </w:p>
        </w:tc>
      </w:tr>
    </w:tbl>
    <w:p>
      <w:pPr>
        <w:spacing w:after="0" w:line="207" w:lineRule="exact"/>
        <w:rPr>
          <w:sz w:val="20"/>
          <w:szCs w:val="20"/>
          <w:color w:val="auto"/>
        </w:rPr>
      </w:pPr>
    </w:p>
    <w:p>
      <w:pPr>
        <w:jc w:val="both"/>
        <w:ind w:right="1779"/>
        <w:spacing w:after="0" w:line="270" w:lineRule="auto"/>
        <w:rPr>
          <w:sz w:val="20"/>
          <w:szCs w:val="20"/>
          <w:color w:val="auto"/>
        </w:rPr>
      </w:pPr>
      <w:r>
        <w:rPr>
          <w:rFonts w:ascii="Courier New" w:cs="Courier New" w:eastAsia="Courier New" w:hAnsi="Courier New"/>
          <w:sz w:val="16"/>
          <w:szCs w:val="16"/>
          <w:color w:val="auto"/>
        </w:rPr>
        <w:t>This press release includes forward-looking statements, which are subject to risks and uncertainties. Actual results may vary from those projected or implied by such forward-looking statements. Potential risks and uncertainties include, without limitation, risks and uncertainties associated with (i) satisfaction of all conditions precedent to the closing of the agreement with OTPP, including the condition that Tower complete an additional $15 million financing; (ii) extension by Tower's banks of the July 31 deadline to raise an aggregate of $39 million in additional equity and/or wafer partner investments, (iii) conditions in the market for foundry manufacturing services and in the market for semiconductor products generally, (iv) obtaining additional business from new</w:t>
      </w:r>
    </w:p>
    <w:p>
      <w:pPr>
        <w:sectPr>
          <w:pgSz w:w="11900" w:h="16838" w:orient="portrait"/>
          <w:cols w:equalWidth="0" w:num="1">
            <w:col w:w="10219"/>
          </w:cols>
          <w:pgMar w:left="240" w:top="717" w:right="1440" w:bottom="1440" w:gutter="0" w:footer="0" w:header="0"/>
        </w:sectPr>
      </w:pPr>
    </w:p>
    <w:bookmarkStart w:id="5" w:name="page6"/>
    <w:bookmarkEnd w:id="5"/>
    <w:p>
      <w:pPr>
        <w:jc w:val="both"/>
        <w:ind w:right="1779"/>
        <w:spacing w:after="0" w:line="268" w:lineRule="auto"/>
        <w:rPr>
          <w:sz w:val="20"/>
          <w:szCs w:val="20"/>
          <w:color w:val="auto"/>
        </w:rPr>
      </w:pPr>
      <w:r>
        <w:rPr>
          <w:rFonts w:ascii="Courier New" w:cs="Courier New" w:eastAsia="Courier New" w:hAnsi="Courier New"/>
          <w:sz w:val="16"/>
          <w:szCs w:val="16"/>
          <w:color w:val="auto"/>
        </w:rPr>
        <w:t>and existing customers, (v) obtaining additional financing for the Fab 2 project from equity and/or wafer partners and/or other sources, (vi) any failure by Tower to raise additional funding by the deadlines set forth in its agreement with its banks and/or a failure by Tower to reach an agreement with its banks to extend the deadlines to raise additional financing in 2002 and 2003, which would</w:t>
      </w:r>
    </w:p>
    <w:tbl>
      <w:tblPr>
        <w:tblLayout w:type="fixed"/>
        <w:tblInd w:w="0" w:type="dxa"/>
        <w:tblCellMar>
          <w:top w:w="0" w:type="dxa"/>
          <w:left w:w="0" w:type="dxa"/>
          <w:bottom w:w="0" w:type="dxa"/>
          <w:right w:w="0" w:type="dxa"/>
        </w:tblCellMar>
      </w:tblPr>
      <w:tr>
        <w:trPr>
          <w:trHeight w:val="199"/>
        </w:trPr>
        <w:tc>
          <w:tcPr>
            <w:tcW w:w="2640" w:type="dxa"/>
            <w:vAlign w:val="bottom"/>
            <w:gridSpan w:val="7"/>
          </w:tcPr>
          <w:p>
            <w:pPr>
              <w:spacing w:after="0" w:line="199" w:lineRule="exact"/>
              <w:rPr>
                <w:sz w:val="20"/>
                <w:szCs w:val="20"/>
                <w:color w:val="auto"/>
              </w:rPr>
            </w:pPr>
            <w:r>
              <w:rPr>
                <w:rFonts w:ascii="Courier New" w:cs="Courier New" w:eastAsia="Courier New" w:hAnsi="Courier New"/>
                <w:sz w:val="18"/>
                <w:szCs w:val="18"/>
                <w:color w:val="auto"/>
                <w:w w:val="97"/>
              </w:rPr>
              <w:t>result  in  an  event  of</w:t>
            </w:r>
          </w:p>
        </w:tc>
        <w:tc>
          <w:tcPr>
            <w:tcW w:w="220" w:type="dxa"/>
            <w:vAlign w:val="bottom"/>
          </w:tcPr>
          <w:p>
            <w:pPr>
              <w:spacing w:after="0"/>
              <w:rPr>
                <w:sz w:val="17"/>
                <w:szCs w:val="17"/>
                <w:color w:val="auto"/>
              </w:rPr>
            </w:pPr>
          </w:p>
        </w:tc>
        <w:tc>
          <w:tcPr>
            <w:tcW w:w="5580" w:type="dxa"/>
            <w:vAlign w:val="bottom"/>
            <w:gridSpan w:val="8"/>
          </w:tcPr>
          <w:p>
            <w:pPr>
              <w:jc w:val="right"/>
              <w:spacing w:after="0" w:line="199" w:lineRule="exact"/>
              <w:rPr>
                <w:sz w:val="20"/>
                <w:szCs w:val="20"/>
                <w:color w:val="auto"/>
              </w:rPr>
            </w:pPr>
            <w:r>
              <w:rPr>
                <w:rFonts w:ascii="Courier New" w:cs="Courier New" w:eastAsia="Courier New" w:hAnsi="Courier New"/>
                <w:sz w:val="18"/>
                <w:szCs w:val="18"/>
                <w:color w:val="auto"/>
                <w:w w:val="97"/>
              </w:rPr>
              <w:t>default of Tower's loan agreement, in which event the</w:t>
            </w:r>
          </w:p>
        </w:tc>
      </w:tr>
      <w:tr>
        <w:trPr>
          <w:trHeight w:val="203"/>
        </w:trPr>
        <w:tc>
          <w:tcPr>
            <w:tcW w:w="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banks</w:t>
            </w:r>
          </w:p>
        </w:tc>
        <w:tc>
          <w:tcPr>
            <w:tcW w:w="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would</w:t>
            </w:r>
          </w:p>
        </w:tc>
        <w:tc>
          <w:tcPr>
            <w:tcW w:w="6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have</w:t>
            </w:r>
          </w:p>
        </w:tc>
        <w:tc>
          <w:tcPr>
            <w:tcW w:w="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the</w:t>
            </w:r>
          </w:p>
        </w:tc>
        <w:tc>
          <w:tcPr>
            <w:tcW w:w="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right</w:t>
            </w:r>
          </w:p>
        </w:tc>
        <w:tc>
          <w:tcPr>
            <w:tcW w:w="516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w w:val="99"/>
              </w:rPr>
              <w:t>to call the loans and exercise its liens against</w:t>
            </w:r>
          </w:p>
        </w:tc>
      </w:tr>
      <w:tr>
        <w:trPr>
          <w:trHeight w:val="203"/>
        </w:trPr>
        <w:tc>
          <w:tcPr>
            <w:tcW w:w="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Tower's</w:t>
            </w:r>
          </w:p>
        </w:tc>
        <w:tc>
          <w:tcPr>
            <w:tcW w:w="9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5"/>
              </w:rPr>
              <w:t>assets,</w:t>
            </w:r>
          </w:p>
        </w:tc>
        <w:tc>
          <w:tcPr>
            <w:tcW w:w="9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(vii)</w:t>
            </w:r>
          </w:p>
        </w:tc>
        <w:tc>
          <w:tcPr>
            <w:tcW w:w="220" w:type="dxa"/>
            <w:vAlign w:val="bottom"/>
          </w:tcPr>
          <w:p>
            <w:pPr>
              <w:spacing w:after="0" w:line="203" w:lineRule="exact"/>
              <w:rPr>
                <w:sz w:val="20"/>
                <w:szCs w:val="20"/>
                <w:color w:val="auto"/>
              </w:rPr>
            </w:pPr>
            <w:r>
              <w:rPr>
                <w:rFonts w:ascii="Courier New" w:cs="Courier New" w:eastAsia="Courier New" w:hAnsi="Courier New"/>
                <w:sz w:val="18"/>
                <w:szCs w:val="18"/>
                <w:color w:val="auto"/>
              </w:rPr>
              <w:t>a</w:t>
            </w:r>
          </w:p>
        </w:tc>
        <w:tc>
          <w:tcPr>
            <w:tcW w:w="1460" w:type="dxa"/>
            <w:vAlign w:val="bottom"/>
            <w:gridSpan w:val="4"/>
          </w:tcPr>
          <w:p>
            <w:pPr>
              <w:jc w:val="right"/>
              <w:ind w:right="112"/>
              <w:spacing w:after="0" w:line="203" w:lineRule="exact"/>
              <w:rPr>
                <w:sz w:val="20"/>
                <w:szCs w:val="20"/>
                <w:color w:val="auto"/>
              </w:rPr>
            </w:pPr>
            <w:r>
              <w:rPr>
                <w:rFonts w:ascii="Courier New" w:cs="Courier New" w:eastAsia="Courier New" w:hAnsi="Courier New"/>
                <w:sz w:val="18"/>
                <w:szCs w:val="18"/>
                <w:color w:val="auto"/>
              </w:rPr>
              <w:t>declaration</w:t>
            </w: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of</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default</w:t>
            </w:r>
          </w:p>
        </w:tc>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by Tower's wafer partners,</w:t>
            </w:r>
          </w:p>
        </w:tc>
      </w:tr>
      <w:tr>
        <w:trPr>
          <w:trHeight w:val="203"/>
        </w:trPr>
        <w:tc>
          <w:tcPr>
            <w:tcW w:w="1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financial</w:t>
            </w:r>
          </w:p>
        </w:tc>
        <w:tc>
          <w:tcPr>
            <w:tcW w:w="10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6"/>
              </w:rPr>
              <w:t>investors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w:t>
            </w:r>
          </w:p>
        </w:tc>
        <w:tc>
          <w:tcPr>
            <w:tcW w:w="220" w:type="dxa"/>
            <w:vAlign w:val="bottom"/>
          </w:tcPr>
          <w:p>
            <w:pPr>
              <w:spacing w:after="0"/>
              <w:rPr>
                <w:sz w:val="17"/>
                <w:szCs w:val="17"/>
                <w:color w:val="auto"/>
              </w:rPr>
            </w:pP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516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w w:val="99"/>
              </w:rPr>
              <w:t>Investment  Center of the State of Israel should</w:t>
            </w:r>
          </w:p>
        </w:tc>
      </w:tr>
      <w:tr>
        <w:trPr>
          <w:trHeight w:val="203"/>
        </w:trPr>
        <w:tc>
          <w:tcPr>
            <w:tcW w:w="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Tower's</w:t>
            </w:r>
          </w:p>
        </w:tc>
        <w:tc>
          <w:tcPr>
            <w:tcW w:w="7700" w:type="dxa"/>
            <w:vAlign w:val="bottom"/>
            <w:gridSpan w:val="14"/>
          </w:tcPr>
          <w:p>
            <w:pPr>
              <w:jc w:val="right"/>
              <w:spacing w:after="0" w:line="203" w:lineRule="exact"/>
              <w:rPr>
                <w:sz w:val="20"/>
                <w:szCs w:val="20"/>
                <w:color w:val="auto"/>
              </w:rPr>
            </w:pPr>
            <w:r>
              <w:rPr>
                <w:rFonts w:ascii="Courier New" w:cs="Courier New" w:eastAsia="Courier New" w:hAnsi="Courier New"/>
                <w:sz w:val="18"/>
                <w:szCs w:val="18"/>
                <w:color w:val="auto"/>
              </w:rPr>
              <w:t>banks call the loans, (viii) satisfaction of all other conditions under</w:t>
            </w:r>
          </w:p>
        </w:tc>
      </w:tr>
      <w:tr>
        <w:trPr>
          <w:trHeight w:val="203"/>
        </w:trPr>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the</w:t>
            </w:r>
          </w:p>
        </w:tc>
        <w:tc>
          <w:tcPr>
            <w:tcW w:w="2320" w:type="dxa"/>
            <w:vAlign w:val="bottom"/>
            <w:gridSpan w:val="6"/>
          </w:tcPr>
          <w:p>
            <w:pPr>
              <w:jc w:val="right"/>
              <w:ind w:right="12"/>
              <w:spacing w:after="0" w:line="203" w:lineRule="exact"/>
              <w:rPr>
                <w:sz w:val="20"/>
                <w:szCs w:val="20"/>
                <w:color w:val="auto"/>
              </w:rPr>
            </w:pPr>
            <w:r>
              <w:rPr>
                <w:rFonts w:ascii="Courier New" w:cs="Courier New" w:eastAsia="Courier New" w:hAnsi="Courier New"/>
                <w:sz w:val="18"/>
                <w:szCs w:val="18"/>
                <w:color w:val="auto"/>
              </w:rPr>
              <w:t>agreements with the</w:t>
            </w:r>
          </w:p>
        </w:tc>
        <w:tc>
          <w:tcPr>
            <w:tcW w:w="5800" w:type="dxa"/>
            <w:vAlign w:val="bottom"/>
            <w:gridSpan w:val="9"/>
          </w:tcPr>
          <w:p>
            <w:pPr>
              <w:jc w:val="right"/>
              <w:spacing w:after="0" w:line="203" w:lineRule="exact"/>
              <w:rPr>
                <w:sz w:val="20"/>
                <w:szCs w:val="20"/>
                <w:color w:val="auto"/>
              </w:rPr>
            </w:pPr>
            <w:r>
              <w:rPr>
                <w:rFonts w:ascii="Courier New" w:cs="Courier New" w:eastAsia="Courier New" w:hAnsi="Courier New"/>
                <w:sz w:val="18"/>
                <w:szCs w:val="18"/>
                <w:color w:val="auto"/>
                <w:w w:val="97"/>
              </w:rPr>
              <w:t>Fab 2 equity and wafer partners, the Israeli Investment</w:t>
            </w:r>
          </w:p>
        </w:tc>
      </w:tr>
      <w:tr>
        <w:trPr>
          <w:trHeight w:val="203"/>
        </w:trPr>
        <w:tc>
          <w:tcPr>
            <w:tcW w:w="5600" w:type="dxa"/>
            <w:vAlign w:val="bottom"/>
            <w:gridSpan w:val="14"/>
          </w:tcPr>
          <w:p>
            <w:pPr>
              <w:spacing w:after="0" w:line="203" w:lineRule="exact"/>
              <w:rPr>
                <w:sz w:val="20"/>
                <w:szCs w:val="20"/>
                <w:color w:val="auto"/>
              </w:rPr>
            </w:pPr>
            <w:r>
              <w:rPr>
                <w:rFonts w:ascii="Courier New" w:cs="Courier New" w:eastAsia="Courier New" w:hAnsi="Courier New"/>
                <w:sz w:val="18"/>
                <w:szCs w:val="18"/>
                <w:color w:val="auto"/>
              </w:rPr>
              <w:t>Center  and  Tower's  banks,  (ix)  completing  the</w:t>
            </w:r>
          </w:p>
        </w:tc>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construction of a new wafer</w:t>
            </w:r>
          </w:p>
        </w:tc>
      </w:tr>
      <w:tr>
        <w:trPr>
          <w:trHeight w:val="203"/>
        </w:trPr>
        <w:tc>
          <w:tcPr>
            <w:tcW w:w="14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manufacturing</w:t>
            </w:r>
          </w:p>
        </w:tc>
        <w:tc>
          <w:tcPr>
            <w:tcW w:w="116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facility,</w:t>
            </w:r>
          </w:p>
        </w:tc>
        <w:tc>
          <w:tcPr>
            <w:tcW w:w="6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(x)</w:t>
            </w:r>
          </w:p>
        </w:tc>
        <w:tc>
          <w:tcPr>
            <w:tcW w:w="10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4"/>
              </w:rPr>
              <w:t>successful</w:t>
            </w:r>
          </w:p>
        </w:tc>
        <w:tc>
          <w:tcPr>
            <w:tcW w:w="1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completion</w:t>
            </w:r>
          </w:p>
        </w:tc>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of the development and/or</w:t>
            </w:r>
          </w:p>
        </w:tc>
      </w:tr>
      <w:tr>
        <w:trPr>
          <w:trHeight w:val="203"/>
        </w:trPr>
        <w:tc>
          <w:tcPr>
            <w:tcW w:w="5600" w:type="dxa"/>
            <w:vAlign w:val="bottom"/>
            <w:gridSpan w:val="14"/>
          </w:tcPr>
          <w:p>
            <w:pPr>
              <w:spacing w:after="0" w:line="203" w:lineRule="exact"/>
              <w:rPr>
                <w:sz w:val="20"/>
                <w:szCs w:val="20"/>
                <w:color w:val="auto"/>
              </w:rPr>
            </w:pPr>
            <w:r>
              <w:rPr>
                <w:rFonts w:ascii="Courier New" w:cs="Courier New" w:eastAsia="Courier New" w:hAnsi="Courier New"/>
                <w:sz w:val="18"/>
                <w:szCs w:val="18"/>
                <w:color w:val="auto"/>
              </w:rPr>
              <w:t>transfer  of  advanced  CMOS  process  technologies</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to  be</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utilized in Tower's</w:t>
            </w:r>
          </w:p>
        </w:tc>
      </w:tr>
      <w:tr>
        <w:trPr>
          <w:trHeight w:val="203"/>
        </w:trPr>
        <w:tc>
          <w:tcPr>
            <w:tcW w:w="1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existing</w:t>
            </w:r>
          </w:p>
        </w:tc>
        <w:tc>
          <w:tcPr>
            <w:tcW w:w="1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facility</w:t>
            </w:r>
          </w:p>
        </w:tc>
        <w:tc>
          <w:tcPr>
            <w:tcW w:w="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and</w:t>
            </w:r>
          </w:p>
        </w:tc>
        <w:tc>
          <w:tcPr>
            <w:tcW w:w="5800" w:type="dxa"/>
            <w:vAlign w:val="bottom"/>
            <w:gridSpan w:val="9"/>
          </w:tcPr>
          <w:p>
            <w:pPr>
              <w:jc w:val="right"/>
              <w:spacing w:after="0" w:line="203" w:lineRule="exact"/>
              <w:rPr>
                <w:sz w:val="20"/>
                <w:szCs w:val="20"/>
                <w:color w:val="auto"/>
              </w:rPr>
            </w:pPr>
            <w:r>
              <w:rPr>
                <w:rFonts w:ascii="Courier New" w:cs="Courier New" w:eastAsia="Courier New" w:hAnsi="Courier New"/>
                <w:sz w:val="18"/>
                <w:szCs w:val="18"/>
                <w:color w:val="auto"/>
                <w:w w:val="97"/>
              </w:rPr>
              <w:t>in Fab 2, (xi) market acceptance and competitiveness of</w:t>
            </w:r>
          </w:p>
        </w:tc>
      </w:tr>
      <w:tr>
        <w:trPr>
          <w:trHeight w:val="203"/>
        </w:trPr>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the</w:t>
            </w:r>
          </w:p>
        </w:tc>
        <w:tc>
          <w:tcPr>
            <w:tcW w:w="4420" w:type="dxa"/>
            <w:vAlign w:val="bottom"/>
            <w:gridSpan w:val="12"/>
          </w:tcPr>
          <w:p>
            <w:pPr>
              <w:jc w:val="right"/>
              <w:spacing w:after="0" w:line="203" w:lineRule="exact"/>
              <w:rPr>
                <w:sz w:val="20"/>
                <w:szCs w:val="20"/>
                <w:color w:val="auto"/>
              </w:rPr>
            </w:pPr>
            <w:r>
              <w:rPr>
                <w:rFonts w:ascii="Courier New" w:cs="Courier New" w:eastAsia="Courier New" w:hAnsi="Courier New"/>
                <w:sz w:val="18"/>
                <w:szCs w:val="18"/>
                <w:color w:val="auto"/>
              </w:rPr>
              <w:t>products to be manufactured by Tower for</w:t>
            </w:r>
          </w:p>
        </w:tc>
        <w:tc>
          <w:tcPr>
            <w:tcW w:w="37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customers using these technologies</w:t>
            </w:r>
          </w:p>
        </w:tc>
      </w:tr>
      <w:tr>
        <w:trPr>
          <w:trHeight w:val="203"/>
        </w:trPr>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and</w:t>
            </w:r>
          </w:p>
        </w:tc>
        <w:tc>
          <w:tcPr>
            <w:tcW w:w="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(xii)</w:t>
            </w:r>
          </w:p>
        </w:tc>
        <w:tc>
          <w:tcPr>
            <w:tcW w:w="106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rPr>
              <w:t>ramp-up</w:t>
            </w:r>
          </w:p>
        </w:tc>
        <w:tc>
          <w:tcPr>
            <w:tcW w:w="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of</w:t>
            </w:r>
          </w:p>
        </w:tc>
        <w:tc>
          <w:tcPr>
            <w:tcW w:w="12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production</w:t>
            </w: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at</w:t>
            </w:r>
          </w:p>
        </w:tc>
        <w:tc>
          <w:tcPr>
            <w:tcW w:w="42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Fab</w:t>
            </w:r>
          </w:p>
        </w:tc>
        <w:tc>
          <w:tcPr>
            <w:tcW w:w="8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w:t>
            </w:r>
          </w:p>
        </w:tc>
        <w:tc>
          <w:tcPr>
            <w:tcW w:w="78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405"/>
        </w:trPr>
        <w:tc>
          <w:tcPr>
            <w:tcW w:w="3580" w:type="dxa"/>
            <w:vAlign w:val="bottom"/>
            <w:gridSpan w:val="10"/>
          </w:tcPr>
          <w:p>
            <w:pPr>
              <w:spacing w:after="0"/>
              <w:rPr>
                <w:sz w:val="20"/>
                <w:szCs w:val="20"/>
                <w:color w:val="auto"/>
              </w:rPr>
            </w:pPr>
            <w:r>
              <w:rPr>
                <w:rFonts w:ascii="Courier New" w:cs="Courier New" w:eastAsia="Courier New" w:hAnsi="Courier New"/>
                <w:sz w:val="18"/>
                <w:szCs w:val="18"/>
                <w:color w:val="auto"/>
                <w:w w:val="99"/>
              </w:rPr>
              <w:t>A  more  complete  discussion  of</w:t>
            </w:r>
          </w:p>
        </w:tc>
        <w:tc>
          <w:tcPr>
            <w:tcW w:w="7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risks</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and</w:t>
            </w:r>
          </w:p>
        </w:tc>
        <w:tc>
          <w:tcPr>
            <w:tcW w:w="37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uncertainties that may affect the</w:t>
            </w:r>
          </w:p>
        </w:tc>
      </w:tr>
      <w:tr>
        <w:trPr>
          <w:trHeight w:val="203"/>
        </w:trPr>
        <w:tc>
          <w:tcPr>
            <w:tcW w:w="1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accuracy</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these</w:t>
            </w:r>
          </w:p>
        </w:tc>
        <w:tc>
          <w:tcPr>
            <w:tcW w:w="1460" w:type="dxa"/>
            <w:vAlign w:val="bottom"/>
            <w:gridSpan w:val="4"/>
          </w:tcPr>
          <w:p>
            <w:pPr>
              <w:jc w:val="right"/>
              <w:ind w:right="112"/>
              <w:spacing w:after="0" w:line="203" w:lineRule="exact"/>
              <w:rPr>
                <w:sz w:val="20"/>
                <w:szCs w:val="20"/>
                <w:color w:val="auto"/>
              </w:rPr>
            </w:pPr>
            <w:r>
              <w:rPr>
                <w:rFonts w:ascii="Courier New" w:cs="Courier New" w:eastAsia="Courier New" w:hAnsi="Courier New"/>
                <w:sz w:val="18"/>
                <w:szCs w:val="18"/>
                <w:color w:val="auto"/>
              </w:rPr>
              <w:t>statements,</w:t>
            </w:r>
          </w:p>
        </w:tc>
        <w:tc>
          <w:tcPr>
            <w:tcW w:w="486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w w:val="97"/>
              </w:rPr>
              <w:t>and Tower's business generally, is included at</w:t>
            </w:r>
          </w:p>
        </w:tc>
      </w:tr>
      <w:tr>
        <w:trPr>
          <w:trHeight w:val="203"/>
        </w:trPr>
        <w:tc>
          <w:tcPr>
            <w:tcW w:w="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3.</w:t>
            </w:r>
          </w:p>
        </w:tc>
        <w:tc>
          <w:tcPr>
            <w:tcW w:w="7380" w:type="dxa"/>
            <w:vAlign w:val="bottom"/>
            <w:gridSpan w:val="13"/>
          </w:tcPr>
          <w:p>
            <w:pPr>
              <w:ind w:left="100"/>
              <w:spacing w:after="0" w:line="203" w:lineRule="exact"/>
              <w:rPr>
                <w:sz w:val="20"/>
                <w:szCs w:val="20"/>
                <w:color w:val="auto"/>
              </w:rPr>
            </w:pPr>
            <w:r>
              <w:rPr>
                <w:rFonts w:ascii="Courier New" w:cs="Courier New" w:eastAsia="Courier New" w:hAnsi="Courier New"/>
                <w:sz w:val="18"/>
                <w:szCs w:val="18"/>
                <w:color w:val="auto"/>
              </w:rPr>
              <w:t>Key Information--Risk Factors" in Tower's most recent Annual Report</w:t>
            </w:r>
          </w:p>
        </w:tc>
      </w:tr>
      <w:tr>
        <w:trPr>
          <w:trHeight w:val="203"/>
        </w:trPr>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on</w:t>
            </w:r>
          </w:p>
        </w:tc>
        <w:tc>
          <w:tcPr>
            <w:tcW w:w="8120" w:type="dxa"/>
            <w:vAlign w:val="bottom"/>
            <w:gridSpan w:val="15"/>
          </w:tcPr>
          <w:p>
            <w:pPr>
              <w:jc w:val="right"/>
              <w:spacing w:after="0" w:line="203" w:lineRule="exact"/>
              <w:rPr>
                <w:sz w:val="20"/>
                <w:szCs w:val="20"/>
                <w:color w:val="auto"/>
              </w:rPr>
            </w:pPr>
            <w:r>
              <w:rPr>
                <w:rFonts w:ascii="Courier New" w:cs="Courier New" w:eastAsia="Courier New" w:hAnsi="Courier New"/>
                <w:sz w:val="18"/>
                <w:szCs w:val="18"/>
                <w:color w:val="auto"/>
                <w:w w:val="98"/>
              </w:rPr>
              <w:t>Form 20-F, and the Company's report on Form 6-K for the month of April 2002,</w:t>
            </w:r>
          </w:p>
        </w:tc>
      </w:tr>
      <w:tr>
        <w:trPr>
          <w:trHeight w:val="203"/>
        </w:trPr>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as</w:t>
            </w:r>
          </w:p>
        </w:tc>
        <w:tc>
          <w:tcPr>
            <w:tcW w:w="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filed</w:t>
            </w:r>
          </w:p>
        </w:tc>
        <w:tc>
          <w:tcPr>
            <w:tcW w:w="6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with</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1460" w:type="dxa"/>
            <w:vAlign w:val="bottom"/>
            <w:gridSpan w:val="4"/>
          </w:tcPr>
          <w:p>
            <w:pPr>
              <w:jc w:val="right"/>
              <w:ind w:right="112"/>
              <w:spacing w:after="0" w:line="203" w:lineRule="exact"/>
              <w:rPr>
                <w:sz w:val="20"/>
                <w:szCs w:val="20"/>
                <w:color w:val="auto"/>
              </w:rPr>
            </w:pPr>
            <w:r>
              <w:rPr>
                <w:rFonts w:ascii="Courier New" w:cs="Courier New" w:eastAsia="Courier New" w:hAnsi="Courier New"/>
                <w:sz w:val="18"/>
                <w:szCs w:val="18"/>
                <w:color w:val="auto"/>
              </w:rPr>
              <w:t>Securities</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and</w:t>
            </w:r>
          </w:p>
        </w:tc>
        <w:tc>
          <w:tcPr>
            <w:tcW w:w="2480" w:type="dxa"/>
            <w:vAlign w:val="bottom"/>
            <w:gridSpan w:val="4"/>
          </w:tcPr>
          <w:p>
            <w:pPr>
              <w:ind w:left="220"/>
              <w:spacing w:after="0" w:line="203" w:lineRule="exact"/>
              <w:rPr>
                <w:sz w:val="20"/>
                <w:szCs w:val="20"/>
                <w:color w:val="auto"/>
              </w:rPr>
            </w:pPr>
            <w:r>
              <w:rPr>
                <w:rFonts w:ascii="Courier New" w:cs="Courier New" w:eastAsia="Courier New" w:hAnsi="Courier New"/>
                <w:sz w:val="18"/>
                <w:szCs w:val="18"/>
                <w:color w:val="auto"/>
                <w:w w:val="98"/>
              </w:rPr>
              <w:t>Exchange  Commission.</w:t>
            </w:r>
          </w:p>
        </w:tc>
        <w:tc>
          <w:tcPr>
            <w:tcW w:w="2060" w:type="dxa"/>
            <w:vAlign w:val="bottom"/>
          </w:tcPr>
          <w:p>
            <w:pPr>
              <w:spacing w:after="0"/>
              <w:rPr>
                <w:sz w:val="17"/>
                <w:szCs w:val="17"/>
                <w:color w:val="auto"/>
              </w:rPr>
            </w:pPr>
          </w:p>
        </w:tc>
      </w:tr>
      <w:tr>
        <w:trPr>
          <w:trHeight w:val="405"/>
        </w:trPr>
        <w:tc>
          <w:tcPr>
            <w:tcW w:w="32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w w:val="92"/>
              </w:rPr>
              <w:t>#  #</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405"/>
        </w:trPr>
        <w:tc>
          <w:tcPr>
            <w:tcW w:w="320" w:type="dxa"/>
            <w:vAlign w:val="bottom"/>
          </w:tcPr>
          <w:p>
            <w:pPr>
              <w:spacing w:after="0"/>
              <w:rPr>
                <w:sz w:val="20"/>
                <w:szCs w:val="20"/>
                <w:color w:val="auto"/>
              </w:rPr>
            </w:pPr>
            <w:r>
              <w:rPr>
                <w:rFonts w:ascii="Courier New" w:cs="Courier New" w:eastAsia="Courier New" w:hAnsi="Courier New"/>
                <w:sz w:val="18"/>
                <w:szCs w:val="18"/>
                <w:color w:val="auto"/>
              </w:rPr>
              <w:t>PR</w:t>
            </w:r>
          </w:p>
        </w:tc>
        <w:tc>
          <w:tcPr>
            <w:tcW w:w="7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AGENCY</w:t>
            </w:r>
          </w:p>
        </w:tc>
        <w:tc>
          <w:tcPr>
            <w:tcW w:w="1060" w:type="dxa"/>
            <w:vAlign w:val="bottom"/>
            <w:gridSpan w:val="3"/>
          </w:tcPr>
          <w:p>
            <w:pPr>
              <w:jc w:val="right"/>
              <w:ind w:right="32"/>
              <w:spacing w:after="0"/>
              <w:rPr>
                <w:sz w:val="20"/>
                <w:szCs w:val="20"/>
                <w:color w:val="auto"/>
              </w:rPr>
            </w:pPr>
            <w:r>
              <w:rPr>
                <w:rFonts w:ascii="Courier New" w:cs="Courier New" w:eastAsia="Courier New" w:hAnsi="Courier New"/>
                <w:sz w:val="18"/>
                <w:szCs w:val="18"/>
                <w:color w:val="auto"/>
              </w:rPr>
              <w:t>CONTACT</w:t>
            </w:r>
          </w:p>
        </w:tc>
        <w:tc>
          <w:tcPr>
            <w:tcW w:w="520" w:type="dxa"/>
            <w:vAlign w:val="bottom"/>
          </w:tcPr>
          <w:p>
            <w:pPr>
              <w:spacing w:after="0"/>
              <w:rPr>
                <w:sz w:val="24"/>
                <w:szCs w:val="24"/>
                <w:color w:val="auto"/>
              </w:rPr>
            </w:pPr>
          </w:p>
        </w:tc>
        <w:tc>
          <w:tcPr>
            <w:tcW w:w="940" w:type="dxa"/>
            <w:vAlign w:val="bottom"/>
            <w:gridSpan w:val="3"/>
          </w:tcPr>
          <w:p>
            <w:pPr>
              <w:spacing w:after="0"/>
              <w:rPr>
                <w:sz w:val="20"/>
                <w:szCs w:val="20"/>
                <w:color w:val="auto"/>
              </w:rPr>
            </w:pPr>
            <w:r>
              <w:rPr>
                <w:rFonts w:ascii="Courier New" w:cs="Courier New" w:eastAsia="Courier New" w:hAnsi="Courier New"/>
                <w:sz w:val="18"/>
                <w:szCs w:val="18"/>
                <w:color w:val="auto"/>
              </w:rPr>
              <w:t>INVESTOR</w:t>
            </w:r>
          </w:p>
        </w:tc>
        <w:tc>
          <w:tcPr>
            <w:tcW w:w="2020" w:type="dxa"/>
            <w:vAlign w:val="bottom"/>
            <w:gridSpan w:val="4"/>
          </w:tcPr>
          <w:p>
            <w:pPr>
              <w:jc w:val="center"/>
              <w:ind w:right="132"/>
              <w:spacing w:after="0"/>
              <w:rPr>
                <w:sz w:val="20"/>
                <w:szCs w:val="20"/>
                <w:color w:val="auto"/>
              </w:rPr>
            </w:pPr>
            <w:r>
              <w:rPr>
                <w:rFonts w:ascii="Courier New" w:cs="Courier New" w:eastAsia="Courier New" w:hAnsi="Courier New"/>
                <w:sz w:val="18"/>
                <w:szCs w:val="18"/>
                <w:color w:val="auto"/>
                <w:w w:val="98"/>
              </w:rPr>
              <w:t>RELATIONS CONTACT</w:t>
            </w:r>
          </w:p>
        </w:tc>
        <w:tc>
          <w:tcPr>
            <w:tcW w:w="284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CORPORATE  CONTACT</w:t>
            </w:r>
          </w:p>
        </w:tc>
      </w:tr>
      <w:tr>
        <w:trPr>
          <w:trHeight w:val="203"/>
        </w:trPr>
        <w:tc>
          <w:tcPr>
            <w:tcW w:w="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Julie</w:t>
            </w:r>
          </w:p>
        </w:tc>
        <w:tc>
          <w:tcPr>
            <w:tcW w:w="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Lass</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Sheldon</w:t>
            </w:r>
          </w:p>
        </w:tc>
        <w:tc>
          <w:tcPr>
            <w:tcW w:w="7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Lutch</w:t>
            </w: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Tamar</w:t>
            </w:r>
          </w:p>
        </w:tc>
        <w:tc>
          <w:tcPr>
            <w:tcW w:w="206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Cohen</w:t>
            </w:r>
          </w:p>
        </w:tc>
      </w:tr>
      <w:tr>
        <w:trPr>
          <w:trHeight w:val="203"/>
        </w:trPr>
        <w:tc>
          <w:tcPr>
            <w:tcW w:w="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LOOMIS</w:t>
            </w:r>
          </w:p>
        </w:tc>
        <w:tc>
          <w:tcPr>
            <w:tcW w:w="7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GROUP</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FUSION</w:t>
            </w:r>
          </w:p>
        </w:tc>
        <w:tc>
          <w:tcPr>
            <w:tcW w:w="2320" w:type="dxa"/>
            <w:vAlign w:val="bottom"/>
            <w:gridSpan w:val="5"/>
          </w:tcPr>
          <w:p>
            <w:pPr>
              <w:jc w:val="center"/>
              <w:spacing w:after="0" w:line="203" w:lineRule="exact"/>
              <w:rPr>
                <w:sz w:val="20"/>
                <w:szCs w:val="20"/>
                <w:color w:val="auto"/>
              </w:rPr>
            </w:pPr>
            <w:r>
              <w:rPr>
                <w:rFonts w:ascii="Courier New" w:cs="Courier New" w:eastAsia="Courier New" w:hAnsi="Courier New"/>
                <w:sz w:val="18"/>
                <w:szCs w:val="18"/>
                <w:color w:val="auto"/>
                <w:w w:val="97"/>
              </w:rPr>
              <w:t>IR &amp; COMMUNICATIONS</w:t>
            </w:r>
          </w:p>
        </w:tc>
        <w:tc>
          <w:tcPr>
            <w:tcW w:w="28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TOWER SEMICONDUCTOR LTD.</w:t>
            </w:r>
          </w:p>
        </w:tc>
      </w:tr>
      <w:tr>
        <w:trPr>
          <w:trHeight w:val="203"/>
        </w:trPr>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+1</w:t>
            </w:r>
          </w:p>
        </w:tc>
        <w:tc>
          <w:tcPr>
            <w:tcW w:w="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(512)</w:t>
            </w:r>
          </w:p>
        </w:tc>
        <w:tc>
          <w:tcPr>
            <w:tcW w:w="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457</w:t>
            </w:r>
          </w:p>
        </w:tc>
        <w:tc>
          <w:tcPr>
            <w:tcW w:w="22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9400</w:t>
            </w:r>
          </w:p>
        </w:tc>
        <w:tc>
          <w:tcPr>
            <w:tcW w:w="520" w:type="dxa"/>
            <w:vAlign w:val="bottom"/>
          </w:tcPr>
          <w:p>
            <w:pPr>
              <w:spacing w:after="0"/>
              <w:rPr>
                <w:sz w:val="17"/>
                <w:szCs w:val="17"/>
                <w:color w:val="auto"/>
              </w:rPr>
            </w:pPr>
          </w:p>
        </w:tc>
        <w:tc>
          <w:tcPr>
            <w:tcW w:w="2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+1</w:t>
            </w:r>
          </w:p>
        </w:tc>
        <w:tc>
          <w:tcPr>
            <w:tcW w:w="7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(212)</w:t>
            </w:r>
          </w:p>
        </w:tc>
        <w:tc>
          <w:tcPr>
            <w:tcW w:w="7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268</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1816</w:t>
            </w:r>
          </w:p>
        </w:tc>
        <w:tc>
          <w:tcPr>
            <w:tcW w:w="860" w:type="dxa"/>
            <w:vAlign w:val="bottom"/>
          </w:tcPr>
          <w:p>
            <w:pPr>
              <w:spacing w:after="0"/>
              <w:rPr>
                <w:sz w:val="17"/>
                <w:szCs w:val="17"/>
                <w:color w:val="auto"/>
              </w:rPr>
            </w:pPr>
          </w:p>
        </w:tc>
        <w:tc>
          <w:tcPr>
            <w:tcW w:w="28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+972-4650-6998</w:t>
            </w:r>
          </w:p>
        </w:tc>
      </w:tr>
      <w:tr>
        <w:trPr>
          <w:trHeight w:val="203"/>
        </w:trPr>
        <w:tc>
          <w:tcPr>
            <w:tcW w:w="264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rPr>
              <w:t>LASSJ@LOOMISGROUP.COM</w:t>
            </w:r>
          </w:p>
        </w:tc>
        <w:tc>
          <w:tcPr>
            <w:tcW w:w="210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96"/>
              </w:rPr>
              <w:t>SHELDON@FUSIONIR.COM</w:t>
            </w:r>
          </w:p>
        </w:tc>
        <w:tc>
          <w:tcPr>
            <w:tcW w:w="860" w:type="dxa"/>
            <w:vAlign w:val="bottom"/>
          </w:tcPr>
          <w:p>
            <w:pPr>
              <w:spacing w:after="0"/>
              <w:rPr>
                <w:sz w:val="17"/>
                <w:szCs w:val="17"/>
                <w:color w:val="auto"/>
              </w:rPr>
            </w:pPr>
          </w:p>
        </w:tc>
        <w:tc>
          <w:tcPr>
            <w:tcW w:w="28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PR@TOWERSEMI.COM</w:t>
            </w:r>
          </w:p>
        </w:tc>
      </w:tr>
    </w:tbl>
    <w:p>
      <w:pPr>
        <w:sectPr>
          <w:pgSz w:w="11900" w:h="16838" w:orient="portrait"/>
          <w:cols w:equalWidth="0" w:num="1">
            <w:col w:w="10219"/>
          </w:cols>
          <w:pgMar w:left="240" w:top="723" w:right="1440" w:bottom="1440" w:gutter="0" w:footer="0" w:header="0"/>
        </w:sectPr>
      </w:pPr>
    </w:p>
    <w:bookmarkStart w:id="6" w:name="page7"/>
    <w:bookmarkEnd w:id="6"/>
    <w:p>
      <w:pPr>
        <w:ind w:left="3800"/>
        <w:spacing w:after="0"/>
        <w:rPr>
          <w:sz w:val="20"/>
          <w:szCs w:val="20"/>
          <w:color w:val="auto"/>
        </w:rPr>
      </w:pPr>
      <w:r>
        <w:rPr>
          <w:rFonts w:ascii="Courier New" w:cs="Courier New" w:eastAsia="Courier New" w:hAnsi="Courier New"/>
          <w:sz w:val="18"/>
          <w:szCs w:val="18"/>
          <w:color w:val="auto"/>
        </w:rPr>
        <w:t>EXHIBIT 3</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TOWER SEMICONDUCTOR LTD. ANNOUNCES EXERCISE BY STRATEGIC AND EQUITY INVESTORS OF</w:t>
      </w:r>
    </w:p>
    <w:p>
      <w:pPr>
        <w:spacing w:after="0" w:line="21"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RIGHTS DISTRIBUTED TO THEM IN TOWER'S RIGHTS OFFERING</w:t>
      </w:r>
    </w:p>
    <w:p>
      <w:pPr>
        <w:ind w:left="1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2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$20.4 MILLION RAISED FROM INVESTORS</w:t>
      </w:r>
    </w:p>
    <w:p>
      <w:pPr>
        <w:ind w:left="2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MIGDAL HAEMEK, Israel--Tuesday, October 22, 2002. Tower Semiconductor Ltd. (NASDAQ: TSEM; TASE: TOWER) today announced that its strategic and equity investors have exercised rights distributed to them in connection with Tower's Rights Offering and purchase a total of 4,086,038 ordinary shares and warrants to purchase a total of 1,838,715 ordinary shares. Total immediate proceeds from these investments are $20.4 million.</w:t>
      </w:r>
    </w:p>
    <w:p>
      <w:pPr>
        <w:spacing w:after="0" w:line="210"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As previously announced, Tower distributed rights to purchase a total of 6,858,469 ordinary shares and warrants to purchase 3,086,311 ordinary shares to shareholders and employee option holders of record as of 5:00 p.m. New York City time, on September 30, 2002. Tower issued one right for each 4.94 shares owned by record holders as of the record date. Each right entitles a record holder to purchase one share and 0.45 of a warrant, at a subscription price of $5.00 per right. Each whole warrant entitles the holder to purchase one share at an exercise price of $7.50 per share through October 31, 2006. The rights are exercisable through October 23, 2002 at 5:00 p.m., New York City time (11:00 p.m., Israel time).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0" w:type="dxa"/>
            <w:vAlign w:val="bottom"/>
          </w:tcPr>
          <w:p>
            <w:pPr>
              <w:spacing w:after="0"/>
              <w:rPr>
                <w:sz w:val="20"/>
                <w:szCs w:val="20"/>
                <w:color w:val="auto"/>
              </w:rPr>
            </w:pPr>
            <w:r>
              <w:rPr>
                <w:rFonts w:ascii="Courier New" w:cs="Courier New" w:eastAsia="Courier New" w:hAnsi="Courier New"/>
                <w:sz w:val="18"/>
                <w:szCs w:val="18"/>
                <w:color w:val="auto"/>
                <w:w w:val="92"/>
              </w:rPr>
              <w:t>This</w:t>
            </w:r>
          </w:p>
        </w:tc>
        <w:tc>
          <w:tcPr>
            <w:tcW w:w="160" w:type="dxa"/>
            <w:vAlign w:val="bottom"/>
          </w:tcPr>
          <w:p>
            <w:pPr>
              <w:spacing w:after="0"/>
              <w:rPr>
                <w:sz w:val="17"/>
                <w:szCs w:val="17"/>
                <w:color w:val="auto"/>
              </w:rPr>
            </w:pPr>
          </w:p>
        </w:tc>
        <w:tc>
          <w:tcPr>
            <w:tcW w:w="616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8"/>
              </w:rPr>
              <w:t>press release shall not constitute an offer to sell or the</w:t>
            </w:r>
          </w:p>
        </w:tc>
        <w:tc>
          <w:tcPr>
            <w:tcW w:w="1700" w:type="dxa"/>
            <w:vAlign w:val="bottom"/>
          </w:tcPr>
          <w:p>
            <w:pPr>
              <w:ind w:left="120"/>
              <w:spacing w:after="0"/>
              <w:rPr>
                <w:sz w:val="20"/>
                <w:szCs w:val="20"/>
                <w:color w:val="auto"/>
              </w:rPr>
            </w:pPr>
            <w:r>
              <w:rPr>
                <w:rFonts w:ascii="Courier New" w:cs="Courier New" w:eastAsia="Courier New" w:hAnsi="Courier New"/>
                <w:sz w:val="18"/>
                <w:szCs w:val="18"/>
                <w:color w:val="auto"/>
                <w:w w:val="96"/>
              </w:rPr>
              <w:t>solicitation of</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an</w:t>
            </w:r>
          </w:p>
        </w:tc>
        <w:tc>
          <w:tcPr>
            <w:tcW w:w="63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7"/>
              </w:rPr>
              <w:t>offer to buy nor shall there be any sale of these securities</w:t>
            </w:r>
          </w:p>
        </w:tc>
        <w:tc>
          <w:tcPr>
            <w:tcW w:w="1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in any State in</w:t>
            </w:r>
          </w:p>
        </w:tc>
      </w:tr>
      <w:tr>
        <w:trPr>
          <w:trHeight w:val="203"/>
        </w:trPr>
        <w:tc>
          <w:tcPr>
            <w:tcW w:w="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which</w:t>
            </w:r>
          </w:p>
        </w:tc>
        <w:tc>
          <w:tcPr>
            <w:tcW w:w="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such</w:t>
            </w:r>
          </w:p>
        </w:tc>
        <w:tc>
          <w:tcPr>
            <w:tcW w:w="5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offer, solicitation or sale would be unlawful prior</w:t>
            </w:r>
          </w:p>
        </w:tc>
        <w:tc>
          <w:tcPr>
            <w:tcW w:w="1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to registration</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or</w:t>
            </w:r>
          </w:p>
        </w:tc>
        <w:tc>
          <w:tcPr>
            <w:tcW w:w="26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qualification  under  the</w:t>
            </w:r>
          </w:p>
        </w:tc>
        <w:tc>
          <w:tcPr>
            <w:tcW w:w="3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securities  laws  of  any  such</w:t>
            </w:r>
          </w:p>
        </w:tc>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w:t>
            </w:r>
          </w:p>
        </w:tc>
      </w:tr>
      <w:tr>
        <w:trPr>
          <w:trHeight w:val="405"/>
        </w:trPr>
        <w:tc>
          <w:tcPr>
            <w:tcW w:w="580" w:type="dxa"/>
            <w:vAlign w:val="bottom"/>
            <w:gridSpan w:val="2"/>
          </w:tcPr>
          <w:p>
            <w:pPr>
              <w:spacing w:after="0"/>
              <w:rPr>
                <w:sz w:val="20"/>
                <w:szCs w:val="20"/>
                <w:color w:val="auto"/>
              </w:rPr>
            </w:pPr>
            <w:r>
              <w:rPr>
                <w:rFonts w:ascii="Courier New" w:cs="Courier New" w:eastAsia="Courier New" w:hAnsi="Courier New"/>
                <w:sz w:val="18"/>
                <w:szCs w:val="18"/>
                <w:color w:val="auto"/>
              </w:rPr>
              <w:t>ABOUT</w:t>
            </w:r>
          </w:p>
        </w:tc>
        <w:tc>
          <w:tcPr>
            <w:tcW w:w="740" w:type="dxa"/>
            <w:vAlign w:val="bottom"/>
          </w:tcPr>
          <w:p>
            <w:pPr>
              <w:ind w:left="160"/>
              <w:spacing w:after="0"/>
              <w:rPr>
                <w:sz w:val="20"/>
                <w:szCs w:val="20"/>
                <w:color w:val="auto"/>
              </w:rPr>
            </w:pPr>
            <w:r>
              <w:rPr>
                <w:rFonts w:ascii="Courier New" w:cs="Courier New" w:eastAsia="Courier New" w:hAnsi="Courier New"/>
                <w:sz w:val="18"/>
                <w:szCs w:val="18"/>
                <w:color w:val="auto"/>
              </w:rPr>
              <w:t>TOWER</w:t>
            </w:r>
          </w:p>
        </w:tc>
        <w:tc>
          <w:tcPr>
            <w:tcW w:w="1740" w:type="dxa"/>
            <w:vAlign w:val="bottom"/>
          </w:tcPr>
          <w:p>
            <w:pPr>
              <w:ind w:left="160"/>
              <w:spacing w:after="0"/>
              <w:rPr>
                <w:sz w:val="20"/>
                <w:szCs w:val="20"/>
                <w:color w:val="auto"/>
              </w:rPr>
            </w:pPr>
            <w:r>
              <w:rPr>
                <w:rFonts w:ascii="Courier New" w:cs="Courier New" w:eastAsia="Courier New" w:hAnsi="Courier New"/>
                <w:sz w:val="18"/>
                <w:szCs w:val="18"/>
                <w:color w:val="auto"/>
              </w:rPr>
              <w:t>SEMICONDUCTOR</w:t>
            </w:r>
          </w:p>
        </w:tc>
        <w:tc>
          <w:tcPr>
            <w:tcW w:w="3680" w:type="dxa"/>
            <w:vAlign w:val="bottom"/>
          </w:tcPr>
          <w:p>
            <w:pPr>
              <w:jc w:val="right"/>
              <w:ind w:right="3272"/>
              <w:spacing w:after="0"/>
              <w:rPr>
                <w:sz w:val="20"/>
                <w:szCs w:val="20"/>
                <w:color w:val="auto"/>
              </w:rPr>
            </w:pPr>
            <w:r>
              <w:rPr>
                <w:rFonts w:ascii="Courier New" w:cs="Courier New" w:eastAsia="Courier New" w:hAnsi="Courier New"/>
                <w:sz w:val="18"/>
                <w:szCs w:val="18"/>
                <w:color w:val="auto"/>
                <w:w w:val="92"/>
              </w:rPr>
              <w:t>LTD</w:t>
            </w:r>
          </w:p>
        </w:tc>
        <w:tc>
          <w:tcPr>
            <w:tcW w:w="1700" w:type="dxa"/>
            <w:vAlign w:val="bottom"/>
          </w:tcPr>
          <w:p>
            <w:pPr>
              <w:spacing w:after="0"/>
              <w:rPr>
                <w:sz w:val="24"/>
                <w:szCs w:val="24"/>
                <w:color w:val="auto"/>
              </w:rPr>
            </w:pPr>
          </w:p>
        </w:tc>
      </w:tr>
      <w:tr>
        <w:trPr>
          <w:trHeight w:val="203"/>
        </w:trPr>
        <w:tc>
          <w:tcPr>
            <w:tcW w:w="67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 --------------------------------</w:t>
            </w:r>
          </w:p>
        </w:tc>
        <w:tc>
          <w:tcPr>
            <w:tcW w:w="170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Tower Semiconductor Ltd. is a pure-play independent wafer foundry established in</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gridSpan w:val="3"/>
          </w:tcPr>
          <w:p>
            <w:pPr>
              <w:spacing w:after="0"/>
              <w:rPr>
                <w:sz w:val="20"/>
                <w:szCs w:val="20"/>
                <w:color w:val="auto"/>
              </w:rPr>
            </w:pPr>
            <w:r>
              <w:rPr>
                <w:rFonts w:ascii="Courier New" w:cs="Courier New" w:eastAsia="Courier New" w:hAnsi="Courier New"/>
                <w:sz w:val="18"/>
                <w:szCs w:val="18"/>
                <w:color w:val="auto"/>
                <w:w w:val="98"/>
              </w:rPr>
              <w:t>1993.  The company manufactures</w:t>
            </w:r>
          </w:p>
        </w:tc>
        <w:tc>
          <w:tcPr>
            <w:tcW w:w="3800" w:type="dxa"/>
            <w:vAlign w:val="bottom"/>
          </w:tcPr>
          <w:p>
            <w:pPr>
              <w:jc w:val="right"/>
              <w:spacing w:after="0"/>
              <w:rPr>
                <w:sz w:val="20"/>
                <w:szCs w:val="20"/>
                <w:color w:val="auto"/>
              </w:rPr>
            </w:pPr>
            <w:r>
              <w:rPr>
                <w:rFonts w:ascii="Courier New" w:cs="Courier New" w:eastAsia="Courier New" w:hAnsi="Courier New"/>
                <w:sz w:val="18"/>
                <w:szCs w:val="18"/>
                <w:color w:val="auto"/>
                <w:w w:val="98"/>
              </w:rPr>
              <w:t>integrated circuits with geometries</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w w:val="95"/>
              </w:rPr>
              <w:t>ranging from</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1.0  to</w:t>
            </w:r>
          </w:p>
        </w:tc>
        <w:tc>
          <w:tcPr>
            <w:tcW w:w="62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0.18 microns; it also provides complementary manufacturing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services and</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design</w:t>
            </w:r>
          </w:p>
        </w:tc>
        <w:tc>
          <w:tcPr>
            <w:tcW w:w="1460" w:type="dxa"/>
            <w:vAlign w:val="bottom"/>
          </w:tcPr>
          <w:p>
            <w:pPr>
              <w:spacing w:after="0" w:line="203" w:lineRule="exact"/>
              <w:rPr>
                <w:sz w:val="20"/>
                <w:szCs w:val="20"/>
                <w:color w:val="auto"/>
              </w:rPr>
            </w:pPr>
            <w:r>
              <w:rPr>
                <w:rFonts w:ascii="Courier New" w:cs="Courier New" w:eastAsia="Courier New" w:hAnsi="Courier New"/>
                <w:sz w:val="18"/>
                <w:szCs w:val="18"/>
                <w:color w:val="auto"/>
              </w:rPr>
              <w:t>support.  In</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addition</w:t>
            </w:r>
          </w:p>
        </w:tc>
        <w:tc>
          <w:tcPr>
            <w:tcW w:w="3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to digital CMOS process technology,</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Tower offers</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advanced</w:t>
            </w:r>
          </w:p>
        </w:tc>
        <w:tc>
          <w:tcPr>
            <w:tcW w:w="14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5"/>
              </w:rPr>
              <w:t>non-volatile</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memory</w:t>
            </w:r>
          </w:p>
        </w:tc>
        <w:tc>
          <w:tcPr>
            <w:tcW w:w="3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solutions,  mixed-signal  and  CMOS</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image-sensor</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technologies.</w:t>
            </w:r>
          </w:p>
        </w:tc>
        <w:tc>
          <w:tcPr>
            <w:tcW w:w="43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To provide world-class customer service,</w:t>
            </w:r>
          </w:p>
        </w:tc>
        <w:tc>
          <w:tcPr>
            <w:tcW w:w="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2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company maintains two</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manufacturing</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facilities:</w:t>
            </w:r>
          </w:p>
        </w:tc>
        <w:tc>
          <w:tcPr>
            <w:tcW w:w="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Fab</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c>
          <w:tcPr>
            <w:tcW w:w="48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has  process  technologies  from 1.0 to 0.35</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microns  and</w:t>
            </w: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can  produce</w:t>
            </w:r>
          </w:p>
        </w:tc>
        <w:tc>
          <w:tcPr>
            <w:tcW w:w="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up</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20,000 150mm wafers</w:t>
            </w:r>
          </w:p>
        </w:tc>
        <w:tc>
          <w:tcPr>
            <w:tcW w:w="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w:t>
            </w:r>
          </w:p>
        </w:tc>
        <w:tc>
          <w:tcPr>
            <w:tcW w:w="2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month. Fab 2 features</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0.18-micron</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and</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below</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process</w:t>
            </w:r>
          </w:p>
        </w:tc>
        <w:tc>
          <w:tcPr>
            <w:tcW w:w="4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technologies,  including  foundry-standard</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technology,</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and</w:t>
            </w: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will offer full</w:t>
            </w:r>
          </w:p>
        </w:tc>
        <w:tc>
          <w:tcPr>
            <w:tcW w:w="4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production capacity of 33,000 200mm wafers per</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month.  The</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Tower</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Web</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site  is</w:t>
            </w:r>
          </w:p>
        </w:tc>
        <w:tc>
          <w:tcPr>
            <w:tcW w:w="4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located  at  www.towersemi.com.</w:t>
            </w:r>
          </w:p>
        </w:tc>
      </w:tr>
    </w:tbl>
    <w:p>
      <w:pPr>
        <w:sectPr>
          <w:pgSz w:w="11900" w:h="16838" w:orient="portrait"/>
          <w:cols w:equalWidth="0" w:num="1">
            <w:col w:w="10219"/>
          </w:cols>
          <w:pgMar w:left="240" w:top="514" w:right="1440" w:bottom="1440" w:gutter="0" w:footer="0" w:header="0"/>
        </w:sectPr>
      </w:pPr>
    </w:p>
    <w:bookmarkStart w:id="7" w:name="page8"/>
    <w:bookmarkEnd w:id="7"/>
    <w:p>
      <w:pPr>
        <w:ind w:left="3800"/>
        <w:spacing w:after="0"/>
        <w:rPr>
          <w:sz w:val="20"/>
          <w:szCs w:val="20"/>
          <w:color w:val="auto"/>
        </w:rPr>
      </w:pPr>
      <w:r>
        <w:rPr>
          <w:rFonts w:ascii="Courier New" w:cs="Courier New" w:eastAsia="Courier New" w:hAnsi="Courier New"/>
          <w:sz w:val="18"/>
          <w:szCs w:val="18"/>
          <w:color w:val="auto"/>
        </w:rPr>
        <w:t>EXHIBIT 4</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center"/>
        <w:ind w:right="1779"/>
        <w:spacing w:after="0" w:line="235" w:lineRule="auto"/>
        <w:rPr>
          <w:sz w:val="20"/>
          <w:szCs w:val="20"/>
          <w:color w:val="auto"/>
        </w:rPr>
      </w:pPr>
      <w:r>
        <w:rPr>
          <w:rFonts w:ascii="Courier New" w:cs="Courier New" w:eastAsia="Courier New" w:hAnsi="Courier New"/>
          <w:sz w:val="18"/>
          <w:szCs w:val="18"/>
          <w:color w:val="auto"/>
        </w:rPr>
        <w:t>TOWER SEMICONDUCTOR SUCCESSFULLY RAISES OVER $35 MILLION THROUGH RIGHTS OFFERING AND INVESTMENT FROM OTPP</w:t>
      </w:r>
    </w:p>
    <w:p>
      <w:pPr>
        <w:spacing w:after="0" w:line="208"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MIGDAL HAEMEK, Israel -October 24, 2002-- Tower Semiconductor (NASDAQ: TSEM; TASE: TOWER) today announced that it has completed its current $35 million round of financing. This round of financing included funds received from Tower's rights offering, with gross proceeds of $20.5 million, and a $15 million investment by Ontario Teachers' Pension Plan Board (OTPP). A total of 7,098,365 shares were issued at a price of $5.00 per share in connection with the rights offering and the OTPP investment, in addition to a total of 3,194,262 four year warrants that were issued for no additional consideration at a rate of 0.45 warrants per share.</w:t>
      </w:r>
    </w:p>
    <w:p>
      <w:pPr>
        <w:spacing w:after="0" w:line="214"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 the transactions announced today, SanDisk Corporation was issued 800,695 shares and 360,312 warrants, Alliance Semiconductor was issued 794,995 shares and 357,747 warrants, Macronix International was issued 660,000 shares and 297,000 warrants, Israel Corporation Technologies (ICTech) was issued 1,830,348 shares and 823,656 warrants, the public was issued 12,327 shares and 5,547 warrants and OTPP was issued 3,000,000 shares and 1,350,000 warrants</w:t>
      </w:r>
    </w:p>
    <w:p>
      <w:pPr>
        <w:spacing w:after="0" w:line="204" w:lineRule="exact"/>
        <w:rPr>
          <w:sz w:val="20"/>
          <w:szCs w:val="20"/>
          <w:color w:val="auto"/>
        </w:rPr>
      </w:pPr>
    </w:p>
    <w:p>
      <w:pPr>
        <w:spacing w:after="0"/>
        <w:tabs>
          <w:tab w:leader="none" w:pos="720" w:val="left"/>
          <w:tab w:leader="none" w:pos="1680" w:val="left"/>
          <w:tab w:leader="none" w:pos="2840" w:val="left"/>
          <w:tab w:leader="none" w:pos="3780" w:val="left"/>
        </w:tabs>
        <w:rPr>
          <w:sz w:val="20"/>
          <w:szCs w:val="20"/>
          <w:color w:val="auto"/>
        </w:rPr>
      </w:pPr>
      <w:r>
        <w:rPr>
          <w:rFonts w:ascii="Courier New" w:cs="Courier New" w:eastAsia="Courier New" w:hAnsi="Courier New"/>
          <w:sz w:val="18"/>
          <w:szCs w:val="18"/>
          <w:color w:val="auto"/>
        </w:rPr>
        <w:t>ABOUT</w:t>
        <w:tab/>
        <w:t>ONTARIO</w:t>
        <w:tab/>
        <w:t>TEACHERS'</w:t>
        <w:tab/>
        <w:t>PENSION</w:t>
      </w:r>
      <w:r>
        <w:rPr>
          <w:sz w:val="20"/>
          <w:szCs w:val="20"/>
          <w:color w:val="auto"/>
        </w:rPr>
        <w:tab/>
      </w:r>
      <w:r>
        <w:rPr>
          <w:rFonts w:ascii="Courier New" w:cs="Courier New" w:eastAsia="Courier New" w:hAnsi="Courier New"/>
          <w:sz w:val="16"/>
          <w:szCs w:val="16"/>
          <w:color w:val="auto"/>
        </w:rPr>
        <w:t>PLAN</w:t>
      </w:r>
    </w:p>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The Ontario Teachers' Pension Plan is responsible for the retirement income of 154,000 elementary and secondary school teachers, and 83,000 retired teachers and their families in Ontario, Canada.</w:t>
      </w:r>
    </w:p>
    <w:p>
      <w:pPr>
        <w:spacing w:after="0" w:line="203" w:lineRule="exact"/>
        <w:rPr>
          <w:sz w:val="20"/>
          <w:szCs w:val="20"/>
          <w:color w:val="auto"/>
        </w:rPr>
      </w:pPr>
    </w:p>
    <w:p>
      <w:pPr>
        <w:spacing w:after="0"/>
        <w:tabs>
          <w:tab w:leader="none" w:pos="720" w:val="left"/>
          <w:tab w:leader="none" w:pos="1460" w:val="left"/>
        </w:tabs>
        <w:rPr>
          <w:sz w:val="20"/>
          <w:szCs w:val="20"/>
          <w:color w:val="auto"/>
        </w:rPr>
      </w:pPr>
      <w:r>
        <w:rPr>
          <w:rFonts w:ascii="Courier New" w:cs="Courier New" w:eastAsia="Courier New" w:hAnsi="Courier New"/>
          <w:sz w:val="18"/>
          <w:szCs w:val="18"/>
          <w:color w:val="auto"/>
        </w:rPr>
        <w:t>ABOUT</w:t>
        <w:tab/>
        <w:t>TOWER</w:t>
      </w:r>
      <w:r>
        <w:rPr>
          <w:sz w:val="20"/>
          <w:szCs w:val="20"/>
          <w:color w:val="auto"/>
        </w:rPr>
        <w:tab/>
      </w:r>
      <w:r>
        <w:rPr>
          <w:rFonts w:ascii="Courier New" w:cs="Courier New" w:eastAsia="Courier New" w:hAnsi="Courier New"/>
          <w:sz w:val="16"/>
          <w:szCs w:val="16"/>
          <w:color w:val="auto"/>
        </w:rPr>
        <w:t>SEMICONDUCTOR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Tower Semiconductor Ltd. is a pure-play independent wafer foundry established in 1993. The company manufactures integrated circuits with geometries ranging from 1.0 to 0.18 microns; it also provides complementary manufacturing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 microns and can produce up to 20,000 150mm wafers per month. Fab 2 features 0.18-micron and below process technologies, including foundry-standard technology, and will offer full production capacity of 33,000 200mm wafers per month. The Tower Web site is located at www.towersemi.com.</w:t>
      </w:r>
    </w:p>
    <w:p>
      <w:pPr>
        <w:spacing w:after="0" w:line="8"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SAFE</w:t>
      </w:r>
      <w:r>
        <w:rPr>
          <w:sz w:val="20"/>
          <w:szCs w:val="20"/>
          <w:color w:val="auto"/>
        </w:rPr>
        <w:tab/>
      </w:r>
      <w:r>
        <w:rPr>
          <w:rFonts w:ascii="Courier New" w:cs="Courier New" w:eastAsia="Courier New" w:hAnsi="Courier New"/>
          <w:sz w:val="16"/>
          <w:szCs w:val="16"/>
          <w:color w:val="auto"/>
        </w:rPr>
        <w:t>HARBOR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press release includes forward-looking statements, which are subject to risks and uncertainties. Actual results may vary from those projected or implied by such forward-looking statements. Potential risks and uncertainties include, without limitation, risks and uncertainties associated with (i) conditions in the market for foundry manufacturing services and in the market for semiconductor products generally, (ii) obtaining additional business from new and existing customers, (iii) obtaining additional financing for the Fab 2</w:t>
      </w:r>
    </w:p>
    <w:p>
      <w:pPr>
        <w:sectPr>
          <w:pgSz w:w="11900" w:h="16838" w:orient="portrait"/>
          <w:cols w:equalWidth="0" w:num="1">
            <w:col w:w="10219"/>
          </w:cols>
          <w:pgMar w:left="240" w:top="717" w:right="1440" w:bottom="1440" w:gutter="0" w:footer="0" w:header="0"/>
        </w:sectPr>
      </w:pPr>
    </w:p>
    <w:bookmarkStart w:id="8" w:name="page9"/>
    <w:bookmarkEnd w:id="8"/>
    <w:p>
      <w:pPr>
        <w:jc w:val="both"/>
        <w:ind w:right="1779"/>
        <w:spacing w:after="0" w:line="238" w:lineRule="auto"/>
        <w:rPr>
          <w:sz w:val="20"/>
          <w:szCs w:val="20"/>
          <w:color w:val="auto"/>
        </w:rPr>
      </w:pPr>
      <w:r>
        <w:rPr>
          <w:rFonts w:ascii="Courier New" w:cs="Courier New" w:eastAsia="Courier New" w:hAnsi="Courier New"/>
          <w:sz w:val="18"/>
          <w:szCs w:val="18"/>
          <w:color w:val="auto"/>
        </w:rPr>
        <w:t>project from wafer partners and/or equity partners and/or other sources, (iv) any failure by Tower to raise additional funding by the deadlines set forth in its agreement with its banks and/or a failure by Tower to reach an agreement with its banks to extend the deadlines to raise additional financing in 2002 and 2003, which would result in an event of default of Tower's loan agreement, in which event the banks would have the right to call the loans and exercise its liens against Tower's assets, (v) a declaration of default by Tower's wafer partners, financial investors and the Investment Center of the State of Israel should Tower's banks call the loans, (vi) satisfaction of all other conditions under the agreements with the Fab 2 equity and wafer partners, the Israeli Investment Center and Tower's banks, (vii) completing the construction of a new wafer manufacturing facility, (viii) successful completion of the development and/or transfer of advanced CMOS process technologies to be utilized in Tower's existing facility and in Fab 2, (ix) market acceptance and competitiveness of the products to be manufactured by Tower for customers using these technologies and (x) ramp-up of production at Fab 2.</w:t>
      </w:r>
    </w:p>
    <w:p>
      <w:pPr>
        <w:spacing w:after="0" w:line="208"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A more complete discussion of risks and uncertainties that may affect the accuracy of these statements, and Tower's business generally, is included in our most recent Registration Statement on Form F-2, as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20"/>
                <w:szCs w:val="20"/>
                <w:color w:val="auto"/>
              </w:rPr>
            </w:pPr>
            <w:r>
              <w:rPr>
                <w:rFonts w:ascii="Courier New" w:cs="Courier New" w:eastAsia="Courier New" w:hAnsi="Courier New"/>
                <w:sz w:val="18"/>
                <w:szCs w:val="18"/>
                <w:color w:val="auto"/>
              </w:rPr>
              <w:t>PR</w:t>
            </w:r>
          </w:p>
        </w:tc>
        <w:tc>
          <w:tcPr>
            <w:tcW w:w="8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AGENCY</w:t>
            </w:r>
          </w:p>
        </w:tc>
        <w:tc>
          <w:tcPr>
            <w:tcW w:w="128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5"/>
              </w:rPr>
              <w:t>CONTACT</w:t>
            </w:r>
          </w:p>
        </w:tc>
        <w:tc>
          <w:tcPr>
            <w:tcW w:w="1140" w:type="dxa"/>
            <w:vAlign w:val="bottom"/>
          </w:tcPr>
          <w:p>
            <w:pPr>
              <w:ind w:left="200"/>
              <w:spacing w:after="0"/>
              <w:rPr>
                <w:sz w:val="20"/>
                <w:szCs w:val="20"/>
                <w:color w:val="auto"/>
              </w:rPr>
            </w:pPr>
            <w:r>
              <w:rPr>
                <w:rFonts w:ascii="Courier New" w:cs="Courier New" w:eastAsia="Courier New" w:hAnsi="Courier New"/>
                <w:sz w:val="18"/>
                <w:szCs w:val="18"/>
                <w:color w:val="auto"/>
              </w:rPr>
              <w:t>INVESTOR</w:t>
            </w:r>
          </w:p>
        </w:tc>
        <w:tc>
          <w:tcPr>
            <w:tcW w:w="206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w w:val="96"/>
              </w:rPr>
              <w:t>RELATIONS CONTACT</w:t>
            </w:r>
          </w:p>
        </w:tc>
        <w:tc>
          <w:tcPr>
            <w:tcW w:w="2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CORPORATE  CONTACT</w:t>
            </w:r>
          </w:p>
        </w:tc>
      </w:tr>
      <w:tr>
        <w:trPr>
          <w:trHeight w:val="203"/>
        </w:trPr>
        <w:tc>
          <w:tcPr>
            <w:tcW w:w="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Julie</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Lass</w:t>
            </w:r>
          </w:p>
        </w:tc>
        <w:tc>
          <w:tcPr>
            <w:tcW w:w="1280" w:type="dxa"/>
            <w:vAlign w:val="bottom"/>
          </w:tcPr>
          <w:p>
            <w:pPr>
              <w:spacing w:after="0"/>
              <w:rPr>
                <w:sz w:val="17"/>
                <w:szCs w:val="17"/>
                <w:color w:val="auto"/>
              </w:rPr>
            </w:pPr>
          </w:p>
        </w:tc>
        <w:tc>
          <w:tcPr>
            <w:tcW w:w="11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Sheldon</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Lutch</w:t>
            </w:r>
          </w:p>
        </w:tc>
        <w:tc>
          <w:tcPr>
            <w:tcW w:w="1420" w:type="dxa"/>
            <w:vAlign w:val="bottom"/>
          </w:tcPr>
          <w:p>
            <w:pPr>
              <w:spacing w:after="0"/>
              <w:rPr>
                <w:sz w:val="17"/>
                <w:szCs w:val="17"/>
                <w:color w:val="auto"/>
              </w:rPr>
            </w:pPr>
          </w:p>
        </w:tc>
        <w:tc>
          <w:tcPr>
            <w:tcW w:w="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Tamar</w:t>
            </w:r>
          </w:p>
        </w:tc>
        <w:tc>
          <w:tcPr>
            <w:tcW w:w="1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Cohen</w:t>
            </w:r>
          </w:p>
        </w:tc>
      </w:tr>
      <w:tr>
        <w:trPr>
          <w:trHeight w:val="203"/>
        </w:trPr>
        <w:tc>
          <w:tcPr>
            <w:tcW w:w="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LOOMIS</w:t>
            </w:r>
          </w:p>
        </w:tc>
        <w:tc>
          <w:tcPr>
            <w:tcW w:w="17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GROUP</w:t>
            </w:r>
          </w:p>
        </w:tc>
        <w:tc>
          <w:tcPr>
            <w:tcW w:w="320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FUSION  IR &amp; COMMUNICATIONS</w:t>
            </w:r>
          </w:p>
        </w:tc>
        <w:tc>
          <w:tcPr>
            <w:tcW w:w="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TOWER</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SEMICONDUCTOR LTD.</w:t>
            </w:r>
          </w:p>
        </w:tc>
      </w:tr>
      <w:tr>
        <w:trPr>
          <w:trHeight w:val="203"/>
        </w:trPr>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+1</w:t>
            </w:r>
          </w:p>
        </w:tc>
        <w:tc>
          <w:tcPr>
            <w:tcW w:w="8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(512)</w:t>
            </w: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457  9400</w:t>
            </w:r>
          </w:p>
        </w:tc>
        <w:tc>
          <w:tcPr>
            <w:tcW w:w="11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4"/>
              </w:rPr>
              <w:t>+1  (212)</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268</w:t>
            </w:r>
          </w:p>
        </w:tc>
        <w:tc>
          <w:tcPr>
            <w:tcW w:w="14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1816</w:t>
            </w:r>
          </w:p>
        </w:tc>
        <w:tc>
          <w:tcPr>
            <w:tcW w:w="2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+972-4650-6998</w:t>
            </w:r>
          </w:p>
        </w:tc>
      </w:tr>
      <w:tr>
        <w:trPr>
          <w:trHeight w:val="203"/>
        </w:trPr>
        <w:tc>
          <w:tcPr>
            <w:tcW w:w="24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LASSJ@LOOMISGROUP.COM</w:t>
            </w:r>
          </w:p>
        </w:tc>
        <w:tc>
          <w:tcPr>
            <w:tcW w:w="320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SHELDON@FUSIONIR.COM</w:t>
            </w:r>
          </w:p>
        </w:tc>
        <w:tc>
          <w:tcPr>
            <w:tcW w:w="2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PR@TOWERSEMI.COM</w:t>
            </w:r>
          </w:p>
        </w:tc>
      </w:tr>
    </w:tbl>
    <w:p>
      <w:pPr>
        <w:sectPr>
          <w:pgSz w:w="11900" w:h="16838" w:orient="portrait"/>
          <w:cols w:equalWidth="0" w:num="1">
            <w:col w:w="10219"/>
          </w:cols>
          <w:pgMar w:left="240" w:top="723" w:right="1440" w:bottom="1440" w:gutter="0" w:footer="0" w:header="0"/>
        </w:sectPr>
      </w:pPr>
    </w:p>
    <w:bookmarkStart w:id="9" w:name="page10"/>
    <w:bookmarkEnd w:id="9"/>
    <w:p>
      <w:pPr>
        <w:ind w:left="3800"/>
        <w:spacing w:after="0"/>
        <w:rPr>
          <w:sz w:val="20"/>
          <w:szCs w:val="20"/>
          <w:color w:val="auto"/>
        </w:rPr>
      </w:pPr>
      <w:r>
        <w:rPr>
          <w:rFonts w:ascii="Courier New" w:cs="Courier New" w:eastAsia="Courier New" w:hAnsi="Courier New"/>
          <w:sz w:val="18"/>
          <w:szCs w:val="18"/>
          <w:color w:val="auto"/>
        </w:rPr>
        <w:t>EXHIBIT 5</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TOWER SEMICONDUCTOR LTD. ANNOUNCES THIRD QUARTER AND NINE MONTHS 2002 RESULTS</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Further Improvement in Fab 1 Cash Flow From Operations</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Completes $80 Million Financing Round for Fab 2</w:t>
      </w:r>
    </w:p>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MIGDAL HAEMEK, ISRAEL - OCTOBER 30, 2002 - Tower Semiconductor Ltd. (NASDAQ: TSEM; TASE: TSEM) today announced results for the third quarter and nine months ended September 30, 2002.</w:t>
      </w: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Sales for the third quarter of 2002 were $16.2 million (including $4.0 million from a previously announced technology-related agreement for Fab 2), as compared with $11.6 million in the preceding quarter and $9.9 million in the third quarter of 2001. For the third quarter of 2002, the company reported a loss of $14.5 million, or $0.48 per share, including non-capitalized Fab 2 expenses (net) of $11.7 million (of which $4.75 million are expenses related to the 0.13-micron technology agreements). This is compared to a loss of $11.3 million, or $0.39 per share, including non-capitalized Fab 2 expenses (net) of $8.1 million, for the second quarter of 2002 and a loss of $12.4 million, or $0.60 per share, including non-capitalized Fab 2 expenses (net) of $4.7 million, in the third quarter of 2001.</w:t>
      </w:r>
    </w:p>
    <w:p>
      <w:pPr>
        <w:spacing w:after="0" w:line="216"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Sales for the nine months ended September 30, 2002 were $36.2 million (including $4.0 million from a previously announced technology-related agreement of Fab 2), compared with sales of $43.5 million for the nine months ended September 30, 2001. For the previous nine months, the company reported a loss of $37.8 million, or $1.34 per share, including non-capitalized Fab 2 expenses (net) of $26.2 million (of which $4.75 million are expenses related to the 0.13-micron technology agreements), compared with a loss of $29.3 million, or $1.53 per share, including non-capitalized Fab 2 expenses (net) of $9.5 million, in the nine months ended September 30, 2001.</w:t>
      </w:r>
    </w:p>
    <w:p>
      <w:pPr>
        <w:spacing w:after="0" w:line="214"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"Tower has made significant strides during the last quarter," said Dr. Yoav Nissan-Cohen, co-CEO of Tower. "The installation of Fab 2's manufacturing capacity and the building of its intellectual property portfolio have moved forward as scheduled. As a result, we are positioned to start Fab 2 commercial production at the beginning of 2003. Maintaining this aggressive timetable is extremely important, as Fab 2 is crucial to our efforts to increase our market share at the leading edge. Additionally, with the uptick in third-quarter sales, we finished the quarter with a Fab 1 positive cash flow from operations of $1.4 million. Tower now has had three consecutive quarters of sales growth this fiscal year, improving our overall financial condition."</w:t>
      </w:r>
    </w:p>
    <w:p>
      <w:pPr>
        <w:spacing w:after="0" w:line="215"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During the third quarter, Tower accomplished several Fab 2 technological and financial goals. The company produced high yields of two customer prototypes using its 0.18-micron industry-standard process based on technology licensed from Toshiba (NIKKEI: TSE). The company also licensed Motorola's (NYSE: MOT) 0.13-micron, all-copper CMOS process technology, which is currently being transferred to Fab 2.</w:t>
      </w:r>
    </w:p>
    <w:p>
      <w:pPr>
        <w:spacing w:after="0" w:line="210"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 addition to industry-standard technology, Tower continued this past quarter to develop specialized technologies in Fab 2. The company began prototyping a 0.18-micron microFLASH product that was designed in its Israel design center for stand-alone memory applications. Also, during the third quarter, Tower and its Japanese partner advanced the development of a 0.18-micron embedded flash technology. The company independently continued development of 0.18-micron technology for its proprietary CMOS Image Sensor applications.</w:t>
      </w:r>
    </w:p>
    <w:p>
      <w:pPr>
        <w:sectPr>
          <w:pgSz w:w="11900" w:h="16838" w:orient="portrait"/>
          <w:cols w:equalWidth="0" w:num="1">
            <w:col w:w="10219"/>
          </w:cols>
          <w:pgMar w:left="240" w:top="514" w:right="1440" w:bottom="1440" w:gutter="0" w:footer="0" w:header="0"/>
        </w:sectPr>
      </w:pPr>
    </w:p>
    <w:bookmarkStart w:id="10" w:name="page11"/>
    <w:bookmarkEnd w:id="10"/>
    <w:p>
      <w:pPr>
        <w:jc w:val="both"/>
        <w:ind w:right="1779"/>
        <w:spacing w:after="0" w:line="237" w:lineRule="auto"/>
        <w:rPr>
          <w:sz w:val="20"/>
          <w:szCs w:val="20"/>
          <w:color w:val="auto"/>
        </w:rPr>
      </w:pPr>
      <w:r>
        <w:rPr>
          <w:rFonts w:ascii="Courier New" w:cs="Courier New" w:eastAsia="Courier New" w:hAnsi="Courier New"/>
          <w:sz w:val="18"/>
          <w:szCs w:val="18"/>
          <w:color w:val="auto"/>
        </w:rPr>
        <w:t>On the financial front, Tower succeeded in raising approximately $80 million for Fab 2 in October from its wafer partners and equity investors, the Ontario Teachers' Pension Plan and the completion of a rights offering. With the completion of this financing round, Tower has 43,435,933 outstanding shares. Tower currently has approximately $400 million in unused credit for Fab 2 from banks and the Israeli government.</w:t>
      </w:r>
    </w:p>
    <w:p>
      <w:pPr>
        <w:spacing w:after="0" w:line="210"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Fab 1 grew its CMOS image-sensor business during the third quarter. Most notably, commercial production of a CMOS image sensor for the new Kodak 35mm (NYSE: EK) professional digital camera, the DCS Pro 14 N Digital SLR, began in Fab 1. With a resolution of 14 mega-pixels, it is the industry's highest resolution CMOS image sensor commercially available on the professional digital photography market. Demonstrating its expertise and experience with CMOS image sensors, Tower manufactured this high-quality sensor by using its proprietary process technology and by collaborating with FillFactory, an independent supplier of CMOS image sensors based in Belgium. The companies, together with Kodak, worked to optimize FillFactory's complex image-sensor design for volume production. Additionally, high-volume image sensor products for other Tower customers are currently in an advanced prototyping stage.</w:t>
      </w:r>
    </w:p>
    <w:p>
      <w:pPr>
        <w:spacing w:after="0" w:line="207" w:lineRule="exact"/>
        <w:rPr>
          <w:sz w:val="20"/>
          <w:szCs w:val="20"/>
          <w:color w:val="auto"/>
        </w:rPr>
      </w:pPr>
    </w:p>
    <w:p>
      <w:pPr>
        <w:jc w:val="both"/>
        <w:ind w:right="1779"/>
        <w:spacing w:after="0" w:line="271" w:lineRule="auto"/>
        <w:rPr>
          <w:sz w:val="20"/>
          <w:szCs w:val="20"/>
          <w:color w:val="auto"/>
        </w:rPr>
      </w:pPr>
      <w:r>
        <w:rPr>
          <w:rFonts w:ascii="Courier New" w:cs="Courier New" w:eastAsia="Courier New" w:hAnsi="Courier New"/>
          <w:sz w:val="16"/>
          <w:szCs w:val="16"/>
          <w:color w:val="auto"/>
        </w:rPr>
        <w:t>Dr. Nissan-Cohen continued, "Overall, we believe that Tower is well positioned to take advantage of the expected next upturn in the industry and to utilize its technological advantages for significant growth in the coming years. Although limited visibility prevents us from accurately forecasting 2003 wafer sales from Fab 1, we continue to work on promising, new products with significant potential contribution to our future performance. Next year, we do expect to begin generating revenue from Fab 2 production, ramping up its capacity and revenue throughout the year. As for the fourth quarter of 2002, we currently anticipate that wafer sales from Fab 1 could decline by up to approximately 10 percent, in line with estimates from other leading foundries."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20" w:type="dxa"/>
            <w:vAlign w:val="bottom"/>
            <w:gridSpan w:val="2"/>
          </w:tcPr>
          <w:p>
            <w:pPr>
              <w:spacing w:after="0"/>
              <w:rPr>
                <w:sz w:val="20"/>
                <w:szCs w:val="20"/>
                <w:color w:val="auto"/>
              </w:rPr>
            </w:pPr>
            <w:r>
              <w:rPr>
                <w:rFonts w:ascii="Courier New" w:cs="Courier New" w:eastAsia="Courier New" w:hAnsi="Courier New"/>
                <w:sz w:val="18"/>
                <w:szCs w:val="18"/>
                <w:color w:val="auto"/>
              </w:rPr>
              <w:t>Tower will</w:t>
            </w:r>
          </w:p>
        </w:tc>
        <w:tc>
          <w:tcPr>
            <w:tcW w:w="242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8"/>
              </w:rPr>
              <w:t>host a conference call</w:t>
            </w:r>
          </w:p>
        </w:tc>
        <w:tc>
          <w:tcPr>
            <w:tcW w:w="12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discuss</w:t>
            </w:r>
          </w:p>
        </w:tc>
        <w:tc>
          <w:tcPr>
            <w:tcW w:w="37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7"/>
              </w:rPr>
              <w:t>these results on Wednesday, October</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30,</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2002</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at</w:t>
            </w:r>
          </w:p>
        </w:tc>
        <w:tc>
          <w:tcPr>
            <w:tcW w:w="2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11:00 a.m. Eastern</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time /</w:t>
            </w:r>
          </w:p>
        </w:tc>
        <w:tc>
          <w:tcPr>
            <w:tcW w:w="41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18:00 Israel time. To participate, call</w:t>
            </w:r>
          </w:p>
        </w:tc>
      </w:tr>
      <w:tr>
        <w:trPr>
          <w:trHeight w:val="203"/>
        </w:trPr>
        <w:tc>
          <w:tcPr>
            <w:tcW w:w="35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1-800-360-9685  (U.S.  toll-free</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number)</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w:t>
            </w:r>
          </w:p>
        </w:tc>
        <w:tc>
          <w:tcPr>
            <w:tcW w:w="3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1-973-694-6836 (international) and</w:t>
            </w:r>
          </w:p>
        </w:tc>
      </w:tr>
      <w:tr>
        <w:trPr>
          <w:trHeight w:val="203"/>
        </w:trPr>
        <w:tc>
          <w:tcPr>
            <w:tcW w:w="1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mention ID</w:t>
            </w:r>
          </w:p>
        </w:tc>
        <w:tc>
          <w:tcPr>
            <w:tcW w:w="362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8"/>
              </w:rPr>
              <w:t>code: TOWER. Callers in Israel are</w:t>
            </w:r>
          </w:p>
        </w:tc>
        <w:tc>
          <w:tcPr>
            <w:tcW w:w="3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invited to call local 03-925-5910.</w:t>
            </w:r>
          </w:p>
        </w:tc>
      </w:tr>
      <w:tr>
        <w:trPr>
          <w:trHeight w:val="203"/>
        </w:trPr>
        <w:tc>
          <w:tcPr>
            <w:tcW w:w="432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99"/>
              </w:rPr>
              <w:t>The conference call also will be webcast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live</w:t>
            </w:r>
          </w:p>
        </w:tc>
        <w:tc>
          <w:tcPr>
            <w:tcW w:w="3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at www.companyboardroom.com and at</w:t>
            </w:r>
          </w:p>
        </w:tc>
      </w:tr>
      <w:tr>
        <w:trPr>
          <w:trHeight w:val="203"/>
        </w:trPr>
        <w:tc>
          <w:tcPr>
            <w:tcW w:w="30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9"/>
              </w:rPr>
              <w:t>www.towersemi.com  and  will</w:t>
            </w:r>
          </w:p>
        </w:tc>
        <w:tc>
          <w:tcPr>
            <w:tcW w:w="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be</w:t>
            </w:r>
          </w:p>
        </w:tc>
        <w:tc>
          <w:tcPr>
            <w:tcW w:w="1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available</w:t>
            </w:r>
          </w:p>
        </w:tc>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thereafter</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for replay for 90 days,</w:t>
            </w:r>
          </w:p>
        </w:tc>
      </w:tr>
      <w:tr>
        <w:trPr>
          <w:trHeight w:val="203"/>
        </w:trPr>
        <w:tc>
          <w:tcPr>
            <w:tcW w:w="432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starting  at  2:00  p.m.  Eastern  time</w:t>
            </w: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on</w:t>
            </w:r>
          </w:p>
        </w:tc>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the  day  of</w:t>
            </w:r>
          </w:p>
        </w:tc>
        <w:tc>
          <w:tcPr>
            <w:tcW w:w="242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the  call.</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w w:val="96"/>
              </w:rPr>
              <w:t>ABOUT</w:t>
            </w:r>
          </w:p>
        </w:tc>
        <w:tc>
          <w:tcPr>
            <w:tcW w:w="90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TOWER</w:t>
            </w:r>
          </w:p>
        </w:tc>
        <w:tc>
          <w:tcPr>
            <w:tcW w:w="1580" w:type="dxa"/>
            <w:vAlign w:val="bottom"/>
          </w:tcPr>
          <w:p>
            <w:pPr>
              <w:ind w:left="40"/>
              <w:spacing w:after="0"/>
              <w:rPr>
                <w:sz w:val="20"/>
                <w:szCs w:val="20"/>
                <w:color w:val="auto"/>
              </w:rPr>
            </w:pPr>
            <w:r>
              <w:rPr>
                <w:rFonts w:ascii="Courier New" w:cs="Courier New" w:eastAsia="Courier New" w:hAnsi="Courier New"/>
                <w:sz w:val="18"/>
                <w:szCs w:val="18"/>
                <w:color w:val="auto"/>
              </w:rPr>
              <w:t>SEMICONDUCTOR</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LTD.</w:t>
            </w: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20" w:type="dxa"/>
            <w:vAlign w:val="bottom"/>
          </w:tcPr>
          <w:p>
            <w:pPr>
              <w:spacing w:after="0"/>
              <w:rPr>
                <w:sz w:val="24"/>
                <w:szCs w:val="24"/>
                <w:color w:val="auto"/>
              </w:rPr>
            </w:pPr>
          </w:p>
        </w:tc>
      </w:tr>
    </w:tbl>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Tower Semiconductor Ltd. is a pure-play independent wafer foundry established in 1993. The company manufactures integrated circuits with geometries ranging from 1.0 to 0.18 microns; it also provides complementary manufacturing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 microns and can produce up to 20,000 150mm wafers per month. Fab 2 features 0.18-micron and below process technologies, including foundry-standard technology, and will offer full production capacity of 33,000 200mm wafers per month. The Tower Web site is located at www.towersemi.com.</w:t>
      </w:r>
    </w:p>
    <w:p>
      <w:pPr>
        <w:spacing w:after="0" w:line="210"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SAFE</w:t>
      </w:r>
      <w:r>
        <w:rPr>
          <w:sz w:val="20"/>
          <w:szCs w:val="20"/>
          <w:color w:val="auto"/>
        </w:rPr>
        <w:tab/>
      </w:r>
      <w:r>
        <w:rPr>
          <w:rFonts w:ascii="Courier New" w:cs="Courier New" w:eastAsia="Courier New" w:hAnsi="Courier New"/>
          <w:sz w:val="16"/>
          <w:szCs w:val="16"/>
          <w:color w:val="auto"/>
        </w:rPr>
        <w:t>HARBOR</w:t>
      </w:r>
    </w:p>
    <w:p>
      <w:pPr>
        <w:spacing w:after="0" w:line="4" w:lineRule="exact"/>
        <w:rPr>
          <w:sz w:val="20"/>
          <w:szCs w:val="20"/>
          <w:color w:val="auto"/>
        </w:rPr>
      </w:pPr>
    </w:p>
    <w:p>
      <w:pPr>
        <w:jc w:val="both"/>
        <w:ind w:right="1779"/>
        <w:spacing w:after="0" w:line="273" w:lineRule="auto"/>
        <w:rPr>
          <w:sz w:val="20"/>
          <w:szCs w:val="20"/>
          <w:color w:val="auto"/>
        </w:rPr>
      </w:pPr>
      <w:r>
        <w:rPr>
          <w:rFonts w:ascii="Courier New" w:cs="Courier New" w:eastAsia="Courier New" w:hAnsi="Courier New"/>
          <w:sz w:val="16"/>
          <w:szCs w:val="16"/>
          <w:color w:val="auto"/>
        </w:rPr>
        <w:t>THIS PRESS RELEASE INCLUDES FORWARD-LOOKING STATEMENTS, WHICH ARE SUBJECT TO RISKS AND UNCERTAINTIES. ACTUAL RESULTS MAY VARY FROM THOSE PROJECTED OR IMPLIED BY SUCH FORWARD-LOOKING STATEMENTS. POTENTIAL RISKS AND UNCERTAINTIES INCLUDE, WITHOUT LIMITATION, RISKS AND UNCERTAINTIES ASSOCIATED WITH (I) CONDITIONS IN THE MARKET FOR FOUNDRY MANUFACTURING SERVICES AND IN THE MARKET FOR</w:t>
      </w:r>
    </w:p>
    <w:p>
      <w:pPr>
        <w:sectPr>
          <w:pgSz w:w="11900" w:h="16838" w:orient="portrait"/>
          <w:cols w:equalWidth="0" w:num="1">
            <w:col w:w="10219"/>
          </w:cols>
          <w:pgMar w:left="240" w:top="723" w:right="1440" w:bottom="1440" w:gutter="0" w:footer="0" w:header="0"/>
        </w:sectPr>
      </w:pPr>
    </w:p>
    <w:bookmarkStart w:id="11" w:name="page12"/>
    <w:bookmarkEnd w:id="11"/>
    <w:p>
      <w:pPr>
        <w:jc w:val="both"/>
        <w:ind w:right="1779"/>
        <w:spacing w:after="0" w:line="238" w:lineRule="auto"/>
        <w:rPr>
          <w:sz w:val="20"/>
          <w:szCs w:val="20"/>
          <w:color w:val="auto"/>
        </w:rPr>
      </w:pPr>
      <w:r>
        <w:rPr>
          <w:rFonts w:ascii="Courier New" w:cs="Courier New" w:eastAsia="Courier New" w:hAnsi="Courier New"/>
          <w:sz w:val="18"/>
          <w:szCs w:val="18"/>
          <w:color w:val="auto"/>
        </w:rPr>
        <w:t>SEMICONDUCTOR PRODUCTS GENERALLY, (II) OBTAINING ADDITIONAL BUSINESS FROM NEW AND EXISTING CUSTOMERS, (III) OBTAINING ADDITIONAL FINANCING FOR THE FAB 2 PROJECT FROM WAFER PARTNERS AND/OR EQUITY PARTNERS AND/OR OTHER SOURCES, (IV) ANY FAILURE BY TOWER TO RAISE ADDITIONAL FUNDING BY THE DEADLINES SET FORTH IN ITS AGREEMENT WITH ITS BANKS AND/OR A FAILURE BY TOWER TO REACH AN AGREEMENT WITH ITS BANKS TO EXTEND THE DEADLINES TO RAISE ADDITIONAL FINANCING IN 2002 AND 2003, WHICH WOULD RESULT IN AN EVENT OF DEFAULT OF TOWER'S LOAN AGREEMENT, IN WHICH EVENT THE BANKS WOULD HAVE THE RIGHT TO CALL THE LOANS AND EXERCISE ITS LIENS AGAINST TOWER'S ASSETS, (V) A DECLARATION OF DEFAULT BY TOWER'S WAFER PARTNERS, FINANCIAL INVESTORS AND THE INVESTMENT CENTER OF THE STATE OF ISRAEL SHOULD TOWER'S BANKS CALL THE LOANS, (VI) SATISFACTION OF ALL OTHER CONDITIONS UNDER THE AGREEMENTS WITH THE FAB 2 EQUITY AND WAFER PARTNERS, THE ISRAELI INVESTMENT CENTER AND TOWER'S BANKS, (VII) COMPLETING THE CONSTRUCTION OF A NEW WAFER MANUFACTURING FACILITY, (VIII) SUCCESSFUL COMPLETION OF THE DEVELOPMENT AND/OR TRANSFER OF ADVANCED CMOS PROCESS TECHNOLOGIES TO BE UTILIZED IN TOWER'S EXISTING FACILITY AND IN FAB 2, (IX) MARKET ACCEPTANCE AND COMPETITIVENESS OF THE PRODUCTS TO BE MANUFACTURED BY TOWER FOR CUSTOMERS USING THESE TECHNOLOGIES AND (X) RAMP-UP OF PRODUCTION AT FAB 2.</w:t>
      </w:r>
    </w:p>
    <w:p>
      <w:pPr>
        <w:spacing w:after="0" w:line="200" w:lineRule="exact"/>
        <w:rPr>
          <w:sz w:val="20"/>
          <w:szCs w:val="20"/>
          <w:color w:val="auto"/>
        </w:rPr>
      </w:pPr>
    </w:p>
    <w:p>
      <w:pPr>
        <w:spacing w:after="0" w:line="212"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A more complete discussion of risks and uncertainties that may affect the accuracy of these statements, and Tower's business generally, is included in our most recent Registration Statement on Form F-2, as filed with the Securities and Exchange Commission.</w:t>
      </w:r>
    </w:p>
    <w:p>
      <w:pPr>
        <w:sectPr>
          <w:pgSz w:w="11900" w:h="16838" w:orient="portrait"/>
          <w:cols w:equalWidth="0" w:num="1">
            <w:col w:w="10219"/>
          </w:cols>
          <w:pgMar w:left="240" w:top="723" w:right="1440" w:bottom="1440" w:gutter="0" w:footer="0" w:header="0"/>
        </w:sectPr>
      </w:pPr>
    </w:p>
    <w:bookmarkStart w:id="12" w:name="page13"/>
    <w:bookmarkEnd w:id="12"/>
    <w:p>
      <w:pPr>
        <w:jc w:val="center"/>
        <w:ind w:right="1779"/>
        <w:spacing w:after="0" w:line="236" w:lineRule="auto"/>
        <w:rPr>
          <w:sz w:val="20"/>
          <w:szCs w:val="20"/>
          <w:color w:val="auto"/>
        </w:rPr>
      </w:pPr>
      <w:r>
        <w:rPr>
          <w:rFonts w:ascii="Courier New" w:cs="Courier New" w:eastAsia="Courier New" w:hAnsi="Courier New"/>
          <w:sz w:val="18"/>
          <w:szCs w:val="18"/>
          <w:color w:val="auto"/>
        </w:rPr>
        <w:t>TOWER SEMICONDUCTOR LTD. AND SUBSIDIARY CONDENSED CONSOLIDATED BALANCE SHEETS (DOLLARS IN THOUSANDS, EXCEPT SHARE DATA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0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September 30,</w:t>
            </w:r>
          </w:p>
        </w:tc>
        <w:tc>
          <w:tcPr>
            <w:tcW w:w="1460" w:type="dxa"/>
            <w:vAlign w:val="bottom"/>
          </w:tcPr>
          <w:p>
            <w:pPr>
              <w:jc w:val="right"/>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86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5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2002</w:t>
            </w:r>
          </w:p>
        </w:tc>
        <w:tc>
          <w:tcPr>
            <w:tcW w:w="14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2001</w:t>
            </w:r>
          </w:p>
        </w:tc>
      </w:tr>
      <w:tr>
        <w:trPr>
          <w:trHeight w:val="203"/>
        </w:trPr>
        <w:tc>
          <w:tcPr>
            <w:tcW w:w="86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5800" w:type="dxa"/>
            <w:vAlign w:val="bottom"/>
          </w:tcPr>
          <w:p>
            <w:pPr>
              <w:ind w:left="2320"/>
              <w:spacing w:after="0"/>
              <w:rPr>
                <w:sz w:val="20"/>
                <w:szCs w:val="20"/>
                <w:color w:val="auto"/>
              </w:rPr>
            </w:pPr>
            <w:r>
              <w:rPr>
                <w:rFonts w:ascii="Courier New" w:cs="Courier New" w:eastAsia="Courier New" w:hAnsi="Courier New"/>
                <w:sz w:val="18"/>
                <w:szCs w:val="18"/>
                <w:color w:val="auto"/>
              </w:rPr>
              <w:t>(UNAUDITED)</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A S S E T 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405"/>
        </w:trPr>
        <w:tc>
          <w:tcPr>
            <w:tcW w:w="5800" w:type="dxa"/>
            <w:vAlign w:val="bottom"/>
          </w:tcPr>
          <w:p>
            <w:pPr>
              <w:ind w:left="220"/>
              <w:spacing w:after="0"/>
              <w:rPr>
                <w:sz w:val="20"/>
                <w:szCs w:val="20"/>
                <w:color w:val="auto"/>
              </w:rPr>
            </w:pPr>
            <w:r>
              <w:rPr>
                <w:rFonts w:ascii="Courier New" w:cs="Courier New" w:eastAsia="Courier New" w:hAnsi="Courier New"/>
                <w:sz w:val="18"/>
                <w:szCs w:val="18"/>
                <w:color w:val="auto"/>
              </w:rPr>
              <w:t>CURRENT ASSETS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03"/>
        </w:trPr>
        <w:tc>
          <w:tcPr>
            <w:tcW w:w="5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7,046</w:t>
            </w:r>
          </w:p>
        </w:tc>
        <w:tc>
          <w:tcPr>
            <w:tcW w:w="14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w w:val="94"/>
              </w:rPr>
              <w:t>$ 19,610</w:t>
            </w:r>
          </w:p>
        </w:tc>
      </w:tr>
      <w:tr>
        <w:trPr>
          <w:trHeight w:val="203"/>
        </w:trPr>
        <w:tc>
          <w:tcPr>
            <w:tcW w:w="5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Short-term interest-bearing deposits</w:t>
            </w:r>
          </w:p>
        </w:tc>
        <w:tc>
          <w:tcPr>
            <w:tcW w:w="3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11,500</w:t>
            </w:r>
          </w:p>
        </w:tc>
        <w:tc>
          <w:tcPr>
            <w:tcW w:w="14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10,044</w:t>
            </w:r>
          </w:p>
        </w:tc>
      </w:tr>
      <w:tr>
        <w:trPr>
          <w:trHeight w:val="203"/>
        </w:trPr>
        <w:tc>
          <w:tcPr>
            <w:tcW w:w="5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Cash and short-term interest-bearing deposits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58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designated for investments relating to Fab 2</w:t>
            </w:r>
          </w:p>
        </w:tc>
        <w:tc>
          <w:tcPr>
            <w:tcW w:w="3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34,743</w:t>
            </w:r>
          </w:p>
        </w:tc>
        <w:tc>
          <w:tcPr>
            <w:tcW w:w="14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3,548</w:t>
            </w:r>
          </w:p>
        </w:tc>
      </w:tr>
      <w:tr>
        <w:trPr>
          <w:trHeight w:val="203"/>
        </w:trPr>
        <w:tc>
          <w:tcPr>
            <w:tcW w:w="5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Trade accounts receivable (net of allowance for</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58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7"/>
              </w:rPr>
              <w:t>doubtful accounts of $250 and $215, respectively)</w:t>
            </w:r>
          </w:p>
        </w:tc>
        <w:tc>
          <w:tcPr>
            <w:tcW w:w="3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5,082</w:t>
            </w:r>
          </w:p>
        </w:tc>
        <w:tc>
          <w:tcPr>
            <w:tcW w:w="14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3,321</w:t>
            </w:r>
          </w:p>
        </w:tc>
      </w:tr>
      <w:tr>
        <w:trPr>
          <w:trHeight w:val="203"/>
        </w:trPr>
        <w:tc>
          <w:tcPr>
            <w:tcW w:w="5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 receivables</w:t>
            </w:r>
          </w:p>
        </w:tc>
        <w:tc>
          <w:tcPr>
            <w:tcW w:w="3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21,338</w:t>
            </w:r>
          </w:p>
        </w:tc>
        <w:tc>
          <w:tcPr>
            <w:tcW w:w="14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21,250</w:t>
            </w:r>
          </w:p>
        </w:tc>
      </w:tr>
      <w:tr>
        <w:trPr>
          <w:trHeight w:val="203"/>
        </w:trPr>
        <w:tc>
          <w:tcPr>
            <w:tcW w:w="5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Inventories</w:t>
            </w:r>
          </w:p>
        </w:tc>
        <w:tc>
          <w:tcPr>
            <w:tcW w:w="3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10,085</w:t>
            </w:r>
          </w:p>
        </w:tc>
        <w:tc>
          <w:tcPr>
            <w:tcW w:w="14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8,428</w:t>
            </w:r>
          </w:p>
        </w:tc>
      </w:tr>
      <w:tr>
        <w:trPr>
          <w:trHeight w:val="203"/>
        </w:trPr>
        <w:tc>
          <w:tcPr>
            <w:tcW w:w="5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3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2,030</w:t>
            </w:r>
          </w:p>
        </w:tc>
        <w:tc>
          <w:tcPr>
            <w:tcW w:w="14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1,219</w:t>
            </w:r>
          </w:p>
        </w:tc>
      </w:tr>
      <w:tr>
        <w:trPr>
          <w:trHeight w:val="203"/>
        </w:trPr>
        <w:tc>
          <w:tcPr>
            <w:tcW w:w="5800" w:type="dxa"/>
            <w:vAlign w:val="bottom"/>
          </w:tcPr>
          <w:p>
            <w:pPr>
              <w:spacing w:after="0"/>
              <w:rPr>
                <w:sz w:val="17"/>
                <w:szCs w:val="17"/>
                <w:color w:val="auto"/>
              </w:rPr>
            </w:pPr>
          </w:p>
        </w:tc>
        <w:tc>
          <w:tcPr>
            <w:tcW w:w="1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8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3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91,824</w:t>
            </w:r>
          </w:p>
        </w:tc>
        <w:tc>
          <w:tcPr>
            <w:tcW w:w="14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67,420</w:t>
            </w:r>
          </w:p>
        </w:tc>
      </w:tr>
      <w:tr>
        <w:trPr>
          <w:trHeight w:val="203"/>
        </w:trPr>
        <w:tc>
          <w:tcPr>
            <w:tcW w:w="5800" w:type="dxa"/>
            <w:vAlign w:val="bottom"/>
          </w:tcPr>
          <w:p>
            <w:pPr>
              <w:spacing w:after="0"/>
              <w:rPr>
                <w:sz w:val="17"/>
                <w:szCs w:val="17"/>
                <w:color w:val="auto"/>
              </w:rPr>
            </w:pPr>
          </w:p>
        </w:tc>
        <w:tc>
          <w:tcPr>
            <w:tcW w:w="1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5800" w:type="dxa"/>
            <w:vAlign w:val="bottom"/>
          </w:tcPr>
          <w:p>
            <w:pPr>
              <w:ind w:left="220"/>
              <w:spacing w:after="0"/>
              <w:rPr>
                <w:sz w:val="20"/>
                <w:szCs w:val="20"/>
                <w:color w:val="auto"/>
              </w:rPr>
            </w:pPr>
            <w:r>
              <w:rPr>
                <w:rFonts w:ascii="Courier New" w:cs="Courier New" w:eastAsia="Courier New" w:hAnsi="Courier New"/>
                <w:sz w:val="18"/>
                <w:szCs w:val="18"/>
                <w:color w:val="auto"/>
              </w:rPr>
              <w:t>LONG-TERM INVESTMENTS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03"/>
        </w:trPr>
        <w:tc>
          <w:tcPr>
            <w:tcW w:w="5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Long-term interest-bearing deposits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58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designated for investments relating to Fab 2</w:t>
            </w:r>
          </w:p>
        </w:tc>
        <w:tc>
          <w:tcPr>
            <w:tcW w:w="3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11,544</w:t>
            </w:r>
          </w:p>
        </w:tc>
        <w:tc>
          <w:tcPr>
            <w:tcW w:w="14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 long-term investment</w:t>
            </w:r>
          </w:p>
        </w:tc>
        <w:tc>
          <w:tcPr>
            <w:tcW w:w="3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6,000</w:t>
            </w:r>
          </w:p>
        </w:tc>
        <w:tc>
          <w:tcPr>
            <w:tcW w:w="14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6,000</w:t>
            </w:r>
          </w:p>
        </w:tc>
      </w:tr>
      <w:tr>
        <w:trPr>
          <w:trHeight w:val="203"/>
        </w:trPr>
        <w:tc>
          <w:tcPr>
            <w:tcW w:w="5800" w:type="dxa"/>
            <w:vAlign w:val="bottom"/>
          </w:tcPr>
          <w:p>
            <w:pPr>
              <w:spacing w:after="0"/>
              <w:rPr>
                <w:sz w:val="17"/>
                <w:szCs w:val="17"/>
                <w:color w:val="auto"/>
              </w:rPr>
            </w:pPr>
          </w:p>
        </w:tc>
        <w:tc>
          <w:tcPr>
            <w:tcW w:w="1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17,544</w:t>
            </w:r>
          </w:p>
        </w:tc>
        <w:tc>
          <w:tcPr>
            <w:tcW w:w="14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6,000</w:t>
            </w:r>
          </w:p>
        </w:tc>
      </w:tr>
      <w:tr>
        <w:trPr>
          <w:trHeight w:val="203"/>
        </w:trPr>
        <w:tc>
          <w:tcPr>
            <w:tcW w:w="5800" w:type="dxa"/>
            <w:vAlign w:val="bottom"/>
          </w:tcPr>
          <w:p>
            <w:pPr>
              <w:spacing w:after="0"/>
              <w:rPr>
                <w:sz w:val="17"/>
                <w:szCs w:val="17"/>
                <w:color w:val="auto"/>
              </w:rPr>
            </w:pPr>
          </w:p>
        </w:tc>
        <w:tc>
          <w:tcPr>
            <w:tcW w:w="1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5800" w:type="dxa"/>
            <w:vAlign w:val="bottom"/>
          </w:tcPr>
          <w:p>
            <w:pPr>
              <w:ind w:left="220"/>
              <w:spacing w:after="0"/>
              <w:rPr>
                <w:sz w:val="20"/>
                <w:szCs w:val="20"/>
                <w:color w:val="auto"/>
              </w:rPr>
            </w:pPr>
            <w:r>
              <w:rPr>
                <w:rFonts w:ascii="Courier New" w:cs="Courier New" w:eastAsia="Courier New" w:hAnsi="Courier New"/>
                <w:sz w:val="18"/>
                <w:szCs w:val="18"/>
                <w:color w:val="auto"/>
              </w:rPr>
              <w:t>PROPERTY AND EQUIPMENT, NET</w:t>
            </w:r>
          </w:p>
        </w:tc>
        <w:tc>
          <w:tcPr>
            <w:tcW w:w="32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5"/>
              </w:rPr>
              <w:t>435,485</w:t>
            </w:r>
          </w:p>
        </w:tc>
        <w:tc>
          <w:tcPr>
            <w:tcW w:w="14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340,724</w:t>
            </w:r>
          </w:p>
        </w:tc>
      </w:tr>
      <w:tr>
        <w:trPr>
          <w:trHeight w:val="203"/>
        </w:trPr>
        <w:tc>
          <w:tcPr>
            <w:tcW w:w="5800" w:type="dxa"/>
            <w:vAlign w:val="bottom"/>
          </w:tcPr>
          <w:p>
            <w:pPr>
              <w:spacing w:after="0"/>
              <w:rPr>
                <w:sz w:val="17"/>
                <w:szCs w:val="17"/>
                <w:color w:val="auto"/>
              </w:rPr>
            </w:pPr>
          </w:p>
        </w:tc>
        <w:tc>
          <w:tcPr>
            <w:tcW w:w="1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5800" w:type="dxa"/>
            <w:vAlign w:val="bottom"/>
          </w:tcPr>
          <w:p>
            <w:pPr>
              <w:ind w:left="220"/>
              <w:spacing w:after="0"/>
              <w:rPr>
                <w:sz w:val="20"/>
                <w:szCs w:val="20"/>
                <w:color w:val="auto"/>
              </w:rPr>
            </w:pPr>
            <w:r>
              <w:rPr>
                <w:rFonts w:ascii="Courier New" w:cs="Courier New" w:eastAsia="Courier New" w:hAnsi="Courier New"/>
                <w:sz w:val="18"/>
                <w:szCs w:val="18"/>
                <w:color w:val="auto"/>
              </w:rPr>
              <w:t>OTHER ASSETS</w:t>
            </w:r>
          </w:p>
        </w:tc>
        <w:tc>
          <w:tcPr>
            <w:tcW w:w="32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84,913</w:t>
            </w:r>
          </w:p>
        </w:tc>
        <w:tc>
          <w:tcPr>
            <w:tcW w:w="14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57,910</w:t>
            </w:r>
          </w:p>
        </w:tc>
      </w:tr>
      <w:tr>
        <w:trPr>
          <w:trHeight w:val="203"/>
        </w:trPr>
        <w:tc>
          <w:tcPr>
            <w:tcW w:w="5800" w:type="dxa"/>
            <w:vAlign w:val="bottom"/>
          </w:tcPr>
          <w:p>
            <w:pPr>
              <w:spacing w:after="0"/>
              <w:rPr>
                <w:sz w:val="17"/>
                <w:szCs w:val="17"/>
                <w:color w:val="auto"/>
              </w:rPr>
            </w:pPr>
          </w:p>
        </w:tc>
        <w:tc>
          <w:tcPr>
            <w:tcW w:w="1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5800" w:type="dxa"/>
            <w:vAlign w:val="bottom"/>
          </w:tcPr>
          <w:p>
            <w:pPr>
              <w:ind w:left="860"/>
              <w:spacing w:after="0"/>
              <w:rPr>
                <w:sz w:val="20"/>
                <w:szCs w:val="20"/>
                <w:color w:val="auto"/>
              </w:rPr>
            </w:pPr>
            <w:r>
              <w:rPr>
                <w:rFonts w:ascii="Courier New" w:cs="Courier New" w:eastAsia="Courier New" w:hAnsi="Courier New"/>
                <w:sz w:val="18"/>
                <w:szCs w:val="18"/>
                <w:color w:val="auto"/>
              </w:rPr>
              <w:t>TOTAL ASSETS</w:t>
            </w:r>
          </w:p>
        </w:tc>
        <w:tc>
          <w:tcPr>
            <w:tcW w:w="138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$629,766</w:t>
            </w:r>
          </w:p>
        </w:tc>
        <w:tc>
          <w:tcPr>
            <w:tcW w:w="1460" w:type="dxa"/>
            <w:vAlign w:val="bottom"/>
          </w:tcPr>
          <w:p>
            <w:pPr>
              <w:jc w:val="right"/>
              <w:ind w:right="532"/>
              <w:spacing w:after="0"/>
              <w:rPr>
                <w:sz w:val="20"/>
                <w:szCs w:val="20"/>
                <w:color w:val="auto"/>
              </w:rPr>
            </w:pPr>
            <w:r>
              <w:rPr>
                <w:rFonts w:ascii="Courier New" w:cs="Courier New" w:eastAsia="Courier New" w:hAnsi="Courier New"/>
                <w:sz w:val="18"/>
                <w:szCs w:val="18"/>
                <w:color w:val="auto"/>
                <w:w w:val="94"/>
              </w:rPr>
              <w:t>$472,054</w:t>
            </w:r>
          </w:p>
        </w:tc>
      </w:tr>
      <w:tr>
        <w:trPr>
          <w:trHeight w:val="203"/>
        </w:trPr>
        <w:tc>
          <w:tcPr>
            <w:tcW w:w="5800" w:type="dxa"/>
            <w:vAlign w:val="bottom"/>
          </w:tcPr>
          <w:p>
            <w:pPr>
              <w:spacing w:after="0"/>
              <w:rPr>
                <w:sz w:val="17"/>
                <w:szCs w:val="17"/>
                <w:color w:val="auto"/>
              </w:rPr>
            </w:pPr>
          </w:p>
        </w:tc>
        <w:tc>
          <w:tcPr>
            <w:tcW w:w="1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LIABILITIES AND SHAREHOLDERS' EQUITY</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05"/>
        </w:trPr>
        <w:tc>
          <w:tcPr>
            <w:tcW w:w="5800" w:type="dxa"/>
            <w:vAlign w:val="bottom"/>
          </w:tcPr>
          <w:p>
            <w:pPr>
              <w:ind w:left="220"/>
              <w:spacing w:after="0"/>
              <w:rPr>
                <w:sz w:val="20"/>
                <w:szCs w:val="20"/>
                <w:color w:val="auto"/>
              </w:rPr>
            </w:pPr>
            <w:r>
              <w:rPr>
                <w:rFonts w:ascii="Courier New" w:cs="Courier New" w:eastAsia="Courier New" w:hAnsi="Courier New"/>
                <w:sz w:val="18"/>
                <w:szCs w:val="18"/>
                <w:color w:val="auto"/>
              </w:rPr>
              <w:t>CURRENT LIABILITIES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03"/>
        </w:trPr>
        <w:tc>
          <w:tcPr>
            <w:tcW w:w="5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Short-term debt</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4,000</w:t>
            </w:r>
          </w:p>
        </w:tc>
        <w:tc>
          <w:tcPr>
            <w:tcW w:w="14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w w:val="94"/>
              </w:rPr>
              <w:t>$ 14,000</w:t>
            </w:r>
          </w:p>
        </w:tc>
      </w:tr>
      <w:tr>
        <w:trPr>
          <w:trHeight w:val="203"/>
        </w:trPr>
        <w:tc>
          <w:tcPr>
            <w:tcW w:w="5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Trade accounts payable</w:t>
            </w:r>
          </w:p>
        </w:tc>
        <w:tc>
          <w:tcPr>
            <w:tcW w:w="3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54,559</w:t>
            </w:r>
          </w:p>
        </w:tc>
        <w:tc>
          <w:tcPr>
            <w:tcW w:w="14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64,484</w:t>
            </w:r>
          </w:p>
        </w:tc>
      </w:tr>
      <w:tr>
        <w:trPr>
          <w:trHeight w:val="203"/>
        </w:trPr>
        <w:tc>
          <w:tcPr>
            <w:tcW w:w="5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 current liabilities</w:t>
            </w:r>
          </w:p>
        </w:tc>
        <w:tc>
          <w:tcPr>
            <w:tcW w:w="3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8,819</w:t>
            </w:r>
          </w:p>
        </w:tc>
        <w:tc>
          <w:tcPr>
            <w:tcW w:w="14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5,271</w:t>
            </w:r>
          </w:p>
        </w:tc>
      </w:tr>
      <w:tr>
        <w:trPr>
          <w:trHeight w:val="203"/>
        </w:trPr>
        <w:tc>
          <w:tcPr>
            <w:tcW w:w="5800" w:type="dxa"/>
            <w:vAlign w:val="bottom"/>
          </w:tcPr>
          <w:p>
            <w:pPr>
              <w:spacing w:after="0"/>
              <w:rPr>
                <w:sz w:val="17"/>
                <w:szCs w:val="17"/>
                <w:color w:val="auto"/>
              </w:rPr>
            </w:pPr>
          </w:p>
        </w:tc>
        <w:tc>
          <w:tcPr>
            <w:tcW w:w="1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8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3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67,378</w:t>
            </w:r>
          </w:p>
        </w:tc>
        <w:tc>
          <w:tcPr>
            <w:tcW w:w="14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83,755</w:t>
            </w:r>
          </w:p>
        </w:tc>
      </w:tr>
      <w:tr>
        <w:trPr>
          <w:trHeight w:val="405"/>
        </w:trPr>
        <w:tc>
          <w:tcPr>
            <w:tcW w:w="5800" w:type="dxa"/>
            <w:vAlign w:val="bottom"/>
          </w:tcPr>
          <w:p>
            <w:pPr>
              <w:ind w:left="220"/>
              <w:spacing w:after="0"/>
              <w:rPr>
                <w:sz w:val="20"/>
                <w:szCs w:val="20"/>
                <w:color w:val="auto"/>
              </w:rPr>
            </w:pPr>
            <w:r>
              <w:rPr>
                <w:rFonts w:ascii="Courier New" w:cs="Courier New" w:eastAsia="Courier New" w:hAnsi="Courier New"/>
                <w:sz w:val="18"/>
                <w:szCs w:val="18"/>
                <w:color w:val="auto"/>
              </w:rPr>
              <w:t>LONG-TERM DEBT</w:t>
            </w:r>
          </w:p>
        </w:tc>
        <w:tc>
          <w:tcPr>
            <w:tcW w:w="32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5"/>
              </w:rPr>
              <w:t>254,000</w:t>
            </w:r>
          </w:p>
        </w:tc>
        <w:tc>
          <w:tcPr>
            <w:tcW w:w="14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115,000</w:t>
            </w:r>
          </w:p>
        </w:tc>
      </w:tr>
      <w:tr>
        <w:trPr>
          <w:trHeight w:val="405"/>
        </w:trPr>
        <w:tc>
          <w:tcPr>
            <w:tcW w:w="5800" w:type="dxa"/>
            <w:vAlign w:val="bottom"/>
          </w:tcPr>
          <w:p>
            <w:pPr>
              <w:ind w:left="220"/>
              <w:spacing w:after="0"/>
              <w:rPr>
                <w:sz w:val="20"/>
                <w:szCs w:val="20"/>
                <w:color w:val="auto"/>
              </w:rPr>
            </w:pPr>
            <w:r>
              <w:rPr>
                <w:rFonts w:ascii="Courier New" w:cs="Courier New" w:eastAsia="Courier New" w:hAnsi="Courier New"/>
                <w:sz w:val="18"/>
                <w:szCs w:val="18"/>
                <w:color w:val="auto"/>
              </w:rPr>
              <w:t>CONVERTIBLE DEBENTURES</w:t>
            </w:r>
          </w:p>
        </w:tc>
        <w:tc>
          <w:tcPr>
            <w:tcW w:w="32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23,369</w:t>
            </w:r>
          </w:p>
        </w:tc>
        <w:tc>
          <w:tcPr>
            <w:tcW w:w="14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w:t>
            </w:r>
          </w:p>
        </w:tc>
      </w:tr>
      <w:tr>
        <w:trPr>
          <w:trHeight w:val="405"/>
        </w:trPr>
        <w:tc>
          <w:tcPr>
            <w:tcW w:w="5800" w:type="dxa"/>
            <w:vAlign w:val="bottom"/>
          </w:tcPr>
          <w:p>
            <w:pPr>
              <w:ind w:left="220"/>
              <w:spacing w:after="0"/>
              <w:rPr>
                <w:sz w:val="20"/>
                <w:szCs w:val="20"/>
                <w:color w:val="auto"/>
              </w:rPr>
            </w:pPr>
            <w:r>
              <w:rPr>
                <w:rFonts w:ascii="Courier New" w:cs="Courier New" w:eastAsia="Courier New" w:hAnsi="Courier New"/>
                <w:sz w:val="18"/>
                <w:szCs w:val="18"/>
                <w:color w:val="auto"/>
              </w:rPr>
              <w:t>LONG-TERM LIABILITY IN RESPECT</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03"/>
        </w:trPr>
        <w:tc>
          <w:tcPr>
            <w:tcW w:w="5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OF CUSTOMERS' ADVANCES</w:t>
            </w:r>
          </w:p>
        </w:tc>
        <w:tc>
          <w:tcPr>
            <w:tcW w:w="3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32,578</w:t>
            </w:r>
          </w:p>
        </w:tc>
        <w:tc>
          <w:tcPr>
            <w:tcW w:w="14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17,910</w:t>
            </w:r>
          </w:p>
        </w:tc>
      </w:tr>
      <w:tr>
        <w:trPr>
          <w:trHeight w:val="405"/>
        </w:trPr>
        <w:tc>
          <w:tcPr>
            <w:tcW w:w="5800" w:type="dxa"/>
            <w:vAlign w:val="bottom"/>
          </w:tcPr>
          <w:p>
            <w:pPr>
              <w:ind w:left="220"/>
              <w:spacing w:after="0"/>
              <w:rPr>
                <w:sz w:val="20"/>
                <w:szCs w:val="20"/>
                <w:color w:val="auto"/>
              </w:rPr>
            </w:pPr>
            <w:r>
              <w:rPr>
                <w:rFonts w:ascii="Courier New" w:cs="Courier New" w:eastAsia="Courier New" w:hAnsi="Courier New"/>
                <w:sz w:val="18"/>
                <w:szCs w:val="18"/>
                <w:color w:val="auto"/>
              </w:rPr>
              <w:t>OTHER LONG-TERM LIABILITIES</w:t>
            </w:r>
          </w:p>
        </w:tc>
        <w:tc>
          <w:tcPr>
            <w:tcW w:w="32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5,332</w:t>
            </w:r>
          </w:p>
        </w:tc>
        <w:tc>
          <w:tcPr>
            <w:tcW w:w="14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2,584</w:t>
            </w:r>
          </w:p>
        </w:tc>
      </w:tr>
      <w:tr>
        <w:trPr>
          <w:trHeight w:val="203"/>
        </w:trPr>
        <w:tc>
          <w:tcPr>
            <w:tcW w:w="5800" w:type="dxa"/>
            <w:vAlign w:val="bottom"/>
          </w:tcPr>
          <w:p>
            <w:pPr>
              <w:spacing w:after="0"/>
              <w:rPr>
                <w:sz w:val="17"/>
                <w:szCs w:val="17"/>
                <w:color w:val="auto"/>
              </w:rPr>
            </w:pPr>
          </w:p>
        </w:tc>
        <w:tc>
          <w:tcPr>
            <w:tcW w:w="1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8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3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382,657</w:t>
            </w:r>
          </w:p>
        </w:tc>
        <w:tc>
          <w:tcPr>
            <w:tcW w:w="14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219,249</w:t>
            </w:r>
          </w:p>
        </w:tc>
      </w:tr>
      <w:tr>
        <w:trPr>
          <w:trHeight w:val="203"/>
        </w:trPr>
        <w:tc>
          <w:tcPr>
            <w:tcW w:w="5800" w:type="dxa"/>
            <w:vAlign w:val="bottom"/>
          </w:tcPr>
          <w:p>
            <w:pPr>
              <w:spacing w:after="0"/>
              <w:rPr>
                <w:sz w:val="17"/>
                <w:szCs w:val="17"/>
                <w:color w:val="auto"/>
              </w:rPr>
            </w:pPr>
          </w:p>
        </w:tc>
        <w:tc>
          <w:tcPr>
            <w:tcW w:w="1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SHAREHOLDERS' EQUITY</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5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Ordinary shares, NIS 1 par value - authorized</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58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70,000,000 shares; issued 31,511,228 and</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58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26,297,102 shares, respectively</w:t>
            </w:r>
          </w:p>
        </w:tc>
        <w:tc>
          <w:tcPr>
            <w:tcW w:w="3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8,537</w:t>
            </w:r>
          </w:p>
        </w:tc>
        <w:tc>
          <w:tcPr>
            <w:tcW w:w="14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7,448</w:t>
            </w:r>
          </w:p>
        </w:tc>
      </w:tr>
      <w:tr>
        <w:trPr>
          <w:trHeight w:val="203"/>
        </w:trPr>
        <w:tc>
          <w:tcPr>
            <w:tcW w:w="5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3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338,777</w:t>
            </w:r>
          </w:p>
        </w:tc>
        <w:tc>
          <w:tcPr>
            <w:tcW w:w="14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307,865</w:t>
            </w:r>
          </w:p>
        </w:tc>
      </w:tr>
      <w:tr>
        <w:trPr>
          <w:trHeight w:val="203"/>
        </w:trPr>
        <w:tc>
          <w:tcPr>
            <w:tcW w:w="5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Shareholder receivables and unearned compensation</w:t>
            </w:r>
          </w:p>
        </w:tc>
        <w:tc>
          <w:tcPr>
            <w:tcW w:w="3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(74)</w:t>
            </w:r>
          </w:p>
        </w:tc>
        <w:tc>
          <w:tcPr>
            <w:tcW w:w="14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(195)</w:t>
            </w:r>
          </w:p>
        </w:tc>
      </w:tr>
      <w:tr>
        <w:trPr>
          <w:trHeight w:val="203"/>
        </w:trPr>
        <w:tc>
          <w:tcPr>
            <w:tcW w:w="5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Accumulated deficit</w:t>
            </w:r>
          </w:p>
        </w:tc>
        <w:tc>
          <w:tcPr>
            <w:tcW w:w="3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(91,059)</w:t>
            </w:r>
          </w:p>
        </w:tc>
        <w:tc>
          <w:tcPr>
            <w:tcW w:w="14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(53,241)</w:t>
            </w:r>
          </w:p>
        </w:tc>
      </w:tr>
      <w:tr>
        <w:trPr>
          <w:trHeight w:val="203"/>
        </w:trPr>
        <w:tc>
          <w:tcPr>
            <w:tcW w:w="5800" w:type="dxa"/>
            <w:vAlign w:val="bottom"/>
          </w:tcPr>
          <w:p>
            <w:pPr>
              <w:spacing w:after="0"/>
              <w:rPr>
                <w:sz w:val="17"/>
                <w:szCs w:val="17"/>
                <w:color w:val="auto"/>
              </w:rPr>
            </w:pPr>
          </w:p>
        </w:tc>
        <w:tc>
          <w:tcPr>
            <w:tcW w:w="1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256,181</w:t>
            </w:r>
          </w:p>
        </w:tc>
        <w:tc>
          <w:tcPr>
            <w:tcW w:w="14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261,877</w:t>
            </w:r>
          </w:p>
        </w:tc>
      </w:tr>
      <w:tr>
        <w:trPr>
          <w:trHeight w:val="203"/>
        </w:trPr>
        <w:tc>
          <w:tcPr>
            <w:tcW w:w="5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Treasury stock, at cost - 1,300,000 shares</w:t>
            </w:r>
          </w:p>
        </w:tc>
        <w:tc>
          <w:tcPr>
            <w:tcW w:w="3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(9,072)</w:t>
            </w:r>
          </w:p>
        </w:tc>
        <w:tc>
          <w:tcPr>
            <w:tcW w:w="14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(9,072)</w:t>
            </w:r>
          </w:p>
        </w:tc>
      </w:tr>
      <w:tr>
        <w:trPr>
          <w:trHeight w:val="203"/>
        </w:trPr>
        <w:tc>
          <w:tcPr>
            <w:tcW w:w="5800" w:type="dxa"/>
            <w:vAlign w:val="bottom"/>
          </w:tcPr>
          <w:p>
            <w:pPr>
              <w:spacing w:after="0"/>
              <w:rPr>
                <w:sz w:val="17"/>
                <w:szCs w:val="17"/>
                <w:color w:val="auto"/>
              </w:rPr>
            </w:pPr>
          </w:p>
        </w:tc>
        <w:tc>
          <w:tcPr>
            <w:tcW w:w="1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8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Total shareholders' equity</w:t>
            </w:r>
          </w:p>
        </w:tc>
        <w:tc>
          <w:tcPr>
            <w:tcW w:w="3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247,109</w:t>
            </w:r>
          </w:p>
        </w:tc>
        <w:tc>
          <w:tcPr>
            <w:tcW w:w="14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252,805</w:t>
            </w:r>
          </w:p>
        </w:tc>
      </w:tr>
      <w:tr>
        <w:trPr>
          <w:trHeight w:val="203"/>
        </w:trPr>
        <w:tc>
          <w:tcPr>
            <w:tcW w:w="5800" w:type="dxa"/>
            <w:vAlign w:val="bottom"/>
          </w:tcPr>
          <w:p>
            <w:pPr>
              <w:spacing w:after="0"/>
              <w:rPr>
                <w:sz w:val="17"/>
                <w:szCs w:val="17"/>
                <w:color w:val="auto"/>
              </w:rPr>
            </w:pPr>
          </w:p>
        </w:tc>
        <w:tc>
          <w:tcPr>
            <w:tcW w:w="1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4"/>
              </w:rPr>
              <w:t>=========</w:t>
            </w:r>
          </w:p>
        </w:tc>
      </w:tr>
    </w:tbl>
    <w:p>
      <w:pPr>
        <w:sectPr>
          <w:pgSz w:w="11900" w:h="16838" w:orient="portrait"/>
          <w:cols w:equalWidth="0" w:num="1">
            <w:col w:w="10219"/>
          </w:cols>
          <w:pgMar w:left="240" w:top="520" w:right="1440" w:bottom="0" w:gutter="0" w:footer="0" w:header="0"/>
        </w:sectPr>
      </w:pPr>
    </w:p>
    <w:bookmarkStart w:id="13" w:name="page14"/>
    <w:bookmarkEnd w:id="13"/>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 LIABILITIES AND SHAREHOLDERS' EQUITY</w:t>
      </w:r>
    </w:p>
    <w:p>
      <w:pPr>
        <w:spacing w:after="0" w:line="20" w:lineRule="exact"/>
        <w:rPr>
          <w:sz w:val="20"/>
          <w:szCs w:val="20"/>
          <w:color w:val="auto"/>
        </w:rPr>
      </w:pPr>
      <w:r>
        <w:rPr>
          <w:sz w:val="20"/>
          <w:szCs w:val="20"/>
          <w:color w:val="auto"/>
        </w:rPr>
        <w:br w:type="column"/>
      </w:r>
    </w:p>
    <w:p>
      <w:pPr>
        <w:spacing w:after="0"/>
        <w:tabs>
          <w:tab w:leader="none" w:pos="1140" w:val="left"/>
        </w:tabs>
        <w:rPr>
          <w:sz w:val="20"/>
          <w:szCs w:val="20"/>
          <w:color w:val="auto"/>
        </w:rPr>
      </w:pPr>
      <w:r>
        <w:rPr>
          <w:rFonts w:ascii="Courier New" w:cs="Courier New" w:eastAsia="Courier New" w:hAnsi="Courier New"/>
          <w:sz w:val="18"/>
          <w:szCs w:val="18"/>
          <w:color w:val="auto"/>
        </w:rPr>
        <w:t>$629,766</w:t>
      </w:r>
      <w:r>
        <w:rPr>
          <w:sz w:val="20"/>
          <w:szCs w:val="20"/>
          <w:color w:val="auto"/>
        </w:rPr>
        <w:tab/>
      </w:r>
      <w:r>
        <w:rPr>
          <w:rFonts w:ascii="Courier New" w:cs="Courier New" w:eastAsia="Courier New" w:hAnsi="Courier New"/>
          <w:sz w:val="16"/>
          <w:szCs w:val="16"/>
          <w:color w:val="auto"/>
        </w:rPr>
        <w:t>$472,054</w:t>
      </w:r>
    </w:p>
    <w:p>
      <w:pPr>
        <w:spacing w:after="0"/>
        <w:tabs>
          <w:tab w:leader="none" w:pos="11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2">
            <w:col w:w="4440" w:space="720"/>
            <w:col w:w="4199"/>
          </w:cols>
          <w:pgMar w:left="1100" w:top="339" w:right="1440" w:bottom="1440" w:gutter="0" w:footer="0" w:header="0"/>
        </w:sectPr>
      </w:pPr>
    </w:p>
    <w:bookmarkStart w:id="14" w:name="page15"/>
    <w:bookmarkEnd w:id="14"/>
    <w:p>
      <w:pPr>
        <w:jc w:val="center"/>
        <w:ind w:right="1679"/>
        <w:spacing w:after="0"/>
        <w:rPr>
          <w:sz w:val="20"/>
          <w:szCs w:val="20"/>
          <w:color w:val="auto"/>
        </w:rPr>
      </w:pPr>
      <w:r>
        <w:rPr>
          <w:rFonts w:ascii="Courier New" w:cs="Courier New" w:eastAsia="Courier New" w:hAnsi="Courier New"/>
          <w:sz w:val="18"/>
          <w:szCs w:val="18"/>
          <w:color w:val="auto"/>
        </w:rPr>
        <w:t>TOWER SEMICONDUCTOR LTD. AND SUBSIDIARY</w:t>
      </w:r>
    </w:p>
    <w:p>
      <w:pPr>
        <w:jc w:val="center"/>
        <w:ind w:right="1679"/>
        <w:spacing w:after="0" w:line="238" w:lineRule="auto"/>
        <w:rPr>
          <w:sz w:val="20"/>
          <w:szCs w:val="20"/>
          <w:color w:val="auto"/>
        </w:rPr>
      </w:pPr>
      <w:r>
        <w:rPr>
          <w:rFonts w:ascii="Courier New" w:cs="Courier New" w:eastAsia="Courier New" w:hAnsi="Courier New"/>
          <w:sz w:val="18"/>
          <w:szCs w:val="18"/>
          <w:color w:val="auto"/>
        </w:rPr>
        <w:t>CONDENSED CONSOLIDATED STATEMENTS OF OPERATIONS</w:t>
      </w:r>
    </w:p>
    <w:p>
      <w:pPr>
        <w:jc w:val="center"/>
        <w:ind w:right="1679"/>
        <w:spacing w:after="0"/>
        <w:rPr>
          <w:sz w:val="20"/>
          <w:szCs w:val="20"/>
          <w:color w:val="auto"/>
        </w:rPr>
      </w:pPr>
      <w:r>
        <w:rPr>
          <w:rFonts w:ascii="Courier New" w:cs="Courier New" w:eastAsia="Courier New" w:hAnsi="Courier New"/>
          <w:sz w:val="18"/>
          <w:szCs w:val="18"/>
          <w:color w:val="auto"/>
        </w:rPr>
        <w:t>(UNAUDITED)</w:t>
      </w:r>
    </w:p>
    <w:p>
      <w:pPr>
        <w:jc w:val="center"/>
        <w:ind w:right="1679"/>
        <w:spacing w:after="0" w:line="237" w:lineRule="auto"/>
        <w:rPr>
          <w:sz w:val="20"/>
          <w:szCs w:val="20"/>
          <w:color w:val="auto"/>
        </w:rPr>
      </w:pPr>
      <w:r>
        <w:rPr>
          <w:rFonts w:ascii="Courier New" w:cs="Courier New" w:eastAsia="Courier New" w:hAnsi="Courier New"/>
          <w:sz w:val="18"/>
          <w:szCs w:val="18"/>
          <w:color w:val="auto"/>
        </w:rPr>
        <w:t>(DOLLARS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4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Nine  Months</w:t>
            </w:r>
          </w:p>
        </w:tc>
        <w:tc>
          <w:tcPr>
            <w:tcW w:w="9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Ended</w:t>
            </w:r>
          </w:p>
        </w:tc>
        <w:tc>
          <w:tcPr>
            <w:tcW w:w="2220" w:type="dxa"/>
            <w:vAlign w:val="bottom"/>
            <w:gridSpan w:val="3"/>
          </w:tcPr>
          <w:p>
            <w:pPr>
              <w:jc w:val="right"/>
              <w:ind w:right="3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4640" w:type="dxa"/>
            <w:vAlign w:val="bottom"/>
          </w:tcPr>
          <w:p>
            <w:pPr>
              <w:spacing w:after="0"/>
              <w:rPr>
                <w:sz w:val="17"/>
                <w:szCs w:val="17"/>
                <w:color w:val="auto"/>
              </w:rPr>
            </w:pPr>
          </w:p>
        </w:tc>
        <w:tc>
          <w:tcPr>
            <w:tcW w:w="232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rPr>
              <w:t>September 30,</w:t>
            </w:r>
          </w:p>
        </w:tc>
        <w:tc>
          <w:tcPr>
            <w:tcW w:w="2220" w:type="dxa"/>
            <w:vAlign w:val="bottom"/>
            <w:gridSpan w:val="3"/>
          </w:tcPr>
          <w:p>
            <w:pPr>
              <w:jc w:val="right"/>
              <w:ind w:right="332"/>
              <w:spacing w:after="0" w:line="203" w:lineRule="exact"/>
              <w:rPr>
                <w:sz w:val="20"/>
                <w:szCs w:val="20"/>
                <w:color w:val="auto"/>
              </w:rPr>
            </w:pPr>
            <w:r>
              <w:rPr>
                <w:rFonts w:ascii="Courier New" w:cs="Courier New" w:eastAsia="Courier New" w:hAnsi="Courier New"/>
                <w:sz w:val="18"/>
                <w:szCs w:val="18"/>
                <w:color w:val="auto"/>
              </w:rPr>
              <w:t>September 30,</w:t>
            </w:r>
          </w:p>
        </w:tc>
      </w:tr>
      <w:tr>
        <w:trPr>
          <w:trHeight w:val="203"/>
        </w:trPr>
        <w:tc>
          <w:tcPr>
            <w:tcW w:w="4640" w:type="dxa"/>
            <w:vAlign w:val="bottom"/>
          </w:tcPr>
          <w:p>
            <w:pPr>
              <w:spacing w:after="0"/>
              <w:rPr>
                <w:sz w:val="17"/>
                <w:szCs w:val="17"/>
                <w:color w:val="auto"/>
              </w:rPr>
            </w:pPr>
          </w:p>
        </w:tc>
        <w:tc>
          <w:tcPr>
            <w:tcW w:w="232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2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2002</w:t>
            </w:r>
          </w:p>
        </w:tc>
        <w:tc>
          <w:tcPr>
            <w:tcW w:w="22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2001</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2002</w:t>
            </w:r>
          </w:p>
        </w:tc>
        <w:tc>
          <w:tcPr>
            <w:tcW w:w="2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2001</w:t>
            </w:r>
          </w:p>
        </w:tc>
      </w:tr>
      <w:tr>
        <w:trPr>
          <w:trHeight w:val="203"/>
        </w:trPr>
        <w:tc>
          <w:tcPr>
            <w:tcW w:w="464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SALES (1)</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$ 36,229</w:t>
            </w:r>
          </w:p>
        </w:tc>
        <w:tc>
          <w:tcPr>
            <w:tcW w:w="116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$ 43,539</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$ 16,187</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9,913</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COST OF SALES (2)</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49,956</w:t>
            </w:r>
          </w:p>
        </w:tc>
        <w:tc>
          <w:tcPr>
            <w:tcW w:w="220" w:type="dxa"/>
            <w:vAlign w:val="bottom"/>
          </w:tcPr>
          <w:p>
            <w:pPr>
              <w:spacing w:after="0"/>
              <w:rPr>
                <w:sz w:val="24"/>
                <w:szCs w:val="24"/>
                <w:color w:val="auto"/>
              </w:rPr>
            </w:pPr>
          </w:p>
        </w:tc>
        <w:tc>
          <w:tcPr>
            <w:tcW w:w="9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62,126</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21,078</w:t>
            </w:r>
          </w:p>
        </w:tc>
        <w:tc>
          <w:tcPr>
            <w:tcW w:w="220" w:type="dxa"/>
            <w:vAlign w:val="bottom"/>
          </w:tcPr>
          <w:p>
            <w:pPr>
              <w:spacing w:after="0"/>
              <w:rPr>
                <w:sz w:val="24"/>
                <w:szCs w:val="24"/>
                <w:color w:val="auto"/>
              </w:rPr>
            </w:pPr>
          </w:p>
        </w:tc>
        <w:tc>
          <w:tcPr>
            <w:tcW w:w="8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18,124</w:t>
            </w:r>
          </w:p>
        </w:tc>
      </w:tr>
      <w:tr>
        <w:trPr>
          <w:trHeight w:val="203"/>
        </w:trPr>
        <w:tc>
          <w:tcPr>
            <w:tcW w:w="464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40" w:type="dxa"/>
            <w:vAlign w:val="bottom"/>
          </w:tcPr>
          <w:p>
            <w:pPr>
              <w:ind w:left="420"/>
              <w:spacing w:after="0"/>
              <w:rPr>
                <w:sz w:val="20"/>
                <w:szCs w:val="20"/>
                <w:color w:val="auto"/>
              </w:rPr>
            </w:pPr>
            <w:r>
              <w:rPr>
                <w:rFonts w:ascii="Courier New" w:cs="Courier New" w:eastAsia="Courier New" w:hAnsi="Courier New"/>
                <w:sz w:val="18"/>
                <w:szCs w:val="18"/>
                <w:color w:val="auto"/>
              </w:rPr>
              <w:t>GROSS LOSS</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(13,727)</w:t>
            </w:r>
          </w:p>
        </w:tc>
        <w:tc>
          <w:tcPr>
            <w:tcW w:w="220" w:type="dxa"/>
            <w:vAlign w:val="bottom"/>
          </w:tcPr>
          <w:p>
            <w:pPr>
              <w:spacing w:after="0"/>
              <w:rPr>
                <w:sz w:val="24"/>
                <w:szCs w:val="24"/>
                <w:color w:val="auto"/>
              </w:rPr>
            </w:pP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4"/>
              </w:rPr>
              <w:t>(18,587)</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(4,891)</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(8,211)</w:t>
            </w:r>
          </w:p>
        </w:tc>
      </w:tr>
      <w:tr>
        <w:trPr>
          <w:trHeight w:val="203"/>
        </w:trPr>
        <w:tc>
          <w:tcPr>
            <w:tcW w:w="464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OPERATING COSTS AND EXPENSES</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05"/>
        </w:trPr>
        <w:tc>
          <w:tcPr>
            <w:tcW w:w="4640" w:type="dxa"/>
            <w:vAlign w:val="bottom"/>
          </w:tcPr>
          <w:p>
            <w:pPr>
              <w:ind w:left="220"/>
              <w:spacing w:after="0"/>
              <w:rPr>
                <w:sz w:val="20"/>
                <w:szCs w:val="20"/>
                <w:color w:val="auto"/>
              </w:rPr>
            </w:pPr>
            <w:r>
              <w:rPr>
                <w:rFonts w:ascii="Courier New" w:cs="Courier New" w:eastAsia="Courier New" w:hAnsi="Courier New"/>
                <w:sz w:val="18"/>
                <w:szCs w:val="18"/>
                <w:color w:val="auto"/>
              </w:rPr>
              <w:t>Research and development (3)</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10,184</w:t>
            </w:r>
          </w:p>
        </w:tc>
        <w:tc>
          <w:tcPr>
            <w:tcW w:w="220" w:type="dxa"/>
            <w:vAlign w:val="bottom"/>
          </w:tcPr>
          <w:p>
            <w:pPr>
              <w:spacing w:after="0"/>
              <w:rPr>
                <w:sz w:val="24"/>
                <w:szCs w:val="24"/>
                <w:color w:val="auto"/>
              </w:rPr>
            </w:pPr>
          </w:p>
        </w:tc>
        <w:tc>
          <w:tcPr>
            <w:tcW w:w="9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6,843</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3,642</w:t>
            </w:r>
          </w:p>
        </w:tc>
        <w:tc>
          <w:tcPr>
            <w:tcW w:w="220" w:type="dxa"/>
            <w:vAlign w:val="bottom"/>
          </w:tcPr>
          <w:p>
            <w:pPr>
              <w:spacing w:after="0"/>
              <w:rPr>
                <w:sz w:val="24"/>
                <w:szCs w:val="24"/>
                <w:color w:val="auto"/>
              </w:rPr>
            </w:pPr>
          </w:p>
        </w:tc>
        <w:tc>
          <w:tcPr>
            <w:tcW w:w="8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2,419</w:t>
            </w: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Marketing, general and administrative (4)</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11,807</w:t>
            </w:r>
          </w:p>
        </w:tc>
        <w:tc>
          <w:tcPr>
            <w:tcW w:w="22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11,263</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4,680</w:t>
            </w:r>
          </w:p>
        </w:tc>
        <w:tc>
          <w:tcPr>
            <w:tcW w:w="22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3,464</w:t>
            </w:r>
          </w:p>
        </w:tc>
      </w:tr>
      <w:tr>
        <w:trPr>
          <w:trHeight w:val="203"/>
        </w:trPr>
        <w:tc>
          <w:tcPr>
            <w:tcW w:w="464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40" w:type="dxa"/>
            <w:vAlign w:val="bottom"/>
          </w:tcPr>
          <w:p>
            <w:pPr>
              <w:spacing w:after="0"/>
              <w:rPr>
                <w:sz w:val="24"/>
                <w:szCs w:val="24"/>
                <w:color w:val="auto"/>
              </w:rPr>
            </w:pP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21,991</w:t>
            </w:r>
          </w:p>
        </w:tc>
        <w:tc>
          <w:tcPr>
            <w:tcW w:w="220" w:type="dxa"/>
            <w:vAlign w:val="bottom"/>
          </w:tcPr>
          <w:p>
            <w:pPr>
              <w:spacing w:after="0"/>
              <w:rPr>
                <w:sz w:val="24"/>
                <w:szCs w:val="24"/>
                <w:color w:val="auto"/>
              </w:rPr>
            </w:pPr>
          </w:p>
        </w:tc>
        <w:tc>
          <w:tcPr>
            <w:tcW w:w="9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18,106</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8,322</w:t>
            </w:r>
          </w:p>
        </w:tc>
        <w:tc>
          <w:tcPr>
            <w:tcW w:w="220" w:type="dxa"/>
            <w:vAlign w:val="bottom"/>
          </w:tcPr>
          <w:p>
            <w:pPr>
              <w:spacing w:after="0"/>
              <w:rPr>
                <w:sz w:val="24"/>
                <w:szCs w:val="24"/>
                <w:color w:val="auto"/>
              </w:rPr>
            </w:pPr>
          </w:p>
        </w:tc>
        <w:tc>
          <w:tcPr>
            <w:tcW w:w="8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5,883</w:t>
            </w:r>
          </w:p>
        </w:tc>
      </w:tr>
      <w:tr>
        <w:trPr>
          <w:trHeight w:val="203"/>
        </w:trPr>
        <w:tc>
          <w:tcPr>
            <w:tcW w:w="464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40" w:type="dxa"/>
            <w:vAlign w:val="bottom"/>
          </w:tcPr>
          <w:p>
            <w:pPr>
              <w:ind w:left="420"/>
              <w:spacing w:after="0"/>
              <w:rPr>
                <w:sz w:val="20"/>
                <w:szCs w:val="20"/>
                <w:color w:val="auto"/>
              </w:rPr>
            </w:pPr>
            <w:r>
              <w:rPr>
                <w:rFonts w:ascii="Courier New" w:cs="Courier New" w:eastAsia="Courier New" w:hAnsi="Courier New"/>
                <w:sz w:val="18"/>
                <w:szCs w:val="18"/>
                <w:color w:val="auto"/>
              </w:rPr>
              <w:t>OPERATING LOSS</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(35,718)</w:t>
            </w:r>
          </w:p>
        </w:tc>
        <w:tc>
          <w:tcPr>
            <w:tcW w:w="220" w:type="dxa"/>
            <w:vAlign w:val="bottom"/>
          </w:tcPr>
          <w:p>
            <w:pPr>
              <w:spacing w:after="0"/>
              <w:rPr>
                <w:sz w:val="24"/>
                <w:szCs w:val="24"/>
                <w:color w:val="auto"/>
              </w:rPr>
            </w:pP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4"/>
              </w:rPr>
              <w:t>(36,693)</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(13,213)</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w w:val="94"/>
              </w:rPr>
              <w:t>(14,094)</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FINANCING INCOME (EXPENSE), NET (5)</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(2,100)</w:t>
            </w:r>
          </w:p>
        </w:tc>
        <w:tc>
          <w:tcPr>
            <w:tcW w:w="220" w:type="dxa"/>
            <w:vAlign w:val="bottom"/>
          </w:tcPr>
          <w:p>
            <w:pPr>
              <w:spacing w:after="0"/>
              <w:rPr>
                <w:sz w:val="24"/>
                <w:szCs w:val="24"/>
                <w:color w:val="auto"/>
              </w:rPr>
            </w:pPr>
          </w:p>
        </w:tc>
        <w:tc>
          <w:tcPr>
            <w:tcW w:w="9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1,866</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(1,300)</w:t>
            </w:r>
          </w:p>
        </w:tc>
        <w:tc>
          <w:tcPr>
            <w:tcW w:w="220" w:type="dxa"/>
            <w:vAlign w:val="bottom"/>
          </w:tcPr>
          <w:p>
            <w:pPr>
              <w:spacing w:after="0"/>
              <w:rPr>
                <w:sz w:val="24"/>
                <w:szCs w:val="24"/>
                <w:color w:val="auto"/>
              </w:rPr>
            </w:pPr>
          </w:p>
        </w:tc>
        <w:tc>
          <w:tcPr>
            <w:tcW w:w="8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136</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OTHER INCOME , NET</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24"/>
                <w:szCs w:val="24"/>
                <w:color w:val="auto"/>
              </w:rPr>
            </w:pPr>
          </w:p>
        </w:tc>
        <w:tc>
          <w:tcPr>
            <w:tcW w:w="9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5,576</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24"/>
                <w:szCs w:val="24"/>
                <w:color w:val="auto"/>
              </w:rPr>
            </w:pPr>
          </w:p>
        </w:tc>
        <w:tc>
          <w:tcPr>
            <w:tcW w:w="8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1,539</w:t>
            </w:r>
          </w:p>
        </w:tc>
      </w:tr>
      <w:tr>
        <w:trPr>
          <w:trHeight w:val="203"/>
        </w:trPr>
        <w:tc>
          <w:tcPr>
            <w:tcW w:w="464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40" w:type="dxa"/>
            <w:vAlign w:val="bottom"/>
          </w:tcPr>
          <w:p>
            <w:pPr>
              <w:ind w:left="860"/>
              <w:spacing w:after="0"/>
              <w:rPr>
                <w:sz w:val="20"/>
                <w:szCs w:val="20"/>
                <w:color w:val="auto"/>
              </w:rPr>
            </w:pPr>
            <w:r>
              <w:rPr>
                <w:rFonts w:ascii="Courier New" w:cs="Courier New" w:eastAsia="Courier New" w:hAnsi="Courier New"/>
                <w:sz w:val="18"/>
                <w:szCs w:val="18"/>
                <w:color w:val="auto"/>
              </w:rPr>
              <w:t>LOSS FOR THE PERIOD</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$(37,818)</w:t>
            </w:r>
          </w:p>
        </w:tc>
        <w:tc>
          <w:tcPr>
            <w:tcW w:w="11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$(29,251)</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$(14,513)</w:t>
            </w:r>
          </w:p>
        </w:tc>
        <w:tc>
          <w:tcPr>
            <w:tcW w:w="10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$(12,419)</w:t>
            </w:r>
          </w:p>
        </w:tc>
      </w:tr>
      <w:tr>
        <w:trPr>
          <w:trHeight w:val="203"/>
        </w:trPr>
        <w:tc>
          <w:tcPr>
            <w:tcW w:w="464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BASIC LOSS PER ORDINARY SHARE</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05"/>
        </w:trPr>
        <w:tc>
          <w:tcPr>
            <w:tcW w:w="4640" w:type="dxa"/>
            <w:vAlign w:val="bottom"/>
          </w:tcPr>
          <w:p>
            <w:pPr>
              <w:ind w:left="220"/>
              <w:spacing w:after="0"/>
              <w:rPr>
                <w:sz w:val="20"/>
                <w:szCs w:val="20"/>
                <w:color w:val="auto"/>
              </w:rPr>
            </w:pPr>
            <w:r>
              <w:rPr>
                <w:rFonts w:ascii="Courier New" w:cs="Courier New" w:eastAsia="Courier New" w:hAnsi="Courier New"/>
                <w:sz w:val="18"/>
                <w:szCs w:val="18"/>
                <w:color w:val="auto"/>
              </w:rPr>
              <w:t>Loss per share (6)</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(1.34)</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(1.53)</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(0.48)</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(0.60)</w:t>
            </w:r>
          </w:p>
        </w:tc>
      </w:tr>
      <w:tr>
        <w:trPr>
          <w:trHeight w:val="203"/>
        </w:trPr>
        <w:tc>
          <w:tcPr>
            <w:tcW w:w="464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540" w:right="1999" w:hanging="532"/>
        <w:spacing w:after="0" w:line="236"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Sales for the nine and three months ended September 30, 2002 includes $4M of revenue relating to Fab2 [$0 for the nine and three months ended September 30, 2001].</w:t>
      </w:r>
    </w:p>
    <w:p>
      <w:pPr>
        <w:spacing w:after="0" w:line="208" w:lineRule="exact"/>
        <w:rPr>
          <w:rFonts w:ascii="Courier New" w:cs="Courier New" w:eastAsia="Courier New" w:hAnsi="Courier New"/>
          <w:sz w:val="18"/>
          <w:szCs w:val="18"/>
          <w:color w:val="auto"/>
        </w:rPr>
      </w:pPr>
    </w:p>
    <w:p>
      <w:pPr>
        <w:ind w:left="540" w:right="1879" w:hanging="532"/>
        <w:spacing w:after="0" w:line="237"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Cost of sales for the nine and three months ended September 30, 2002 includes $11.4M and $7.8M of non-capitalized expenses relating to Fab2, respectively [$3.3M and $1.5M in the nine and three months ended September 30, 2001, respectively].</w:t>
      </w:r>
    </w:p>
    <w:p>
      <w:pPr>
        <w:spacing w:after="0" w:line="207" w:lineRule="exact"/>
        <w:rPr>
          <w:rFonts w:ascii="Courier New" w:cs="Courier New" w:eastAsia="Courier New" w:hAnsi="Courier New"/>
          <w:sz w:val="18"/>
          <w:szCs w:val="18"/>
          <w:color w:val="auto"/>
        </w:rPr>
      </w:pPr>
    </w:p>
    <w:p>
      <w:pPr>
        <w:ind w:left="540" w:right="2319" w:hanging="532"/>
        <w:spacing w:after="0" w:line="237"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Research and development expenses for the nine and three months ended September 30, 2002 include $9.3M and $3.5M of non-capitalized expenses relating to Fab2, respectively [$3.2M and $1.8M in the nine and three months ended September 30, 2001, respectively].</w:t>
      </w:r>
    </w:p>
    <w:p>
      <w:pPr>
        <w:spacing w:after="0" w:line="207" w:lineRule="exact"/>
        <w:rPr>
          <w:rFonts w:ascii="Courier New" w:cs="Courier New" w:eastAsia="Courier New" w:hAnsi="Courier New"/>
          <w:sz w:val="18"/>
          <w:szCs w:val="18"/>
          <w:color w:val="auto"/>
        </w:rPr>
      </w:pPr>
    </w:p>
    <w:p>
      <w:pPr>
        <w:ind w:left="540" w:right="1879" w:hanging="532"/>
        <w:spacing w:after="0" w:line="237"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Marketing, general and administrative expenses for the nine and three months ended September 30, 2002 include $7.9M and $3.3M of non-capitalized expenses relating to Fab2, respectively [$5.3M and $1.8M in the nine and three months ended September 30, 2001, respectively].</w:t>
      </w:r>
    </w:p>
    <w:p>
      <w:pPr>
        <w:spacing w:after="0" w:line="207" w:lineRule="exact"/>
        <w:rPr>
          <w:rFonts w:ascii="Courier New" w:cs="Courier New" w:eastAsia="Courier New" w:hAnsi="Courier New"/>
          <w:sz w:val="18"/>
          <w:szCs w:val="18"/>
          <w:color w:val="auto"/>
        </w:rPr>
      </w:pPr>
    </w:p>
    <w:p>
      <w:pPr>
        <w:ind w:left="540" w:right="1999" w:hanging="532"/>
        <w:spacing w:after="0" w:line="237"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Financing income (expense), net for the nine and three months ended September 30, 2002 includes $(1.6)M and $(1.1)M of non-capitalized expenses, net relating to Fab2, respectively [$2.2M and $0.4M in the nine and three months ended September 30, 2001, respectively].</w:t>
      </w:r>
    </w:p>
    <w:p>
      <w:pPr>
        <w:spacing w:after="0" w:line="207" w:lineRule="exact"/>
        <w:rPr>
          <w:rFonts w:ascii="Courier New" w:cs="Courier New" w:eastAsia="Courier New" w:hAnsi="Courier New"/>
          <w:sz w:val="18"/>
          <w:szCs w:val="18"/>
          <w:color w:val="auto"/>
        </w:rPr>
      </w:pPr>
    </w:p>
    <w:p>
      <w:pPr>
        <w:ind w:left="540" w:right="2199" w:hanging="532"/>
        <w:spacing w:after="0" w:line="237"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Basic and diluted loss per share in accordance with u.s. GAAP would be $1.34 and $0.48 for the nine and three months ended September 30, 2002 [$1.56 and $0.60 in the nine and three months ended September 30, 2001, respectively].</w:t>
      </w:r>
    </w:p>
    <w:p>
      <w:pPr>
        <w:sectPr>
          <w:pgSz w:w="11900" w:h="16838" w:orient="portrait"/>
          <w:cols w:equalWidth="0" w:num="1">
            <w:col w:w="10219"/>
          </w:cols>
          <w:pgMar w:left="240" w:top="514" w:right="1440" w:bottom="97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20"/>
                <w:szCs w:val="20"/>
                <w:color w:val="auto"/>
              </w:rPr>
            </w:pPr>
            <w:r>
              <w:rPr>
                <w:rFonts w:ascii="Courier New" w:cs="Courier New" w:eastAsia="Courier New" w:hAnsi="Courier New"/>
                <w:sz w:val="18"/>
                <w:szCs w:val="18"/>
                <w:color w:val="auto"/>
              </w:rPr>
              <w:t>PR</w:t>
            </w:r>
          </w:p>
        </w:tc>
        <w:tc>
          <w:tcPr>
            <w:tcW w:w="8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AGENCY</w:t>
            </w:r>
          </w:p>
        </w:tc>
        <w:tc>
          <w:tcPr>
            <w:tcW w:w="128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5"/>
              </w:rPr>
              <w:t>CONTACT</w:t>
            </w:r>
          </w:p>
        </w:tc>
        <w:tc>
          <w:tcPr>
            <w:tcW w:w="1140" w:type="dxa"/>
            <w:vAlign w:val="bottom"/>
          </w:tcPr>
          <w:p>
            <w:pPr>
              <w:ind w:left="200"/>
              <w:spacing w:after="0"/>
              <w:rPr>
                <w:sz w:val="20"/>
                <w:szCs w:val="20"/>
                <w:color w:val="auto"/>
              </w:rPr>
            </w:pPr>
            <w:r>
              <w:rPr>
                <w:rFonts w:ascii="Courier New" w:cs="Courier New" w:eastAsia="Courier New" w:hAnsi="Courier New"/>
                <w:sz w:val="18"/>
                <w:szCs w:val="18"/>
                <w:color w:val="auto"/>
              </w:rPr>
              <w:t>INVESTOR</w:t>
            </w:r>
          </w:p>
        </w:tc>
        <w:tc>
          <w:tcPr>
            <w:tcW w:w="206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w w:val="96"/>
              </w:rPr>
              <w:t>RELATIONS CONTACT</w:t>
            </w:r>
          </w:p>
        </w:tc>
        <w:tc>
          <w:tcPr>
            <w:tcW w:w="2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CORPORATE  CONTACT</w:t>
            </w:r>
          </w:p>
        </w:tc>
      </w:tr>
      <w:tr>
        <w:trPr>
          <w:trHeight w:val="203"/>
        </w:trPr>
        <w:tc>
          <w:tcPr>
            <w:tcW w:w="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Julie</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Lass</w:t>
            </w:r>
          </w:p>
        </w:tc>
        <w:tc>
          <w:tcPr>
            <w:tcW w:w="1280" w:type="dxa"/>
            <w:vAlign w:val="bottom"/>
          </w:tcPr>
          <w:p>
            <w:pPr>
              <w:spacing w:after="0"/>
              <w:rPr>
                <w:sz w:val="17"/>
                <w:szCs w:val="17"/>
                <w:color w:val="auto"/>
              </w:rPr>
            </w:pPr>
          </w:p>
        </w:tc>
        <w:tc>
          <w:tcPr>
            <w:tcW w:w="11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Sheldon</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Lutch</w:t>
            </w:r>
          </w:p>
        </w:tc>
        <w:tc>
          <w:tcPr>
            <w:tcW w:w="1420" w:type="dxa"/>
            <w:vAlign w:val="bottom"/>
          </w:tcPr>
          <w:p>
            <w:pPr>
              <w:spacing w:after="0"/>
              <w:rPr>
                <w:sz w:val="17"/>
                <w:szCs w:val="17"/>
                <w:color w:val="auto"/>
              </w:rPr>
            </w:pPr>
          </w:p>
        </w:tc>
        <w:tc>
          <w:tcPr>
            <w:tcW w:w="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Tamar</w:t>
            </w:r>
          </w:p>
        </w:tc>
        <w:tc>
          <w:tcPr>
            <w:tcW w:w="1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Cohen</w:t>
            </w:r>
          </w:p>
        </w:tc>
      </w:tr>
      <w:tr>
        <w:trPr>
          <w:trHeight w:val="203"/>
        </w:trPr>
        <w:tc>
          <w:tcPr>
            <w:tcW w:w="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LOOMIS</w:t>
            </w:r>
          </w:p>
        </w:tc>
        <w:tc>
          <w:tcPr>
            <w:tcW w:w="17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GROUP</w:t>
            </w:r>
          </w:p>
        </w:tc>
        <w:tc>
          <w:tcPr>
            <w:tcW w:w="320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FUSION  IR &amp; COMMUNICATIONS</w:t>
            </w:r>
          </w:p>
        </w:tc>
        <w:tc>
          <w:tcPr>
            <w:tcW w:w="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TOWER</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SEMICONDUCTOR LTD.</w:t>
            </w:r>
          </w:p>
        </w:tc>
      </w:tr>
      <w:tr>
        <w:trPr>
          <w:trHeight w:val="203"/>
        </w:trPr>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+1</w:t>
            </w:r>
          </w:p>
        </w:tc>
        <w:tc>
          <w:tcPr>
            <w:tcW w:w="8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(512)</w:t>
            </w: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457  9400</w:t>
            </w:r>
          </w:p>
        </w:tc>
        <w:tc>
          <w:tcPr>
            <w:tcW w:w="11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4"/>
              </w:rPr>
              <w:t>+1  (212)</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268</w:t>
            </w:r>
          </w:p>
        </w:tc>
        <w:tc>
          <w:tcPr>
            <w:tcW w:w="14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1816</w:t>
            </w:r>
          </w:p>
        </w:tc>
        <w:tc>
          <w:tcPr>
            <w:tcW w:w="2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+972-4650-6998</w:t>
            </w:r>
          </w:p>
        </w:tc>
      </w:tr>
      <w:tr>
        <w:trPr>
          <w:trHeight w:val="203"/>
        </w:trPr>
        <w:tc>
          <w:tcPr>
            <w:tcW w:w="24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LASSJ@LOOMISGROUP.COM</w:t>
            </w:r>
          </w:p>
        </w:tc>
        <w:tc>
          <w:tcPr>
            <w:tcW w:w="320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SHELDON@FUSIONIR.COM</w:t>
            </w:r>
          </w:p>
        </w:tc>
        <w:tc>
          <w:tcPr>
            <w:tcW w:w="2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PR@TOWERSEMI.COM</w:t>
            </w:r>
          </w:p>
        </w:tc>
      </w:tr>
    </w:tbl>
    <w:p>
      <w:pPr>
        <w:sectPr>
          <w:pgSz w:w="11900" w:h="16838" w:orient="portrait"/>
          <w:cols w:equalWidth="0" w:num="1">
            <w:col w:w="10219"/>
          </w:cols>
          <w:pgMar w:left="240" w:top="1122" w:right="1440" w:bottom="1440" w:gutter="0" w:footer="0" w:header="0"/>
        </w:sectPr>
      </w:pPr>
    </w:p>
    <w:bookmarkStart w:id="16" w:name="page17"/>
    <w:bookmarkEnd w:id="16"/>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A"/>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2019-12-14T03:40:59Z</dcterms:created>
  <dcterms:modified xsi:type="dcterms:W3CDTF">2019-12-14T03:40:59Z</dcterms:modified>
</cp:coreProperties>
</file>