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February 2019 No.1</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86" w:right="259"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color w:val="auto"/>
        </w:rPr>
        <w:t>On February 19, 2019, the Registrant announced its fourth quarter and full year 2018 results. Attached hereto is the following exhibit.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Press release dated February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391" w:right="137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Times New Roman" w:cs="Times New Roman" w:eastAsia="Times New Roman" w:hAnsi="Times New Roman"/>
          <w:sz w:val="18"/>
          <w:szCs w:val="18"/>
          <w:color w:val="auto"/>
        </w:rPr>
        <w:t>Date: February 19, 2019</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117"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193675</wp:posOffset>
            </wp:positionV>
            <wp:extent cx="1637665" cy="917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766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TowerJazz Reports Full Year 2018 Results:</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Revenue of $1.3 Billion, Cash from Operations of $313 Million,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Resulting in Net Profit of $136 million and EPS of $1.35</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Sequential Growth in the Fourth Quarter for All Metrics</w:t>
      </w:r>
    </w:p>
    <w:p>
      <w:pPr>
        <w:spacing w:after="0" w:line="2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February 19, 2019– </w:t>
      </w:r>
      <w:r>
        <w:rPr>
          <w:rFonts w:ascii="Times New Roman" w:cs="Times New Roman" w:eastAsia="Times New Roman" w:hAnsi="Times New Roman"/>
          <w:sz w:val="18"/>
          <w:szCs w:val="18"/>
          <w:color w:val="auto"/>
        </w:rPr>
        <w:t>TowerJazz (NASDAQ: TSEM &amp; TASE: TSEM) reported today its results for the full year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quarter ended December 31, 2018.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the Full Year 2018:</w:t>
      </w:r>
    </w:p>
    <w:p>
      <w:pPr>
        <w:spacing w:after="0" w:line="28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$1.3 billion resulting in EBITDA of $362 million, net profit of $136 million and basic earnings per share of $1.35;</w:t>
      </w:r>
    </w:p>
    <w:p>
      <w:pPr>
        <w:spacing w:after="0" w:line="2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from operations of $313 million with $170 million investments in property and equipment, resulting in free cash flow of $143 million;</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strengthened the balance sheet and financial position during the year:</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shareholders’ equity reaching $1.2 billion;</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upgraded S&amp;P rating from “ilA+ stable” to “ilAA- stable”.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the Fourth Quarter of 2018:</w:t>
      </w:r>
    </w:p>
    <w:p>
      <w:pPr>
        <w:spacing w:after="0" w:line="2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$334 million, up $11 million as compared with the third quarter of 2018;</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Sequential increase in net profit and basic earnings per share to $38 million and $0.37, respectively, from $34 million and $0.34, respectively;</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from operations of $91 million with $49 million invested in property and equipment, resulting in free cash flow of $43 million.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TowerJazz expects revenues for the first quarter of 2019 to be $310 million, with an upward or downward range of 5%.</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Mr. Russell Ellwanger, Chief Executive Officer of TowerJazz</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commented</w:t>
      </w:r>
      <w:r>
        <w:rPr>
          <w:rFonts w:ascii="Times New Roman" w:cs="Times New Roman" w:eastAsia="Times New Roman" w:hAnsi="Times New Roman"/>
          <w:sz w:val="18"/>
          <w:szCs w:val="18"/>
          <w:color w:val="auto"/>
        </w:rPr>
        <w:t>, “We are pleased with our fourth quarter sequential revenue and margins’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in the face of multiple recent market financial releases citing near-term macroeconomic concerns, resulting in a semiconductor market that is tightly controlling inventories. We enter 2019 with certain geo-economic headwinds but remain confident in our value creation thesis. In each of our focused areas, we have had recent strong customer wins, namely advanced infrastructure, 5G enabling switches, breakthrough power management efficiency, and unrivaled industrial and medical image sensors figure-of-merit. These market segments are strategic and solid mid- to long-term growth drivers. The powerful aforementioned parallel activities of our different business units, driven by worldwide impassioned human capability, and strengthened by our growing financial resources, will undoubtedly create notable milestones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Ellwanger updated: “We continue to progress with our TPSCo partnership, aligned on a first contract extension of 3 years for the next phase of TPSCo, beginning the second quarter of 2019. We expect similar loading as present run rate, with some changes to the pricing tables, resulting in some revenue reduction from our partner. This is expected to be mitigated by core business revenue growth, mainly 300mm which is presently ramping, strong efficiencies, and TPSCo specific cost reduction activities, enabling margins’ growth.”</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Results Overview</w:t>
      </w:r>
    </w:p>
    <w:p>
      <w:pPr>
        <w:spacing w:after="0" w:line="3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Revenues for 2018 were $1.3 billion compared to $1.39 billion in 2017. Gross and operating profits for 2018 were $293 million and $155 million, respectively, as compared to $354 million and $220 million, respectively, in 2017. EBITDA for 2018 was $362 million, representing 28% EBITDA margin.</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profit for 2018 was $136 million, representing $1.35 basic earnings per share and $1.32 diluted earnings per share, as compared to $298 million net profit, or $3.08 basic earnings per share and $2.90 diluted earnings per share in 2017. Net profit for 2017 included $82 million income tax benefit resulted from Israeli deferred tax asset realization following valuation allowance release and $13 million income tax benefit related to U.S. tax reform.</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2018, debt was reduced by $98 million, resulting in an annual financing expenses savings of $7 million, and included:</w:t>
      </w:r>
    </w:p>
    <w:p>
      <w:pPr>
        <w:spacing w:after="0" w:line="225" w:lineRule="exact"/>
        <w:rPr>
          <w:sz w:val="20"/>
          <w:szCs w:val="20"/>
          <w:color w:val="auto"/>
        </w:rPr>
      </w:pPr>
    </w:p>
    <w:p>
      <w:pPr>
        <w:ind w:left="660" w:right="2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conversion of short-term notes in the amount of $58 million to shares, $39 million of which were converted during the fourth quarter of 2018. The notes conversion resulted in annual cash savings of $5 million.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conversion, the current outstanding share count is 105 million and fully diluted share count remains at 108 million, similar to previous quarters;</w:t>
      </w:r>
    </w:p>
    <w:p>
      <w:pPr>
        <w:spacing w:after="0" w:line="26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the Company early repaid $40 million loan, initially borrowed in 2016 in relation to the acquisition of the San Antonio fab and its ramp.</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2018, TPSCo restructured its outstanding loans originally due 2018-2020, by early repayment of these loans and obtaining a new approximately $100 million loan from three leading Japanese banks at improved terms and longer duration through June 2025.</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Free cash flow for 2018 was $143 million, with $313 million cash from operations, net of $170 million investments in fixed assets, net. The other main cash activities during 2018 were: $158 million investment in short-term deposits, marketable securities and other investments (mainly interest-bearing bank deposits) and $49 million of debt repaid, net of debt received, which included mainly the early repayment of the $40 million loan borrowed in 2016 in relation to the acquisition of the San Antonio fab and its ramp.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Record shareholders' equity as of December 31, 2018 was $1.24 billion, as compared to $1.03 billion as of December 31, 2017.</w:t>
      </w:r>
    </w:p>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April 2018, the Company and its series G bonds received an upgraded rating from Ma’alot (an Israeli rating company which is fully owned by S&amp;P Global Ratings). Its previous rating was </w:t>
      </w:r>
      <w:r>
        <w:rPr>
          <w:rFonts w:ascii="Times New Roman" w:cs="Times New Roman" w:eastAsia="Times New Roman" w:hAnsi="Times New Roman"/>
          <w:sz w:val="18"/>
          <w:szCs w:val="18"/>
          <w:i w:val="1"/>
          <w:iCs w:val="1"/>
          <w:color w:val="auto"/>
        </w:rPr>
        <w:t>ilA+ with a stable horizon</w:t>
      </w:r>
      <w:r>
        <w:rPr>
          <w:rFonts w:ascii="Times New Roman" w:cs="Times New Roman" w:eastAsia="Times New Roman" w:hAnsi="Times New Roman"/>
          <w:sz w:val="18"/>
          <w:szCs w:val="18"/>
          <w:color w:val="auto"/>
        </w:rPr>
        <w:t xml:space="preserve"> and the new upgraded rating is </w:t>
      </w:r>
      <w:r>
        <w:rPr>
          <w:rFonts w:ascii="Times New Roman" w:cs="Times New Roman" w:eastAsia="Times New Roman" w:hAnsi="Times New Roman"/>
          <w:sz w:val="18"/>
          <w:szCs w:val="18"/>
          <w:i w:val="1"/>
          <w:iCs w:val="1"/>
          <w:color w:val="auto"/>
        </w:rPr>
        <w:t>ilAA-, with a stable horizon</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Results Overview</w:t>
      </w:r>
    </w:p>
    <w:p>
      <w:pPr>
        <w:spacing w:after="0" w:line="3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Revenues for the fourth quarter of 2018 were $334 million, $11 million higher than in the prior quarter and compared to $358 million in the fourth quarter of 2017.</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and operating profits for the fourth quarter of 2018 were $76 million and $40 million, respectively, as compared to $73 million and $39 million, respectively, in the third quarter of 2018 and as compared to $89 million and $54 million, respectively, in the fourth quarter of 2017.</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EBITDA for the fourth quarter of 2018 was $93 million, representing a 28% EBITDA margin, compared with $89 million in the prior quarter and $107 million for the fourth quarter of 2017.</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profit for the fourth quarter of 2018 was $38 million, or $0.37 basic earnings per share, as compared to net profit of $34 million or $0.34 basic earnings per share in the third quarter of 2018 and $147 million, or $1.50 basic earnings per share in the fourth quarter of 2017. Net profit for the fourth quarter of 2017 included $82 million income tax benefit resulted from Israeli deferred tax asset realization following valuation allowance release and $13 million income tax benefit related to U.S. tax reform.</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Free cash flow for the fourth quarter of 2018 was $43 million, with $91 million cash flow from operations and $49 million investments in fixed assets, net. During the fourth quarter of 2018, $123 million were invested in deposits, marketable securities and other investments, net (mainly interest-bearing bank deposits).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TowerJazz will host an investor conference call today, Tuesday, February 19, 2019, at 10:00 a.m. Eastern time (9:00 a.m. Central time, 8:00 a.m. Mountain time, 7:00 a.m. Pacific time and 5:00 p.m. Israel time) to discuss the Company’s financial results for the fourth quarter and full year 2018 and its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call will be webcast and can be accessed via TowerJazz’s website at </w:t>
      </w:r>
      <w:r>
        <w:rPr>
          <w:rFonts w:ascii="Times New Roman" w:cs="Times New Roman" w:eastAsia="Times New Roman" w:hAnsi="Times New Roman"/>
          <w:sz w:val="18"/>
          <w:szCs w:val="18"/>
          <w:u w:val="single" w:color="auto"/>
          <w:color w:val="auto"/>
        </w:rPr>
        <w:t>www.towerjazz.com</w:t>
      </w:r>
      <w:r>
        <w:rPr>
          <w:rFonts w:ascii="Times New Roman" w:cs="Times New Roman" w:eastAsia="Times New Roman" w:hAnsi="Times New Roman"/>
          <w:sz w:val="18"/>
          <w:szCs w:val="18"/>
          <w:color w:val="auto"/>
        </w:rPr>
        <w:t xml:space="preserve"> , or by calling 1-888-668-9141 (U.S. Toll-Free), 03-918-0609 (Israel), +972-3-918-0609 (International). For those who are not available to listen to the live broadcast, the call will be archived on TowerJazz’s website for 90 days.</w:t>
      </w:r>
    </w:p>
    <w:p>
      <w:pPr>
        <w:spacing w:after="0" w:line="2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Company presents its financial statements in accordance with U.S. GAAP. The financial information included in the tables below includes unaudited condensed financial data. Some of the financial information in this release, which we describe in this release as “adjusted” financial measures, is non-GAAP financial measures as defined in Regulation G and related reporting requirements promulgated by the Securities and Exchange Commission as they apply to our Company. These adjusted financial measures are calculated excluding one or more of the following: (1) amortization of acquired intangible assets; (2) compensation expenses in respect of equity grants to directors, officers and employees; (3) income tax benefit resulted from Israeli deferred tax asset realization following valuation allowance release; and (4) income tax benefit related to U.S. tax reform.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as well as calculated in the tables herein, the term Earnings Before Interest Tax Depreciation and Amortization (EBITDA) consists of net profit in accordance with GAAP, excluding financing and other expense,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is comprised of cash, cash equivalents, short-term deposits and marketable securities (in the amounts of $641 million and $560 million as of December 31, 2018 and December 31, 2017, respectively) less the outstanding principal amount of bank loans (in the amounts of $100 million and $138 million as of December 31, 2018 and December 31, 2017, respectively), the outstanding principal amount of capital leases (in the amounts of $47 million and $16 million as of December 31, 2018 and December 31, 2017, respectively) and the outstanding principal amount of debentures (in the amount of $122 million and $180 million as of December 31, 2018 and December 31, 2017, respectively).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In addition, the term Free Cash Flow, as used and/ or presented in this release, is calculated to be cash from operating activities (in the amounts of $91 million and $85 million for the three months periods ended December 31, 2018 and December 31, 2017, respectively and in the amounts of $313 million and $356 million for the years ended December 31, 2018 and December 31, 2017, respectively) less cash for investments in property and equipment, net (in the amounts of $49 million and $41 million for the three months periods ended December 31, 2018 and December 31, 2017, respectively and in the amounts of $170 million and $165 million for the years ended December 31, 2018 and December 31, 2017,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TowerJazz</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Times New Roman" w:cs="Times New Roman" w:eastAsia="Times New Roman" w:hAnsi="Times New Roman"/>
          <w:sz w:val="18"/>
          <w:szCs w:val="18"/>
          <w:u w:val="single" w:color="auto"/>
          <w:color w:val="auto"/>
        </w:rPr>
        <w:t>www.towerjazz.com</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right="5560"/>
        <w:spacing w:after="0" w:line="261" w:lineRule="auto"/>
        <w:rPr>
          <w:sz w:val="20"/>
          <w:szCs w:val="20"/>
          <w:color w:val="auto"/>
        </w:rPr>
      </w:pPr>
      <w:r>
        <w:rPr>
          <w:rFonts w:ascii="Times New Roman" w:cs="Times New Roman" w:eastAsia="Times New Roman" w:hAnsi="Times New Roman"/>
          <w:sz w:val="18"/>
          <w:szCs w:val="18"/>
          <w:color w:val="auto"/>
        </w:rPr>
        <w:t xml:space="preserve">Noit Levy-Karoubi | TowerJazz | +972 4 604 7066 | </w:t>
      </w:r>
      <w:r>
        <w:rPr>
          <w:rFonts w:ascii="Times New Roman" w:cs="Times New Roman" w:eastAsia="Times New Roman" w:hAnsi="Times New Roman"/>
          <w:sz w:val="18"/>
          <w:szCs w:val="18"/>
          <w:u w:val="single" w:color="auto"/>
          <w:color w:val="auto"/>
        </w:rPr>
        <w:t>Noit.levi@towerjazz.com</w:t>
      </w:r>
      <w:r>
        <w:rPr>
          <w:rFonts w:ascii="Times New Roman" w:cs="Times New Roman" w:eastAsia="Times New Roman" w:hAnsi="Times New Roman"/>
          <w:sz w:val="18"/>
          <w:szCs w:val="18"/>
          <w:color w:val="auto"/>
        </w:rPr>
        <w:t xml:space="preserve"> GK Investor Relations | Gavriel Frohwein, (646) 688 3559 | </w:t>
      </w:r>
      <w:r>
        <w:rPr>
          <w:rFonts w:ascii="Times New Roman" w:cs="Times New Roman" w:eastAsia="Times New Roman" w:hAnsi="Times New Roman"/>
          <w:sz w:val="18"/>
          <w:szCs w:val="18"/>
          <w:u w:val="single" w:color="auto"/>
          <w:color w:val="auto"/>
        </w:rPr>
        <w:t>towerjazz@gkir.com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and bondholders (as of December 31, 2018 we are in compliance with all such covenants included in our banks’ agreements, bond G indenture and others), (x) pending litigation, including the shareholder class actions that were filed against the Company, certain officers, its directors and/or its external auditor in the US and Israel, following a short sell thesis report issued by a short-selling focused firm, which has been dismissed and closed in the US and is still pending in Israel; (xi) our majority stake in TPSCo and integration of the San Antonio fabrication facility, including new customer engagements, qualification and production ramp-up, (xii) the closure of TJP within the scope of restructuring our activities and business in Japan, settling any future claims or potential claims from first parties, (xiii) meeting the conditions set in the approval certificates received from the Israeli Investment Center under which we received a significant amount of grants in past years, (xiv) receipt of orders that are lower than the customer purchase commitments, (xv) failure to receive orders currently expected, (xvi) possible incurrence of additional indebtedness, (xvii) effect of global recession, unfavorable economic conditions and/or credit crisis, (xviii) our ability to accurately forecast financial performance, which is affected by limited order backlog and lengthy sales cycles, (xix) possible situations of obsolete inventory if forecasted demand exceeds actual demand when we manufacture products before receipt of customer orders, (xx) the cyclical nature of the semiconductor industry and the resulting periodic overcapacity, fluctuations in operating results and future average selling price erosion, (xxi) the execution of debt re-financing and/or fundraising to enable the service of our debt and/or other liabilities, (xxii) operating our facilities at high utilization rates which is critical in order to cover a portion or all of the high level of fixed costs associated with operating a foundry, and our debt, in order to improve our results, (xxiii) the purchase of equipment to increase capacity, the timely completion of the equipment installation, technology transfer and raising the funds therefor, (xxiv) the concentration of our business in the semiconductor industry, (xxv) product returns, (xxvi) our ability to maintain and develop our technology processes and services to keep pace with new technology, evolving standards, changing customer and end-user requirements, new product introductions and short product life cycles, (xxvii) competing effectively, (xxviii) use of outsourced foundry services by both fabless semiconductor companies and integrated device manufacturers; (xxix) achieving acceptable device yields, product performance and delivery times, (xxx) our dependence on intellectual property rights of others, our ability to operate our business without infringing others’ intellectual property rights and our ability to enforce our intellectual property against infringement,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negotiation and closure of a definitive agreement in relation to the fab establishment in China, as well as implementation of this project through required funding and resources and receipt of future proceeds therefrom; and (xxxvi) business interruption due to fire and other natural disasters, the security situation in Israel and other events beyond our control such as power interruptions.</w:t>
      </w: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200" w:lineRule="exact"/>
        <w:rPr>
          <w:sz w:val="20"/>
          <w:szCs w:val="20"/>
          <w:color w:val="auto"/>
        </w:rPr>
      </w:pPr>
    </w:p>
    <w:p>
      <w:pPr>
        <w:spacing w:after="0" w:line="30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8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1"/>
                <w:szCs w:val="21"/>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S S E T 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385,091</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135,850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170,778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22,752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987,959</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874,332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35,945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657,234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635,124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DEFERRED TAX AND OTHER LONG-TERM ASSETS, NET</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88,404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1,789,977</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1,673,639</w:t>
            </w:r>
          </w:p>
        </w:tc>
        <w:tc>
          <w:tcPr>
            <w:tcW w:w="0" w:type="dxa"/>
            <w:vAlign w:val="bottom"/>
          </w:tcPr>
          <w:p>
            <w:pPr>
              <w:spacing w:after="0"/>
              <w:rPr>
                <w:sz w:val="1"/>
                <w:szCs w:val="1"/>
                <w:color w:val="auto"/>
              </w:rPr>
            </w:pPr>
          </w:p>
        </w:tc>
      </w:tr>
      <w:tr>
        <w:trPr>
          <w:trHeight w:val="21"/>
        </w:trPr>
        <w:tc>
          <w:tcPr>
            <w:tcW w:w="69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10,814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20,711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67,867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203,721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28,131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EMPLOYEE RELATED LIABILITIES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13,898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DEFERRED TAX AND OTHER LONG-TERM LIABILITIES</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51,353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553,772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643,933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1,236,205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1,029,706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1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1,789,977</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1,673,639</w:t>
            </w: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692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9" w:name="page10"/>
    <w:bookmarkEnd w:id="9"/>
    <w:p>
      <w:pPr>
        <w:jc w:val="center"/>
        <w:ind w:left="260" w:right="2380"/>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333,590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322,596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357,614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257,957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249,975</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268,256</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72,621</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89,358</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18,236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18,370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15,826</w:t>
            </w: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16,502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34,062</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34,872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38,559</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54,486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EXPENSE, NET</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(2,497)</w:t>
            </w:r>
          </w:p>
        </w:tc>
        <w:tc>
          <w:tcPr>
            <w:tcW w:w="1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(7,080)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36,062</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47,406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 NET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(2,388)</w:t>
            </w: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101,236</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PROFIT BEFORE NON CONTROLLING INTEREST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33,674</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148,642</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CONTROLLING INTEREST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38,073</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33,646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147,211</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1"/>
        </w:trPr>
        <w:tc>
          <w:tcPr>
            <w:tcW w:w="65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0.37</w:t>
            </w: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103,997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100,158</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98,312</w:t>
            </w: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used for 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38,073</w:t>
            </w: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33,646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149,502</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105,776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102,083</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106,776</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00" w:right="40" w:hanging="292"/>
        <w:spacing w:after="0" w:line="286" w:lineRule="auto"/>
        <w:tabs>
          <w:tab w:leader="none" w:pos="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Three months ended December 31, 2017 included $82,370 Israeli deferred tax asset realization following valuation allowance release and $12,970 income tax benefit related to U.S. tax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 count 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23"/>
        </w:trPr>
        <w:tc>
          <w:tcPr>
            <w:tcW w:w="7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7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6"/>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1,304,034</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1,387,310</w:t>
            </w: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r>
      <w:tr>
        <w:trPr>
          <w:trHeight w:val="223"/>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1,011,087</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1,033,005</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r>
      <w:tr>
        <w:trPr>
          <w:trHeight w:val="216"/>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r>
      <w:tr>
        <w:trPr>
          <w:trHeight w:val="223"/>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292,947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354,305</w:t>
            </w:r>
          </w:p>
        </w:tc>
        <w:tc>
          <w:tcPr>
            <w:tcW w:w="600" w:type="dxa"/>
            <w:vAlign w:val="bottom"/>
            <w:shd w:val="clear" w:color="auto" w:fill="CCEEFF"/>
          </w:tcPr>
          <w:p>
            <w:pPr>
              <w:spacing w:after="0"/>
              <w:rPr>
                <w:sz w:val="19"/>
                <w:szCs w:val="19"/>
                <w:color w:val="auto"/>
              </w:rPr>
            </w:pPr>
          </w:p>
        </w:tc>
      </w:tr>
      <w:tr>
        <w:trPr>
          <w:trHeight w:val="216"/>
        </w:trPr>
        <w:tc>
          <w:tcPr>
            <w:tcW w:w="79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73,053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67,664</w:t>
            </w:r>
          </w:p>
        </w:tc>
        <w:tc>
          <w:tcPr>
            <w:tcW w:w="600" w:type="dxa"/>
            <w:vAlign w:val="bottom"/>
            <w:shd w:val="clear" w:color="auto" w:fill="CCEEFF"/>
          </w:tcPr>
          <w:p>
            <w:pPr>
              <w:spacing w:after="0"/>
              <w:rPr>
                <w:sz w:val="18"/>
                <w:szCs w:val="18"/>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64,951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66,799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134,463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154,943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219,842</w:t>
            </w:r>
          </w:p>
        </w:tc>
        <w:tc>
          <w:tcPr>
            <w:tcW w:w="6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FINANCING AND OTHER EXPENSE, NET</w:t>
            </w:r>
          </w:p>
        </w:tc>
        <w:tc>
          <w:tcPr>
            <w:tcW w:w="28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(15,626)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(18,074)</w:t>
            </w:r>
          </w:p>
        </w:tc>
        <w:tc>
          <w:tcPr>
            <w:tcW w:w="60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139,317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201,768</w:t>
            </w:r>
          </w:p>
        </w:tc>
        <w:tc>
          <w:tcPr>
            <w:tcW w:w="6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 BENEFIT (EXPENSE), NET</w:t>
            </w:r>
          </w:p>
        </w:tc>
        <w:tc>
          <w:tcPr>
            <w:tcW w:w="28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99,888</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216"/>
        </w:trPr>
        <w:tc>
          <w:tcPr>
            <w:tcW w:w="79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PROFIT BEFORE NON CONTROLLING INTEREST</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301,656</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216"/>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 CONTROLLING INTEREST</w:t>
            </w: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(3,645)</w:t>
            </w:r>
          </w:p>
        </w:tc>
        <w:tc>
          <w:tcPr>
            <w:tcW w:w="60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135,579</w:t>
            </w:r>
          </w:p>
        </w:tc>
        <w:tc>
          <w:tcPr>
            <w:tcW w:w="1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298,011</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21"/>
        </w:trPr>
        <w:tc>
          <w:tcPr>
            <w:tcW w:w="7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w:t>
            </w:r>
          </w:p>
        </w:tc>
        <w:tc>
          <w:tcPr>
            <w:tcW w:w="1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3.08</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21"/>
        </w:trPr>
        <w:tc>
          <w:tcPr>
            <w:tcW w:w="7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100,399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96,647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1.32</w:t>
            </w:r>
          </w:p>
        </w:tc>
        <w:tc>
          <w:tcPr>
            <w:tcW w:w="1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2.90</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21"/>
        </w:trPr>
        <w:tc>
          <w:tcPr>
            <w:tcW w:w="7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profit used for diluted earnings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135,579</w:t>
            </w:r>
          </w:p>
        </w:tc>
        <w:tc>
          <w:tcPr>
            <w:tcW w:w="1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306,905</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21"/>
        </w:trPr>
        <w:tc>
          <w:tcPr>
            <w:tcW w:w="7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105,947</w:t>
            </w:r>
          </w:p>
        </w:tc>
        <w:tc>
          <w:tcPr>
            <w:tcW w:w="600" w:type="dxa"/>
            <w:vAlign w:val="bottom"/>
          </w:tcPr>
          <w:p>
            <w:pPr>
              <w:spacing w:after="0"/>
              <w:rPr>
                <w:sz w:val="18"/>
                <w:szCs w:val="18"/>
                <w:color w:val="auto"/>
              </w:rPr>
            </w:pPr>
          </w:p>
        </w:tc>
      </w:tr>
      <w:tr>
        <w:trPr>
          <w:trHeight w:val="21"/>
        </w:trPr>
        <w:tc>
          <w:tcPr>
            <w:tcW w:w="7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48" w:lineRule="exact"/>
        <w:rPr>
          <w:sz w:val="20"/>
          <w:szCs w:val="20"/>
          <w:color w:val="auto"/>
        </w:rPr>
      </w:pPr>
    </w:p>
    <w:p>
      <w:pPr>
        <w:ind w:left="360" w:right="300" w:hanging="281"/>
        <w:spacing w:after="0" w:line="286" w:lineRule="auto"/>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Year ended December 31, 2017 included $82,370 tax benefit resulted from Israeli deferred tax asset realization following valuation allowance release and $12,970 income tax benefit related to U.S. tax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FINANCIAL DATA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 count 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GAAP NET PROFIT TO ADJUSTED NET PROFIT: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GAAP NET PROFIT</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38,073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33,646</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147,211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3,906</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Income tax benefit resulted from Israeli deferred tax asset realization following valuation</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allowance release</w:t>
            </w:r>
          </w:p>
        </w:tc>
        <w:tc>
          <w:tcPr>
            <w:tcW w:w="3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(82,370)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Income tax benefit related to U.S. tax reform</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NET PROFIT</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43,593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37,983</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56,916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0.42</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0.38</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0.37</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0.41</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0.37</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NET PROFIT USED TO CALCULATE PER SHARE DATA:</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43,593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37,983</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43,593</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37,983</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44,663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40,149</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NUMBER OF SHARES AND OTHER SECURITIES USED TO CALCULATE PER SHARE DATA:</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103,997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100,158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105,776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102,083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108,268</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108,146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CALCULATION:</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GAAP OPERATING PROFIT</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40,239</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38,559</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Depreciation of fixed assets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46,950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46,172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3,906</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1,627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92,709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89,068</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107,272</w:t>
            </w: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FINANCIAL DATA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 count 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GAAP NET PROFIT TO ADJUSTED NET PROFIT: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GAAP NET PROFIT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135,579</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298,011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Income tax benefit resulted from Israeli deferred tax asset realization following valuation allowance release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(82,370)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Income tax benefit related to U.S. tax reform</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NET PROFIT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154,794</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NET PROFIT USED TO CALCULATE PER SHARE DATA:</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154,794</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154,794</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163,194</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SHARES AND OTHER SECURITIES USED TO CALCULATE PER SHARE DATA:</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100,399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102,517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108,268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CALCULATION: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GAAP OPERATING PROFIT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154,943</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Depreciation of fixed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187,460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361,618</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425,261</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6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8"/>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464,446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91,496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(48,654)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 of options,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short-term deposits, marketable securities and other assets,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385,091</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0" w:type="dxa"/>
            <w:vAlign w:val="bottom"/>
          </w:tcPr>
          <w:p>
            <w:pPr>
              <w:spacing w:after="0"/>
              <w:rPr>
                <w:sz w:val="1"/>
                <w:szCs w:val="1"/>
                <w:color w:val="auto"/>
              </w:rPr>
            </w:pPr>
          </w:p>
        </w:tc>
      </w:tr>
      <w:tr>
        <w:trPr>
          <w:trHeight w:val="21"/>
        </w:trPr>
        <w:tc>
          <w:tcPr>
            <w:tcW w:w="8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42,843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43,936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3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SHORT-TERM DEPOSITS -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389,377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312,897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355,635 (b)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(169,741)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(164,717)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 of warrants and options,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short-term deposits, marketable securities and other assets,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(158,476)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(48,849)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TPSCo dividend to Panasonic</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385,091</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143,156</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190,918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400" w:hanging="379"/>
        <w:spacing w:after="0" w:line="286" w:lineRule="auto"/>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cash provided by operating activities for the year ended December 31, 2017 included $18,000 received from Tacoma as announced on August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133,379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301,656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36,515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214,391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208,411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54,157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51,310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tcPr>
          <w:p>
            <w:pPr>
              <w:ind w:left="640"/>
              <w:spacing w:after="0" w:line="194" w:lineRule="exact"/>
              <w:rPr>
                <w:sz w:val="20"/>
                <w:szCs w:val="20"/>
                <w:color w:val="auto"/>
              </w:rPr>
            </w:pPr>
            <w:r>
              <w:rPr>
                <w:rFonts w:ascii="Times New Roman" w:cs="Times New Roman" w:eastAsia="Times New Roman" w:hAnsi="Times New Roman"/>
                <w:sz w:val="18"/>
                <w:szCs w:val="18"/>
                <w:b w:val="1"/>
                <w:bCs w:val="1"/>
                <w:color w:val="auto"/>
              </w:rPr>
              <w:t>Effect of indexation, translation and fair value measurement</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on debt</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(9,791)</w:t>
            </w:r>
          </w:p>
        </w:tc>
        <w:tc>
          <w:tcPr>
            <w:tcW w:w="3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12,865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(4,042)</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4,006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(6,564)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10,933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11,260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(8,321)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3,096</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(26,344)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(4,277)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(9,702)</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(3,562)</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(8,649)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(4,783)</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(21,803)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8,768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(867)</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(7,239)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Long-term employee related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(3,247)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Deferred tax, net and other long-term liabilities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(6,745)</w:t>
            </w: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(108,844)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148</w:t>
            </w: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312,897</w:t>
            </w:r>
          </w:p>
        </w:tc>
        <w:tc>
          <w:tcPr>
            <w:tcW w:w="20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91,496</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85,285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(169,741)</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(164,717)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(48,654)</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deposits, marketable securities and other assets,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(158,476)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(114,736)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(123,126)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(64,867)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(328,217)</w:t>
            </w: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(279,453)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(171,780)</w:t>
            </w: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(106,216)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(48,849)</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(50,255)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(2,924)</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 of warrants and options, net</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31,315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Dividend paid to Panasonic</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(48,135)</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(23,318)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(2,915)</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2,585</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(60,870)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56,584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(79,355)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389,377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464,446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385,091</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385,091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60" w:right="460" w:hanging="332"/>
        <w:spacing w:after="0" w:line="286" w:lineRule="auto"/>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cash provided by operating activities for the year ended December 31, 2017 included $18,000 received from Tacoma as announced on August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2019-12-05T00:35:22Z</dcterms:created>
  <dcterms:modified xsi:type="dcterms:W3CDTF">2019-12-05T00:35:22Z</dcterms:modified>
</cp:coreProperties>
</file>