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8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5"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43"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34"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color w:val="auto"/>
        </w:rPr>
        <w:t>For the month of August 2025 No.1</w:t>
      </w:r>
    </w:p>
    <w:p>
      <w:pPr>
        <w:spacing w:after="0" w:line="239"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Commission File Number 000-24790</w:t>
      </w:r>
    </w:p>
    <w:p>
      <w:pPr>
        <w:spacing w:after="0" w:line="232"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9"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3"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31"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2310502</w:t>
      </w:r>
    </w:p>
    <w:p>
      <w:pPr>
        <w:spacing w:after="0" w:line="23"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8" w:lineRule="exact"/>
        <w:rPr>
          <w:sz w:val="24"/>
          <w:szCs w:val="24"/>
          <w:color w:val="auto"/>
        </w:rPr>
      </w:pPr>
    </w:p>
    <w:p>
      <w:pPr>
        <w:ind w:left="3880"/>
        <w:spacing w:after="0" w:line="207" w:lineRule="exact"/>
        <w:tabs>
          <w:tab w:leader="none" w:pos="50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-400685</wp:posOffset>
            </wp:positionH>
            <wp:positionV relativeFrom="paragraph">
              <wp:posOffset>163195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99"/>
          </w:cols>
          <w:pgMar w:left="960" w:top="745" w:right="1440" w:bottom="1440" w:gutter="0" w:footer="0" w:header="0"/>
        </w:sectPr>
      </w:pPr>
    </w:p>
    <w:bookmarkStart w:id="1" w:name="page2"/>
    <w:bookmarkEnd w:id="1"/>
    <w:p>
      <w:pPr>
        <w:ind w:firstLine="639"/>
        <w:spacing w:after="0" w:line="297" w:lineRule="auto"/>
        <w:rPr>
          <w:sz w:val="20"/>
          <w:szCs w:val="20"/>
          <w:color w:val="auto"/>
        </w:rPr>
      </w:pPr>
      <w:r>
        <w:rPr>
          <w:rFonts w:ascii="Times New Roman" w:cs="Times New Roman" w:eastAsia="Times New Roman" w:hAnsi="Times New Roman"/>
          <w:sz w:val="18"/>
          <w:szCs w:val="18"/>
          <w:color w:val="auto"/>
        </w:rPr>
        <w:t>On August 4, 2025, the Registrant announced its financial results for the six and three months ended June 30, 2025. Attached hereto is the following exhibit.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Exhibit</w:t>
            </w: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0000EE"/>
              </w:rPr>
              <w:t>Press release dated August 4, 2025.</w:t>
            </w:r>
          </w:p>
        </w:tc>
      </w:tr>
      <w:tr>
        <w:trPr>
          <w:trHeight w:val="189"/>
        </w:trPr>
        <w:tc>
          <w:tcPr>
            <w:tcW w:w="540" w:type="dxa"/>
            <w:vAlign w:val="bottom"/>
            <w:tcBorders>
              <w:top w:val="single" w:sz="8" w:color="0000EE"/>
            </w:tcBorders>
            <w:gridSpan w:val="2"/>
          </w:tcPr>
          <w:p>
            <w:pPr>
              <w:spacing w:after="0" w:line="18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tcBorders>
              <w:top w:val="single" w:sz="8" w:color="0000EE"/>
            </w:tcBorders>
          </w:tcPr>
          <w:p>
            <w:pPr>
              <w:spacing w:after="0"/>
              <w:rPr>
                <w:sz w:val="16"/>
                <w:szCs w:val="16"/>
                <w:color w:val="auto"/>
              </w:rPr>
            </w:pPr>
          </w:p>
        </w:tc>
        <w:tc>
          <w:tcPr>
            <w:tcW w:w="7880" w:type="dxa"/>
            <w:vAlign w:val="bottom"/>
          </w:tcPr>
          <w:p>
            <w:pPr>
              <w:spacing w:after="0"/>
              <w:rPr>
                <w:sz w:val="16"/>
                <w:szCs w:val="16"/>
                <w:color w:val="auto"/>
              </w:rPr>
            </w:pPr>
          </w:p>
        </w:tc>
      </w:tr>
      <w:tr>
        <w:trPr>
          <w:trHeight w:val="433"/>
        </w:trPr>
        <w:tc>
          <w:tcPr>
            <w:tcW w:w="320" w:type="dxa"/>
            <w:vAlign w:val="bottom"/>
            <w:tcBorders>
              <w:top w:val="single" w:sz="8" w:color="0000EE"/>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7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firstLine="639"/>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2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August 4, 2025</w:t>
      </w:r>
      <w:r>
        <w:rPr>
          <w:sz w:val="20"/>
          <w:szCs w:val="20"/>
          <w:color w:val="auto"/>
        </w:rPr>
        <w:tab/>
      </w:r>
      <w:r>
        <w:rPr>
          <w:rFonts w:ascii="Times New Roman" w:cs="Times New Roman" w:eastAsia="Times New Roman" w:hAnsi="Times New Roman"/>
          <w:sz w:val="18"/>
          <w:szCs w:val="18"/>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Nati Somekh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920"/>
          </w:cols>
          <w:pgMar w:left="320" w:top="117"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491615" cy="8655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9161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Tower Semiconductor Reports 2025 Second Quarter Financial Results</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Quarter-over-quarter and year-over-year revenue growth</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Providing guidance for accelerated revenue growth in the third quarter</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MIGDAL HAEMEK, ISRAEL – August 4, 2025 – </w:t>
      </w:r>
      <w:r>
        <w:rPr>
          <w:rFonts w:ascii="Times New Roman" w:cs="Times New Roman" w:eastAsia="Times New Roman" w:hAnsi="Times New Roman"/>
          <w:sz w:val="18"/>
          <w:szCs w:val="18"/>
          <w:color w:val="auto"/>
        </w:rPr>
        <w:t>Tower Semiconductor (NASDAQ/TASE: TSEM) reports today its results for the second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June 30, 2025.</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of 2025 Results Overview</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for the second quarter of 2025 were $372 million, representing revenue growth of 6% year-over-year and 4% quarter-over-quarter.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for the second quarter of 2025 was $80 million, compared to $73 million in the first quarter of 2025.</w:t>
      </w:r>
    </w:p>
    <w:p>
      <w:pPr>
        <w:spacing w:after="0" w:line="239"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Net profit for the second quarter of 2025 was $47 million, reflecting $0.42 basic and $0.41 diluted earnings per share. First quarter of 2025 net profit was $40 million, reflecting $0.36 basic and $0.35 diluted earnings per share.</w:t>
      </w:r>
    </w:p>
    <w:p>
      <w:pPr>
        <w:spacing w:after="0" w:line="16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Cash flow generated from operating activities in the second quarter of 2025 was $123 million and investments in property and equipment, net, were $111 million. In the first quarter of 2025, cash flow generated from operating activities was $94 million and investments in property and equipment, net, were $111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3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The company guides revenues for the third quarter of 2025 to be $395 million, with an upward or downward range of 5%, reflecting revenue increase of 7% year-over-year and 6% quarter-over-quarter.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Russell Ellwanger, Chief Executive Officer of Tower Semiconductor, stated:</w:t>
      </w:r>
    </w:p>
    <w:p>
      <w:pPr>
        <w:spacing w:after="0" w:line="3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have reported strong financial results for the second quarter of 2025, demonstrating both quarter-over-quarter and year-over-year revenue growth. Our strategic initiatives, backed by the repurposing of multiple factories towards higher capacity for RF infrastructure, are well underway, and have contributed and will contribute more strongly in the following quarters to our expected growth. The momentum we have gained in our RF infrastructure business, driven by data centers and AI expansions, is particularly noteworthy, with customer forecasts continuing to increase. We are well poised to benefit in this market, as evidenced by our number one market share position.”</w:t>
      </w:r>
    </w:p>
    <w:p>
      <w:pPr>
        <w:spacing w:after="0" w:line="19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Ellwanger added: “As we look ahead, we are confident in our ability to continue this positive trajectory, with 2025 third-quarter revenue mid-range guidance set at $395 million and an additional $40 million revenue increase targeted for the fourth quarter. Through well-developed multi-level interactions with our customers, our partnerships drive trust and best-in-class innovation, well positioning us for accelerated growth and value creation for customers and stakeholders.”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Teleconference and Webcast</w:t>
      </w:r>
    </w:p>
    <w:p>
      <w:pPr>
        <w:spacing w:after="0" w:line="3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Tower Semiconductor will host an investor conference call today, Monday, August 4, 2025, at 10:00 a.m. Eastern time (9:00 a.m. Central time, 8:00 a.m. Mountain time, 7:00 a.m. Pacific time and 5:00 p.m. Israel time) to discuss the Company’s financial results for the second quarter of 2025 and its business outlook.</w:t>
      </w:r>
    </w:p>
    <w:p>
      <w:pPr>
        <w:spacing w:after="0" w:line="20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 xml:space="preserve">The call will be webcast and available through the Investor Relations section of Tower Semiconductor’s website at </w:t>
      </w:r>
      <w:r>
        <w:rPr>
          <w:rFonts w:ascii="Times New Roman" w:cs="Times New Roman" w:eastAsia="Times New Roman" w:hAnsi="Times New Roman"/>
          <w:sz w:val="18"/>
          <w:szCs w:val="18"/>
          <w:u w:val="single" w:color="auto"/>
          <w:color w:val="auto"/>
        </w:rPr>
        <w:t>ir.towersemi.com</w:t>
      </w:r>
      <w:r>
        <w:rPr>
          <w:rFonts w:ascii="Times New Roman" w:cs="Times New Roman" w:eastAsia="Times New Roman" w:hAnsi="Times New Roman"/>
          <w:sz w:val="18"/>
          <w:szCs w:val="18"/>
          <w:color w:val="auto"/>
        </w:rPr>
        <w:t xml:space="preserve">. The pre-registration form required for dial-in participation is accessible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 xml:space="preserve">. Upon completing the registration, participants will receive the dial-in details, a unique PIN, and a confirmation email with all necessary information. To access the webcast, click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 The teleconference will be available for replay for 90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3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The Company presents its financial statements in accordance with U.S. generally accepted accounting principles (“GAAP”). The financial information included in the tables below includes unaudited condensed financial data. Some of the financial information, which may be used and/or presented in this release and/or prior earnings related filings and/or in related public disclosures or filings with respect to the financial statements and/or results of the Company, which we may describe as adjusted financial measures and/or reconciled financial measures, are non-GAAP financial measures as defined in Regulation G and related reporting requirements promulgated by the Securities and Exchange Commission (the “SEC”) as they apply to our Company. These adjusted financial measures are calculated excluding the following: (i) amortization of acquired intangible assets as included in our costs and expenses, (ii) compensation expenses in respect of equity grants to directors, officers, and employees as included in our costs and expenses, (iii) merger contract termination fees received from Intel, net of associated cost and taxes following the previously announced Intel contract termination as included in net profit in 2023 and (iv) restructuring income, net, which includes income, net of cost and taxes associated with the reorganization and restructure of our operations in Japan including the cessation of operations of the Arai facility, which occurred during </w:t>
      </w:r>
      <w:r>
        <w:rPr>
          <w:rFonts w:ascii="Times New Roman" w:cs="Times New Roman" w:eastAsia="Times New Roman" w:hAnsi="Times New Roman"/>
          <w:sz w:val="17"/>
          <w:szCs w:val="17"/>
          <w:color w:val="auto"/>
        </w:rPr>
        <w:t>2022</w:t>
      </w:r>
      <w:r>
        <w:rPr>
          <w:rFonts w:ascii="Times New Roman" w:cs="Times New Roman" w:eastAsia="Times New Roman" w:hAnsi="Times New Roman"/>
          <w:sz w:val="17"/>
          <w:szCs w:val="17"/>
          <w:i w:val="1"/>
          <w:iCs w:val="1"/>
          <w:color w:val="auto"/>
        </w:rPr>
        <w:t>, as included in net profit. These adjusted financial measures should be evaluated in conjunction with, and are not a substitute for, GAAP financial measures. The tables also present the GAAP financial measures, which are most comparable to the adjusted financial measures used and/or presented in this release, as well as a reconciliation between the adjusted financial measures and the comparable GAAP financial measures. As used and/or presented in this release and/or prior earnings related filings and/or in related public disclosures or filings with respect to the financial statements and/or results of the Company, as well as may be included and calculated in the tables herein, the term Earnings Before Interest Taxes, Depreciation and Amortization which we define as EBITDA consists of operating profit in accordance with GAAP, excluding (i) depreciation expenses, which include depreciation recorded in cost of revenues and in operating cost and expenses lines (e.g.</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research and development related equipment and/or fixed other assets depreciation), (ii) stock-based compensation expense,</w:t>
      </w:r>
    </w:p>
    <w:p>
      <w:pPr>
        <w:spacing w:after="0" w:line="13" w:lineRule="exact"/>
        <w:rPr>
          <w:sz w:val="20"/>
          <w:szCs w:val="20"/>
          <w:color w:val="auto"/>
        </w:rPr>
      </w:pPr>
    </w:p>
    <w:p>
      <w:pPr>
        <w:jc w:val="both"/>
        <w:ind w:firstLine="8"/>
        <w:spacing w:after="0" w:line="261" w:lineRule="auto"/>
        <w:tabs>
          <w:tab w:leader="none" w:pos="33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amortization of acquired intangible assets, (iv) merger contract termination fees received from Intel, net of associated cost following the previously announced Intel contract termination, as included in operating profit and (v) restructuring income, net in relation to the reorganization and restructure of our operations in Japan including the cessation of operations of the Arai facility, as included in operating profit. EBITDA is reconciled in the tables below and/or prior earnings-related filings and/or in related public disclosures or filings with respect to the financial statements and/or results of the Company from GAAP operating profit. EBITDA and the adjusted financial information presented herein and/or prior earnings-related filings and/or in related public disclosures or filings with respect to the financial statements and/or results of the Company, are not a required GAAP financial measure and may not be comparable to a similarly titled measure employed by other companies. EBITDA and the adjusted financial information presented herein and/or prior earnings-related filings and/or in related public disclosures or filings with respect to the financial statements and/or results of the Company, should not be considered in isolation or as a substitute for operating profit, net profit or loss, cash flows provided by operating, investing and financing activities, per share data or other profit or cash flow statement data prepared in accordance with GAAP. The term Net Cash, as may be used and/or presented in this release and/or prior earnings-related filings and/or in related public disclosures or filings with respect to the financial statements and/or results of the Company, is comprised of cash, cash equivalents, short-term deposits, and marketable securities less debt amounts as presented in the balance sheets included herein. The term Net Cash is not a required GAAP financial measure, may not be comparable to a similarly titled measure employed by other companies and should not be considered in isolation or as a substitute for cash, debt, operating profit, net profit or loss, cash flows provided by operating, investing and financing activities, per share data or other profit or cash flow statement data prepared in accordance with GAAP. The term Free Cash Flow, as used and/or presented in this release and/or prior earnings related filings and/or in related public disclosures or filings with respect to the financial statements and/or results of the Company, is calculated to be net cash provided by operating activities (in the amounts of $123 million, $94 million and $113 million for the three months periods ended June 30, 2025, March 31, 2025 and June 30, 2024, respectively and in the amounts of $217 million and $223 million for the six months periods ended June 30, 2025 and June 30, 2024, respectively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less cash used for investments in property and equipment, net (in the amounts of $111 million, $111 million and $113 million for the three months periods ended June 30, 2025, March 31, 2025 and June 30, 2024, respectively and in the amounts of $222 million and $211 million for the six months periods ended June 30, 2025 and June 30, 2024, respectively). The term Free Cash Flow is not a required GAAP financial measure, may not be comparable to a similarly titled measure employed by other companies and should not be considered in isolation or as a substitute for operating profit, net profit or loss, cash flows provided by operating, investing, and financing activities, per share data or other profit or cash flow statement data prepared in accordance with GAAP.</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Tower Semiconductor</w:t>
      </w:r>
    </w:p>
    <w:p>
      <w:pPr>
        <w:spacing w:after="0" w:line="3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 xml:space="preserve">Tower Semiconductor Ltd. (NASDAQ/TASE: TSEM), the leading foundry of high-value analog semiconductor solutions, provides technology, development, and process platforms for its customers in growing markets such as consumer, industrial, automotive, mobile, infrastructure, medical and aerospace and defense. Tower Semiconductor focuses on creating a positive and sustainable impact on the world through long-term partnerships and its advanced and innovative analog technology offering, comprised of a broad range of customizable process platforms such as SiPho, SiGe, BiCMOS, mixed-signal/CMOS, RF CMOS, CMOS image sensor, non-imaging sensors, displays, integrated power management (BCD and 700V),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one operating facility in Israel (200mm), two in the U.S. (200mm), and two in Japan (200mm and 300mm) which it owns through its 51% holdings in TPSCo, shares a 300mm facility in Agrate, Italy with STMicroelectronics, as well as has access to a 300mm capacity corridor in Intel’s New Mexico factory. For more information, please visit: </w:t>
      </w:r>
      <w:r>
        <w:rPr>
          <w:rFonts w:ascii="Times New Roman" w:cs="Times New Roman" w:eastAsia="Times New Roman" w:hAnsi="Times New Roman"/>
          <w:sz w:val="18"/>
          <w:szCs w:val="18"/>
          <w:u w:val="single" w:color="auto"/>
          <w:color w:val="auto"/>
        </w:rPr>
        <w:t>www.towersemi.com</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Liat Avraham | Investor Relations | +972-4-6506154 | </w:t>
      </w:r>
      <w:r>
        <w:rPr>
          <w:rFonts w:ascii="Times New Roman" w:cs="Times New Roman" w:eastAsia="Times New Roman" w:hAnsi="Times New Roman"/>
          <w:sz w:val="18"/>
          <w:szCs w:val="18"/>
          <w:u w:val="single" w:color="auto"/>
          <w:color w:val="auto"/>
        </w:rPr>
        <w:t>liatavra@towersemi.com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This release, as well as other statements and reports filed, stated and published in relation to this quarter’s results, include certain “forward-looking” statements within the meaning of Section 21E of the Securities Exchange Act of 1934, as amended. These forward-looking statements include, among others, projections and statements with respect to our future business, financial performance and activities. The use of words such as “projects”, “expects”, “may”, “targets”, “plans”, “intends”, “committed to”, “tracking”, or words of similar import, identifies a statement as “forward-looking.” Actual results may vary from those projected or implied by such forward-looking statements and you should not place any undue reliance on such forward-looking statements, which describe information known to us only as of the date of this release. Factors that could cause actual results to differ materially from those projected or implied by such forward-looking statements include, without limitation, risks and uncertainties associated with: (i) demand in our customers’ end markets, (ii) reliance on acquisitions and/or gaining additional capacity for growth, (iii) difficulties in achieving acceptable operational metrics and indices as a result of operational, technological or process-related problems, (iv) identifying and negotiating with third-party buyers for the sale of any excess and/or unused equipment, inventory and/or other assets, (v) maintaining current key customers and attracting new key customers, (vi) over demand for our foundry services resulting in high utilization and its effect on cycle time, yield and on schedule delivery, as well as customers potentially being placed on allocation, which may cause customers to transfer their business to other vendors, (vii) financial results may fluctuate from quarter to quarter,</w:t>
      </w:r>
    </w:p>
    <w:p>
      <w:pPr>
        <w:spacing w:after="0" w:line="9" w:lineRule="exact"/>
        <w:rPr>
          <w:sz w:val="20"/>
          <w:szCs w:val="20"/>
          <w:color w:val="auto"/>
        </w:rPr>
      </w:pPr>
    </w:p>
    <w:p>
      <w:pPr>
        <w:jc w:val="both"/>
        <w:ind w:firstLine="8"/>
        <w:spacing w:after="0" w:line="261" w:lineRule="auto"/>
        <w:tabs>
          <w:tab w:leader="none" w:pos="40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and other liabilities may impact our financial position and operations, (ix) our ability to successfully execute acquisitions, integrate them into our business, utilize our expanded capacity and find new business, (x) fluctuations in cash flow, (xi) our ability to satisfy the covenants stipulated in our agreements with our debt holders, (xii) pending litigation, (xiii) meeting the conditions set in approval certificates and other regulations under which we received grants and/or royalties and/or any type of funding from the Israeli, US and/or Japan governmental agencies, (xiv) receipt of orders that are lower than the customer purchase commitments or forecast and/or failure to receive customer orders currently expected, (xv) possible incurrence of additional indebtedness, (xvi) the effects of global recession, credit crisis and/or unfavorable macro-economic conditions, such as the imposition of regulatory requirements, tariffs, import and export restrictions and other trade barriers and restrictions, including the timing and availability of export licenses and permits, (xvii) our ability to accurately forecast financial performance, which is affected by limited order backlog and lengthy sales cycles which may cause financial results to fluctuate from quarter to quarter, (xviii) possible situations of obsolete inventory if forecasted demand exceeds actual demand when we create inventory before receipt of customer orders, (xix) the cyclical nature of the semiconductor industry and the resulting periodic overcapacity, fluctuations in operating results and future average selling price erosion, (xx) financing capacity acquisition related transactions, strategic and/or other growth or M&amp;A opportunities, including funding Agrate fab’s significant 300mm capacity investments and acquisition or funding of equipment and other fixed assets associated with the capacity corridor transaction with Intel as announced in September 2023, in addition to other capacity and capability expansion plans, such as announced for SiPho and SiGe, and the possible unavailability of such financing and/or the availability of such financing on unfavorable terms, (xxi) operating our facilities at sufficient utilization rates necessary to generate and maintain positive and sustainable gross, operating and net profit, (xxii) the purchase of equipment and/or raw material (including purchases under committed contracts), the timely completion of the equipment installation, technology transfer and raising the funds therefor, (xxiii) product returns and defective products, (xxiv) our ability to maintain and develop our technology processes and services to keep pace with new technology, including artificial intelligence, evolving standards, changing customer and end-user requirements, new product introductions and short product life cycles, (xxv) competing effectively, (xxvi) the use of outsourced foundry services by both fabless semiconductor companies and integrated device manufacturers, (xxvii) our dependence on intellectual property rights of others, our ability to operate our business without infringing others’ intellectual property rights and our ability to enforce our intellectual property against infringement, (xxviii) the Fab 3 landlord’s alleged claims regarding noise abatement and request for judicial declaration of material non-curable breach of the lease that may entitle the landlord to terminate the lease and/or may result in additional contingencies, as well as uncertainties associated with the ability to extend such lease or acquire the real estate and/or agree on extension terms with the landlord and/or obtain the required local, state and/or other approvals required to be able to continue operations beyond the current lease term, (xxix) retention of key employees and recruitment and retention of skilled qualified personnel, (xxx) exposure to inflation, currency rates (mainly the Israeli Shekel, the Japanese Yen and the Euro) and interest rate fluctuations and risks associated with doing business locally and internationally, as well as fluctuations in the market price of our traded securities, (xxxi) meeting regulatory requirements worldwide, including export, environmental and governmental regulations, as well as risks related to international operations, (xxxii) potential engagement for fab establishment, joint venture and/or capital lease transactions for capacity enhancement in advanced technologies, including risks and uncertainties associated with the Agrate fab and the capacity corridor transaction with Intel as announced in September 2023, such as their qualification schedule, technology, equipment and process qualification, facility operational ramp-up, customer engagements, cost structure, required investments and other terms, which may require additional funding to cover significant capacity investment needs and other payments, the availability of which cannot be assured on favorable terms, if at all, (xxxiii) potential liabilities, cost and other impact due to reorganization and consolidation of fabrication facilities, or cessation of operations, including with regard to our 6 inch facility, (xxxiv) potential security, cyber and privacy breaches, (xxxv) workforce that is not unionized which may become unionized, and/or workforce that is unionized and may take action such as strikes that may create increased cost and operational risks, (xxxvi) the issuance of ordinary shares as a result of exercise and/or vesting of any of our employee equity, as well as any sale of shares by any of our shareholders, or any market expectation thereof, as well as the issuance of additional employee stock options and/or restricted stock units, or any market expectation thereof, which may depress the market value of the Company and the price of the Company’s ordinary shares, and in addition may impair our ability to raise future capital, and (xxxvii) climate change, business interruptions due to floods, fires, pandemics, earthquakes and other natural disasters, the security situation in Israel, global trade “war” and the current war in Israel, including the potential inability to continue uninterrupted operations of the Israeli fab, impact on global supply chain to and from the Israeli fab, power interruptions, chemicals or other leaks or damages as a result of the war, absence of workforce due to military service as well as risk that certain countries will restrict doing business with Israeli companies, including imposing restrictions due to hostilities in Israel or political instability in the region that may continue or exacerbate, and other events beyond our control. With respect to the current war in Israel, due to instability in neighboring states, Israel could be subject to additional political, economic, and military confines, and our Israeli facility’s operations could be materially adversely affected. Any current or future hostilities involving Israel or the interruption or curtailment of trade between Israel and its present trading partners, or a significant downturn in the economic or financial condition of Israel, could have a material adverse effect on our business, financial condition and results of operations.</w:t>
      </w:r>
    </w:p>
    <w:p>
      <w:pPr>
        <w:spacing w:after="0" w:line="20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i w:val="1"/>
          <w:iCs w:val="1"/>
          <w:color w:val="auto"/>
        </w:rPr>
        <w:t>A more complete discussion of risks and uncertainties that may affect the accuracy of forward-looking statements included in this release or which may otherwise affect our business is included under the heading "Risk Factors" in the Company’s most recent filings on Forms 20-F and 6-K, as were filed with the SEC and the Israel Securities Authority. Future results may differ materially from those previously reported. The Company does not intend to update, and expressly disclaims any obligation to update, the information contained in this release.</w:t>
      </w:r>
    </w:p>
    <w:p>
      <w:pPr>
        <w:spacing w:after="0" w:line="18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 # #</w:t>
      </w:r>
    </w:p>
    <w:p>
      <w:pPr>
        <w:sectPr>
          <w:pgSz w:w="11900" w:h="16838" w:orient="portrait"/>
          <w:cols w:equalWidth="0" w:num="1">
            <w:col w:w="11240"/>
          </w:cols>
          <w:pgMar w:left="320" w:top="117" w:right="339" w:bottom="663" w:gutter="0" w:footer="0" w:header="0"/>
        </w:sectPr>
      </w:pPr>
    </w:p>
    <w:p>
      <w:pPr>
        <w:spacing w:after="0" w:line="25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i w:val="1"/>
          <w:iCs w:val="1"/>
          <w:color w:val="auto"/>
        </w:rPr>
        <w:t>(Financial 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663"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8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265,293</w:t>
            </w:r>
          </w:p>
        </w:tc>
        <w:tc>
          <w:tcPr>
            <w:tcW w:w="22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271,894</w:t>
            </w:r>
          </w:p>
        </w:tc>
      </w:tr>
      <w:tr>
        <w:trPr>
          <w:trHeight w:val="22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Short-term deposits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942,310</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946,351</w:t>
            </w:r>
          </w:p>
        </w:tc>
      </w:tr>
      <w:tr>
        <w:trPr>
          <w:trHeight w:val="23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Trade accounts receivable</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215,316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211,932</w:t>
            </w:r>
          </w:p>
        </w:tc>
      </w:tr>
      <w:tr>
        <w:trPr>
          <w:trHeight w:val="22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286,747</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268,295</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Other current assets</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53,652</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61,817</w:t>
            </w:r>
          </w:p>
        </w:tc>
      </w:tr>
      <w:tr>
        <w:trPr>
          <w:trHeight w:val="216"/>
        </w:trPr>
        <w:tc>
          <w:tcPr>
            <w:tcW w:w="86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1,763,318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1,760,289</w:t>
            </w: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1,402,715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1,286,622</w:t>
            </w: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GOODWILL AND OTHER INTANGIBLE ASSETS, NET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9,426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10,196</w:t>
            </w: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LONG-TERM ASSETS, NET</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27,951</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23,378</w:t>
            </w:r>
          </w:p>
        </w:tc>
      </w:tr>
      <w:tr>
        <w:trPr>
          <w:trHeight w:val="216"/>
        </w:trPr>
        <w:tc>
          <w:tcPr>
            <w:tcW w:w="86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3,203,410</w:t>
            </w:r>
          </w:p>
        </w:tc>
        <w:tc>
          <w:tcPr>
            <w:tcW w:w="22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3,080,485</w:t>
            </w:r>
          </w:p>
        </w:tc>
      </w:tr>
      <w:tr>
        <w:trPr>
          <w:trHeight w:val="21"/>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30"/>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Short-term debt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33,079</w:t>
            </w: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48,376</w:t>
            </w:r>
          </w:p>
        </w:tc>
      </w:tr>
      <w:tr>
        <w:trPr>
          <w:trHeight w:val="23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Trade accounts payable</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135,686</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130,624</w:t>
            </w:r>
          </w:p>
        </w:tc>
      </w:tr>
      <w:tr>
        <w:trPr>
          <w:trHeight w:val="229"/>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Deferred revenues and customers' advances</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15,592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21,655</w:t>
            </w:r>
          </w:p>
        </w:tc>
      </w:tr>
      <w:tr>
        <w:trPr>
          <w:trHeight w:val="237"/>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83,964</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84,409</w:t>
            </w:r>
          </w:p>
        </w:tc>
      </w:tr>
      <w:tr>
        <w:trPr>
          <w:trHeight w:val="216"/>
        </w:trPr>
        <w:tc>
          <w:tcPr>
            <w:tcW w:w="86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0"/>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268,321</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285,064</w:t>
            </w: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143,018</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132,437</w:t>
            </w: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3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LONG-TERM LIABILITIES</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17,634</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22,804</w:t>
            </w:r>
          </w:p>
        </w:tc>
      </w:tr>
      <w:tr>
        <w:trPr>
          <w:trHeight w:val="216"/>
        </w:trPr>
        <w:tc>
          <w:tcPr>
            <w:tcW w:w="86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9"/>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428,973</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440,305</w:t>
            </w: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2,774,437</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2,640,180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70"/>
        </w:trPr>
        <w:tc>
          <w:tcPr>
            <w:tcW w:w="8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3,203,410</w:t>
            </w: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3,080,485</w:t>
            </w:r>
          </w:p>
        </w:tc>
      </w:tr>
      <w:tr>
        <w:trPr>
          <w:trHeight w:val="392"/>
        </w:trPr>
        <w:tc>
          <w:tcPr>
            <w:tcW w:w="868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8" w:name="page9"/>
    <w:bookmarkEnd w:id="8"/>
    <w:p>
      <w:pPr>
        <w:jc w:val="center"/>
        <w:spacing w:after="0" w:line="284" w:lineRule="auto"/>
        <w:rPr>
          <w:sz w:val="20"/>
          <w:szCs w:val="20"/>
          <w:color w:val="auto"/>
        </w:rPr>
      </w:pPr>
      <w:r>
        <w:rPr>
          <w:rFonts w:ascii="Times New Roman" w:cs="Times New Roman" w:eastAsia="Times New Roman" w:hAnsi="Times New Roman"/>
          <w:sz w:val="18"/>
          <w:szCs w:val="18"/>
          <w:b w:val="1"/>
          <w:bCs w:val="1"/>
          <w:color w:val="auto"/>
        </w:rPr>
        <w:t>TOWER SEMICONDUCTOR LTD. AND SUBSIDIARIES CONDENSED CONSOLIDATED STATEMENTS OF OPERATIONS (UNAUDITED) (dollars and share count in thousands, except per share data)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3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520" w:type="dxa"/>
            <w:vAlign w:val="bottom"/>
            <w:tcBorders>
              <w:bottom w:val="single" w:sz="8" w:color="auto"/>
            </w:tcBorders>
            <w:gridSpan w:val="5"/>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6"/>
        </w:trPr>
        <w:tc>
          <w:tcPr>
            <w:tcW w:w="7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6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20"/>
                <w:szCs w:val="20"/>
                <w:color w:val="auto"/>
              </w:rPr>
            </w:pPr>
          </w:p>
        </w:tc>
      </w:tr>
      <w:tr>
        <w:trPr>
          <w:trHeight w:val="237"/>
        </w:trPr>
        <w:tc>
          <w:tcPr>
            <w:tcW w:w="73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372,061</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358,170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351,181</w:t>
            </w: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292,035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284,999</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264,259</w:t>
            </w:r>
          </w:p>
        </w:tc>
      </w:tr>
      <w:tr>
        <w:trPr>
          <w:trHeight w:val="216"/>
        </w:trPr>
        <w:tc>
          <w:tcPr>
            <w:tcW w:w="7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80,026</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73,171</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86,922</w:t>
            </w:r>
          </w:p>
        </w:tc>
      </w:tr>
      <w:tr>
        <w:trPr>
          <w:trHeight w:val="216"/>
        </w:trPr>
        <w:tc>
          <w:tcPr>
            <w:tcW w:w="7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Research and development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19,418</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20,172</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18,994</w:t>
            </w:r>
          </w:p>
        </w:tc>
      </w:tr>
      <w:tr>
        <w:trPr>
          <w:trHeight w:val="230"/>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Marketing, general and administrative</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20,743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20,101</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19,050</w:t>
            </w:r>
          </w:p>
        </w:tc>
      </w:tr>
      <w:tr>
        <w:trPr>
          <w:trHeight w:val="22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Restructuring income, net*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(6,270)</w:t>
            </w:r>
          </w:p>
        </w:tc>
      </w:tr>
      <w:tr>
        <w:trPr>
          <w:trHeight w:val="27"/>
        </w:trPr>
        <w:tc>
          <w:tcPr>
            <w:tcW w:w="73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9"/>
        </w:trPr>
        <w:tc>
          <w:tcPr>
            <w:tcW w:w="7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40,161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40,273</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31,774</w:t>
            </w:r>
          </w:p>
        </w:tc>
      </w:tr>
      <w:tr>
        <w:trPr>
          <w:trHeight w:val="21"/>
        </w:trPr>
        <w:tc>
          <w:tcPr>
            <w:tcW w:w="7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29"/>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39,865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32,898</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55,148</w:t>
            </w:r>
          </w:p>
        </w:tc>
      </w:tr>
      <w:tr>
        <w:trPr>
          <w:trHeight w:val="216"/>
        </w:trPr>
        <w:tc>
          <w:tcPr>
            <w:tcW w:w="7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AND OTHER INCOME, NET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14,387</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10,598</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7,710</w:t>
            </w:r>
          </w:p>
        </w:tc>
      </w:tr>
      <w:tr>
        <w:trPr>
          <w:trHeight w:val="216"/>
        </w:trPr>
        <w:tc>
          <w:tcPr>
            <w:tcW w:w="7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PROFIT BEFORE INCOME TAX</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54,252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43,496</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62,858</w:t>
            </w:r>
          </w:p>
        </w:tc>
      </w:tr>
      <w:tr>
        <w:trPr>
          <w:trHeight w:val="216"/>
        </w:trPr>
        <w:tc>
          <w:tcPr>
            <w:tcW w:w="7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EXPENSE, NET</w:t>
            </w:r>
          </w:p>
        </w:tc>
        <w:tc>
          <w:tcPr>
            <w:tcW w:w="18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(8,660)</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(3,779)</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(6,108)</w:t>
            </w:r>
          </w:p>
        </w:tc>
      </w:tr>
      <w:tr>
        <w:trPr>
          <w:trHeight w:val="216"/>
        </w:trPr>
        <w:tc>
          <w:tcPr>
            <w:tcW w:w="7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PROFIT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45,592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39,717</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56,750</w:t>
            </w:r>
          </w:p>
        </w:tc>
      </w:tr>
      <w:tr>
        <w:trPr>
          <w:trHeight w:val="216"/>
        </w:trPr>
        <w:tc>
          <w:tcPr>
            <w:tcW w:w="7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(profit) attributable to non-controlling interest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959</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425</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(3,305)</w:t>
            </w:r>
          </w:p>
        </w:tc>
      </w:tr>
      <w:tr>
        <w:trPr>
          <w:trHeight w:val="216"/>
        </w:trPr>
        <w:tc>
          <w:tcPr>
            <w:tcW w:w="7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PROFIT ATTRIBUTABLE TO THE COMPANY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46,551</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40,142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53,445</w:t>
            </w:r>
          </w:p>
        </w:tc>
      </w:tr>
      <w:tr>
        <w:trPr>
          <w:trHeight w:val="20"/>
        </w:trPr>
        <w:tc>
          <w:tcPr>
            <w:tcW w:w="7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0.42</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0.36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0.48</w:t>
            </w:r>
          </w:p>
        </w:tc>
      </w:tr>
      <w:tr>
        <w:trPr>
          <w:trHeight w:val="21"/>
        </w:trPr>
        <w:tc>
          <w:tcPr>
            <w:tcW w:w="7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w:t>
            </w:r>
          </w:p>
        </w:tc>
        <w:tc>
          <w:tcPr>
            <w:tcW w:w="1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111,810</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111,575</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111,037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0.41</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0.35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0.48</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113,282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113,152</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111,979</w:t>
            </w:r>
          </w:p>
        </w:tc>
      </w:tr>
      <w:tr>
        <w:trPr>
          <w:trHeight w:val="20"/>
        </w:trPr>
        <w:tc>
          <w:tcPr>
            <w:tcW w:w="7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Restructuring income, net resulted from the previously disclosed reorganization and restructure of our Japan operations.</w:t>
      </w:r>
    </w:p>
    <w:p>
      <w:pPr>
        <w:spacing w:after="0" w:line="239" w:lineRule="exact"/>
        <w:rPr>
          <w:sz w:val="20"/>
          <w:szCs w:val="20"/>
          <w:color w:val="auto"/>
        </w:rPr>
      </w:pPr>
    </w:p>
    <w:p>
      <w:pPr>
        <w:ind w:right="3880"/>
        <w:spacing w:after="0" w:line="302" w:lineRule="auto"/>
        <w:rPr>
          <w:sz w:val="20"/>
          <w:szCs w:val="20"/>
          <w:color w:val="auto"/>
        </w:rPr>
      </w:pPr>
      <w:r>
        <w:rPr>
          <w:rFonts w:ascii="Times New Roman" w:cs="Times New Roman" w:eastAsia="Times New Roman" w:hAnsi="Times New Roman"/>
          <w:sz w:val="18"/>
          <w:szCs w:val="18"/>
          <w:b w:val="1"/>
          <w:bCs w:val="1"/>
          <w:color w:val="auto"/>
        </w:rPr>
        <w:t>RECONCILIATION FROM GAAP NET PROFIT ATTRIBUTABLE TO THE COMPANY TO ADJUSTED NET PROFIT ATTRIBUTABLE TO THE COMPANY: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 NET PROFIT ATTRIBUTABLE TO THE COMPANY</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46,551</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40,142</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53,445</w:t>
            </w:r>
          </w:p>
        </w:tc>
        <w:tc>
          <w:tcPr>
            <w:tcW w:w="0" w:type="dxa"/>
            <w:vAlign w:val="bottom"/>
          </w:tcPr>
          <w:p>
            <w:pPr>
              <w:spacing w:after="0"/>
              <w:rPr>
                <w:sz w:val="1"/>
                <w:szCs w:val="1"/>
                <w:color w:val="auto"/>
              </w:rPr>
            </w:pPr>
          </w:p>
        </w:tc>
      </w:tr>
      <w:tr>
        <w:trPr>
          <w:trHeight w:val="207"/>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Stock based compensation and amortization</w:t>
            </w:r>
          </w:p>
        </w:tc>
        <w:tc>
          <w:tcPr>
            <w:tcW w:w="36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10,595</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10,335</w:t>
            </w:r>
          </w:p>
        </w:tc>
        <w:tc>
          <w:tcPr>
            <w:tcW w:w="360" w:type="dxa"/>
            <w:vAlign w:val="bottom"/>
          </w:tcPr>
          <w:p>
            <w:pPr>
              <w:spacing w:after="0"/>
              <w:rPr>
                <w:sz w:val="18"/>
                <w:szCs w:val="18"/>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8,229</w:t>
            </w:r>
          </w:p>
        </w:tc>
        <w:tc>
          <w:tcPr>
            <w:tcW w:w="0" w:type="dxa"/>
            <w:vAlign w:val="bottom"/>
          </w:tcPr>
          <w:p>
            <w:pPr>
              <w:spacing w:after="0"/>
              <w:rPr>
                <w:sz w:val="1"/>
                <w:szCs w:val="1"/>
                <w:color w:val="auto"/>
              </w:rPr>
            </w:pPr>
          </w:p>
        </w:tc>
      </w:tr>
      <w:tr>
        <w:trPr>
          <w:trHeight w:val="238"/>
        </w:trPr>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of acquired intangible assets</w:t>
            </w:r>
          </w:p>
        </w:tc>
        <w:tc>
          <w:tcPr>
            <w:tcW w:w="36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Restructuring income, net **</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(2,634)</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NET PROFIT ATTRIBUTABLE TO THE COMPANY</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57,146</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50,477</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59,040</w:t>
            </w: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EARNINGS PER SHARE:</w:t>
            </w: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0.51</w:t>
            </w:r>
          </w:p>
        </w:tc>
        <w:tc>
          <w:tcPr>
            <w:tcW w:w="24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0.45</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0.53</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0.50</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0.45</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0.53</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Restructuring income, net resulted from the previously disclosed reorganization and restructure of our Japan operations,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center"/>
        <w:spacing w:after="0" w:line="284" w:lineRule="auto"/>
        <w:rPr>
          <w:sz w:val="20"/>
          <w:szCs w:val="20"/>
          <w:color w:val="auto"/>
        </w:rPr>
      </w:pPr>
      <w:r>
        <w:rPr>
          <w:rFonts w:ascii="Times New Roman" w:cs="Times New Roman" w:eastAsia="Times New Roman" w:hAnsi="Times New Roman"/>
          <w:sz w:val="18"/>
          <w:szCs w:val="18"/>
          <w:b w:val="1"/>
          <w:bCs w:val="1"/>
          <w:color w:val="auto"/>
        </w:rPr>
        <w:t>TOWER SEMICONDUCTOR LTD. AND SUBSIDIARIES CONDENSED CONSOLIDATED STATEMENTS OF OPERATIONS (UNAUDITED) (dollars and share count in thousands, except per share data)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32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6"/>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730,231</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678,419</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577,034</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518,891</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153,197</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159,528</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Research and development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39,590</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38,945</w:t>
            </w:r>
          </w:p>
        </w:tc>
      </w:tr>
      <w:tr>
        <w:trPr>
          <w:trHeight w:val="23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Marketing, general and administrative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40,844</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37,720</w:t>
            </w:r>
          </w:p>
        </w:tc>
      </w:tr>
      <w:tr>
        <w:trPr>
          <w:trHeight w:val="237"/>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Restructuring income, net*</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(6,270)</w:t>
            </w:r>
          </w:p>
        </w:tc>
      </w:tr>
      <w:tr>
        <w:trPr>
          <w:trHeight w:val="229"/>
        </w:trPr>
        <w:tc>
          <w:tcPr>
            <w:tcW w:w="86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80,434</w:t>
            </w:r>
          </w:p>
        </w:tc>
        <w:tc>
          <w:tcPr>
            <w:tcW w:w="220" w:type="dxa"/>
            <w:vAlign w:val="bottom"/>
            <w:tcBorders>
              <w:top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70,395</w:t>
            </w:r>
          </w:p>
        </w:tc>
        <w:tc>
          <w:tcPr>
            <w:tcW w:w="100" w:type="dxa"/>
            <w:vAlign w:val="bottom"/>
            <w:tcBorders>
              <w:top w:val="single" w:sz="8" w:color="CCEEFF"/>
            </w:tcBorders>
          </w:tcPr>
          <w:p>
            <w:pPr>
              <w:spacing w:after="0"/>
              <w:rPr>
                <w:sz w:val="19"/>
                <w:szCs w:val="19"/>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r>
      <w:tr>
        <w:trPr>
          <w:trHeight w:val="229"/>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72,763</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89,133</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AND OTHER INCOME , NET</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24,985</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11,694</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r>
      <w:tr>
        <w:trPr>
          <w:trHeight w:val="230"/>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PROFIT BEFORE INCOME TAX</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97,748</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100,827</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EXPENSE, NET</w:t>
            </w:r>
          </w:p>
        </w:tc>
        <w:tc>
          <w:tcPr>
            <w:tcW w:w="240" w:type="dxa"/>
            <w:vAlign w:val="bottom"/>
          </w:tcPr>
          <w:p>
            <w:pPr>
              <w:spacing w:after="0"/>
              <w:rPr>
                <w:sz w:val="20"/>
                <w:szCs w:val="20"/>
                <w:color w:val="auto"/>
              </w:rPr>
            </w:pPr>
          </w:p>
        </w:tc>
        <w:tc>
          <w:tcPr>
            <w:tcW w:w="11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(12,439)</w:t>
            </w:r>
          </w:p>
        </w:tc>
        <w:tc>
          <w:tcPr>
            <w:tcW w:w="3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(1,030)</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PROFIT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85,309</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99,797</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(profit) attributable to non-controlling interest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1,384</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(1,718)</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PROFIT ATTRIBUTABLE TO THE COMPANY</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86,693</w:t>
            </w:r>
          </w:p>
        </w:tc>
        <w:tc>
          <w:tcPr>
            <w:tcW w:w="2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98,079</w:t>
            </w:r>
          </w:p>
        </w:tc>
        <w:tc>
          <w:tcPr>
            <w:tcW w:w="100" w:type="dxa"/>
            <w:vAlign w:val="bottom"/>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0.78</w:t>
            </w:r>
          </w:p>
        </w:tc>
        <w:tc>
          <w:tcPr>
            <w:tcW w:w="2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0.88</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w:t>
            </w: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111,693</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110,938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r>
      <w:tr>
        <w:trPr>
          <w:trHeight w:val="270"/>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0.77</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0.88</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113,218</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111,964</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Restructuring income, net resulted from the previously disclosed reorganization and restructure of our Japan operations.</w:t>
      </w:r>
    </w:p>
    <w:p>
      <w:pPr>
        <w:spacing w:after="0" w:line="239" w:lineRule="exact"/>
        <w:rPr>
          <w:sz w:val="20"/>
          <w:szCs w:val="20"/>
          <w:color w:val="auto"/>
        </w:rPr>
      </w:pPr>
    </w:p>
    <w:p>
      <w:pPr>
        <w:ind w:right="3880"/>
        <w:spacing w:after="0" w:line="302" w:lineRule="auto"/>
        <w:rPr>
          <w:sz w:val="20"/>
          <w:szCs w:val="20"/>
          <w:color w:val="auto"/>
        </w:rPr>
      </w:pPr>
      <w:r>
        <w:rPr>
          <w:rFonts w:ascii="Times New Roman" w:cs="Times New Roman" w:eastAsia="Times New Roman" w:hAnsi="Times New Roman"/>
          <w:sz w:val="18"/>
          <w:szCs w:val="18"/>
          <w:b w:val="1"/>
          <w:bCs w:val="1"/>
          <w:color w:val="auto"/>
        </w:rPr>
        <w:t>RECONCILIATION FROM GAAP NET PROFIT ATTRIBUTABLE TO THE COMPANY TO ADJUSTED NET PROFIT ATTRIBUTABLE TO THE COMPANY: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 NET PROFIT ATTRIBUTABLE TO THE COMPANY</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86,693</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98,079</w:t>
            </w:r>
          </w:p>
        </w:tc>
        <w:tc>
          <w:tcPr>
            <w:tcW w:w="0" w:type="dxa"/>
            <w:vAlign w:val="bottom"/>
          </w:tcPr>
          <w:p>
            <w:pPr>
              <w:spacing w:after="0"/>
              <w:rPr>
                <w:sz w:val="1"/>
                <w:szCs w:val="1"/>
                <w:color w:val="auto"/>
              </w:rPr>
            </w:pPr>
          </w:p>
        </w:tc>
      </w:tr>
      <w:tr>
        <w:trPr>
          <w:trHeight w:val="20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Stock based compensation and amortization</w:t>
            </w:r>
          </w:p>
        </w:tc>
        <w:tc>
          <w:tcPr>
            <w:tcW w:w="32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20,930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15,438</w:t>
            </w:r>
          </w:p>
        </w:tc>
        <w:tc>
          <w:tcPr>
            <w:tcW w:w="0" w:type="dxa"/>
            <w:vAlign w:val="bottom"/>
          </w:tcPr>
          <w:p>
            <w:pPr>
              <w:spacing w:after="0"/>
              <w:rPr>
                <w:sz w:val="1"/>
                <w:szCs w:val="1"/>
                <w:color w:val="auto"/>
              </w:rPr>
            </w:pPr>
          </w:p>
        </w:tc>
      </w:tr>
      <w:tr>
        <w:trPr>
          <w:trHeight w:val="238"/>
        </w:trPr>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of acquired intangible assets</w:t>
            </w:r>
          </w:p>
        </w:tc>
        <w:tc>
          <w:tcPr>
            <w:tcW w:w="32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Restructuring income, net **</w:t>
            </w: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(2,634)</w:t>
            </w:r>
          </w:p>
        </w:tc>
        <w:tc>
          <w:tcPr>
            <w:tcW w:w="0" w:type="dxa"/>
            <w:vAlign w:val="bottom"/>
          </w:tcPr>
          <w:p>
            <w:pPr>
              <w:spacing w:after="0"/>
              <w:rPr>
                <w:sz w:val="1"/>
                <w:szCs w:val="1"/>
                <w:color w:val="auto"/>
              </w:rPr>
            </w:pPr>
          </w:p>
        </w:tc>
      </w:tr>
      <w:tr>
        <w:trPr>
          <w:trHeight w:val="229"/>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ADJUSTED NET PROFIT ATTRIBUTABLE TO THE COMPANY</w:t>
            </w: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107,623</w:t>
            </w:r>
          </w:p>
        </w:tc>
        <w:tc>
          <w:tcPr>
            <w:tcW w:w="220" w:type="dxa"/>
            <w:vAlign w:val="bottom"/>
            <w:tcBorders>
              <w:top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110,883</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EARNINGS PER SHARE:</w:t>
            </w: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0.96</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0.95</w:t>
            </w:r>
          </w:p>
        </w:tc>
        <w:tc>
          <w:tcPr>
            <w:tcW w:w="2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0.99</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Restructuring income, net resulted from the previously disclosed reorganization and restructure of our Japan operations,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ind w:left="2960"/>
        <w:spacing w:after="0" w:line="284" w:lineRule="auto"/>
        <w:rPr>
          <w:sz w:val="20"/>
          <w:szCs w:val="20"/>
          <w:color w:val="auto"/>
        </w:rPr>
      </w:pPr>
      <w:r>
        <w:rPr>
          <w:rFonts w:ascii="Times New Roman" w:cs="Times New Roman" w:eastAsia="Times New Roman" w:hAnsi="Times New Roman"/>
          <w:sz w:val="18"/>
          <w:szCs w:val="18"/>
          <w:b w:val="1"/>
          <w:bCs w:val="1"/>
          <w:color w:val="auto"/>
        </w:rPr>
        <w:t>TOWER SEMICONDUCTOR LTD. AND SUBSIDIARIES CONSOLIDATED SOURCES AND USES REPORT (UNAUDITED)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80" w:right="3220" w:hanging="161"/>
        <w:spacing w:after="0" w:line="271" w:lineRule="auto"/>
        <w:rPr>
          <w:sz w:val="20"/>
          <w:szCs w:val="20"/>
          <w:color w:val="auto"/>
        </w:rPr>
      </w:pPr>
      <w:r>
        <w:rPr>
          <w:rFonts w:ascii="Times New Roman" w:cs="Times New Roman" w:eastAsia="Times New Roman" w:hAnsi="Times New Roman"/>
          <w:sz w:val="18"/>
          <w:szCs w:val="18"/>
          <w:b w:val="1"/>
          <w:bCs w:val="1"/>
          <w:color w:val="auto"/>
        </w:rPr>
        <w:t>CASH AND CASH EQUIVALENTS - BEGINNING OF PERIOD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b w:val="1"/>
          <w:bCs w:val="1"/>
          <w:color w:val="auto"/>
        </w:rPr>
        <w:t>Investments in 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Debt received (repaid), net</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Effect of Japanese Yen exchange rate change over cash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Proceeds from (investments in) deposits, marketable securities and other assets, net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797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Investments in 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Debt repaid, net</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Effect of Japanese Yen exchange rate change over cash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Proceeds from deposits, marketable securities and other assets, net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79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60" w:type="dxa"/>
            <w:vAlign w:val="bottom"/>
          </w:tcPr>
          <w:p>
            <w:pPr>
              <w:spacing w:after="0"/>
              <w:rPr>
                <w:sz w:val="22"/>
                <w:szCs w:val="22"/>
                <w:color w:val="auto"/>
              </w:rPr>
            </w:pPr>
          </w:p>
        </w:tc>
      </w:tr>
      <w:tr>
        <w:trPr>
          <w:trHeight w:val="237"/>
        </w:trPr>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Pr>
          <w:p>
            <w:pPr>
              <w:spacing w:after="0"/>
              <w:rPr>
                <w:sz w:val="20"/>
                <w:szCs w:val="20"/>
                <w:color w:val="auto"/>
              </w:rPr>
            </w:pPr>
          </w:p>
        </w:tc>
      </w:tr>
      <w:tr>
        <w:trPr>
          <w:trHeight w:val="207"/>
        </w:trPr>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274,818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260,497</w:t>
            </w:r>
          </w:p>
        </w:tc>
        <w:tc>
          <w:tcPr>
            <w:tcW w:w="60" w:type="dxa"/>
            <w:vAlign w:val="bottom"/>
          </w:tcPr>
          <w:p>
            <w:pPr>
              <w:spacing w:after="0"/>
              <w:rPr>
                <w:sz w:val="18"/>
                <w:szCs w:val="18"/>
                <w:color w:val="auto"/>
              </w:rPr>
            </w:pPr>
          </w:p>
        </w:tc>
      </w:tr>
      <w:tr>
        <w:trPr>
          <w:trHeight w:val="230"/>
        </w:trPr>
        <w:tc>
          <w:tcPr>
            <w:tcW w:w="1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122,599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113,085</w:t>
            </w:r>
          </w:p>
        </w:tc>
      </w:tr>
      <w:tr>
        <w:trPr>
          <w:trHeight w:val="229"/>
        </w:trPr>
        <w:tc>
          <w:tcPr>
            <w:tcW w:w="160" w:type="dxa"/>
            <w:vAlign w:val="bottom"/>
          </w:tcPr>
          <w:p>
            <w:pPr>
              <w:spacing w:after="0"/>
              <w:rPr>
                <w:sz w:val="19"/>
                <w:szCs w:val="19"/>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(110,682)</w:t>
            </w:r>
          </w:p>
        </w:tc>
        <w:tc>
          <w:tcPr>
            <w:tcW w:w="1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(112,615)</w:t>
            </w:r>
          </w:p>
        </w:tc>
      </w:tr>
      <w:tr>
        <w:trPr>
          <w:trHeight w:val="229"/>
        </w:trPr>
        <w:tc>
          <w:tcPr>
            <w:tcW w:w="1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5,104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(10,439)</w:t>
            </w:r>
          </w:p>
        </w:tc>
      </w:tr>
      <w:tr>
        <w:trPr>
          <w:trHeight w:val="230"/>
        </w:trPr>
        <w:tc>
          <w:tcPr>
            <w:tcW w:w="1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1,454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(2,658)</w:t>
            </w:r>
          </w:p>
        </w:tc>
      </w:tr>
      <w:tr>
        <w:trPr>
          <w:trHeight w:val="259"/>
        </w:trPr>
        <w:tc>
          <w:tcPr>
            <w:tcW w:w="160" w:type="dxa"/>
            <w:vAlign w:val="bottom"/>
          </w:tcPr>
          <w:p>
            <w:pPr>
              <w:spacing w:after="0"/>
              <w:rPr>
                <w:sz w:val="22"/>
                <w:szCs w:val="22"/>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(28,000)</w:t>
            </w:r>
          </w:p>
        </w:tc>
        <w:tc>
          <w:tcPr>
            <w:tcW w:w="16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17,443</w:t>
            </w:r>
          </w:p>
        </w:tc>
      </w:tr>
      <w:tr>
        <w:trPr>
          <w:trHeight w:val="229"/>
        </w:trPr>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265,293</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265,313</w:t>
            </w:r>
          </w:p>
        </w:tc>
        <w:tc>
          <w:tcPr>
            <w:tcW w:w="60" w:type="dxa"/>
            <w:vAlign w:val="bottom"/>
          </w:tcPr>
          <w:p>
            <w:pPr>
              <w:spacing w:after="0"/>
              <w:rPr>
                <w:sz w:val="19"/>
                <w:szCs w:val="19"/>
                <w:color w:val="auto"/>
              </w:rPr>
            </w:pPr>
          </w:p>
        </w:tc>
      </w:tr>
      <w:tr>
        <w:trPr>
          <w:trHeight w:val="21"/>
        </w:trPr>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46"/>
        </w:trPr>
        <w:tc>
          <w:tcPr>
            <w:tcW w:w="160" w:type="dxa"/>
            <w:vAlign w:val="bottom"/>
          </w:tcPr>
          <w:p>
            <w:pPr>
              <w:spacing w:after="0"/>
              <w:rPr>
                <w:sz w:val="24"/>
                <w:szCs w:val="24"/>
                <w:color w:val="auto"/>
              </w:rPr>
            </w:pPr>
          </w:p>
        </w:tc>
        <w:tc>
          <w:tcPr>
            <w:tcW w:w="236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7"/>
        </w:trPr>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60" w:type="dxa"/>
            <w:vAlign w:val="bottom"/>
          </w:tcPr>
          <w:p>
            <w:pPr>
              <w:spacing w:after="0"/>
              <w:rPr>
                <w:sz w:val="20"/>
                <w:szCs w:val="20"/>
                <w:color w:val="auto"/>
              </w:rPr>
            </w:pPr>
          </w:p>
        </w:tc>
      </w:tr>
      <w:tr>
        <w:trPr>
          <w:trHeight w:val="236"/>
        </w:trPr>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Pr>
          <w:p>
            <w:pPr>
              <w:spacing w:after="0"/>
              <w:rPr>
                <w:sz w:val="20"/>
                <w:szCs w:val="20"/>
                <w:color w:val="auto"/>
              </w:rPr>
            </w:pPr>
          </w:p>
        </w:tc>
      </w:tr>
      <w:tr>
        <w:trPr>
          <w:trHeight w:val="207"/>
        </w:trPr>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271,894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260,664</w:t>
            </w:r>
          </w:p>
        </w:tc>
        <w:tc>
          <w:tcPr>
            <w:tcW w:w="60" w:type="dxa"/>
            <w:vAlign w:val="bottom"/>
          </w:tcPr>
          <w:p>
            <w:pPr>
              <w:spacing w:after="0"/>
              <w:rPr>
                <w:sz w:val="18"/>
                <w:szCs w:val="18"/>
                <w:color w:val="auto"/>
              </w:rPr>
            </w:pPr>
          </w:p>
        </w:tc>
      </w:tr>
      <w:tr>
        <w:trPr>
          <w:trHeight w:val="229"/>
        </w:trPr>
        <w:tc>
          <w:tcPr>
            <w:tcW w:w="1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216,521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223,123</w:t>
            </w:r>
          </w:p>
        </w:tc>
      </w:tr>
      <w:tr>
        <w:trPr>
          <w:trHeight w:val="229"/>
        </w:trPr>
        <w:tc>
          <w:tcPr>
            <w:tcW w:w="160" w:type="dxa"/>
            <w:vAlign w:val="bottom"/>
          </w:tcPr>
          <w:p>
            <w:pPr>
              <w:spacing w:after="0"/>
              <w:rPr>
                <w:sz w:val="19"/>
                <w:szCs w:val="19"/>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(222,093)</w:t>
            </w:r>
          </w:p>
        </w:tc>
        <w:tc>
          <w:tcPr>
            <w:tcW w:w="1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(210,633)</w:t>
            </w:r>
          </w:p>
        </w:tc>
      </w:tr>
      <w:tr>
        <w:trPr>
          <w:trHeight w:val="230"/>
        </w:trPr>
        <w:tc>
          <w:tcPr>
            <w:tcW w:w="160" w:type="dxa"/>
            <w:vAlign w:val="bottom"/>
          </w:tcPr>
          <w:p>
            <w:pPr>
              <w:spacing w:after="0"/>
              <w:rPr>
                <w:sz w:val="19"/>
                <w:szCs w:val="19"/>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(21,770)</w:t>
            </w:r>
          </w:p>
        </w:tc>
        <w:tc>
          <w:tcPr>
            <w:tcW w:w="1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(18,848)</w:t>
            </w:r>
          </w:p>
        </w:tc>
      </w:tr>
      <w:tr>
        <w:trPr>
          <w:trHeight w:val="229"/>
        </w:trPr>
        <w:tc>
          <w:tcPr>
            <w:tcW w:w="1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4,271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(5,323)</w:t>
            </w:r>
          </w:p>
        </w:tc>
      </w:tr>
      <w:tr>
        <w:trPr>
          <w:trHeight w:val="259"/>
        </w:trPr>
        <w:tc>
          <w:tcPr>
            <w:tcW w:w="160" w:type="dxa"/>
            <w:vAlign w:val="bottom"/>
          </w:tcPr>
          <w:p>
            <w:pPr>
              <w:spacing w:after="0"/>
              <w:rPr>
                <w:sz w:val="22"/>
                <w:szCs w:val="22"/>
                <w:color w:val="auto"/>
              </w:rPr>
            </w:pP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16,470</w:t>
            </w:r>
          </w:p>
        </w:tc>
        <w:tc>
          <w:tcPr>
            <w:tcW w:w="16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16,330</w:t>
            </w:r>
          </w:p>
        </w:tc>
      </w:tr>
      <w:tr>
        <w:trPr>
          <w:trHeight w:val="229"/>
        </w:trPr>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265,293</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265,313</w:t>
            </w:r>
          </w:p>
        </w:tc>
        <w:tc>
          <w:tcPr>
            <w:tcW w:w="60" w:type="dxa"/>
            <w:vAlign w:val="bottom"/>
          </w:tcPr>
          <w:p>
            <w:pPr>
              <w:spacing w:after="0"/>
              <w:rPr>
                <w:sz w:val="19"/>
                <w:szCs w:val="19"/>
                <w:color w:val="auto"/>
              </w:rPr>
            </w:pPr>
          </w:p>
        </w:tc>
      </w:tr>
      <w:tr>
        <w:trPr>
          <w:trHeight w:val="21"/>
        </w:trPr>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2">
            <w:col w:w="8280" w:space="400"/>
            <w:col w:w="2520"/>
          </w:cols>
          <w:pgMar w:left="320" w:top="117" w:right="379" w:bottom="1440" w:gutter="0" w:footer="0" w:header="0"/>
        </w:sectPr>
      </w:pPr>
    </w:p>
    <w:bookmarkStart w:id="11" w:name="page12"/>
    <w:bookmarkEnd w:id="11"/>
    <w:p>
      <w:pPr>
        <w:jc w:val="center"/>
        <w:ind w:left="340" w:right="2280"/>
        <w:spacing w:after="0" w:line="284" w:lineRule="auto"/>
        <w:rPr>
          <w:sz w:val="20"/>
          <w:szCs w:val="20"/>
          <w:color w:val="auto"/>
        </w:rPr>
      </w:pPr>
      <w:r>
        <w:rPr>
          <w:rFonts w:ascii="Times New Roman" w:cs="Times New Roman" w:eastAsia="Times New Roman" w:hAnsi="Times New Roman"/>
          <w:sz w:val="18"/>
          <w:szCs w:val="18"/>
          <w:b w:val="1"/>
          <w:bCs w:val="1"/>
          <w:color w:val="auto"/>
        </w:rPr>
        <w:t>TOWER SEMICONDUCTOR LTD. AND SUBSIDIARIES CONDENSED CONSOLIDATED STATEMENTS OF CASH FLOWS (UNAUDITED) (dollars in thousands)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56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2"/>
                <w:szCs w:val="22"/>
                <w:color w:val="auto"/>
              </w:rPr>
            </w:pPr>
          </w:p>
        </w:tc>
        <w:tc>
          <w:tcPr>
            <w:tcW w:w="238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 OPERATING ACTIVITIES</w:t>
            </w:r>
          </w:p>
        </w:tc>
        <w:tc>
          <w:tcPr>
            <w:tcW w:w="16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profit for the period</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45,592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56,750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85,309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99,797</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Adjustments to reconcile net profit for the period</w:t>
            </w:r>
          </w:p>
        </w:tc>
        <w:tc>
          <w:tcPr>
            <w:tcW w:w="16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 net cash provided by operating activities:</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Income and expense items not involving cash flows:</w:t>
            </w:r>
          </w:p>
        </w:tc>
        <w:tc>
          <w:tcPr>
            <w:tcW w:w="16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Depreciation and amortization *</w:t>
            </w: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74,636</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65,567</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148,864</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125,111</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Other expense, net</w:t>
            </w:r>
          </w:p>
        </w:tc>
        <w:tc>
          <w:tcPr>
            <w:tcW w:w="16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3,559</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4,117</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5,993</w:t>
            </w:r>
          </w:p>
        </w:tc>
        <w:tc>
          <w:tcPr>
            <w:tcW w:w="0" w:type="dxa"/>
            <w:vAlign w:val="bottom"/>
          </w:tcPr>
          <w:p>
            <w:pPr>
              <w:spacing w:after="0"/>
              <w:rPr>
                <w:sz w:val="1"/>
                <w:szCs w:val="1"/>
                <w:color w:val="auto"/>
              </w:rPr>
            </w:pPr>
          </w:p>
        </w:tc>
      </w:tr>
      <w:tr>
        <w:trPr>
          <w:trHeight w:val="229"/>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Changes in assets and liabilities:</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Trade accounts receivable</w:t>
            </w:r>
          </w:p>
        </w:tc>
        <w:tc>
          <w:tcPr>
            <w:tcW w:w="16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4,972</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(6,602)</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(1,382)</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(13,091)</w:t>
            </w:r>
          </w:p>
        </w:tc>
        <w:tc>
          <w:tcPr>
            <w:tcW w:w="0" w:type="dxa"/>
            <w:vAlign w:val="bottom"/>
          </w:tcPr>
          <w:p>
            <w:pPr>
              <w:spacing w:after="0"/>
              <w:rPr>
                <w:sz w:val="1"/>
                <w:szCs w:val="1"/>
                <w:color w:val="auto"/>
              </w:rPr>
            </w:pPr>
          </w:p>
        </w:tc>
      </w:tr>
      <w:tr>
        <w:trPr>
          <w:trHeight w:val="229"/>
        </w:trPr>
        <w:tc>
          <w:tcPr>
            <w:tcW w:w="59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Other current assets</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(5,002)</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3,141</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620</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(10,313)</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(7,745)</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17,744</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(11,873)</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(5,959)</w:t>
            </w:r>
          </w:p>
        </w:tc>
        <w:tc>
          <w:tcPr>
            <w:tcW w:w="0" w:type="dxa"/>
            <w:vAlign w:val="bottom"/>
          </w:tcPr>
          <w:p>
            <w:pPr>
              <w:spacing w:after="0"/>
              <w:rPr>
                <w:sz w:val="1"/>
                <w:szCs w:val="1"/>
                <w:color w:val="auto"/>
              </w:rPr>
            </w:pPr>
          </w:p>
        </w:tc>
      </w:tr>
      <w:tr>
        <w:trPr>
          <w:trHeight w:val="229"/>
        </w:trPr>
        <w:tc>
          <w:tcPr>
            <w:tcW w:w="59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Trade accounts payable</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8,218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(19,741)</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(2,896)</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12,818</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Deferred revenues and customers' advances</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(7,297)</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(2,091)</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(11,729)</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(4,022)</w:t>
            </w:r>
          </w:p>
        </w:tc>
        <w:tc>
          <w:tcPr>
            <w:tcW w:w="0" w:type="dxa"/>
            <w:vAlign w:val="bottom"/>
          </w:tcPr>
          <w:p>
            <w:pPr>
              <w:spacing w:after="0"/>
              <w:rPr>
                <w:sz w:val="1"/>
                <w:szCs w:val="1"/>
                <w:color w:val="auto"/>
              </w:rPr>
            </w:pPr>
          </w:p>
        </w:tc>
      </w:tr>
      <w:tr>
        <w:trPr>
          <w:trHeight w:val="230"/>
        </w:trPr>
        <w:tc>
          <w:tcPr>
            <w:tcW w:w="59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5,580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274</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9,298</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17,142</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Other long-term liabilities</w:t>
            </w:r>
          </w:p>
        </w:tc>
        <w:tc>
          <w:tcPr>
            <w:tcW w:w="16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(1,957)</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(3,807)</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(4,353)</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122,599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113,085</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216,521</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223,123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 INVESTING ACTIVITIES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Investments in property and equipment, net</w:t>
            </w:r>
          </w:p>
        </w:tc>
        <w:tc>
          <w:tcPr>
            <w:tcW w:w="1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(110,682)</w:t>
            </w:r>
          </w:p>
        </w:tc>
        <w:tc>
          <w:tcPr>
            <w:tcW w:w="1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(112,615)</w:t>
            </w:r>
          </w:p>
        </w:tc>
        <w:tc>
          <w:tcPr>
            <w:tcW w:w="1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(222,093)</w:t>
            </w:r>
          </w:p>
        </w:tc>
        <w:tc>
          <w:tcPr>
            <w:tcW w:w="16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(210,633)</w:t>
            </w:r>
          </w:p>
        </w:tc>
        <w:tc>
          <w:tcPr>
            <w:tcW w:w="0" w:type="dxa"/>
            <w:vAlign w:val="bottom"/>
          </w:tcPr>
          <w:p>
            <w:pPr>
              <w:spacing w:after="0"/>
              <w:rPr>
                <w:sz w:val="1"/>
                <w:szCs w:val="1"/>
                <w:color w:val="auto"/>
              </w:rPr>
            </w:pPr>
          </w:p>
        </w:tc>
      </w:tr>
      <w:tr>
        <w:trPr>
          <w:trHeight w:val="214"/>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Proceeds from (investments in) deposits, marketable securities</w:t>
            </w:r>
          </w:p>
        </w:tc>
        <w:tc>
          <w:tcPr>
            <w:tcW w:w="16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(28,000)</w:t>
            </w:r>
          </w:p>
        </w:tc>
        <w:tc>
          <w:tcPr>
            <w:tcW w:w="160" w:type="dxa"/>
            <w:vAlign w:val="bottom"/>
            <w:shd w:val="clear" w:color="auto" w:fill="CCEEFF"/>
          </w:tcPr>
          <w:p>
            <w:pPr>
              <w:spacing w:after="0"/>
              <w:rPr>
                <w:sz w:val="18"/>
                <w:szCs w:val="18"/>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17,443</w:t>
            </w:r>
          </w:p>
        </w:tc>
        <w:tc>
          <w:tcPr>
            <w:tcW w:w="160" w:type="dxa"/>
            <w:vAlign w:val="bottom"/>
            <w:shd w:val="clear" w:color="auto" w:fill="CCEEFF"/>
          </w:tcPr>
          <w:p>
            <w:pPr>
              <w:spacing w:after="0"/>
              <w:rPr>
                <w:sz w:val="18"/>
                <w:szCs w:val="18"/>
                <w:color w:val="auto"/>
              </w:rPr>
            </w:pPr>
          </w:p>
        </w:tc>
        <w:tc>
          <w:tcPr>
            <w:tcW w:w="11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16,470</w:t>
            </w:r>
          </w:p>
        </w:tc>
        <w:tc>
          <w:tcPr>
            <w:tcW w:w="160" w:type="dxa"/>
            <w:vAlign w:val="bottom"/>
            <w:shd w:val="clear" w:color="auto" w:fill="CCEEFF"/>
          </w:tcPr>
          <w:p>
            <w:pPr>
              <w:spacing w:after="0"/>
              <w:rPr>
                <w:sz w:val="18"/>
                <w:szCs w:val="18"/>
                <w:color w:val="auto"/>
              </w:rPr>
            </w:pPr>
          </w:p>
        </w:tc>
        <w:tc>
          <w:tcPr>
            <w:tcW w:w="10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16,330</w:t>
            </w:r>
          </w:p>
        </w:tc>
        <w:tc>
          <w:tcPr>
            <w:tcW w:w="0" w:type="dxa"/>
            <w:vAlign w:val="bottom"/>
          </w:tcPr>
          <w:p>
            <w:pPr>
              <w:spacing w:after="0"/>
              <w:rPr>
                <w:sz w:val="1"/>
                <w:szCs w:val="1"/>
                <w:color w:val="auto"/>
              </w:rPr>
            </w:pPr>
          </w:p>
        </w:tc>
      </w:tr>
      <w:tr>
        <w:trPr>
          <w:trHeight w:val="238"/>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and other assets, net</w:t>
            </w:r>
          </w:p>
        </w:tc>
        <w:tc>
          <w:tcPr>
            <w:tcW w:w="160" w:type="dxa"/>
            <w:vAlign w:val="bottom"/>
            <w:shd w:val="clear" w:color="auto" w:fill="CCEEFF"/>
          </w:tcPr>
          <w:p>
            <w:pPr>
              <w:spacing w:after="0"/>
              <w:rPr>
                <w:sz w:val="20"/>
                <w:szCs w:val="20"/>
                <w:color w:val="auto"/>
              </w:rPr>
            </w:pPr>
          </w:p>
        </w:tc>
        <w:tc>
          <w:tcPr>
            <w:tcW w:w="122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6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(138,682)</w:t>
            </w: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(95,172)</w:t>
            </w: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(205,623)</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(194,303)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 FINANCING ACTIVITIES</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Debt received (repaid), net</w:t>
            </w:r>
          </w:p>
        </w:tc>
        <w:tc>
          <w:tcPr>
            <w:tcW w:w="16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5,104</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(10,439)</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(21,770)</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(18,848)</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98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5,104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(10,439)</w:t>
            </w: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(21,770)</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(18,848)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 OF FOREIGN CURRENCY EXCHANGE RATE CHANGE</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(2,658)</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4,271</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(5,323)</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INCREASE (DECREASE) IN CASH AND CASH EQUIVALENTS</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(9,525)</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4,816</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(6,601)</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4,649</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16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274,818</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260,497</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271,894</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260,664</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265,293</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265,313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265,293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265,313</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5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59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Roman"/>
      <w:start w:val="3"/>
    </w:lvl>
  </w:abstractNum>
  <w:abstractNum w:abstractNumId="1">
    <w:nsid w:val="66334873"/>
    <w:multiLevelType w:val="hybridMultilevel"/>
    <w:lvl w:ilvl="0">
      <w:lvlJc w:val="left"/>
      <w:lvlText w:val="(%1)"/>
      <w:numFmt w:val="lowerRoman"/>
      <w:start w:val="8"/>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2025-08-04T06:04:54Z</dcterms:created>
  <dcterms:modified xsi:type="dcterms:W3CDTF">2025-08-04T06:04:54Z</dcterms:modified>
</cp:coreProperties>
</file>