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As filed with the Securities and Exchange Commission on October 11 , 2005</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333-126909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ind w:right="60"/>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2</w:t>
      </w:r>
    </w:p>
    <w:p>
      <w:pPr>
        <w:spacing w:after="0" w:line="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F-2</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ind w:left="2640"/>
        <w:spacing w:after="0"/>
        <w:tabs>
          <w:tab w:leader="none" w:pos="7980" w:val="left"/>
        </w:tabs>
        <w:rPr>
          <w:sz w:val="20"/>
          <w:szCs w:val="20"/>
          <w:color w:val="auto"/>
        </w:rPr>
      </w:pPr>
      <w:r>
        <w:rPr>
          <w:rFonts w:ascii="Arial" w:cs="Arial" w:eastAsia="Arial" w:hAnsi="Arial"/>
          <w:sz w:val="18"/>
          <w:szCs w:val="18"/>
          <w:b w:val="1"/>
          <w:bCs w:val="1"/>
          <w:color w:val="auto"/>
        </w:rPr>
        <w:t>Israel</w:t>
      </w:r>
      <w:r>
        <w:rPr>
          <w:sz w:val="20"/>
          <w:szCs w:val="20"/>
          <w:color w:val="auto"/>
        </w:rPr>
        <w:tab/>
      </w: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760"/>
        <w:spacing w:after="0"/>
        <w:tabs>
          <w:tab w:leader="none" w:pos="7280" w:val="left"/>
        </w:tabs>
        <w:rPr>
          <w:sz w:val="20"/>
          <w:szCs w:val="20"/>
          <w:color w:val="auto"/>
        </w:rPr>
      </w:pPr>
      <w:r>
        <w:rPr>
          <w:rFonts w:ascii="Arial" w:cs="Arial" w:eastAsia="Arial" w:hAnsi="Arial"/>
          <w:sz w:val="18"/>
          <w:szCs w:val="18"/>
          <w:color w:val="auto"/>
        </w:rPr>
        <w:t>(State or other jurisdiction of incorporation or organization)</w:t>
      </w:r>
      <w:r>
        <w:rPr>
          <w:sz w:val="20"/>
          <w:szCs w:val="20"/>
          <w:color w:val="auto"/>
        </w:rPr>
        <w:tab/>
      </w:r>
      <w:r>
        <w:rPr>
          <w:rFonts w:ascii="Arial" w:cs="Arial" w:eastAsia="Arial" w:hAnsi="Arial"/>
          <w:sz w:val="16"/>
          <w:szCs w:val="16"/>
          <w:color w:val="auto"/>
        </w:rPr>
        <w:t>(I.R.S. Employer Identification No.)</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4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536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6"/>
              </w:rPr>
              <w:t>DAVID H. SCHAPIRO, ESQ.</w:t>
            </w:r>
          </w:p>
        </w:tc>
        <w:tc>
          <w:tcPr>
            <w:tcW w:w="5360" w:type="dxa"/>
            <w:vAlign w:val="bottom"/>
          </w:tcPr>
          <w:p>
            <w:pPr>
              <w:jc w:val="center"/>
              <w:ind w:left="317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5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ARI FRIED, ESQ.</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0"/>
              </w:rPr>
              <w:t>Eilenberg &amp; Krause LLP</w:t>
            </w:r>
          </w:p>
        </w:tc>
      </w:tr>
      <w:tr>
        <w:trPr>
          <w:trHeight w:val="255"/>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3"/>
              </w:rPr>
              <w:t>Yigal Arnon &amp; Co.</w:t>
            </w:r>
          </w:p>
        </w:tc>
        <w:tc>
          <w:tcPr>
            <w:tcW w:w="5360" w:type="dxa"/>
            <w:vAlign w:val="bottom"/>
          </w:tcPr>
          <w:p>
            <w:pPr>
              <w:jc w:val="center"/>
              <w:ind w:left="317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92"/>
              </w:rPr>
              <w:t>1 Azrieli Center</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520" w:type="dxa"/>
            <w:vAlign w:val="bottom"/>
          </w:tcPr>
          <w:p>
            <w:pPr>
              <w:jc w:val="center"/>
              <w:ind w:right="192"/>
              <w:spacing w:after="0"/>
              <w:rPr>
                <w:sz w:val="20"/>
                <w:szCs w:val="20"/>
                <w:color w:val="auto"/>
              </w:rPr>
            </w:pPr>
            <w:r>
              <w:rPr>
                <w:rFonts w:ascii="Arial" w:cs="Arial" w:eastAsia="Arial" w:hAnsi="Arial"/>
                <w:sz w:val="18"/>
                <w:szCs w:val="18"/>
                <w:color w:val="auto"/>
                <w:w w:val="90"/>
              </w:rPr>
              <w:t>Tel Aviv, 67021 Israel</w:t>
            </w:r>
          </w:p>
        </w:tc>
        <w:tc>
          <w:tcPr>
            <w:tcW w:w="5360" w:type="dxa"/>
            <w:vAlign w:val="bottom"/>
          </w:tcPr>
          <w:p>
            <w:pPr>
              <w:jc w:val="center"/>
              <w:ind w:left="3172"/>
              <w:spacing w:after="0"/>
              <w:rPr>
                <w:sz w:val="20"/>
                <w:szCs w:val="20"/>
                <w:color w:val="auto"/>
              </w:rPr>
            </w:pPr>
            <w:r>
              <w:rPr>
                <w:rFonts w:ascii="Arial" w:cs="Arial" w:eastAsia="Arial" w:hAnsi="Arial"/>
                <w:sz w:val="18"/>
                <w:szCs w:val="18"/>
                <w:color w:val="auto"/>
                <w:w w:val="88"/>
              </w:rPr>
              <w:t>Tel: 212-986-9700</w:t>
            </w:r>
          </w:p>
        </w:tc>
      </w:tr>
      <w:tr>
        <w:trPr>
          <w:trHeight w:val="222"/>
        </w:trPr>
        <w:tc>
          <w:tcPr>
            <w:tcW w:w="2520" w:type="dxa"/>
            <w:vAlign w:val="bottom"/>
          </w:tcPr>
          <w:p>
            <w:pPr>
              <w:jc w:val="center"/>
              <w:ind w:right="172"/>
              <w:spacing w:after="0"/>
              <w:rPr>
                <w:sz w:val="20"/>
                <w:szCs w:val="20"/>
                <w:color w:val="auto"/>
              </w:rPr>
            </w:pPr>
            <w:r>
              <w:rPr>
                <w:rFonts w:ascii="Arial" w:cs="Arial" w:eastAsia="Arial" w:hAnsi="Arial"/>
                <w:sz w:val="18"/>
                <w:szCs w:val="18"/>
                <w:color w:val="auto"/>
                <w:w w:val="89"/>
              </w:rPr>
              <w:t>Tel: 972-3-608-7856</w:t>
            </w:r>
          </w:p>
        </w:tc>
        <w:tc>
          <w:tcPr>
            <w:tcW w:w="53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8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272020" cy="880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80745"/>
                    </a:xfrm>
                    <a:prstGeom prst="rect">
                      <a:avLst/>
                    </a:prstGeom>
                    <a:noFill/>
                  </pic:spPr>
                </pic:pic>
              </a:graphicData>
            </a:graphic>
          </wp:anchor>
        </w:drawing>
      </w:r>
    </w:p>
    <w:p>
      <w:pPr>
        <w:spacing w:after="0" w:line="35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232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Class of</w:t>
            </w:r>
          </w:p>
        </w:tc>
        <w:tc>
          <w:tcPr>
            <w:tcW w:w="2160" w:type="dxa"/>
            <w:vAlign w:val="bottom"/>
          </w:tcPr>
          <w:p>
            <w:pPr>
              <w:spacing w:after="0"/>
              <w:rPr>
                <w:sz w:val="14"/>
                <w:szCs w:val="14"/>
                <w:color w:val="auto"/>
              </w:rPr>
            </w:pPr>
          </w:p>
        </w:tc>
        <w:tc>
          <w:tcPr>
            <w:tcW w:w="2360" w:type="dxa"/>
            <w:vAlign w:val="bottom"/>
          </w:tcPr>
          <w:p>
            <w:pPr>
              <w:jc w:val="center"/>
              <w:ind w:left="32"/>
              <w:spacing w:after="0"/>
              <w:rPr>
                <w:sz w:val="20"/>
                <w:szCs w:val="20"/>
                <w:color w:val="auto"/>
              </w:rPr>
            </w:pPr>
            <w:r>
              <w:rPr>
                <w:rFonts w:ascii="Arial" w:cs="Arial" w:eastAsia="Arial" w:hAnsi="Arial"/>
                <w:sz w:val="14"/>
                <w:szCs w:val="14"/>
                <w:b w:val="1"/>
                <w:bCs w:val="1"/>
                <w:color w:val="auto"/>
                <w:w w:val="88"/>
              </w:rPr>
              <w:t>Proposed Maximum</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2200" w:type="dxa"/>
            <w:vAlign w:val="bottom"/>
          </w:tcPr>
          <w:p>
            <w:pPr>
              <w:spacing w:after="0"/>
              <w:rPr>
                <w:sz w:val="14"/>
                <w:szCs w:val="14"/>
                <w:color w:val="auto"/>
              </w:rPr>
            </w:pPr>
          </w:p>
        </w:tc>
      </w:tr>
      <w:tr>
        <w:trPr>
          <w:trHeight w:val="149"/>
        </w:trPr>
        <w:tc>
          <w:tcPr>
            <w:tcW w:w="2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Securities to be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236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89"/>
              </w:rPr>
              <w:t>Offering Price Per</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223"/>
        </w:trPr>
        <w:tc>
          <w:tcPr>
            <w:tcW w:w="232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2"/>
              </w:rPr>
              <w:t>Registered</w:t>
            </w:r>
          </w:p>
        </w:tc>
        <w:tc>
          <w:tcPr>
            <w:tcW w:w="2160" w:type="dxa"/>
            <w:vAlign w:val="bottom"/>
            <w:tcBorders>
              <w:bottom w:val="single" w:sz="8" w:color="2C2C2C"/>
            </w:tcBorders>
          </w:tcPr>
          <w:p>
            <w:pPr>
              <w:jc w:val="center"/>
              <w:spacing w:after="0" w:line="217"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2360" w:type="dxa"/>
            <w:vAlign w:val="bottom"/>
            <w:tcBorders>
              <w:bottom w:val="single" w:sz="8" w:color="2C2C2C"/>
            </w:tcBorders>
          </w:tcPr>
          <w:p>
            <w:pPr>
              <w:jc w:val="center"/>
              <w:ind w:left="32"/>
              <w:spacing w:after="0"/>
              <w:rPr>
                <w:sz w:val="20"/>
                <w:szCs w:val="20"/>
                <w:color w:val="auto"/>
              </w:rPr>
            </w:pPr>
            <w:r>
              <w:rPr>
                <w:rFonts w:ascii="Arial" w:cs="Arial" w:eastAsia="Arial" w:hAnsi="Arial"/>
                <w:sz w:val="14"/>
                <w:szCs w:val="14"/>
                <w:b w:val="1"/>
                <w:bCs w:val="1"/>
                <w:color w:val="auto"/>
                <w:w w:val="95"/>
              </w:rPr>
              <w:t>Unit</w:t>
            </w:r>
          </w:p>
        </w:tc>
        <w:tc>
          <w:tcPr>
            <w:tcW w:w="2340" w:type="dxa"/>
            <w:vAlign w:val="bottom"/>
            <w:tcBorders>
              <w:bottom w:val="single" w:sz="8" w:color="2C2C2C"/>
            </w:tcBorders>
          </w:tcPr>
          <w:p>
            <w:pPr>
              <w:jc w:val="center"/>
              <w:spacing w:after="0" w:line="216" w:lineRule="exact"/>
              <w:rPr>
                <w:sz w:val="20"/>
                <w:szCs w:val="20"/>
                <w:color w:val="auto"/>
              </w:rPr>
            </w:pPr>
            <w:r>
              <w:rPr>
                <w:rFonts w:ascii="Arial" w:cs="Arial" w:eastAsia="Arial" w:hAnsi="Arial"/>
                <w:sz w:val="25"/>
                <w:szCs w:val="25"/>
                <w:b w:val="1"/>
                <w:bCs w:val="1"/>
                <w:color w:val="auto"/>
                <w:w w:val="82"/>
                <w:vertAlign w:val="subscript"/>
              </w:rPr>
              <w:t>Price</w:t>
            </w:r>
            <w:r>
              <w:rPr>
                <w:rFonts w:ascii="Arial" w:cs="Arial" w:eastAsia="Arial" w:hAnsi="Arial"/>
                <w:sz w:val="11"/>
                <w:szCs w:val="11"/>
                <w:b w:val="1"/>
                <w:bCs w:val="1"/>
                <w:color w:val="auto"/>
                <w:w w:val="82"/>
              </w:rPr>
              <w:t>(1)(2)</w:t>
            </w:r>
          </w:p>
        </w:tc>
        <w:tc>
          <w:tcPr>
            <w:tcW w:w="22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b w:val="1"/>
                <w:bCs w:val="1"/>
                <w:color w:val="auto"/>
                <w:w w:val="85"/>
              </w:rPr>
              <w:t>Registration Fee</w:t>
            </w:r>
          </w:p>
        </w:tc>
      </w:tr>
    </w:tbl>
    <w:p>
      <w:pPr>
        <w:spacing w:after="0" w:line="32" w:lineRule="exact"/>
        <w:rPr>
          <w:sz w:val="24"/>
          <w:szCs w:val="24"/>
          <w:color w:val="auto"/>
        </w:rPr>
      </w:pPr>
    </w:p>
    <w:p>
      <w:pPr>
        <w:sectPr>
          <w:pgSz w:w="11900" w:h="16838" w:orient="portrait"/>
          <w:cols w:equalWidth="0" w:num="1">
            <w:col w:w="11420"/>
          </w:cols>
          <w:pgMar w:left="240" w:top="314" w:right="239" w:bottom="0" w:gutter="0" w:footer="0" w:header="0"/>
        </w:sectPr>
      </w:pPr>
    </w:p>
    <w:tbl>
      <w:tblPr>
        <w:tblLayout w:type="fixed"/>
        <w:tblInd w:w="80" w:type="dxa"/>
        <w:tblCellMar>
          <w:top w:w="0" w:type="dxa"/>
          <w:left w:w="0" w:type="dxa"/>
          <w:bottom w:w="0" w:type="dxa"/>
          <w:right w:w="0" w:type="dxa"/>
        </w:tblCellMar>
      </w:tblPr>
      <w:tr>
        <w:trPr>
          <w:trHeight w:val="222"/>
        </w:trPr>
        <w:tc>
          <w:tcPr>
            <w:tcW w:w="4320" w:type="dxa"/>
            <w:vAlign w:val="bottom"/>
          </w:tcPr>
          <w:p>
            <w:pPr>
              <w:spacing w:after="0"/>
              <w:rPr>
                <w:sz w:val="20"/>
                <w:szCs w:val="20"/>
                <w:color w:val="auto"/>
              </w:rPr>
            </w:pPr>
            <w:r>
              <w:rPr>
                <w:rFonts w:ascii="Arial" w:cs="Arial" w:eastAsia="Arial" w:hAnsi="Arial"/>
                <w:sz w:val="18"/>
                <w:szCs w:val="18"/>
                <w:color w:val="auto"/>
              </w:rPr>
              <w:t>Rights to purchase</w:t>
            </w:r>
          </w:p>
        </w:tc>
        <w:tc>
          <w:tcPr>
            <w:tcW w:w="4820" w:type="dxa"/>
            <w:vAlign w:val="bottom"/>
          </w:tcPr>
          <w:p>
            <w:pPr>
              <w:jc w:val="right"/>
              <w:ind w:right="612"/>
              <w:spacing w:after="0"/>
              <w:rPr>
                <w:sz w:val="20"/>
                <w:szCs w:val="20"/>
                <w:color w:val="auto"/>
              </w:rPr>
            </w:pPr>
            <w:r>
              <w:rPr>
                <w:rFonts w:ascii="Arial" w:cs="Arial" w:eastAsia="Arial" w:hAnsi="Arial"/>
                <w:sz w:val="18"/>
                <w:szCs w:val="18"/>
                <w:color w:val="auto"/>
              </w:rPr>
              <w:t>$19,688,100.00</w:t>
            </w:r>
          </w:p>
        </w:tc>
        <w:tc>
          <w:tcPr>
            <w:tcW w:w="1380" w:type="dxa"/>
            <w:vAlign w:val="bottom"/>
          </w:tcPr>
          <w:p>
            <w:pPr>
              <w:jc w:val="right"/>
              <w:spacing w:after="0"/>
              <w:rPr>
                <w:sz w:val="20"/>
                <w:szCs w:val="20"/>
                <w:color w:val="auto"/>
              </w:rPr>
            </w:pPr>
            <w:r>
              <w:rPr>
                <w:rFonts w:ascii="Arial" w:cs="Arial" w:eastAsia="Arial" w:hAnsi="Arial"/>
                <w:sz w:val="18"/>
                <w:szCs w:val="18"/>
                <w:color w:val="auto"/>
              </w:rPr>
              <w:t>$2,317.29</w:t>
            </w:r>
          </w:p>
        </w:tc>
      </w:tr>
    </w:tbl>
    <w:p>
      <w:pPr>
        <w:ind w:left="80"/>
        <w:spacing w:after="0"/>
        <w:rPr>
          <w:sz w:val="20"/>
          <w:szCs w:val="20"/>
          <w:color w:val="auto"/>
        </w:rPr>
      </w:pPr>
      <w:r>
        <w:rPr>
          <w:rFonts w:ascii="Arial" w:cs="Arial" w:eastAsia="Arial" w:hAnsi="Arial"/>
          <w:sz w:val="18"/>
          <w:szCs w:val="18"/>
          <w:color w:val="auto"/>
        </w:rPr>
        <w:t>convertible debentures,</w:t>
      </w:r>
    </w:p>
    <w:p>
      <w:pPr>
        <w:spacing w:after="0" w:line="9" w:lineRule="exact"/>
        <w:rPr>
          <w:sz w:val="24"/>
          <w:szCs w:val="24"/>
          <w:color w:val="auto"/>
        </w:rPr>
      </w:pPr>
    </w:p>
    <w:p>
      <w:pPr>
        <w:ind w:left="80"/>
        <w:spacing w:after="0"/>
        <w:rPr>
          <w:sz w:val="20"/>
          <w:szCs w:val="20"/>
          <w:color w:val="auto"/>
        </w:rPr>
      </w:pPr>
      <w:r>
        <w:rPr>
          <w:rFonts w:ascii="Arial" w:cs="Arial" w:eastAsia="Arial" w:hAnsi="Arial"/>
          <w:sz w:val="18"/>
          <w:szCs w:val="18"/>
          <w:color w:val="auto"/>
        </w:rPr>
        <w:t>convertible debentures and</w:t>
      </w:r>
    </w:p>
    <w:p>
      <w:pPr>
        <w:sectPr>
          <w:pgSz w:w="11900" w:h="16838" w:orient="portrait"/>
          <w:cols w:equalWidth="0" w:num="1">
            <w:col w:w="11420"/>
          </w:cols>
          <w:pgMar w:left="240" w:top="314" w:right="23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auto"/>
        </w:rPr>
        <w:t>ordinary shares issuable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272020" cy="4673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673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conversion of convertible</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color w:val="auto"/>
        </w:rPr>
        <w:t>debentures</w:t>
      </w:r>
    </w:p>
    <w:p>
      <w:pPr>
        <w:spacing w:after="0" w:line="313" w:lineRule="exact"/>
        <w:rPr>
          <w:sz w:val="20"/>
          <w:szCs w:val="20"/>
          <w:color w:val="auto"/>
        </w:rPr>
      </w:pPr>
    </w:p>
    <w:p>
      <w:pPr>
        <w:ind w:left="1160" w:right="260" w:hanging="571"/>
        <w:spacing w:after="0" w:line="256"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this registration statement also includes an indeterminate number of shares that may be issued upon conversion of the convertible debentures under the terms thereof. No additional consideration will be received for any shares of common stock issued upon conversion of the convertible notes, and therefore no registration fee is required pursuant to Rule 457(i) of the Securities Act of 1933.</w:t>
      </w:r>
    </w:p>
    <w:p>
      <w:pPr>
        <w:spacing w:after="0" w:line="224" w:lineRule="exact"/>
        <w:rPr>
          <w:rFonts w:ascii="Arial" w:cs="Arial" w:eastAsia="Arial" w:hAnsi="Arial"/>
          <w:sz w:val="18"/>
          <w:szCs w:val="18"/>
          <w:color w:val="auto"/>
        </w:rPr>
      </w:pPr>
    </w:p>
    <w:p>
      <w:pPr>
        <w:ind w:left="1160" w:right="260" w:hanging="571"/>
        <w:spacing w:after="0" w:line="294" w:lineRule="auto"/>
        <w:tabs>
          <w:tab w:leader="none" w:pos="11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which is calculated in accordance with Rule 457(o) of the rules and regulations under the Securities Act of 1933. The dollar value of the securities being registered represents the proposed maximum aggregate offering price of the convertible debentures obtainable upon exercise of all the rights being offered to the registrant’s shareholders and eligible option holders other than Israel Corp., SanDisk Corporation, Alliance Semiconductor Corporation and Macronix International Co. Ltd. In no event will the aggregate maximum offering price of all securities issued pursuant to this Registration Statement exceed $19,688,100.</w:t>
      </w:r>
    </w:p>
    <w:p>
      <w:pPr>
        <w:spacing w:after="0" w:line="200" w:lineRule="exact"/>
        <w:rPr>
          <w:sz w:val="20"/>
          <w:szCs w:val="20"/>
          <w:color w:val="auto"/>
        </w:rPr>
      </w:pPr>
    </w:p>
    <w:p>
      <w:pPr>
        <w:spacing w:after="0" w:line="20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Preliminary Prospectus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FF0000"/>
        </w:rPr>
        <w:t>Subject to Completion, Dated October 11, 2005</w:t>
      </w:r>
    </w:p>
    <w:p>
      <w:pPr>
        <w:spacing w:after="0" w:line="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285750</wp:posOffset>
            </wp:positionV>
            <wp:extent cx="1715135"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DISTRIBUTION OF RIGHTS TO PURCHASE DEBENTURES CONVERTIBLE INTO ORDINARY SHARES</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We are distributing transferable rights to purchase up to $50 million of U.S. dollar denominated debentures that are convertible into up to 45,454,545 of our ordinary shares to those persons that, as of 5:00 p.m., New York City time (midnight, Israel time) on the record date of _____, 2005 (two Tel Aviv Stock</w:t>
      </w:r>
    </w:p>
    <w:p>
      <w:pPr>
        <w:ind w:right="80"/>
        <w:spacing w:after="0" w:line="300" w:lineRule="auto"/>
        <w:rPr>
          <w:sz w:val="20"/>
          <w:szCs w:val="20"/>
          <w:color w:val="auto"/>
        </w:rPr>
      </w:pPr>
      <w:r>
        <w:rPr>
          <w:rFonts w:ascii="Arial" w:cs="Arial" w:eastAsia="Arial" w:hAnsi="Arial"/>
          <w:sz w:val="15"/>
          <w:szCs w:val="15"/>
          <w:color w:val="auto"/>
        </w:rPr>
        <w:t>Exchange trading days after the date of this prospectus) were either shareholders of our company or eligible employees holding options to purchase our ordinary shares under our share option plans that entitle option holders to participate in a rights offering. You will receive one right for each 138.59 ordinary shares and/or eligible employee options that you hold on the record date.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721 rights. Each right will entitle you to purchase, at a subscription price of $100.00, 100 U.S. dollar denominated debentures. The debentures will be convertible into our ordinary shares at a rate of one ordinary share per $1.10 aggregate principal amount of debentures. Each debenture is of $1.00 in principal amount, and bears annual interest at the rate of 5%. Principal, together with accrued interest, is payable in one installment on _______, 2011. The rights are exercisable during a 23-day period, beginning after 5:00 p.m., New York City time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(midnight, Israel time) on _______ __, 2005 (the record date) and ending on _______ __, 2005 at 5:00 p.m., New York City time (midnight, Israel time).</w:t>
      </w:r>
    </w:p>
    <w:p>
      <w:pPr>
        <w:spacing w:after="0" w:line="242"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The debentures are also effectively subordinated to amounts which we might owe to the Investment Center of the Israeli Ministry of Industry, Trade and Labor and to Siliconix Technology C.V., one of our customers.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Commencing _________ __, 2005 (30 days after the date of this prospectus) and until ______ __, 2011, the debentures are convertible into our ordinary</w:t>
      </w:r>
    </w:p>
    <w:p>
      <w:pPr>
        <w:spacing w:after="0" w:line="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shares at a conversion rate of one ordinary share per $1.10 aggregate principal amount of debentures. The conversion rate is subject to adjustment and the debentures may be automatically converted into our ordinary shares in certain circumstances. For a detailed description of the debentures, see “Description of the Debentures.”</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purchase an aggregate of $25.5 million of the $50 million principal amount of convertible debentures issuable upon exercise of the rights being distributed. The rights to be distributed to these major shareholders,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Our ordinary shares trade on the NASDAQ National Market under the symbol “TSEM” and on the Tel Aviv Stock Exchange in Israel under the symbol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“TSEM.” Commencing on ______ __, 2005 (30 days after the date of this prospectus), the debentures will be listed on the NASDAQ SmallCap Market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symbol “______” and the Tel Aviv Stock Exchange under the symbol “TSEM.C2” and may be identified on the Tel Aviv Stock Exchange as Debentures (Series</w:t>
      </w:r>
    </w:p>
    <w:p>
      <w:pPr>
        <w:spacing w:after="0" w:line="32"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B). On October 10, 2005, the last reported sale price of our ordinary shares on the NASDAQ National Market was $1.21 per share and on the Tel Aviv Stock Exchange was NIS 5.497 per share.</w:t>
      </w:r>
    </w:p>
    <w:p>
      <w:pPr>
        <w:sectPr>
          <w:pgSz w:w="11900" w:h="16838" w:orient="portrait"/>
          <w:cols w:equalWidth="0" w:num="1">
            <w:col w:w="11400"/>
          </w:cols>
          <w:pgMar w:left="240" w:top="131" w:right="259" w:bottom="0" w:gutter="0" w:footer="0" w:header="0"/>
        </w:sectPr>
      </w:pPr>
    </w:p>
    <w:bookmarkStart w:id="2" w:name="page3"/>
    <w:bookmarkEnd w:id="2"/>
    <w:p>
      <w:pPr>
        <w:spacing w:after="0" w:line="2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are transferable and will be listed for trading for a single day on the NASDAQ SmallCap Market under the symbol “______” and on the Tel Aviv</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Exchange under the symbol “TSEM.R2". The trading day will be _______ __, 2005 (21 days after the record date). If you hold your rights through an</w:t>
      </w:r>
    </w:p>
    <w:p>
      <w:pPr>
        <w:spacing w:after="0" w:line="3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Israeli brokerage company that holds the rights through the nominee company of the Tel Aviv Stock Exchange, you will be considered to have instructed your broker to sell all your rights on the Tel Aviv Stock Exchange with no price limit, if you fail to give your broker instructions regarding the exercise, non-exercise or sale of the rights prior to _______ __, 2005 (21 days after the record date).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offering is not secured by an underwriting commitment.</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This is a preliminary prospectus and is subject to change. As such, all pricing terms, including the aggregate principal amount of the convertible debentures, the rate of interest and the conversion rate are subject to change.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9.</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The date of this prospectus is _______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60" w:type="dxa"/>
            <w:vAlign w:val="bottom"/>
            <w:gridSpan w:val="6"/>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394"/>
        </w:trPr>
        <w:tc>
          <w:tcPr>
            <w:tcW w:w="990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SUMMARY</w:t>
              </w:r>
            </w:hyperlink>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RECENT DEVELOPMENTS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1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7780" w:type="dxa"/>
            <w:vAlign w:val="bottom"/>
            <w:gridSpan w:val="1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SPECIAL NOTE ON FORWARD-LOOKING STATEMENTS</w:t>
              </w:r>
            </w:hyperlink>
          </w:p>
        </w:tc>
        <w:tc>
          <w:tcPr>
            <w:tcW w:w="5460" w:type="dxa"/>
            <w:vAlign w:val="bottom"/>
            <w:gridSpan w:val="6"/>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RATIO OF EARNINGS TO FIXED CHARGES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14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CAPITALIZATION</w:t>
              </w:r>
            </w:hyperlink>
          </w:p>
        </w:tc>
        <w:tc>
          <w:tcPr>
            <w:tcW w:w="1980" w:type="dxa"/>
            <w:vAlign w:val="bottom"/>
            <w:tcBorders>
              <w:top w:val="single" w:sz="8" w:color="0000EE"/>
            </w:tcBorders>
            <w:gridSpan w:val="7"/>
          </w:tcPr>
          <w:p>
            <w:pPr>
              <w:spacing w:after="0"/>
              <w:rPr>
                <w:sz w:val="17"/>
                <w:szCs w:val="17"/>
                <w:color w:val="auto"/>
              </w:rPr>
            </w:pPr>
          </w:p>
        </w:tc>
        <w:tc>
          <w:tcPr>
            <w:tcW w:w="648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740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19">
              <w:r>
                <w:rPr>
                  <w:rFonts w:ascii="Arial" w:cs="Arial" w:eastAsia="Arial" w:hAnsi="Arial"/>
                  <w:sz w:val="18"/>
                  <w:szCs w:val="18"/>
                  <w:color w:val="0000EE"/>
                  <w:w w:val="92"/>
                </w:rPr>
                <w:t>DILUTION; EFFECT OF THE RIGHTS OFFERING ON OUR OUTSTANDING SHARES, OPTIONS,</w:t>
              </w:r>
            </w:hyperlink>
          </w:p>
        </w:tc>
        <w:tc>
          <w:tcPr>
            <w:tcW w:w="2500" w:type="dxa"/>
            <w:vAlign w:val="bottom"/>
            <w:gridSpan w:val="3"/>
          </w:tcPr>
          <w:p>
            <w:pPr>
              <w:spacing w:after="0"/>
              <w:rPr>
                <w:sz w:val="17"/>
                <w:szCs w:val="17"/>
                <w:color w:val="auto"/>
              </w:rPr>
            </w:pPr>
          </w:p>
        </w:tc>
        <w:tc>
          <w:tcPr>
            <w:tcW w:w="1480" w:type="dxa"/>
            <w:vAlign w:val="bottom"/>
          </w:tcPr>
          <w:p>
            <w:pPr>
              <w:spacing w:after="0"/>
              <w:rPr>
                <w:sz w:val="17"/>
                <w:szCs w:val="17"/>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WARRANTS AND CONVERTIBLE SECURITIES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20">
              <w:r>
                <w:rPr>
                  <w:rFonts w:ascii="Arial" w:cs="Arial" w:eastAsia="Arial" w:hAnsi="Arial"/>
                  <w:sz w:val="18"/>
                  <w:szCs w:val="18"/>
                  <w:color w:val="0000EE"/>
                  <w:w w:val="88"/>
                </w:rPr>
                <w:t>USE OF PROCEEDS</w:t>
              </w:r>
            </w:hyperlink>
          </w:p>
        </w:tc>
        <w:tc>
          <w:tcPr>
            <w:tcW w:w="2120" w:type="dxa"/>
            <w:vAlign w:val="bottom"/>
            <w:tcBorders>
              <w:top w:val="single" w:sz="8" w:color="0000EE"/>
            </w:tcBorders>
            <w:gridSpan w:val="7"/>
          </w:tcPr>
          <w:p>
            <w:pPr>
              <w:spacing w:after="0"/>
              <w:rPr>
                <w:sz w:val="17"/>
                <w:szCs w:val="17"/>
                <w:color w:val="auto"/>
              </w:rPr>
            </w:pPr>
          </w:p>
        </w:tc>
        <w:tc>
          <w:tcPr>
            <w:tcW w:w="6220" w:type="dxa"/>
            <w:vAlign w:val="bottom"/>
            <w:gridSpan w:val="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THE RIGHTS OFFERING</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THE DEBENTURES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29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DIVIDEND POLICY</w:t>
              </w:r>
            </w:hyperlink>
          </w:p>
        </w:tc>
        <w:tc>
          <w:tcPr>
            <w:tcW w:w="692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MATERIAL INCOME TAX CONSIDERATIONS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49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SHARE CAPITAL</w:t>
              </w:r>
            </w:hyperlink>
          </w:p>
        </w:tc>
        <w:tc>
          <w:tcPr>
            <w:tcW w:w="4960" w:type="dxa"/>
            <w:vAlign w:val="bottom"/>
            <w:gridSpan w:val="5"/>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380" w:type="dxa"/>
            <w:vAlign w:val="bottom"/>
            <w:gridSpan w:val="6"/>
            <w:shd w:val="clear" w:color="auto" w:fill="0000EE"/>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UNDERTAKING TO REFRAIN FROM ACTIONS NOT DISCLOSED IN THIS PROSPECTUS</w:t>
              </w:r>
            </w:hyperlink>
          </w:p>
        </w:tc>
        <w:tc>
          <w:tcPr>
            <w:tcW w:w="300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0">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8"/>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9900" w:type="dxa"/>
            <w:vAlign w:val="bottom"/>
            <w:gridSpan w:val="2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41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THE ISRAEL SECURITIES AUTHORITY EXEMPTION</w:t>
              </w:r>
            </w:hyperlink>
          </w:p>
        </w:tc>
        <w:tc>
          <w:tcPr>
            <w:tcW w:w="4400" w:type="dxa"/>
            <w:vAlign w:val="bottom"/>
            <w:tcBorders>
              <w:top w:val="single" w:sz="8" w:color="0000EE"/>
            </w:tcBorders>
            <w:gridSpan w:val="6"/>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81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WHERE YOU CAN FIND MORE INFORMATION; INCORPORATION OF INFORMATION BY REFERENCE</w:t>
              </w:r>
            </w:hyperlink>
          </w:p>
        </w:tc>
        <w:tc>
          <w:tcPr>
            <w:tcW w:w="1800" w:type="dxa"/>
            <w:vAlign w:val="bottom"/>
            <w:gridSpan w:val="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240030</wp:posOffset>
            </wp:positionV>
            <wp:extent cx="1106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References to “Israel Corporation” or “Israel Corp.” include its wholly-owned subsidiary Israel Corporation Technologies (ICTech) Ltd. (“ICTech”).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31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section answers in summary form some questions you may have about us and this rights offering. You should read the entire prospectus carefully. This prospectus contains figures in U.S. dollars and in New Israeli Shekels. Unless otherwise stated herein, the representative exchange rate used in this prospectus of the U.S. dollar and NIS was NIS 4.55 = $1.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QUESTIONS AND ANSWERS ABOUT TOWER SEMICONDUCTOR LTD.</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do we do?</w:t>
      </w:r>
    </w:p>
    <w:p>
      <w:pPr>
        <w:spacing w:after="0" w:line="312"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and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0.18-micron, while our 0.13-micron technology is expected to be ready for production by the end of 2005.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and adjacent to our first facility, Fab 1. Depending on the process technology and product mix, as of June 30, 2005, Fab 1 is able to achieve capacity levels</w:t>
      </w:r>
    </w:p>
    <w:p>
      <w:pPr>
        <w:jc w:val="both"/>
        <w:spacing w:after="0" w:line="302" w:lineRule="auto"/>
        <w:rPr>
          <w:sz w:val="20"/>
          <w:szCs w:val="20"/>
          <w:color w:val="auto"/>
        </w:rPr>
      </w:pPr>
      <w:r>
        <w:rPr>
          <w:rFonts w:ascii="Arial" w:cs="Arial" w:eastAsia="Arial" w:hAnsi="Arial"/>
          <w:sz w:val="16"/>
          <w:szCs w:val="16"/>
          <w:color w:val="auto"/>
        </w:rPr>
        <w:t>of approximately 16,000 wafers per month.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at the end of June 2005 was 14,600</w:t>
      </w:r>
    </w:p>
    <w:p>
      <w:pPr>
        <w:sectPr>
          <w:pgSz w:w="11900" w:h="16861" w:orient="portrait"/>
          <w:cols w:equalWidth="0" w:num="1">
            <w:col w:w="11420"/>
          </w:cols>
          <w:pgMar w:left="240" w:top="131" w:right="239" w:bottom="0" w:gutter="0" w:footer="0" w:header="0"/>
        </w:sectPr>
      </w:pPr>
    </w:p>
    <w:bookmarkStart w:id="3" w:name="page4"/>
    <w:bookmarkEnd w:id="3"/>
    <w:p>
      <w:pPr>
        <w:spacing w:after="0" w:line="259" w:lineRule="auto"/>
        <w:rPr>
          <w:sz w:val="20"/>
          <w:szCs w:val="20"/>
          <w:color w:val="auto"/>
        </w:rPr>
      </w:pPr>
      <w:r>
        <w:rPr>
          <w:rFonts w:ascii="Arial" w:cs="Arial" w:eastAsia="Arial" w:hAnsi="Arial"/>
          <w:sz w:val="18"/>
          <w:szCs w:val="18"/>
          <w:color w:val="auto"/>
        </w:rPr>
        <w:t>wafers per month. We currently expect to have production capacity of 15,400 wafers per month by the end of 2005, of which approximately 800 wafers per month are expected to be in 0.13-micron. Depending on the process technology and product mix, when fully ramped-up we estimate that Fab 2 will be able to achieve capacity levels of up to 36,000 wafers per month.</w:t>
      </w:r>
    </w:p>
    <w:p>
      <w:pPr>
        <w:spacing w:after="0" w:line="194"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are we located?</w:t>
      </w:r>
    </w:p>
    <w:p>
      <w:pPr>
        <w:spacing w:after="0" w:line="31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Where can you find more information about us?</w:t>
      </w:r>
    </w:p>
    <w:p>
      <w:pPr>
        <w:spacing w:after="0" w:line="31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96"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QUESTIONS AND ANSWERS ABOUT THE RIGHTS OFFERING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is an offering of rights to purchase convertible debentures?</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An offering of rights to purchase convertible debentures is an opportunity for our shareholders to purchase debentures convertible into our ordinary shares in an amount proportional to each shareholder’s existing interest in our ordinary shares. We are also distributing rights to our eligible employees who hold options under our share option plans that entitle option holders to participate in this offering.</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securities may be purchased under each right?</w:t>
      </w:r>
    </w:p>
    <w:p>
      <w:pPr>
        <w:spacing w:after="0" w:line="312"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Each right entitles the holder to purchase, at a price of $100.00, one hundred U.S. dollar denominated debentures. Each debenture is of $1.00 in principal amount. The debentures will be convertible into our ordinary shares at a rate of one ordinary share per $1.10 aggregate principal amount of debentures.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rights will you receive?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person who, at the close of business at 5:00 p.m., New York City time (midnight, Israel time), on _____ __, 2005 (the record date, two Tel Aviv Stock</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Exchange trading days after the date of this prospectus), owns our ordinary shares and/or options under our employee share option plans that entitle option holders to participate in this offering will receive, at no charge, one right for each 138.59 ordinary shares and/or eligible options owned on the record date. The 138.59 ratio was derived by dividing the sum of the total number of our issued and outstanding ordinary shares and the number of options that entitle their holders to participate in the rights offering by the dollar amount being offered in the rights offering, multiplied by the subscription price. If you hold 138 or fewer ordinary shares and/or eligible options on the record date, you will not receive any rights. Your rights will be aggregated for all the shares (and/or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721 rights. When you exercise a right, you choose to purchase the number of debentures that the right entitles you to purchase.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securities are being offered upon exercise of the rights?</w:t>
      </w:r>
    </w:p>
    <w:p>
      <w:pPr>
        <w:spacing w:after="0" w:line="231"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One right entitles its holder to purchase, at a price of $100.00, one hundred debentures convertible into our ordinary shares. Each debenture is of $1.00 in principal amount. The debentures will be convertible into our ordinary shares at a rate of one ordinary share per $1.10 aggregate principal amount of debentures. When you exercise a right, you choose to purchase the number of debentures that the right entitles you to purchase. You may exercise all or a portion of your rights, or you may choose not to exercise any of your rights. In addition, you may sell the rights on NASDAQ and the Tel Aviv stock exchanges, during one single trading day (21 days after the record date). You may pay us the subscription price either in U.S. dollars, or if you are an Israeli resident, in New Israeli Shekels according to the U.S. dollar/NIS representative exchange rate published by the Bank of Israel on the day before payment of the subscription price.</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principal and interest be paid?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debentures will bear interest at the rate per annum of 5%. Principal of the debentures is payable, together with accrued interest, in one installment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_______, 2011. Instruments representing the debentures will be issued in denominations of $1.00 and integral multiples thereof.</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which is 23 days after the record date, and will be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computed on the basis of a 365-day year.</w:t>
      </w:r>
    </w:p>
    <w:p>
      <w:pPr>
        <w:spacing w:after="0" w:line="219"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Accrued interest will not be payable upon conversion, mandatory or otherwise, of the debentures into our ordinary shares and you will lose your right to any accrued interest upon any conversion of the debentures into our ordinary shares.</w:t>
      </w:r>
    </w:p>
    <w:p>
      <w:pPr>
        <w:spacing w:after="0" w:line="186"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payment of interest on and principal of the debentures may be postponed (with interest continuing to accrue at the rate of 5% per annum) under the terms of our bank credit facility agreement (See “Description of the Debentures – Subordination of Debentures”).</w:t>
      </w:r>
    </w:p>
    <w:p>
      <w:pPr>
        <w:sectPr>
          <w:pgSz w:w="11900" w:h="16838" w:orient="portrait"/>
          <w:cols w:equalWidth="0" w:num="1">
            <w:col w:w="11420"/>
          </w:cols>
          <w:pgMar w:left="240" w:top="131" w:right="239" w:bottom="329"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329" w:gutter="0" w:footer="0" w:header="0"/>
          <w:type w:val="continuous"/>
        </w:sectPr>
      </w:pPr>
    </w:p>
    <w:bookmarkStart w:id="4" w:name="page5"/>
    <w:bookmarkEnd w:id="4"/>
    <w:p>
      <w:pPr>
        <w:ind w:left="360"/>
        <w:spacing w:after="0"/>
        <w:rPr>
          <w:sz w:val="20"/>
          <w:szCs w:val="20"/>
          <w:color w:val="auto"/>
        </w:rPr>
      </w:pPr>
      <w:r>
        <w:rPr>
          <w:rFonts w:ascii="Arial" w:cs="Arial" w:eastAsia="Arial" w:hAnsi="Arial"/>
          <w:sz w:val="18"/>
          <w:szCs w:val="18"/>
          <w:b w:val="1"/>
          <w:bCs w:val="1"/>
          <w:color w:val="auto"/>
        </w:rPr>
        <w:t>How may the debentures be converted?</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Commencing 30 days after the date of this prospectus (_____ __, 2005) and until ______ __, 2011 (inclusive) (16 days prior to the maturity date of the</w:t>
      </w:r>
    </w:p>
    <w:p>
      <w:pPr>
        <w:spacing w:after="0" w:line="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debentures), the debentures are convertible into our ordinary shares at a conversion rate of one ordinary share per $1.10 aggregate principal amount of debentures. 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Could the conversion rate be adjusted and under what circumstances?</w:t>
      </w:r>
    </w:p>
    <w:p>
      <w:pPr>
        <w:spacing w:after="0" w:line="231" w:lineRule="exact"/>
        <w:rPr>
          <w:sz w:val="20"/>
          <w:szCs w:val="20"/>
          <w:color w:val="auto"/>
        </w:rPr>
      </w:pPr>
    </w:p>
    <w:p>
      <w:pPr>
        <w:ind w:right="560" w:firstLine="345"/>
        <w:spacing w:after="0" w:line="268" w:lineRule="auto"/>
        <w:rPr>
          <w:sz w:val="20"/>
          <w:szCs w:val="20"/>
          <w:color w:val="auto"/>
        </w:rPr>
      </w:pPr>
      <w:r>
        <w:rPr>
          <w:rFonts w:ascii="Arial" w:cs="Arial" w:eastAsia="Arial" w:hAnsi="Arial"/>
          <w:sz w:val="18"/>
          <w:szCs w:val="18"/>
          <w:color w:val="auto"/>
        </w:rPr>
        <w:t>Yes. The conversion rate will be adjusted if either of the two scenarios described under “Description of the Debentures – Conversion of Debentures – Adjustment to Conversion Rate” occurs.</w:t>
      </w:r>
    </w:p>
    <w:p>
      <w:pPr>
        <w:spacing w:after="0" w:line="186"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conversion rate is also subject to customary adjustments following certain events such as the issuance of our capital stock as a dividend (bonus shares), subdivisions, combinations and reclassifications of our ordinary shares and future rights offerings.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Must I convert the debentures I hold into ordinary shares?</w:t>
      </w:r>
    </w:p>
    <w:p>
      <w:pPr>
        <w:spacing w:after="0" w:line="299"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 However, the debentures will automatically convert into ordinary shares if either of the two scenarios described under “Description of the Debentures – Conversion of Debentures – Mandatory Conversion” occurs. Accrued interest will not be payable by us upon the conversion, mandatory or otherwise, of the debentures into our ordinary shares and you will lose your right to any accrued interest upon any conversion of the debentures into our ordinary shares.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the debentures be redeemed prior to their maturity date?</w:t>
      </w:r>
    </w:p>
    <w:p>
      <w:pPr>
        <w:spacing w:after="0" w:line="299" w:lineRule="exact"/>
        <w:rPr>
          <w:sz w:val="20"/>
          <w:szCs w:val="20"/>
          <w:color w:val="auto"/>
        </w:rPr>
      </w:pPr>
    </w:p>
    <w:p>
      <w:pPr>
        <w:ind w:right="320" w:firstLine="345"/>
        <w:spacing w:after="0" w:line="268" w:lineRule="auto"/>
        <w:rPr>
          <w:sz w:val="20"/>
          <w:szCs w:val="20"/>
          <w:color w:val="auto"/>
        </w:rPr>
      </w:pPr>
      <w:r>
        <w:rPr>
          <w:rFonts w:ascii="Arial" w:cs="Arial" w:eastAsia="Arial" w:hAnsi="Arial"/>
          <w:sz w:val="18"/>
          <w:szCs w:val="18"/>
          <w:color w:val="auto"/>
        </w:rPr>
        <w:t>Yes. We may at our option announce the early redemption of the debentures or part thereof, subject to the conditions described under “Description of the Debentures – Optional Early Redemption of Debentures.”</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Will the debentures be listed for trading?</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Yes. The debentures will be listed on the NASDAQ SmallCap Market under the symbol “______” and the Tel Aviv Stock Exchange under the symbol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“TSEM.C2” and may be identified on the Tel Aviv Stock Exchange as Debentures (Series B).</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Are the debentures subordinated to our current indebtedness?</w:t>
      </w:r>
    </w:p>
    <w:p>
      <w:pPr>
        <w:spacing w:after="0" w:line="299" w:lineRule="exact"/>
        <w:rPr>
          <w:sz w:val="20"/>
          <w:szCs w:val="20"/>
          <w:color w:val="auto"/>
        </w:rPr>
      </w:pPr>
    </w:p>
    <w:p>
      <w:pPr>
        <w:ind w:firstLine="345"/>
        <w:spacing w:after="0" w:line="285" w:lineRule="auto"/>
        <w:rPr>
          <w:sz w:val="20"/>
          <w:szCs w:val="20"/>
          <w:color w:val="auto"/>
        </w:rPr>
      </w:pPr>
      <w:r>
        <w:rPr>
          <w:rFonts w:ascii="Arial" w:cs="Arial" w:eastAsia="Arial" w:hAnsi="Arial"/>
          <w:sz w:val="16"/>
          <w:szCs w:val="16"/>
          <w:color w:val="auto"/>
        </w:rPr>
        <w:t>Yes. The payment of the principal of and interest on the debentures is subordinated to the prior payment of all amounts payable by us to Bank Hapoalim B.M and Bank Leumi Le-Israel Ltd. under our credit facility agreement with them. As of June 30, 2005, our indebtedness to our banks was $497 million, which as of August 31, 2005 increased to $510.4 million. Payment of the principal and interest on the debentures is also effectively subordinated to our current and potential obligations to two secured creditors: the Investment Center of the Israeli Ministry of Industry, Trade and Labor, to whom we may have obligations related to $156 million in grants received through August 31, 2005 under the “Approved Enterprise” program, and Siliconix Technology C.V., one of our customers, which has a first ranking charge on a bank account into which Siliconix deposited in 2004, $20 million for the purchase of equipment and other expenses in connection with the performance of our obligations under our agreement with Siliconix (of which as of August 31, 2005, there is a balance of approximately $10 million)and over the equipment which has been or which may be subsequently purchased with such funds. As a result, upon any distribution to our creditors in liquidation or reorganization or similar proceedings, these senior and secured creditors will be entitled to be paid in full before any payment may be made with respect to the debentures. There may not be sufficient assets remaining to pay amounts due on any or all of the debentures then outstanding. In addition, if on a payment date of principal or interest on the debentures there exists an “Event of Default” under the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advance notice is given to us and to the banks. (See “Description of the Debentures – Subordination of Debentures”).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Why are we engaging in a rights offering?</w:t>
      </w:r>
    </w:p>
    <w:p>
      <w:pPr>
        <w:spacing w:after="0" w:line="312"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July 2005, we entered into an amendment to the credit facility agreement with our banks. The amendment provides, among other things, for financing from our banks in the amount of up to an additional approximately $30 million under our credit facility agreement, subject to a similar amount being raised by us from investors through the issuance of shares or convertible debentures. Our four major shareholders have committed to invest an aggregate of $25.5 million in a rights offering towards this funding requirement through the purchase of debentures convertible into our ordinary shares. We are engaging in this rights offering in order to afford all of our shareholders (and eligible employees) the opportunity to purchase our securities on the same terms as our four major shareholders. We are also engaging in this rights offering to provide our company with an opportunity to raise funds towards our other fundraising obligation to our banks to raise an additional $26 million by June 30, 2006, and to provide us with an opportunity to raise additional capital for the ramp up and operations of Fab 2.</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are the subscription price, the conversion rate and the minimum denomination of the debentures to be set?</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Our board of directors will set all of the terms and conditions of the rights offering, including the subscription price, conversion rate and the minimum denomination of the debentures. Our board of directors’ objective in establishing the subscription price, conversion rate and the minimum denomination of the debentures will be to reflect recent trading prices of our ordinary shares, raise the targeted proceeds and provide all of our shareholders with a reasonable opportunity to make an additional investment in our company. In establishing the subscription price, the conversion rate and the minimum denomination of the debentures, our board of directors will consider the following factors: the strategic alternatives available to us for raising capital, the market price of our ordinary</w:t>
      </w:r>
    </w:p>
    <w:p>
      <w:pPr>
        <w:sectPr>
          <w:pgSz w:w="11900" w:h="16838" w:orient="portrait"/>
          <w:cols w:equalWidth="0" w:num="1">
            <w:col w:w="11400"/>
          </w:cols>
          <w:pgMar w:left="240" w:top="125" w:right="259" w:bottom="0" w:gutter="0" w:footer="0" w:header="0"/>
        </w:sectPr>
      </w:pPr>
    </w:p>
    <w:bookmarkStart w:id="5" w:name="page6"/>
    <w:bookmarkEnd w:id="5"/>
    <w:p>
      <w:pPr>
        <w:spacing w:after="0" w:line="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shares, the pro rata nature of the offering, pricing and terms of similar transactions, our business prospects and general conditions in the securities markets. The subscription price, conversion rate and minimum denomination of the debentures, however, do not necessarily bear any relationship to our past or expected future results of operations, cash flows, current financial condition, or any other established criteria for value. We did not seek or obtain any opinion of financial advisors or investment bankers in establishing the subscription price or conversion rate. Our board of directors believes that the minimum denomination of the debentures presents you with the ability to manage your investment in us following the exercise of your rights. For example, you may convert a relatively small portion of your aggregate investment into our shares, sell another relatively small portion of your debentures and continue to hold debentures.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long will the rights offering last?</w:t>
      </w:r>
    </w:p>
    <w:p>
      <w:pPr>
        <w:spacing w:after="0" w:line="312" w:lineRule="exact"/>
        <w:rPr>
          <w:sz w:val="20"/>
          <w:szCs w:val="20"/>
          <w:color w:val="auto"/>
        </w:rPr>
      </w:pPr>
    </w:p>
    <w:p>
      <w:pPr>
        <w:ind w:right="120" w:firstLine="345"/>
        <w:spacing w:after="0" w:line="286" w:lineRule="auto"/>
        <w:rPr>
          <w:sz w:val="20"/>
          <w:szCs w:val="20"/>
          <w:color w:val="auto"/>
        </w:rPr>
      </w:pPr>
      <w:r>
        <w:rPr>
          <w:rFonts w:ascii="Arial" w:cs="Arial" w:eastAsia="Arial" w:hAnsi="Arial"/>
          <w:sz w:val="16"/>
          <w:szCs w:val="16"/>
          <w:color w:val="auto"/>
        </w:rPr>
        <w:t>You will be able to exercise your rights only during a limited period. The rights are exercisable during a 23-day period, beginning after 5:00 p.m. New York City time (midnight, Israel time) on _____ __, 2005 (the record date) and ending at 5:00 p.m. New York City time (midnight, Israel time) on _____ __, 2005. If</w:t>
      </w:r>
    </w:p>
    <w:p>
      <w:pPr>
        <w:ind w:right="40"/>
        <w:spacing w:after="0" w:line="253" w:lineRule="auto"/>
        <w:rPr>
          <w:sz w:val="20"/>
          <w:szCs w:val="20"/>
          <w:color w:val="auto"/>
        </w:rPr>
      </w:pPr>
      <w:r>
        <w:rPr>
          <w:rFonts w:ascii="Arial" w:cs="Arial" w:eastAsia="Arial" w:hAnsi="Arial"/>
          <w:sz w:val="18"/>
          <w:szCs w:val="18"/>
          <w:color w:val="auto"/>
        </w:rPr>
        <w:t>you hold your shares through a broker, dealer or other nominee (including through members of the Tel Aviv Stock Exchange), you will be required to comply with the procedural requirements of such nominee, including the procedures relating to the last time by which you may be required to provide notice of your intention to exercise your rights (which may be earlier than the final expiration date of the rights), as well as other procedural requirements described under the heading “The Rights Offering.” If you do not exercise your rights by the date and in accordance with the procedures applicable to you, your ability to exercise the rights and purchase the debentures will expire.</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exercise your rights?</w:t>
      </w:r>
    </w:p>
    <w:p>
      <w:pPr>
        <w:spacing w:after="0" w:line="312"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Promptly after the date of this prospectus, we will send a rights certificate to each holder of our ordinary shares that is registered on our shareholder registry maintained at American Stock Transfer &amp; Trust Co., the transfer agent for our ordinary shares. The rights certificate will evidence the number of rights applicable to each holder and will be accompanied by a copy of this prospectus.</w:t>
      </w:r>
    </w:p>
    <w:p>
      <w:pPr>
        <w:spacing w:after="0" w:line="194" w:lineRule="exact"/>
        <w:rPr>
          <w:sz w:val="20"/>
          <w:szCs w:val="20"/>
          <w:color w:val="auto"/>
        </w:rPr>
      </w:pPr>
    </w:p>
    <w:p>
      <w:pPr>
        <w:ind w:right="140" w:firstLine="351"/>
        <w:spacing w:after="0" w:line="284" w:lineRule="auto"/>
        <w:rPr>
          <w:sz w:val="20"/>
          <w:szCs w:val="20"/>
          <w:color w:val="auto"/>
        </w:rPr>
      </w:pPr>
      <w:r>
        <w:rPr>
          <w:rFonts w:ascii="Arial" w:cs="Arial" w:eastAsia="Arial" w:hAnsi="Arial"/>
          <w:sz w:val="16"/>
          <w:szCs w:val="16"/>
          <w:color w:val="auto"/>
        </w:rPr>
        <w:t>If you are a record holder of our ordinary shares and you wish to exercise your rights, you should complete the exercise form on the back of the rights certificate and send the certificate (or a notice of guaranteed delivery), accompanied by the subscription price, to the offices of American Stock Transfer &amp; Trust Co., as our Rights Agent, to the attention of: _____________, to be received no later than the expiration date of the rights. The rights will expire on _________</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__, 2005, at 5:00 p.m. New York time, (midnight, Israel time), which is 23 days after the record date. You may make your payment to American Stock Transfer by wire transfer or cashier’s check or a money order drawn on a bank located in the United States payable to the order of “American Stock Transfer &amp; Trust Co., as Rights Agent.” Payment made to American Stock Transfer &amp; Trust Co. must be in U.S. dollars. We may agree to accept other forms of payment if requested and agreed to by us prior to payment.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If you are a record holder of rights that resides in Israel, you may exercise your rights by delivering the completed exercise form on the back of the rights certificate to our offices in Migdal Haemek, Israel accompanied by evidence of a wire transfer or a cashier’s check or a money order drawn on a bank located in Israel payable to Tower Semiconductor Ltd. Payment to us may be either in US dollars or in New Israeli Shekels in accordance with the representative exchange rate published by the Bank of Israel on the day before payment of the subscription price. The completed exercise form and payment must be delivered to us by midnight Israel time on _________ __, 2005 (23 days after the record date).</w:t>
      </w:r>
    </w:p>
    <w:p>
      <w:pPr>
        <w:spacing w:after="0" w:line="170" w:lineRule="exact"/>
        <w:rPr>
          <w:sz w:val="20"/>
          <w:szCs w:val="20"/>
          <w:color w:val="auto"/>
        </w:rPr>
      </w:pPr>
    </w:p>
    <w:p>
      <w:pPr>
        <w:ind w:right="380" w:firstLine="351"/>
        <w:spacing w:after="0" w:line="256"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see “What should you do if you want to participate in this rights offering, but your shares are held in the name of your broker, dealer or other nominee?” If you are a holder of eligible employee options that entitle you to receive rights, see “What should you do if you are entitled to participate in this rights offering as holder of employee options?"</w:t>
      </w:r>
    </w:p>
    <w:p>
      <w:pPr>
        <w:spacing w:after="0" w:line="25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do you transfer your rights?</w:t>
      </w:r>
    </w:p>
    <w:p>
      <w:pPr>
        <w:spacing w:after="0" w:line="312"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you are a record holder of our ordinary shares and wish to transfer your rights to another person, you may do so by completing the transfer form on the back of your certificate and submitting it to American Stock Transfer &amp; Trust Co., as Rights Agent, prior to _________ __, 2005 (23 days after the record date). If</w:t>
      </w:r>
    </w:p>
    <w:p>
      <w:pPr>
        <w:ind w:right="20"/>
        <w:spacing w:after="0" w:line="281" w:lineRule="auto"/>
        <w:rPr>
          <w:sz w:val="20"/>
          <w:szCs w:val="20"/>
          <w:color w:val="auto"/>
        </w:rPr>
      </w:pPr>
      <w:r>
        <w:rPr>
          <w:rFonts w:ascii="Arial" w:cs="Arial" w:eastAsia="Arial" w:hAnsi="Arial"/>
          <w:sz w:val="16"/>
          <w:szCs w:val="16"/>
          <w:color w:val="auto"/>
        </w:rPr>
        <w:t>you wish to sell your rights on the NASDAQ SmallCap Market or the Tel Aviv Stock Exchange, you should independently engage a broker to execute this sale on your behalf. The rights will be listed for trading on these exchanges during their regular trading hours for one day only on _____, 2005 (21 days after the record</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date). In connection with our September 2002 rights offering which was conducted simultaneously on NASDAQ and the Tel Aviv Stock Exchange, in which we offered shares and warrants to purchase our shares, the rights were listed for trading on NASDAQ, although no bid or asked prices were ever quoted by any market makers and there was no trading.</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After you exercise your rights, can you change your mind?</w:t>
      </w:r>
    </w:p>
    <w:p>
      <w:pPr>
        <w:spacing w:after="0" w:line="31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No. You cannot revoke the exercise of your rights, even if you later learn information about us that you consider to be unfavorable. You should not send the completed exercise form on the back of the rights certificate unless you are certain that you wish to purchase the debentures.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Is exercising your rights risky?</w:t>
      </w:r>
    </w:p>
    <w:p>
      <w:pPr>
        <w:spacing w:after="0" w:line="299"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Yes. The exercise of your rights involves substantial risks. Exercising your rights means buying additional securities, and you should carefully consider this purchase as you would do with respect to any other debt or equity investments. Among other things, you should carefully consider the risks described under “Risk Factors.”</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Do you have to exercise your rights?</w:t>
      </w:r>
    </w:p>
    <w:p>
      <w:pPr>
        <w:spacing w:after="0" w:line="299"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No. However, if you do not exercise your rights and other shareholders do and then convert their debentures into ordinary shares, the percentage of our ordinary shares that you own will diminish, and your voting and other rights will be diluted.</w:t>
      </w:r>
    </w:p>
    <w:p>
      <w:pPr>
        <w:spacing w:after="0" w:line="26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you sell or give away your rights?</w:t>
      </w:r>
    </w:p>
    <w:p>
      <w:pPr>
        <w:sectPr>
          <w:pgSz w:w="11900" w:h="16847" w:orient="portrait"/>
          <w:cols w:equalWidth="0" w:num="1">
            <w:col w:w="11420"/>
          </w:cols>
          <w:pgMar w:left="240" w:top="131" w:right="239" w:bottom="0" w:gutter="0" w:footer="0" w:header="0"/>
        </w:sectPr>
      </w:pPr>
    </w:p>
    <w:bookmarkStart w:id="6" w:name="page7"/>
    <w:bookmarkEnd w:id="6"/>
    <w:p>
      <w:pPr>
        <w:ind w:left="360"/>
        <w:spacing w:after="0"/>
        <w:rPr>
          <w:sz w:val="20"/>
          <w:szCs w:val="20"/>
          <w:color w:val="auto"/>
        </w:rPr>
      </w:pPr>
      <w:r>
        <w:rPr>
          <w:rFonts w:ascii="Arial" w:cs="Arial" w:eastAsia="Arial" w:hAnsi="Arial"/>
          <w:sz w:val="16"/>
          <w:szCs w:val="16"/>
          <w:color w:val="auto"/>
        </w:rPr>
        <w:t>Yes. You may transfer or sell, at any time prior to the expiration date (_________ __, 2005, at 5:00 p.m. New York time, (midnight, Israel time), 23 days</w:t>
      </w:r>
    </w:p>
    <w:p>
      <w:pPr>
        <w:spacing w:after="0" w:line="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after the record date), all or a portion of the rights. You are responsible for all commissions, fees and other expenses, including brokerage commissions and transfer taxes, incurred in connection with the purchase or sale of rights. The unexercised rights will be listed for trading on the NASDAQ SmallCap Market and on the Tel Aviv Stock Exchange for one day only on ________ __, 2005 (21 days after the record date). For further details regarding trading in our rights, please see “The Rights Offering–Transferability of Rights.”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Some of the tax consequences of selling your rights for certain U.S. and Israeli shareholders are described herein under the heading “Material Income Tax Considerations.” You are, however, advised to seek specific tax advice from your personal tax advisor, as this prospectus does not summarize all tax consequences arising under U.S state tax laws, tax laws outside of the U.S. and Israel or any tax laws relating to special tax circumstances or particular types of taxpayers.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are the federal income tax and Israeli income tax consequences of exercising your rights?</w:t>
      </w:r>
    </w:p>
    <w:p>
      <w:pPr>
        <w:spacing w:after="0" w:line="231" w:lineRule="exact"/>
        <w:rPr>
          <w:sz w:val="20"/>
          <w:szCs w:val="20"/>
          <w:color w:val="auto"/>
        </w:rPr>
      </w:pPr>
    </w:p>
    <w:p>
      <w:pPr>
        <w:ind w:right="140" w:firstLine="348"/>
        <w:spacing w:after="0" w:line="286" w:lineRule="auto"/>
        <w:rPr>
          <w:sz w:val="20"/>
          <w:szCs w:val="20"/>
          <w:color w:val="auto"/>
        </w:rPr>
      </w:pPr>
      <w:r>
        <w:rPr>
          <w:rFonts w:ascii="Arial" w:cs="Arial" w:eastAsia="Arial" w:hAnsi="Arial"/>
          <w:sz w:val="16"/>
          <w:szCs w:val="16"/>
          <w:color w:val="auto"/>
        </w:rPr>
        <w:t>The receipt and exercise of your rights are intended to be nontaxable and no ruling from the U.S. Internal Revenue Service or the Israeli Income Tax Authority will be sought. Therefore, you should seek specific tax advice from your personal tax advisor. The receipt of rights under our employee share option plans is not taxable in Israel, however, the sale and exercise of rights received under our employee share option plans are taxable in Israel (see “Material Income Tax Considerations–Israeli Tax Considerations”). Either the receipt of rights under our employee share option plans or the sale and exercise of rights received under our employee share option plans will be taxable in the U.S. (see “Material Income Tax Considerations–United States Tax Considerations”). We have requested a ruling from the Israeli Tax Authority providing that the exercise of rights received under our employee share option plans will not be taxed and that the employee will only be taxed upon the sale of the debentures or the sale of the shares issued pursuant to the conversion of the debentures. We cannot assure you that we will receive a favorable ruling from the Israeli Tax Authority or whether such ruling will be provided in a timely manner. Disclosure of the material income tax consequences in the United States resulting from the distribution of the rights to a U.S. holder, and related transactions by the U.S. holder, including the exercise or expiration of rights, the conversion of debentures and the disposition of rights, debentures or ordinary shares issuable upon conversion of the debentures is included under “Material Income Tax Considerations–United States Tax Considerations”. This prospectus does not conclusively summarize tax consequences arising under U.S. state tax laws, tax laws outside of the U.S. and Israel or any tax laws relating to special tax circumstances or particular types of taxpayers.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happens if you choose not to exercise your rights?</w:t>
      </w:r>
    </w:p>
    <w:p>
      <w:pPr>
        <w:spacing w:after="0" w:line="312" w:lineRule="exact"/>
        <w:rPr>
          <w:sz w:val="20"/>
          <w:szCs w:val="20"/>
          <w:color w:val="auto"/>
        </w:rPr>
      </w:pPr>
    </w:p>
    <w:p>
      <w:pPr>
        <w:ind w:firstLine="345"/>
        <w:spacing w:after="0" w:line="287" w:lineRule="auto"/>
        <w:rPr>
          <w:sz w:val="20"/>
          <w:szCs w:val="20"/>
          <w:color w:val="auto"/>
        </w:rPr>
      </w:pPr>
      <w:r>
        <w:rPr>
          <w:rFonts w:ascii="Arial" w:cs="Arial" w:eastAsia="Arial" w:hAnsi="Arial"/>
          <w:sz w:val="16"/>
          <w:szCs w:val="16"/>
          <w:color w:val="auto"/>
        </w:rPr>
        <w:t>You will retain your current number of ordinary shares even if you do not exercise your rights. However, if you do not exercise your rights and other shareholders and/or eligible employee option holders who receive rights do and then convert their debentures into ordinary shares, the percentage of our ordinary shares that you own will diminish, and your voting and other rights will be diluted. For example, if only our major shareholders — Israel Corp., SanDisk Corporation, Alliance Semiconductor Corporation and Macronix International Co. Ltd., — exercise rights which they have committed to exercise for the purchase of an aggregate of $25.5 million principal amount of convertible debentures, and assuming the conversion of the $25.5 million principal amount of debentures purchased by these shareholders into our ordinary shares at a conversion rate of $1.10 per share, the percentage of our ordinary shares held collectively by these major shareholders will increase from approximately 63% to approximately 72.5% (the percentage of our ordinary shares held by Israel Corp. will increase from approximately 21.5% to approximately 36%), and the percentage of our ordinary shares held by our other shareholders will decrease from approximately 37% to approximately 27.5%. None of these major shareholders have indicated whether or not they intend to convert the debentures purchased by them in this rights offering.</w:t>
      </w:r>
    </w:p>
    <w:p>
      <w:pPr>
        <w:spacing w:after="0" w:line="17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you hold 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and you do not provide notice of your exercise of the rights or give any other instructions by the time determined by your broker on ____ __, 2005 (21 days after the record date),</w:t>
      </w:r>
    </w:p>
    <w:p>
      <w:pPr>
        <w:ind w:right="20"/>
        <w:spacing w:after="0" w:line="261" w:lineRule="auto"/>
        <w:rPr>
          <w:sz w:val="20"/>
          <w:szCs w:val="20"/>
          <w:color w:val="auto"/>
        </w:rPr>
      </w:pPr>
      <w:r>
        <w:rPr>
          <w:rFonts w:ascii="Arial" w:cs="Arial" w:eastAsia="Arial" w:hAnsi="Arial"/>
          <w:sz w:val="18"/>
          <w:szCs w:val="18"/>
          <w:color w:val="auto"/>
        </w:rPr>
        <w:t>under the rules of the Tel Aviv Stock Exchange, you will be considered to have provided an instruction to sell all your rights on the Tel Aviv Stock Exchange with no price limit.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Has our board of directors made a recommendation regarding this offering?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Our board of directors makes no recommendation to you about whether you should exercise any rights.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What should you do if you want to participate in this rights offering, but your shares are held in the name of your broker, dealer or other nominee?</w:t>
      </w:r>
    </w:p>
    <w:p>
      <w:pPr>
        <w:spacing w:after="0" w:line="266"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payable to your broker, dealer or other nominee. You should receive this form from your broker, custodian bank or other nominee. If you are a beneficial owner of our ordinary shares and hold them through a broker, dealer or other nominee (including a member of the Tel Aviv Stock Exchange), you should NOT return your exercise form or transfer the subscription payment directly to us. Your broker, dealer or other nominee will execute the exercise of your rights through the appropriate facilities. However, if you own your shares through a member of the Tel Aviv Stock Exchange, the rules of the Tel Aviv Stock Exchange provide that if no contrary instructions have been received from you by the time determined by your broker on ____ __, 2005 (21 days after the record date), you will be considered to have instructed your broker to sell all your rights on the Tel Aviv Stock Exchange with no price limit.</w:t>
      </w:r>
    </w:p>
    <w:p>
      <w:pPr>
        <w:spacing w:after="0" w:line="1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should you do if you are entitled to participate in this rights offering as a holder of eligible employee options?</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If you are a holder of employee options that entitle you to receive rights, you should expect to receive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procedures described under “The Rights Offering – Employee Option Holders.”</w:t>
      </w:r>
    </w:p>
    <w:p>
      <w:pPr>
        <w:sectPr>
          <w:pgSz w:w="11900" w:h="16838" w:orient="portrait"/>
          <w:cols w:equalWidth="0" w:num="1">
            <w:col w:w="11420"/>
          </w:cols>
          <w:pgMar w:left="240" w:top="131" w:right="239" w:bottom="0" w:gutter="0" w:footer="0" w:header="0"/>
        </w:sectPr>
      </w:pPr>
    </w:p>
    <w:bookmarkStart w:id="7" w:name="page8"/>
    <w:bookmarkEnd w:id="7"/>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What fees or charges apply if you exercise your rights?</w:t>
      </w:r>
    </w:p>
    <w:p>
      <w:pPr>
        <w:spacing w:after="0" w:line="299"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We are not charging any fee or sales commission to issue rights to you and we are not charging any fee or sales commission, other than the subscription price, to issue the debentures if you exercise your rights. If you exercise your rights through a broker, dealer or other nominee, you are responsible for paying any fees that may be charged thereby.</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this rights offering affect the price of our ordinary shares on the Tel Aviv Stock Exchange and on NASDAQ?</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NASDAQ will reduce the opening price of the ordinary shares at the opening of trading on the Ex-day, which is the first day that our ordinary shares will trade without entitlement to receive the rights, in accordance with its rules and customary practices to reflect the value of the rights that are being issued. This reduction will reflect the fact that persons purchasing our shares after the record date will not receive rights. The Ex-day will be the first trading day on NASDAQ following the record date; the Ex-day for the rights offering will, therefore, be _____ __, 2005. In accordance with the rules of the Tel Aviv Stock Exchange, the Tel Aviv Stock Exchange will not reduce the opening price of the ordinary shares at the opening of trading on the Ex-day.</w:t>
      </w:r>
    </w:p>
    <w:p>
      <w:pPr>
        <w:spacing w:after="0" w:line="2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When will you receive your new securities?</w:t>
      </w:r>
    </w:p>
    <w:p>
      <w:pPr>
        <w:spacing w:after="0" w:line="299" w:lineRule="exact"/>
        <w:rPr>
          <w:sz w:val="20"/>
          <w:szCs w:val="20"/>
          <w:color w:val="auto"/>
        </w:rPr>
      </w:pPr>
    </w:p>
    <w:p>
      <w:pPr>
        <w:ind w:right="160" w:firstLine="351"/>
        <w:spacing w:after="0" w:line="286" w:lineRule="auto"/>
        <w:rPr>
          <w:sz w:val="20"/>
          <w:szCs w:val="20"/>
          <w:color w:val="auto"/>
        </w:rPr>
      </w:pPr>
      <w:r>
        <w:rPr>
          <w:rFonts w:ascii="Arial" w:cs="Arial" w:eastAsia="Arial" w:hAnsi="Arial"/>
          <w:sz w:val="16"/>
          <w:szCs w:val="16"/>
          <w:color w:val="auto"/>
        </w:rPr>
        <w:t>If you exercise your rights in this rights offering and the Rights Agent has received your duly completed exercise form and your payment has cleared, your purchase of debentures will be effected at 5:00 p.m., New York City time (midnight, Israel time) on _______ __, 2005 (23 days after the record date), and you</w:t>
      </w:r>
    </w:p>
    <w:p>
      <w:pPr>
        <w:ind w:right="100"/>
        <w:spacing w:after="0" w:line="255" w:lineRule="auto"/>
        <w:rPr>
          <w:sz w:val="20"/>
          <w:szCs w:val="20"/>
          <w:color w:val="auto"/>
        </w:rPr>
      </w:pPr>
      <w:r>
        <w:rPr>
          <w:rFonts w:ascii="Arial" w:cs="Arial" w:eastAsia="Arial" w:hAnsi="Arial"/>
          <w:sz w:val="18"/>
          <w:szCs w:val="18"/>
          <w:color w:val="auto"/>
        </w:rPr>
        <w:t>will receive certificates representing the debentures purchased upon exercise of the rights as soon as practicable thereafter. Brokers may be unwilling to sell your debentures until you have received certificates representing your debentures. Trading in the debentures on the Tel Aviv Stock Exchange and NASDAQ will commence on ______ __, 2005 (30 days after the date of this prospectus).</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Can we withdraw the rights offering?</w:t>
      </w:r>
    </w:p>
    <w:p>
      <w:pPr>
        <w:spacing w:after="0" w:line="299" w:lineRule="exact"/>
        <w:rPr>
          <w:sz w:val="20"/>
          <w:szCs w:val="20"/>
          <w:color w:val="auto"/>
        </w:rPr>
      </w:pPr>
    </w:p>
    <w:p>
      <w:pPr>
        <w:ind w:right="120" w:firstLine="345"/>
        <w:spacing w:after="0" w:line="259" w:lineRule="auto"/>
        <w:rPr>
          <w:sz w:val="20"/>
          <w:szCs w:val="20"/>
          <w:color w:val="auto"/>
        </w:rPr>
      </w:pPr>
      <w:r>
        <w:rPr>
          <w:rFonts w:ascii="Arial" w:cs="Arial" w:eastAsia="Arial" w:hAnsi="Arial"/>
          <w:sz w:val="18"/>
          <w:szCs w:val="18"/>
          <w:color w:val="auto"/>
        </w:rPr>
        <w:t>Yes. Our board of directors may withdraw the rights offering in its sole discretion at any time prior to 5:00 p.m. New York City time (midnight, Israel time) on _________ __, 2005 (the record date, two Tel Aviv Stock Exchange trading days after the date of this prospectus), for any reason (including, without limitation, a change in the market price of our ordinary shares).</w:t>
      </w:r>
    </w:p>
    <w:p>
      <w:pPr>
        <w:spacing w:after="0" w:line="26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much money will we receive from the rights offering?</w:t>
      </w:r>
    </w:p>
    <w:p>
      <w:pPr>
        <w:spacing w:after="0" w:line="299"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amount of gross proceeds from the rights offering depends on the number of rights that are exercised and, consequently, on the number of debentures convertible into our ordinary shares that are purchased. We will receive gross proceeds of $25.5 million from the purchase of convertible debentures by our four major shareholders as described under “The Rights Offering – Committed Purchases.” If all the rights are exercised, we will receive gross proceeds of $50 million.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Members of our management have not provided us with any indication as to whether they will exercise rights to be granted to them.</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will we use the proceeds from the rights offering?</w:t>
      </w:r>
    </w:p>
    <w:p>
      <w:pPr>
        <w:spacing w:after="0" w:line="29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will use the proceeds generated from the exercise of rights in this rights offering towards the further ramp-up and deployment of Fab 2 and for marketing expenses for the sale of our products and services as well as for general corporate purposes, including working capital.</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How many shares will be outstanding after the rights offering if all the debentures are converted?</w:t>
      </w:r>
    </w:p>
    <w:p>
      <w:pPr>
        <w:spacing w:after="0" w:line="231"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of the date of this prospectus, 66,707,609 of our ordinary shares were issued and outstanding. The issuance of debentures under this rights offering will not directly affect the number of our outstanding ordinary shares. However, the number of ordinary shares that will be outstanding after the conversion of the debentures depends on the number of rights that are exercised, as well as the conversion rate. If all the rights are exercised in full, and assuming that all of the debentures are converted into ordinary shares at a conversion rate of one ordinary share per each $1.10 of outstanding principal of debentures, 112,162,154 of our ordinary shares will be outstanding.</w:t>
      </w:r>
    </w:p>
    <w:p>
      <w:pPr>
        <w:spacing w:after="0" w:line="19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If no debentures are purchased other than the $25.5 million of debentures which our four major shareholders have committed to purchase and all such debentures are converted into ordinary shares at a conversion rate of $1.10 per share, 89,889,427 of our ordinary shares will be outstanding.</w:t>
      </w:r>
    </w:p>
    <w:p>
      <w:pPr>
        <w:spacing w:after="0" w:line="139"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above numbers do not take into account any adjustment to the conversion rate or the exercise or conversion of other outstanding options, warrants or other rights to purchase our ordinary shares.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RECENT DEVELOPMENTS</w:t>
      </w:r>
    </w:p>
    <w:p>
      <w:pPr>
        <w:spacing w:after="0" w:line="312"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July 2005, we entered into an amendment to the credit facility agreement with our banks, which closed in August 2005. The amendment provides for financing from our banks in the amount of up to approximately $30 million, subject to a similar amount being raised by us from investors through the issuance of shares or convertible debentures. In connection with the amendment, our four major shareholders have agreed to invest an aggregate of $25.5 million towards this funding requirement in a rights offering.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amendment to the credit facility agreement contains the following material terms: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may draw down up to $23.5 million through the end of March 2006, $21.1 million of which has been drawn down to date.</w:t>
      </w:r>
    </w:p>
    <w:p>
      <w:pPr>
        <w:spacing w:after="0" w:line="252" w:lineRule="exact"/>
        <w:rPr>
          <w:sz w:val="20"/>
          <w:szCs w:val="20"/>
          <w:color w:val="auto"/>
        </w:rPr>
      </w:pPr>
    </w:p>
    <w:p>
      <w:pPr>
        <w:jc w:val="right"/>
        <w:ind w:left="1160" w:right="44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We are obligated to raise at least $23.5 million through the issuance of shares or convertible debentures by October 31, 2005, which we are raising through this offering. Our banks have agreed to extend this date to November 30, 2005 and we and our banks are preparing a formal</w:t>
      </w:r>
    </w:p>
    <w:p>
      <w:pPr>
        <w:sectPr>
          <w:pgSz w:w="11900" w:h="16840" w:orient="portrait"/>
          <w:cols w:equalWidth="0" w:num="1">
            <w:col w:w="11400"/>
          </w:cols>
          <w:pgMar w:left="240" w:top="125" w:right="259" w:bottom="0" w:gutter="0" w:footer="0" w:header="0"/>
        </w:sectPr>
      </w:pPr>
    </w:p>
    <w:bookmarkStart w:id="8" w:name="page9"/>
    <w:bookmarkEnd w:id="8"/>
    <w:p>
      <w:pPr>
        <w:jc w:val="both"/>
        <w:ind w:left="1160" w:right="180"/>
        <w:spacing w:after="0" w:line="259" w:lineRule="auto"/>
        <w:rPr>
          <w:sz w:val="20"/>
          <w:szCs w:val="20"/>
          <w:color w:val="auto"/>
        </w:rPr>
      </w:pPr>
      <w:r>
        <w:rPr>
          <w:rFonts w:ascii="Arial" w:cs="Arial" w:eastAsia="Arial" w:hAnsi="Arial"/>
          <w:sz w:val="18"/>
          <w:szCs w:val="18"/>
          <w:color w:val="auto"/>
        </w:rPr>
        <w:t>agreement to such effect. In order for us to draw down up to an aggregate of approximately $30 million through the end of March 2006, which includes the $23.5 million currently available to us as mentioned above, we must raise an additional $6.5 million through the issuance of shares or convertible debentures by March 31, 2006.</w:t>
      </w:r>
    </w:p>
    <w:p>
      <w:pPr>
        <w:spacing w:after="0" w:line="221"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—Loans under the amendment are to be repaid within 12 to 15 months from the date the loan is received by us; our banks have agreed to discuss (but without any obligation on their part to agree) longer repayment schedules.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loans under the amendment bear interest at an annual rate of three-month Libor plus 2.5%.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56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 issued warrants to our banks exercisable for 8,264,464 ordinary shares with an exercise price of $1.21 per share, one-half of which are exercisable only if and when our banks agree to reschedule the repayment dates of the loans under this amendment.</w:t>
      </w:r>
    </w:p>
    <w:p>
      <w:pPr>
        <w:spacing w:after="0" w:line="166" w:lineRule="exact"/>
        <w:rPr>
          <w:sz w:val="20"/>
          <w:szCs w:val="20"/>
          <w:color w:val="auto"/>
        </w:rPr>
      </w:pPr>
    </w:p>
    <w:p>
      <w:pPr>
        <w:ind w:left="1160" w:right="32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obligation to raise $26 million from specified sources, in addition to the $30 million described above, was postponed from December 31, 2005 to June 30, 2006 (See “Description of Debentures – Subordination of Debentures – Events of Default under the Facility Agreement”).</w:t>
      </w:r>
    </w:p>
    <w:p>
      <w:pPr>
        <w:spacing w:after="0" w:line="166" w:lineRule="exact"/>
        <w:rPr>
          <w:sz w:val="20"/>
          <w:szCs w:val="20"/>
          <w:color w:val="auto"/>
        </w:rPr>
      </w:pPr>
    </w:p>
    <w:p>
      <w:pPr>
        <w:ind w:left="1160" w:right="8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Israel Corp. invests at least $14 million through the purchase of the convertible debentures or equity, its undertaking in favor of our banks to purchase securities from us in the event we fail to raise the $26 million from specified sources by June 30, 2006 will terminate (See “Description of Debentures – Subordination of Debentures –Events of Default under the Facility Agreement”).</w:t>
      </w:r>
    </w:p>
    <w:p>
      <w:pPr>
        <w:spacing w:after="0" w:line="187" w:lineRule="exact"/>
        <w:rPr>
          <w:sz w:val="20"/>
          <w:szCs w:val="20"/>
          <w:color w:val="auto"/>
        </w:rPr>
      </w:pPr>
    </w:p>
    <w:p>
      <w:pPr>
        <w:ind w:left="1160" w:right="80" w:hanging="567"/>
        <w:spacing w:after="0" w:line="268" w:lineRule="auto"/>
        <w:rPr>
          <w:sz w:val="20"/>
          <w:szCs w:val="20"/>
          <w:color w:val="auto"/>
        </w:rPr>
      </w:pPr>
      <w:r>
        <w:rPr>
          <w:rFonts w:ascii="Arial" w:cs="Arial" w:eastAsia="Arial" w:hAnsi="Arial"/>
          <w:sz w:val="18"/>
          <w:szCs w:val="18"/>
          <w:color w:val="auto"/>
        </w:rPr>
        <w:t>—Israel Corp.‘s undertaking in favor of our banks to purchase securities from us in the event we fail to raise the $26 million from specified sources by June 30, 2006 was extended from June 30, 2006 to December 31, 2006.</w:t>
      </w:r>
    </w:p>
    <w:p>
      <w:pPr>
        <w:spacing w:after="0" w:line="212" w:lineRule="exact"/>
        <w:rPr>
          <w:sz w:val="20"/>
          <w:szCs w:val="20"/>
          <w:color w:val="auto"/>
        </w:rPr>
      </w:pPr>
    </w:p>
    <w:p>
      <w:pPr>
        <w:ind w:left="1160" w:right="260" w:hanging="567"/>
        <w:spacing w:after="0" w:line="268" w:lineRule="auto"/>
        <w:rPr>
          <w:sz w:val="20"/>
          <w:szCs w:val="20"/>
          <w:color w:val="auto"/>
        </w:rPr>
      </w:pPr>
      <w:r>
        <w:rPr>
          <w:rFonts w:ascii="Arial" w:cs="Arial" w:eastAsia="Arial" w:hAnsi="Arial"/>
          <w:sz w:val="18"/>
          <w:szCs w:val="18"/>
          <w:color w:val="auto"/>
        </w:rPr>
        <w:t>—We must comply with updated financial ratios and covenants through September 30, 2006, which relate to periodic sales and periodic earnings before interest, taxes, depreciation and amortization (EBITDA).</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debentures that are convertible into our ordinary shares.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raise the funds required by the amendment to our credit facility agreement, we may not be able to maintain our operations.</w:t>
      </w:r>
    </w:p>
    <w:p>
      <w:pPr>
        <w:spacing w:after="0" w:line="254"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accordance with the July 2005 amendment to our credit facility agreement, in addition to $26 million which we are required to raise by the end of June 2006, we are required to raise $23.5 million by October 31, 2005, and an additional $6.5 million by March 31, 2006 through sales of equity or convertible debentures. Our banks have agreed to extend the October 31, 2005 date to November 30, 2005 and we and our banks are preparing a formal agreement to such effect. If we are unable to raise the $23.5 million amount described above, we do not expect to have adequate liquidity to meet our short-term activities and liabilities during the next three to six months and may have to cease our operations. If we raise the $23.5 million and the $6.5 million amounts in accordance with our amended facility agreement, we will still need to raise additional funds in order to finance our short-term activities and liabilities in 2006, at least until we achieve positive cash flows from our operations. (For a description of the material terms of the July 2005 amendment to our credit facility agreement, see “Recent Developments” above.)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Fab 2 production capacity at the end of June 2005 was 14,600 200-mm wafers per month and we currently expect to have production capacity of 15,400 wafers per month by the end of 2005. Depending on the process technology and product mix, when fully ramped-up we estimate that Fab 2 will be able to achieve capacity levels of up to 36,000 wafers per month. We have not completed the acquisition, installation, equipping and financing necessary in order for production at our Fab 2 facility to reach such levels. Our determination as to the timing of the increase in Fab 2‘s production levels is dependent on prevailing and forecasted market conditions and our ability to fund these increases. We need to complete the qualification process of the 0.13-micron technology transferred from Freescale Semiconductor, Inc. (formerly Motorola, Inc.) to Fab 2 and develop new process technologies for Fab 2 in order to suit our customers’ needs. The ramp-up of Fab 2 is a substantial and complex project.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have sufficient funds to fully equip Fab 2, our business will be materially adversely affected.</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Fab 2‘s cost is estimated to be approximately $1.5 billion, including costs of construction, equipment, installation, libraries, intellectual property, technology transfers and other related ramp-up and pre-operation costs. However, the actual total cost of Fab 2 may exceed our estimates. If we cannot successfully raise sufficient funding to complete the ramp-up and to fund other related costs, we will be required to scale back our equipment purchases and capacity forecasts, and, as a result, we will not fully utilize the substantial investment made in constructing Fab 2, which will adversely affect our financial results.</w:t>
      </w:r>
    </w:p>
    <w:p>
      <w:pPr>
        <w:sectPr>
          <w:pgSz w:w="11900" w:h="16838" w:orient="portrait"/>
          <w:cols w:equalWidth="0" w:num="1">
            <w:col w:w="11420"/>
          </w:cols>
          <w:pgMar w:left="240" w:top="131" w:right="239" w:bottom="0" w:gutter="0" w:footer="0" w:header="0"/>
        </w:sectPr>
      </w:pPr>
    </w:p>
    <w:bookmarkStart w:id="9" w:name="page10"/>
    <w:bookmarkEnd w:id="9"/>
    <w:p>
      <w:pPr>
        <w:ind w:right="580"/>
        <w:spacing w:after="0" w:line="275" w:lineRule="auto"/>
        <w:rPr>
          <w:sz w:val="20"/>
          <w:szCs w:val="20"/>
          <w:color w:val="auto"/>
        </w:rPr>
      </w:pPr>
      <w:r>
        <w:rPr>
          <w:rFonts w:ascii="Arial" w:cs="Arial" w:eastAsia="Arial" w:hAnsi="Arial"/>
          <w:sz w:val="18"/>
          <w:szCs w:val="18"/>
          <w:b w:val="1"/>
          <w:bCs w:val="1"/>
          <w:color w:val="auto"/>
        </w:rPr>
        <w:t>If we do not meet conditions to receive the Israeli government grants and tax benefits approved for Fab 2, we may be required to seek alternative financing sources.</w:t>
      </w:r>
    </w:p>
    <w:p>
      <w:pPr>
        <w:spacing w:after="0" w:line="180" w:lineRule="exact"/>
        <w:rPr>
          <w:sz w:val="20"/>
          <w:szCs w:val="20"/>
          <w:color w:val="auto"/>
        </w:rPr>
      </w:pPr>
    </w:p>
    <w:p>
      <w:pPr>
        <w:ind w:right="40" w:firstLine="351"/>
        <w:spacing w:after="0" w:line="285"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August 31, 2005, we received $156 million in grants from the Investment Center. To be eligible to receive grants, we are required to invest minimum amounts on an annual basis. We notified the Investment Center of our reduced rate of annual investments and in July 2004, we received approval of our revised investment schedule from the Investment Center. In addition, we are required to complete our Fab 2 investments by the end of 2005, which we do not currently expect to satisfy since we have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We have been holding discussions with the Investment Center to achieve satisfactory arrangements to approve a new expansion program to commence on January 1, 2006. In 2005, at the Investment Center’s request, we submitted a revised business plan to the Investment Center for the period commencing on January 1, 2006. Currently, we cannot estimate when the Investment Center will conclude its review of our revised business plan, when we will receive a formal response to our request for a new expansion program to commence on January 1, 2006 or if the Investment Center will approve our request. There can be no assurance that we will obtain the Investment Center’s approval for the new expansion program. Any failure by us to meet the conditions of our grants may result in the cancellation of all or a portion of our grants to be received and tax benefits and in the Investment Center requiring us to repay all or a portion of grants already received. If this were to happen, we would be required to seek alternative financing sources to refund the grants we received and complete the ramp-up of Fab 2. If we do not succeed in finding alternative financing sources, we would be required to close our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future operations do not increase or if we fail to raise additional funding, we may be unable to repay our debt on a timely basis.</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may from time to time lack liquidity to finance our ramp up of Fab 2. Accordingly, there is no assurance that our future operations will increase or that we will succeed in raising the additional funding required for the completion of the ramp up of Fab 2. As a result, we may be unable to repay on time or repay at all our short-term and long-term debt consisting mainly of trade accounts payable, bank debt and convertible debentures. If we foresee that we will be unable to secure additional financing, we may have to revise our anticipated operations, or even cease our operations. We cannot assure you we will be successful at negotiating price reductions and arrangements to slow down or postpone payments to our suppliers and service providers when we have liquidity problems and any postponement of payments may delay our ramp-up of Fab 2 and therefore significantly harm our financial results.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be profitable.</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be profitable.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operate at a loss for the foreseeable future, which may adversely affect our business and company.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of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ectPr>
          <w:pgSz w:w="11900" w:h="16838" w:orient="portrait"/>
          <w:cols w:equalWidth="0" w:num="1">
            <w:col w:w="11420"/>
          </w:cols>
          <w:pgMar w:left="240" w:top="125" w:right="239" w:bottom="0" w:gutter="0" w:footer="0" w:header="0"/>
        </w:sectPr>
      </w:pPr>
    </w:p>
    <w:bookmarkStart w:id="10" w:name="page11"/>
    <w:bookmarkEnd w:id="10"/>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w:t>
      </w:r>
    </w:p>
    <w:p>
      <w:pPr>
        <w:spacing w:after="0" w:line="200" w:lineRule="exact"/>
        <w:rPr>
          <w:sz w:val="20"/>
          <w:szCs w:val="20"/>
          <w:color w:val="auto"/>
        </w:rPr>
      </w:pPr>
    </w:p>
    <w:p>
      <w:pPr>
        <w:spacing w:after="0" w:line="268"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w:t>
      </w:r>
    </w:p>
    <w:p>
      <w:pPr>
        <w:spacing w:after="0" w:line="133"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dependant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the six months ended June 30, 2005, approximately 61% of our business was generated by four significant customers that contributed 29%, 16%, 10% and 6% of our revenues, respectively. We expect to continue to receive a significant portion of our revenue from a limited number of customers in 2005. Loss or cancellation of business from, or decreases in, the sales volume or sales prices to our significant customers,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ectPr>
          <w:pgSz w:w="11900" w:h="16909" w:orient="portrait"/>
          <w:cols w:equalWidth="0" w:num="1">
            <w:col w:w="11420"/>
          </w:cols>
          <w:pgMar w:left="240" w:top="131" w:right="239" w:bottom="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evolving industry standards;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at all or in a timely manner.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400" w:firstLine="348"/>
        <w:spacing w:after="0" w:line="255" w:lineRule="auto"/>
        <w:rPr>
          <w:sz w:val="20"/>
          <w:szCs w:val="20"/>
          <w:color w:val="auto"/>
        </w:rPr>
      </w:pPr>
      <w:r>
        <w:rPr>
          <w:rFonts w:ascii="Arial" w:cs="Arial" w:eastAsia="Arial" w:hAnsi="Arial"/>
          <w:sz w:val="18"/>
          <w:szCs w:val="18"/>
          <w:color w:val="auto"/>
        </w:rPr>
        <w:t>The semiconductor foundry industry is highly competitive. We compete with more than ten independent dedicated foundries, the majority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Many of our competitors may have one or more of the following competitive advantages over us: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have a large amount of long-term debt, which could have significant negative consequences. As of August 31, 2005, we had approximately $510 million of bank debt and approximately $26 million of debt in connection with our issuance of convertible debentures in January 2002. In addition, the debentures that may be issued in connection with this rights offering will increase our amount of long-term debt. Our current and future indebtedness could have significant negative consequences, including:</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credit facility, under which we have drawn down $518.1 million to date, requires that we comply with certain financial, capital raising and production milestone covenants. In the July 2005 amendment to our credit facility agreement, our banks agreed to amend our financial ratios and covenants through the third quarter of 2006. (For a description of the material terms of the July 2005 amendment to our credit facility agreement, see “Recent Developments” above.) Should we fail to comply with our revised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ectPr>
          <w:pgSz w:w="11900" w:h="16838" w:orient="portrait"/>
          <w:cols w:equalWidth="0" w:num="1">
            <w:col w:w="11360"/>
          </w:cols>
          <w:pgMar w:left="240" w:top="125" w:right="299" w:bottom="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Pursuant to an amendment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provides for limits on amounts that banks may lend to borrowers or groups of borrowers. Should our banks exceed these limitations, they may limit our ability to borrow other money in the future and may require us to return some or all of our outstanding borrowings (which were $510.4 million as of August 31, 2005), which may have a material adverse effect on our business, financial condition and results of operations.</w:t>
      </w:r>
    </w:p>
    <w:p>
      <w:pPr>
        <w:spacing w:after="0" w:line="192"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pacing w:after="0" w:line="180"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168"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may increase our cost of operations.</w:t>
      </w:r>
    </w:p>
    <w:p>
      <w:pPr>
        <w:spacing w:after="0" w:line="23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Almost all of our cash generated from operations and from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w:t>
      </w:r>
    </w:p>
    <w:p>
      <w:pPr>
        <w:spacing w:after="0" w:line="161" w:lineRule="exact"/>
        <w:rPr>
          <w:sz w:val="20"/>
          <w:szCs w:val="20"/>
          <w:color w:val="auto"/>
        </w:rPr>
      </w:pPr>
    </w:p>
    <w:p>
      <w:pPr>
        <w:jc w:val="both"/>
        <w:ind w:right="26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depend on third party intellectual property in order for us to provide foundry and design services to our clients. If problems or delays arise with respect to the timely development, quality and provision of such intellectual property to us, our customers’ design and production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defend our intellectual property rights could harm our business.</w:t>
      </w:r>
    </w:p>
    <w:p>
      <w:pPr>
        <w:spacing w:after="0" w:line="25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plaintiff in any such action against other parties. However, we have been subject to such claims in the past, all of which have been resolved through license agreements, the terms of which have not had a material effect on our business. One of these agreements expires at the end of 2005, and if we are unable to extend or renew it on similar terms, we may have to agree to less favorable terms or consider other alternatives, including designing around certain processes.</w:t>
      </w:r>
    </w:p>
    <w:p>
      <w:pPr>
        <w:spacing w:after="0" w:line="172"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discontinuing use of certain process technologies, architectures, or designs, which could cause us to stop manufacturing certain integrated circuits</w:t>
      </w:r>
    </w:p>
    <w:p>
      <w:pPr>
        <w:sectPr>
          <w:pgSz w:w="11900" w:h="16838" w:orient="portrait"/>
          <w:cols w:equalWidth="0" w:num="1">
            <w:col w:w="11420"/>
          </w:cols>
          <w:pgMar w:left="240" w:top="131" w:right="239" w:bottom="0" w:gutter="0" w:footer="0" w:header="0"/>
        </w:sectPr>
      </w:pPr>
    </w:p>
    <w:bookmarkStart w:id="13" w:name="page14"/>
    <w:bookmarkEnd w:id="13"/>
    <w:p>
      <w:pPr>
        <w:ind w:left="1160"/>
        <w:spacing w:after="0"/>
        <w:rPr>
          <w:sz w:val="20"/>
          <w:szCs w:val="20"/>
          <w:color w:val="auto"/>
        </w:rPr>
      </w:pPr>
      <w:r>
        <w:rPr>
          <w:rFonts w:ascii="Arial" w:cs="Arial" w:eastAsia="Arial" w:hAnsi="Arial"/>
          <w:sz w:val="18"/>
          <w:szCs w:val="18"/>
          <w:color w:val="auto"/>
        </w:rPr>
        <w:t>if we were unable to design around the allegedly infringed patents;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As of June 30, 2005, we held 53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Israel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Since 2003, 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 such as the earthquakes experienced in China, Japan and Taiwan;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ectPr>
          <w:pgSz w:w="11900" w:h="16838" w:orient="portrait"/>
          <w:cols w:equalWidth="0" w:num="1">
            <w:col w:w="11400"/>
          </w:cols>
          <w:pgMar w:left="240" w:top="131" w:right="259" w:bottom="0" w:gutter="0" w:footer="0" w:header="0"/>
        </w:sectPr>
      </w:pPr>
    </w:p>
    <w:bookmarkStart w:id="14" w:name="page15"/>
    <w:bookmarkEnd w:id="14"/>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new executive officers are unable to fully transition into their new positions, our company may be adversely affected.</w:t>
      </w:r>
    </w:p>
    <w:p>
      <w:pPr>
        <w:spacing w:after="0" w:line="231"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have made several changes to our senior management team in recent months. If our new executive officers are unable to fully transition into their new positions, or if such transition is significantly delayed, our company may be adversely affected.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 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Ordinary Shares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29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Issuance of additional shares pursuant to our Fab 2 financing arrangements and options granted to our Fab 2 building contractor, employees and directors may dilute the interest of our shareholders.</w:t>
      </w:r>
    </w:p>
    <w:p>
      <w:pPr>
        <w:spacing w:after="0" w:line="180" w:lineRule="exact"/>
        <w:rPr>
          <w:sz w:val="20"/>
          <w:szCs w:val="20"/>
          <w:color w:val="auto"/>
        </w:rPr>
      </w:pPr>
    </w:p>
    <w:p>
      <w:pPr>
        <w:ind w:right="220" w:firstLine="351"/>
        <w:spacing w:after="0" w:line="290" w:lineRule="auto"/>
        <w:rPr>
          <w:sz w:val="20"/>
          <w:szCs w:val="20"/>
          <w:color w:val="auto"/>
        </w:rPr>
      </w:pPr>
      <w:r>
        <w:rPr>
          <w:rFonts w:ascii="Arial" w:cs="Arial" w:eastAsia="Arial" w:hAnsi="Arial"/>
          <w:sz w:val="16"/>
          <w:szCs w:val="16"/>
          <w:color w:val="auto"/>
        </w:rPr>
        <w:t>In connection with Fab 2, we have issued as of August 31, 2005, 54,413,600 ordinary shares to our wafer and equity partners and other shareholders. In January 2001, we issued warrants to our banks exercisable into 400,000 ordinary shares with an exercise price of $6.20. In December 2003, we issued to our banks and to one of our shareholders warrants exercisable into 896,596 and 58,906 ordinary shares, respectively, with an exercise price of $6.17. In addition, in connection with the July 2005 amendment to our credit facility agreement, we issued warrants to our banks exercisable into 8,264,464 ordinary shares with an exercise price of $1.21, one-half of which shall only be exercisable if our banks agree to reschedule the repayment dates of the loans to be made available to us under the July 2005 amendment. Up to approximately 8.5 million additional ordinary shares may be issued upon the conversion of our outstanding convertible debentures and upon exercise of warrants held by some of our shareholders and others, our debenture holders and our Fab 2 contractor.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as of June 30, 2005, we had outstanding employee and directors options to purchase up to approximately 13 million shares at a weighted average exercise price of $4.32 (including a grant of options to our chief executive officer to purchase up to 1,325,724 shares which was approved by our board of directors and which is subject to approval of our shareholders), of which 4.3 million options have an exercise price below $1.71.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relevant quarter. As of August 31, 2005, we had issued 1,124,976 of our ordinary shares to SanDisk Corporation upon conversion of $2 million of wafer credits. As of August 31, 2005, an aggregate of $38.2 million of credits issued to our three major wafer partners were outstanding.</w:t>
      </w:r>
    </w:p>
    <w:p>
      <w:pPr>
        <w:spacing w:after="0" w:line="17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In addition, we will seek to raise significant additional funds from other sources. These investments may be for shares or for securities convertible into shares, which would materially dilute the holdings of our current shareholders.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Of our 66,707,609 outstanding ordinary shares as of August 31, 2005, 24,589,143 are freely tradable and held by non-affiliates, and an additional 108,951 shares held by non-affiliates are eligible for sale pursuant to Rule 144 under the Securities Act of 1933, subject to the time, volume and manner of sale limitations of Rule 144. In addition, certain of our affiliates (Israel Corp., SanDisk Corporation, Alliance Semiconductor, and Macronix International) hold 42,009,515 of our shares, of which 4,086,037 are registered for resale and are therefore freely tradable and 36,810,462 are currently eligible for sale subject to the time, volume and manner of sale limitations of Rule 144. An additional 1,113,016 shares held by SanDisk Corporation will become eligible for sale subject to the time, volume and manner of sale limitations of Rule 144 during 2005 and 2006. Shares held by these affiliates are subject to the share transfer restrictions set forth in the shareholders agreement to which they are a party and which remain in effect through January 2008.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16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interest in ways which may be adverse to your interests.</w:t>
      </w:r>
    </w:p>
    <w:p>
      <w:pPr>
        <w:spacing w:after="0" w:line="180"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Our wafer partners and Israel Corp. collectively own approximately 63% of our outstanding shares. Under our articles of association, two shareholders holding together 33% of our outstanding shares constitute a quorum for conducting a shareholders meeting. Our wafer partners and Israel Corp. could constitute a</w:t>
      </w:r>
    </w:p>
    <w:p>
      <w:pPr>
        <w:sectPr>
          <w:pgSz w:w="11900" w:h="16921" w:orient="portrait"/>
          <w:cols w:equalWidth="0" w:num="1">
            <w:col w:w="11420"/>
          </w:cols>
          <w:pgMar w:left="240" w:top="131" w:right="239" w:bottom="0" w:gutter="0" w:footer="0" w:header="0"/>
        </w:sectPr>
      </w:pPr>
    </w:p>
    <w:bookmarkStart w:id="15" w:name="page16"/>
    <w:bookmarkEnd w:id="15"/>
    <w:p>
      <w:pPr>
        <w:ind w:right="40"/>
        <w:spacing w:after="0" w:line="291" w:lineRule="auto"/>
        <w:rPr>
          <w:sz w:val="20"/>
          <w:szCs w:val="20"/>
          <w:color w:val="auto"/>
        </w:rPr>
      </w:pPr>
      <w:r>
        <w:rPr>
          <w:rFonts w:ascii="Arial" w:cs="Arial" w:eastAsia="Arial" w:hAnsi="Arial"/>
          <w:sz w:val="16"/>
          <w:szCs w:val="16"/>
          <w:color w:val="auto"/>
        </w:rPr>
        <w:t>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the Rights Offering</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do not exercise all of your rights, you may suffer significant dilution of your percentage ownership of our ordinary shares.</w:t>
      </w:r>
    </w:p>
    <w:p>
      <w:pPr>
        <w:spacing w:after="0" w:line="231" w:lineRule="exact"/>
        <w:rPr>
          <w:sz w:val="20"/>
          <w:szCs w:val="20"/>
          <w:color w:val="auto"/>
        </w:rPr>
      </w:pPr>
    </w:p>
    <w:p>
      <w:pPr>
        <w:jc w:val="both"/>
        <w:ind w:firstLine="348"/>
        <w:spacing w:after="0" w:line="302" w:lineRule="auto"/>
        <w:rPr>
          <w:sz w:val="20"/>
          <w:szCs w:val="20"/>
          <w:color w:val="auto"/>
        </w:rPr>
      </w:pPr>
      <w:r>
        <w:rPr>
          <w:rFonts w:ascii="Arial" w:cs="Arial" w:eastAsia="Arial" w:hAnsi="Arial"/>
          <w:sz w:val="15"/>
          <w:szCs w:val="15"/>
          <w:color w:val="auto"/>
        </w:rPr>
        <w:t>This rights offering is designed to enable us to raise capital while allowing all shareholders on the record date to invest in our company. The interests of all shareholders, including those who exercise all of the rights we are distributing will be diluted to the extent that the eligible employee option holders exercise the rights being granted to them and convert the debentures purchased thereunder into our ordinary shares. In connection with the July 2005 amendment to our credit facility agreement, two of our major shareholders have committed and are obligated to exercise all or some of the rights distributed to them. Israel Corp., which as of the date of this prospectus owns approximately 21.4% of our outstanding share capital on a non-diluted basis, has committed and is obligated to exercise 100% of its rights for the purchase of approximately $10.29 million of debentures. SanDisk Corporation, which as of the date of this prospectus owns approximately</w:t>
      </w:r>
    </w:p>
    <w:p>
      <w:pPr>
        <w:spacing w:after="0" w:line="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15.1% of our outstanding share capital on a non-diluted basis, has committed and is obligated to exercise approximately 48.2% of its rights for the purchase of $3.5 million of debentures. In addition, Alliance Semiconductor and Macronix International Co. Ltd., which as of the date of this prospectus own approximately 13.4% and 13.2%, respectively, of our outstanding share capital on a non-diluted basis, have committed to exercise approximately 15.6% and 15.8%, respectively, of their rights, for the purchase of $1 million each of debentures. In addition, SanDisk Corporation, Alliance Semiconductor and Macronix International Co. Ltd have agreed to transfer to Israel Corp. a portion of their unexercised rights, which Israel Corp. has committed and is obligated to exercise, such that Israel Corp. will purchase an aggregate of $20 million in debentures (including the $10.29 million referred to above). To the extent that you do not exercise your rights, but rights are exercised by other shareholders and/or eligible employee option holders who receive rights in this rights offering and the debentures purchased thereunder are converted into our ordinary shares, your percentage ownership of our expanded equity and voting rights will be diluted.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payment of principal of and interest on the debentures is subordinated to our indebtedness to our banks and obligations to secured creditors.</w:t>
      </w:r>
    </w:p>
    <w:p>
      <w:pPr>
        <w:spacing w:after="0" w:line="254"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payment of the principal of and interest on the debentures is subordinated to the prior payment of all amounts payable by us to Bank Hapoalim B.M and Bank Leumi Le-Israel Ltd. under our credit facility agreement with them, to any obligations to the Investment Center of the Israeli Ministry of Industry, Trade and Labor related to $156 million in grants received through August 31, 2005 under the Investment Center’s “Approved Enterprise” program, and to a first ranking charge in favor of Siliconix Technology C.V., on one of our bank accounts in which Siliconix Technology C.V. deposited in 2004 $20 million for the purchase of equipment and other expenses in connection with the performance of our obligations under our agreement with Siliconix (of which as of August 31, 2005, there is a balance of approximately $10 million) and over the equipment which has been or which may be subsequently purchased with such funds. As a result, upon any distribution to our creditors in liquidation or reorganization or similar proceedings, these secured creditors will be entitled to be paid in full before any payment may be made with respect to the debentures issuable under this prospectus. In any of these circumstances, we may not have sufficient assets remaining to pay amounts due on any or all of the debentures then outstanding. In addition, if on a payment date of the principal of or interest on the debentures, an “Event of Default” exists under our facility agreement, the dates for payment of interest and principal on the debentures may be postponed, depending on various scenarios under the facility agreement. If, in such event, we reach an agreement with the banks (with respect to rescheduling our debt to the banks), the debenture holders may be bound thereby. The terms of the Indenture permit the Co-Trustees to initiate legal proceedings against us only in a limited number of cases, and always provided that an advance notice is given to us and to the banks (see “Description of the Debentures – Subordination of Debentures”).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 including indebtedness that would be senior to our debentures.</w:t>
      </w:r>
    </w:p>
    <w:p>
      <w:pPr>
        <w:spacing w:after="0" w:line="231" w:lineRule="exact"/>
        <w:rPr>
          <w:sz w:val="20"/>
          <w:szCs w:val="20"/>
          <w:color w:val="auto"/>
        </w:rPr>
      </w:pPr>
    </w:p>
    <w:p>
      <w:pPr>
        <w:ind w:right="200" w:firstLine="341"/>
        <w:spacing w:after="0" w:line="259" w:lineRule="auto"/>
        <w:rPr>
          <w:sz w:val="20"/>
          <w:szCs w:val="20"/>
          <w:color w:val="auto"/>
        </w:rPr>
      </w:pPr>
      <w:r>
        <w:rPr>
          <w:rFonts w:ascii="Arial" w:cs="Arial" w:eastAsia="Arial" w:hAnsi="Arial"/>
          <w:sz w:val="18"/>
          <w:szCs w:val="18"/>
          <w:color w:val="auto"/>
        </w:rPr>
        <w:t>Although we are limited by the covenants in the facility agreement, we could enter into certain transactions that would increase the amount of our outstanding senior indebtedness. It is possible that all or part of these borrowings would be senior to the debentures. If new indebtedness is added to our current indebtedness levels, the related risks that we now face could intensify.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ordinary shares may decline after debentures are converted into our ordinary shares.</w:t>
      </w:r>
    </w:p>
    <w:p>
      <w:pPr>
        <w:spacing w:after="0" w:line="231"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cannot assure you that the public trading market price of our ordinary shares will not decline after you elect to convert your debentures. If the prevailing market price were to decline below the conversion rate of our debentures then you may not be able to sell your ordinary shares at a price equal to or greater than the conversion rate.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Once you exercise your rights, you may not revoke the exercise.</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Once you exercise your rights, you may not revoke the exercise, even if less than all of the rights that we are offering are actually exercised.</w:t>
      </w:r>
    </w:p>
    <w:p>
      <w:pPr>
        <w:spacing w:after="0" w:line="24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the debentures are automatically converted into our ordinary shares in accordance with their terms, the indebtedness represented by your debentures will not be repaid in cash.</w:t>
      </w:r>
    </w:p>
    <w:p>
      <w:pPr>
        <w:spacing w:after="0" w:line="180"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The debentures will automatically convert into our ordinary shares if, during the 12 or 18 month period after issuance of the debentures, we consummate one or more financings in which we receive aggregate proceeds that, together with the proceeds from this rights offering, equal or exceed $60 million; provided that the average closing price of our ordinary shares on NASDAQ (or such other stock exchange or quotation system on which our ordinary shares are listed in the event that they cease to be traded on NASDAQ) during the 30 consecutive trading days prior to, and on the trading day preceding, the last day of such period, is at least 10% higher than the conversion rate then applicable to the debentures being offered in this rights offering. If the debentures are automatically converted into our ordinary shares, the indebtedness represented by your debentures will not be repaid in cash and accrued interest will not be paid. For more information, see “Description of the Debentures – Mandatory Conversion”.</w:t>
      </w:r>
    </w:p>
    <w:p>
      <w:pPr>
        <w:sectPr>
          <w:pgSz w:w="11900" w:h="16838" w:orient="portrait"/>
          <w:cols w:equalWidth="0" w:num="1">
            <w:col w:w="11420"/>
          </w:cols>
          <w:pgMar w:left="240" w:top="131" w:right="239" w:bottom="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Neither the subscription price nor the conversion rate of the debentures is an indication of our present or future value.</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board of directors set all of the terms and conditions of the rights offering, including the subscription price and conversion rate. Our company’s objective in establishing the subscription price and conversion rate was to reflect recent trading prices, raise the targeted proceeds and provide all of our shareholders with a reasonable opportunity to make an additional investment in our company. In establishing the subscription price and conversion rate, our board of directors considered the following factors: the strategic alternatives available to us for raising capital, the market price of our ordinary shares, the pro rata nature of the offering, pricing of similar transactions, our business prospects and general conditions in the securities markets. The subscription price and conversion rate, however, do not necessarily bear any relationship to our past or expected future results of operations, cash flows, current financial condition, or any other established criteria for value.</w:t>
      </w:r>
    </w:p>
    <w:p>
      <w:pPr>
        <w:spacing w:after="0" w:line="201"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Neither the subscription price nor the conversion rate necessarily bears any relationship to the book value of our assets, past operations, cash flow, losses or financial condition. You should not consider either the subscription price for the rights nor the conversion rate of the debentures as an indication of our present or future value. We have neither sought nor obtained a valuation opinion from an outside financial consultant or investment banker.</w:t>
      </w:r>
    </w:p>
    <w:p>
      <w:pPr>
        <w:spacing w:after="0" w:line="2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have no impact on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In recent years, Israel has experienced periods of recession in economic activity, resulting in low growth rates and growing unemployment. Our operations could be adversely affected if the economic conditions in Israel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on December 31, 2005.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100" w:firstLine="348"/>
        <w:spacing w:after="0" w:line="307" w:lineRule="auto"/>
        <w:rPr>
          <w:sz w:val="20"/>
          <w:szCs w:val="20"/>
          <w:color w:val="auto"/>
        </w:rPr>
      </w:pPr>
      <w:r>
        <w:rPr>
          <w:rFonts w:ascii="Arial" w:cs="Arial" w:eastAsia="Arial" w:hAnsi="Arial"/>
          <w:sz w:val="15"/>
          <w:szCs w:val="15"/>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w:t>
      </w:r>
    </w:p>
    <w:p>
      <w:pPr>
        <w:sectPr>
          <w:pgSz w:w="11900" w:h="16838" w:orient="portrait"/>
          <w:cols w:equalWidth="0" w:num="1">
            <w:col w:w="11420"/>
          </w:cols>
          <w:pgMar w:left="240" w:top="125" w:right="239" w:bottom="0" w:gutter="0" w:footer="0" w:header="0"/>
        </w:sectPr>
      </w:pPr>
    </w:p>
    <w:bookmarkStart w:id="17" w:name="page18"/>
    <w:bookmarkEnd w:id="17"/>
    <w:p>
      <w:pPr>
        <w:ind w:right="80"/>
        <w:spacing w:after="0" w:line="291" w:lineRule="auto"/>
        <w:rPr>
          <w:sz w:val="20"/>
          <w:szCs w:val="20"/>
          <w:color w:val="auto"/>
        </w:rPr>
      </w:pPr>
      <w:r>
        <w:rPr>
          <w:rFonts w:ascii="Arial" w:cs="Arial" w:eastAsia="Arial" w:hAnsi="Arial"/>
          <w:sz w:val="16"/>
          <w:szCs w:val="16"/>
          <w:color w:val="auto"/>
        </w:rPr>
        <w:t>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 may be difficult to enforce a U.S. judgment against us, our officers and directors and some of the experts named in this annual report or to assert U.S.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312"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ratio of earnings to fixed charges in accordance with Israeli GAAP for the periods presented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7"/>
              </w:rPr>
              <w:t>Six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June 30, 2005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5"/>
          </w:tcPr>
          <w:p>
            <w:pPr>
              <w:ind w:left="90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1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2004</w:t>
            </w:r>
          </w:p>
        </w:tc>
        <w:tc>
          <w:tcPr>
            <w:tcW w:w="118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2003</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2002</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62"/>
              <w:spacing w:after="0"/>
              <w:rPr>
                <w:sz w:val="20"/>
                <w:szCs w:val="20"/>
                <w:color w:val="auto"/>
              </w:rPr>
            </w:pPr>
            <w:r>
              <w:rPr>
                <w:rFonts w:ascii="Arial" w:cs="Arial" w:eastAsia="Arial" w:hAnsi="Arial"/>
                <w:sz w:val="14"/>
                <w:szCs w:val="14"/>
                <w:b w:val="1"/>
                <w:bCs w:val="1"/>
                <w:color w:val="auto"/>
              </w:rPr>
              <w:t>2001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160" w:type="dxa"/>
            <w:vAlign w:val="bottom"/>
            <w:vMerge w:val="restart"/>
          </w:tcPr>
          <w:p>
            <w:pPr>
              <w:spacing w:after="0"/>
              <w:rPr>
                <w:sz w:val="20"/>
                <w:szCs w:val="20"/>
                <w:color w:val="auto"/>
              </w:rPr>
            </w:pPr>
            <w:r>
              <w:rPr>
                <w:rFonts w:ascii="Arial" w:cs="Arial" w:eastAsia="Arial" w:hAnsi="Arial"/>
                <w:sz w:val="18"/>
                <w:szCs w:val="18"/>
                <w:color w:val="auto"/>
              </w:rPr>
              <w:t>Ratio of earnings to fixed</w:t>
            </w: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1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charges</w:t>
            </w:r>
          </w:p>
        </w:tc>
        <w:tc>
          <w:tcPr>
            <w:tcW w:w="1580" w:type="dxa"/>
            <w:vAlign w:val="bottom"/>
          </w:tcPr>
          <w:p>
            <w:pPr>
              <w:jc w:val="right"/>
              <w:ind w:right="67"/>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(2)</w:t>
            </w:r>
          </w:p>
        </w:tc>
        <w:tc>
          <w:tcPr>
            <w:tcW w:w="1180" w:type="dxa"/>
            <w:vAlign w:val="bottom"/>
            <w:gridSpan w:val="2"/>
          </w:tcPr>
          <w:p>
            <w:pPr>
              <w:jc w:val="right"/>
              <w:ind w:right="9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(3)</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82"/>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(5)</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__</w:t>
            </w:r>
            <w:r>
              <w:rPr>
                <w:rFonts w:ascii="Arial" w:cs="Arial" w:eastAsia="Arial" w:hAnsi="Arial"/>
                <w:sz w:val="14"/>
                <w:szCs w:val="14"/>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35"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Earnings as adjusted were inadequate to cover fixed charges by $100.5 million for the six months ended June 30, 2005.</w:t>
      </w:r>
    </w:p>
    <w:p>
      <w:pPr>
        <w:spacing w:after="0" w:line="7" w:lineRule="exact"/>
        <w:rPr>
          <w:rFonts w:ascii="Arial" w:cs="Arial" w:eastAsia="Arial" w:hAnsi="Arial"/>
          <w:sz w:val="29"/>
          <w:szCs w:val="29"/>
          <w:color w:val="auto"/>
          <w:vertAlign w:val="superscript"/>
        </w:rPr>
      </w:pPr>
    </w:p>
    <w:p>
      <w:pPr>
        <w:ind w:left="580" w:hanging="572"/>
        <w:spacing w:after="0" w:line="181"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$134.2 million in 2004.</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$127.3 million in 2003.</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$63.7 million in 2002.</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$49.5 million in 2001.</w:t>
      </w:r>
    </w:p>
    <w:p>
      <w:pPr>
        <w:spacing w:after="0" w:line="7" w:lineRule="exact"/>
        <w:rPr>
          <w:rFonts w:ascii="Arial" w:cs="Arial" w:eastAsia="Arial" w:hAnsi="Arial"/>
          <w:sz w:val="24"/>
          <w:szCs w:val="24"/>
          <w:color w:val="auto"/>
          <w:vertAlign w:val="superscript"/>
        </w:rPr>
      </w:pPr>
    </w:p>
    <w:p>
      <w:pPr>
        <w:ind w:left="580" w:hanging="572"/>
        <w:spacing w:after="0" w:line="181" w:lineRule="auto"/>
        <w:tabs>
          <w:tab w:leader="none" w:pos="580" w:val="left"/>
        </w:tabs>
        <w:numPr>
          <w:ilvl w:val="0"/>
          <w:numId w:val="16"/>
        </w:numPr>
        <w:rPr>
          <w:rFonts w:ascii="Arial" w:cs="Arial" w:eastAsia="Arial" w:hAnsi="Arial"/>
          <w:sz w:val="24"/>
          <w:szCs w:val="24"/>
          <w:color w:val="auto"/>
          <w:vertAlign w:val="superscript"/>
        </w:rPr>
      </w:pPr>
      <w:r>
        <w:rPr>
          <w:rFonts w:ascii="Arial" w:cs="Arial" w:eastAsia="Arial" w:hAnsi="Arial"/>
          <w:sz w:val="15"/>
          <w:szCs w:val="15"/>
          <w:color w:val="auto"/>
        </w:rPr>
        <w:t>Earnings as adjusted were inadequate to cover fixed charges by $3.5 million in 2000.</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following table sets forth our long-term debt, convertible debentures and capitalization as of June 30, 2005 on an actual basis, on an as adjusted basis to reflect the issuance of the debentures that are convertible into our ordinary shares issuable upon exercise of the rights we are distributing (excluding the conversion of the debentures) and on an adjusted basis to reflect only the issuance of the debentures that are convertible into our ordinary shares to our four largest shareholders pursuant to their commitments to purchase an aggregate of $25.5 million principal amount of convertible debentures (excluding the conversion of the debentures).</w:t>
      </w:r>
    </w:p>
    <w:p>
      <w:pPr>
        <w:spacing w:after="0" w:line="192"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June 30,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68580</wp:posOffset>
            </wp:positionV>
            <wp:extent cx="24180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192" w:lineRule="exact"/>
        <w:rPr>
          <w:sz w:val="20"/>
          <w:szCs w:val="20"/>
          <w:color w:val="auto"/>
        </w:rPr>
      </w:pPr>
    </w:p>
    <w:p>
      <w:pPr>
        <w:ind w:left="8020"/>
        <w:spacing w:after="0"/>
        <w:tabs>
          <w:tab w:leader="none" w:pos="9180" w:val="left"/>
          <w:tab w:leader="none" w:pos="10420" w:val="left"/>
        </w:tabs>
        <w:rPr>
          <w:sz w:val="20"/>
          <w:szCs w:val="20"/>
          <w:color w:val="auto"/>
        </w:rPr>
      </w:pPr>
      <w:r>
        <w:rPr>
          <w:rFonts w:ascii="Arial" w:cs="Arial" w:eastAsia="Arial" w:hAnsi="Arial"/>
          <w:sz w:val="14"/>
          <w:szCs w:val="14"/>
          <w:b w:val="1"/>
          <w:bCs w:val="1"/>
          <w:color w:val="auto"/>
        </w:rPr>
        <w:t>Actual*</w:t>
      </w:r>
      <w:r>
        <w:rPr>
          <w:sz w:val="20"/>
          <w:szCs w:val="20"/>
          <w:color w:val="auto"/>
        </w:rPr>
        <w:tab/>
      </w:r>
      <w:r>
        <w:rPr>
          <w:rFonts w:ascii="Arial" w:cs="Arial" w:eastAsia="Arial" w:hAnsi="Arial"/>
          <w:sz w:val="14"/>
          <w:szCs w:val="14"/>
          <w:b w:val="1"/>
          <w:bCs w:val="1"/>
          <w:color w:val="auto"/>
        </w:rPr>
        <w:t>As Adjusted</w:t>
      </w:r>
      <w:r>
        <w:rPr>
          <w:rFonts w:ascii="Arial" w:cs="Arial" w:eastAsia="Arial" w:hAnsi="Arial"/>
          <w:sz w:val="22"/>
          <w:szCs w:val="22"/>
          <w:b w:val="1"/>
          <w:bCs w:val="1"/>
          <w:color w:val="auto"/>
          <w:vertAlign w:val="superscript"/>
        </w:rPr>
        <w:t>(1)</w:t>
      </w:r>
      <w:r>
        <w:rPr>
          <w:sz w:val="20"/>
          <w:szCs w:val="20"/>
          <w:color w:val="auto"/>
        </w:rPr>
        <w:tab/>
      </w:r>
      <w:r>
        <w:rPr>
          <w:rFonts w:ascii="Arial" w:cs="Arial" w:eastAsia="Arial" w:hAnsi="Arial"/>
          <w:sz w:val="11"/>
          <w:szCs w:val="11"/>
          <w:b w:val="1"/>
          <w:bCs w:val="1"/>
          <w:color w:val="auto"/>
        </w:rPr>
        <w:t>As Adjusted</w:t>
      </w:r>
      <w:r>
        <w:rPr>
          <w:rFonts w:ascii="Arial" w:cs="Arial" w:eastAsia="Arial" w:hAnsi="Arial"/>
          <w:sz w:val="17"/>
          <w:szCs w:val="17"/>
          <w:b w:val="1"/>
          <w:b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4815840</wp:posOffset>
            </wp:positionH>
            <wp:positionV relativeFrom="paragraph">
              <wp:posOffset>30480</wp:posOffset>
            </wp:positionV>
            <wp:extent cx="24269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4"/>
        </w:trPr>
        <w:tc>
          <w:tcPr>
            <w:tcW w:w="75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(U.S. dollars in thousands)</w:t>
            </w: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36"/>
        </w:trPr>
        <w:tc>
          <w:tcPr>
            <w:tcW w:w="75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216"/>
        </w:trPr>
        <w:tc>
          <w:tcPr>
            <w:tcW w:w="7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Current maturities of existing convertibles debentures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220" w:type="dxa"/>
            <w:vAlign w:val="bottom"/>
            <w:shd w:val="clear" w:color="auto" w:fill="CCEEFF"/>
          </w:tcPr>
          <w:p>
            <w:pPr>
              <w:spacing w:after="0"/>
              <w:rPr>
                <w:sz w:val="18"/>
                <w:szCs w:val="18"/>
                <w:color w:val="auto"/>
              </w:rPr>
            </w:pPr>
          </w:p>
        </w:tc>
      </w:tr>
      <w:tr>
        <w:trPr>
          <w:trHeight w:val="500"/>
        </w:trPr>
        <w:tc>
          <w:tcPr>
            <w:tcW w:w="7560" w:type="dxa"/>
            <w:vAlign w:val="bottom"/>
          </w:tcPr>
          <w:p>
            <w:pPr>
              <w:ind w:left="6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29"/>
                <w:szCs w:val="29"/>
                <w:color w:val="auto"/>
                <w:vertAlign w:val="superscript"/>
              </w:rPr>
              <w:t>(2)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497,000</w:t>
            </w: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497,000</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497,000</w:t>
            </w:r>
          </w:p>
        </w:tc>
        <w:tc>
          <w:tcPr>
            <w:tcW w:w="220" w:type="dxa"/>
            <w:vAlign w:val="bottom"/>
          </w:tcPr>
          <w:p>
            <w:pPr>
              <w:spacing w:after="0"/>
              <w:rPr>
                <w:sz w:val="24"/>
                <w:szCs w:val="24"/>
                <w:color w:val="auto"/>
              </w:rPr>
            </w:pPr>
          </w:p>
        </w:tc>
      </w:tr>
      <w:tr>
        <w:trPr>
          <w:trHeight w:val="216"/>
        </w:trPr>
        <w:tc>
          <w:tcPr>
            <w:tcW w:w="7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Convertible debentures (existing)</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18,992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220" w:type="dxa"/>
            <w:vAlign w:val="bottom"/>
            <w:shd w:val="clear" w:color="auto" w:fill="CCEEFF"/>
          </w:tcPr>
          <w:p>
            <w:pPr>
              <w:spacing w:after="0"/>
              <w:rPr>
                <w:sz w:val="18"/>
                <w:szCs w:val="18"/>
                <w:color w:val="auto"/>
              </w:rPr>
            </w:pPr>
          </w:p>
        </w:tc>
      </w:tr>
      <w:tr>
        <w:trPr>
          <w:trHeight w:val="216"/>
        </w:trPr>
        <w:tc>
          <w:tcPr>
            <w:tcW w:w="7560" w:type="dxa"/>
            <w:vAlign w:val="bottom"/>
          </w:tcPr>
          <w:p>
            <w:pPr>
              <w:ind w:left="60"/>
              <w:spacing w:after="0"/>
              <w:rPr>
                <w:sz w:val="20"/>
                <w:szCs w:val="20"/>
                <w:color w:val="auto"/>
              </w:rPr>
            </w:pPr>
            <w:r>
              <w:rPr>
                <w:rFonts w:ascii="Arial" w:cs="Arial" w:eastAsia="Arial" w:hAnsi="Arial"/>
                <w:sz w:val="18"/>
                <w:szCs w:val="18"/>
                <w:color w:val="auto"/>
              </w:rPr>
              <w:t>Convertible debentures offered in this rights offering</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25,500</w:t>
            </w:r>
          </w:p>
        </w:tc>
        <w:tc>
          <w:tcPr>
            <w:tcW w:w="220" w:type="dxa"/>
            <w:vAlign w:val="bottom"/>
          </w:tcPr>
          <w:p>
            <w:pPr>
              <w:spacing w:after="0"/>
              <w:rPr>
                <w:sz w:val="18"/>
                <w:szCs w:val="18"/>
                <w:color w:val="auto"/>
              </w:rPr>
            </w:pPr>
          </w:p>
        </w:tc>
      </w:tr>
      <w:tr>
        <w:trPr>
          <w:trHeight w:val="216"/>
        </w:trPr>
        <w:tc>
          <w:tcPr>
            <w:tcW w:w="7560" w:type="dxa"/>
            <w:vAlign w:val="bottom"/>
            <w:shd w:val="clear" w:color="auto" w:fill="CCEEFF"/>
          </w:tcPr>
          <w:p>
            <w:pPr>
              <w:ind w:left="60"/>
              <w:spacing w:after="0"/>
              <w:rPr>
                <w:sz w:val="20"/>
                <w:szCs w:val="20"/>
                <w:color w:val="auto"/>
              </w:rPr>
            </w:pPr>
            <w:r>
              <w:rPr>
                <w:rFonts w:ascii="Arial" w:cs="Arial" w:eastAsia="Arial" w:hAnsi="Arial"/>
                <w:sz w:val="18"/>
                <w:szCs w:val="18"/>
                <w:color w:val="auto"/>
              </w:rPr>
              <w:t>Long-term liability in respect of customer advances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62,007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62,007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62,007</w:t>
            </w:r>
          </w:p>
        </w:tc>
        <w:tc>
          <w:tcPr>
            <w:tcW w:w="220" w:type="dxa"/>
            <w:vAlign w:val="bottom"/>
            <w:shd w:val="clear" w:color="auto" w:fill="CCEEFF"/>
          </w:tcPr>
          <w:p>
            <w:pPr>
              <w:spacing w:after="0"/>
              <w:rPr>
                <w:sz w:val="18"/>
                <w:szCs w:val="18"/>
                <w:color w:val="auto"/>
              </w:rPr>
            </w:pPr>
          </w:p>
        </w:tc>
      </w:tr>
      <w:tr>
        <w:trPr>
          <w:trHeight w:val="208"/>
        </w:trPr>
        <w:tc>
          <w:tcPr>
            <w:tcW w:w="7560" w:type="dxa"/>
            <w:vAlign w:val="bottom"/>
          </w:tcPr>
          <w:p>
            <w:pPr>
              <w:ind w:left="60"/>
              <w:spacing w:after="0"/>
              <w:rPr>
                <w:sz w:val="20"/>
                <w:szCs w:val="20"/>
                <w:color w:val="auto"/>
              </w:rPr>
            </w:pPr>
            <w:r>
              <w:rPr>
                <w:rFonts w:ascii="Arial" w:cs="Arial" w:eastAsia="Arial" w:hAnsi="Arial"/>
                <w:sz w:val="18"/>
                <w:szCs w:val="18"/>
                <w:color w:val="auto"/>
              </w:rPr>
              <w:t>Shareholders' equity, NIS 1.00 par value per share;</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560" w:type="dxa"/>
            <w:vAlign w:val="bottom"/>
          </w:tcPr>
          <w:p>
            <w:pPr>
              <w:ind w:left="220"/>
              <w:spacing w:after="0"/>
              <w:rPr>
                <w:sz w:val="20"/>
                <w:szCs w:val="20"/>
                <w:color w:val="auto"/>
              </w:rPr>
            </w:pPr>
            <w:r>
              <w:rPr>
                <w:rFonts w:ascii="Arial" w:cs="Arial" w:eastAsia="Arial" w:hAnsi="Arial"/>
                <w:sz w:val="18"/>
                <w:szCs w:val="18"/>
                <w:color w:val="auto"/>
              </w:rPr>
              <w:t>250,000,000 authorized shares ***, 67,586,187 issued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7"/>
        </w:trPr>
        <w:tc>
          <w:tcPr>
            <w:tcW w:w="7560" w:type="dxa"/>
            <w:vAlign w:val="bottom"/>
          </w:tcPr>
          <w:p>
            <w:pPr>
              <w:ind w:left="220"/>
              <w:spacing w:after="0"/>
              <w:rPr>
                <w:sz w:val="20"/>
                <w:szCs w:val="20"/>
                <w:color w:val="auto"/>
              </w:rPr>
            </w:pPr>
            <w:r>
              <w:rPr>
                <w:rFonts w:ascii="Arial" w:cs="Arial" w:eastAsia="Arial" w:hAnsi="Arial"/>
                <w:sz w:val="18"/>
                <w:szCs w:val="18"/>
                <w:color w:val="auto"/>
              </w:rPr>
              <w:t>shares**; 66,286,187 outstanding shares and as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57"/>
        </w:trPr>
        <w:tc>
          <w:tcPr>
            <w:tcW w:w="7560" w:type="dxa"/>
            <w:vAlign w:val="bottom"/>
          </w:tcPr>
          <w:p>
            <w:pPr>
              <w:ind w:left="220"/>
              <w:spacing w:after="0" w:line="256" w:lineRule="exact"/>
              <w:rPr>
                <w:sz w:val="20"/>
                <w:szCs w:val="20"/>
                <w:color w:val="auto"/>
              </w:rPr>
            </w:pPr>
            <w:r>
              <w:rPr>
                <w:rFonts w:ascii="Arial" w:cs="Arial" w:eastAsia="Arial" w:hAnsi="Arial"/>
                <w:sz w:val="18"/>
                <w:szCs w:val="18"/>
                <w:color w:val="auto"/>
              </w:rPr>
              <w:t xml:space="preserve">adjusted </w:t>
            </w:r>
            <w:r>
              <w:rPr>
                <w:rFonts w:ascii="Arial" w:cs="Arial" w:eastAsia="Arial" w:hAnsi="Arial"/>
                <w:sz w:val="29"/>
                <w:szCs w:val="29"/>
                <w:color w:val="auto"/>
                <w:vertAlign w:val="superscript"/>
              </w:rPr>
              <w:t>(1)</w:t>
            </w:r>
            <w:r>
              <w:rPr>
                <w:rFonts w:ascii="Arial" w:cs="Arial" w:eastAsia="Arial" w:hAnsi="Arial"/>
                <w:sz w:val="18"/>
                <w:szCs w:val="18"/>
                <w:color w:val="auto"/>
              </w:rPr>
              <w:t>; 66,286,187 outstanding shares as</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64"/>
        </w:trPr>
        <w:tc>
          <w:tcPr>
            <w:tcW w:w="7560" w:type="dxa"/>
            <w:vAlign w:val="bottom"/>
          </w:tcPr>
          <w:p>
            <w:pPr>
              <w:ind w:left="220"/>
              <w:spacing w:after="0" w:line="263" w:lineRule="exact"/>
              <w:rPr>
                <w:sz w:val="20"/>
                <w:szCs w:val="20"/>
                <w:color w:val="auto"/>
              </w:rPr>
            </w:pPr>
            <w:r>
              <w:rPr>
                <w:rFonts w:ascii="Arial" w:cs="Arial" w:eastAsia="Arial" w:hAnsi="Arial"/>
                <w:sz w:val="18"/>
                <w:szCs w:val="18"/>
                <w:color w:val="auto"/>
              </w:rPr>
              <w:t xml:space="preserve">further adjusted </w:t>
            </w:r>
            <w:r>
              <w:rPr>
                <w:rFonts w:ascii="Arial" w:cs="Arial" w:eastAsia="Arial" w:hAnsi="Arial"/>
                <w:sz w:val="29"/>
                <w:szCs w:val="29"/>
                <w:color w:val="auto"/>
                <w:vertAlign w:val="superscript"/>
              </w:rPr>
              <w:t>(3)</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16,408</w:t>
            </w:r>
          </w:p>
        </w:tc>
        <w:tc>
          <w:tcPr>
            <w:tcW w:w="14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16,408</w:t>
            </w:r>
          </w:p>
        </w:tc>
        <w:tc>
          <w:tcPr>
            <w:tcW w:w="4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16,408</w:t>
            </w:r>
          </w:p>
        </w:tc>
        <w:tc>
          <w:tcPr>
            <w:tcW w:w="220" w:type="dxa"/>
            <w:vAlign w:val="bottom"/>
          </w:tcPr>
          <w:p>
            <w:pPr>
              <w:spacing w:after="0"/>
              <w:rPr>
                <w:sz w:val="22"/>
                <w:szCs w:val="22"/>
                <w:color w:val="auto"/>
              </w:rPr>
            </w:pPr>
          </w:p>
        </w:tc>
      </w:tr>
      <w:tr>
        <w:trPr>
          <w:trHeight w:val="21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518,286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518,286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518,286</w:t>
            </w:r>
          </w:p>
        </w:tc>
        <w:tc>
          <w:tcPr>
            <w:tcW w:w="2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60" w:type="dxa"/>
            <w:vAlign w:val="bottom"/>
          </w:tcPr>
          <w:p>
            <w:pPr>
              <w:ind w:left="60"/>
              <w:spacing w:after="0"/>
              <w:rPr>
                <w:sz w:val="20"/>
                <w:szCs w:val="20"/>
                <w:color w:val="auto"/>
              </w:rPr>
            </w:pPr>
            <w:r>
              <w:rPr>
                <w:rFonts w:ascii="Arial" w:cs="Arial" w:eastAsia="Arial" w:hAnsi="Arial"/>
                <w:sz w:val="18"/>
                <w:szCs w:val="18"/>
                <w:color w:val="auto"/>
              </w:rPr>
              <w:t>Shareholders receivables</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(26)</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r>
      <w:tr>
        <w:trPr>
          <w:trHeight w:val="110"/>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(459,232)</w:t>
            </w:r>
          </w:p>
        </w:tc>
        <w:tc>
          <w:tcPr>
            <w:tcW w:w="1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(459,232)</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(459,232)</w:t>
            </w:r>
          </w:p>
        </w:tc>
      </w:tr>
      <w:tr>
        <w:trPr>
          <w:trHeight w:val="108"/>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60" w:type="dxa"/>
            <w:vAlign w:val="bottom"/>
          </w:tcPr>
          <w:p>
            <w:pPr>
              <w:ind w:left="40"/>
              <w:spacing w:after="0"/>
              <w:rPr>
                <w:sz w:val="20"/>
                <w:szCs w:val="20"/>
                <w:color w:val="auto"/>
              </w:rPr>
            </w:pPr>
            <w:r>
              <w:rPr>
                <w:rFonts w:ascii="Arial" w:cs="Arial" w:eastAsia="Arial" w:hAnsi="Arial"/>
                <w:sz w:val="18"/>
                <w:szCs w:val="18"/>
                <w:color w:val="auto"/>
              </w:rPr>
              <w:t>Treasury stock, 1,300,000 shares</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(9,072)</w:t>
            </w:r>
          </w:p>
        </w:tc>
        <w:tc>
          <w:tcPr>
            <w:tcW w:w="1660" w:type="dxa"/>
            <w:vAlign w:val="bottom"/>
            <w:gridSpan w:val="3"/>
          </w:tcPr>
          <w:p>
            <w:pPr>
              <w:jc w:val="right"/>
              <w:ind w:right="380"/>
              <w:spacing w:after="0"/>
              <w:rPr>
                <w:sz w:val="20"/>
                <w:szCs w:val="20"/>
                <w:color w:val="auto"/>
              </w:rPr>
            </w:pPr>
            <w:r>
              <w:rPr>
                <w:rFonts w:ascii="Arial" w:cs="Arial" w:eastAsia="Arial" w:hAnsi="Arial"/>
                <w:sz w:val="18"/>
                <w:szCs w:val="18"/>
                <w:color w:val="auto"/>
              </w:rPr>
              <w:t>(9,072)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(9,072)</w:t>
            </w:r>
          </w:p>
        </w:tc>
      </w:tr>
      <w:tr>
        <w:trPr>
          <w:trHeight w:val="110"/>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102"/>
        </w:trPr>
        <w:tc>
          <w:tcPr>
            <w:tcW w:w="7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16"/>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66,364</w:t>
            </w:r>
          </w:p>
        </w:tc>
        <w:tc>
          <w:tcPr>
            <w:tcW w:w="220" w:type="dxa"/>
            <w:vAlign w:val="bottom"/>
            <w:shd w:val="clear" w:color="auto" w:fill="CCEEFF"/>
          </w:tcPr>
          <w:p>
            <w:pPr>
              <w:spacing w:after="0"/>
              <w:rPr>
                <w:sz w:val="18"/>
                <w:szCs w:val="18"/>
                <w:color w:val="auto"/>
              </w:rPr>
            </w:pPr>
          </w:p>
        </w:tc>
      </w:tr>
      <w:tr>
        <w:trPr>
          <w:trHeight w:val="108"/>
        </w:trPr>
        <w:tc>
          <w:tcPr>
            <w:tcW w:w="75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316"/>
        </w:trPr>
        <w:tc>
          <w:tcPr>
            <w:tcW w:w="7560" w:type="dxa"/>
            <w:vAlign w:val="bottom"/>
          </w:tcPr>
          <w:p>
            <w:pPr>
              <w:spacing w:after="0"/>
              <w:rPr>
                <w:sz w:val="20"/>
                <w:szCs w:val="20"/>
                <w:color w:val="auto"/>
              </w:rPr>
            </w:pPr>
            <w:r>
              <w:rPr>
                <w:rFonts w:ascii="Arial" w:cs="Arial" w:eastAsia="Arial" w:hAnsi="Arial"/>
                <w:sz w:val="18"/>
                <w:szCs w:val="18"/>
                <w:color w:val="auto"/>
              </w:rPr>
              <w:t>Total capitalization</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727,976</w:t>
            </w:r>
          </w:p>
        </w:tc>
        <w:tc>
          <w:tcPr>
            <w:tcW w:w="14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778,862</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754,362</w:t>
            </w:r>
          </w:p>
        </w:tc>
        <w:tc>
          <w:tcPr>
            <w:tcW w:w="220" w:type="dxa"/>
            <w:vAlign w:val="bottom"/>
          </w:tcPr>
          <w:p>
            <w:pPr>
              <w:spacing w:after="0"/>
              <w:rPr>
                <w:sz w:val="24"/>
                <w:szCs w:val="24"/>
                <w:color w:val="auto"/>
              </w:rPr>
            </w:pPr>
          </w:p>
        </w:tc>
      </w:tr>
      <w:tr>
        <w:trPr>
          <w:trHeight w:val="134"/>
        </w:trPr>
        <w:tc>
          <w:tcPr>
            <w:tcW w:w="756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106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This financial data is derived from unaudited condensed interim consolidated financial statements.</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Includes 1,300,000 treasury shares.</w:t>
      </w:r>
    </w:p>
    <w:p>
      <w:pPr>
        <w:spacing w:after="0" w:line="9" w:lineRule="exact"/>
        <w:rPr>
          <w:rFonts w:ascii="Arial" w:cs="Arial" w:eastAsia="Arial" w:hAnsi="Arial"/>
          <w:sz w:val="18"/>
          <w:szCs w:val="18"/>
          <w:color w:val="auto"/>
        </w:rPr>
      </w:pPr>
    </w:p>
    <w:p>
      <w:pPr>
        <w:ind w:left="580" w:right="240" w:hanging="581"/>
        <w:spacing w:after="0" w:line="250" w:lineRule="auto"/>
        <w:rPr>
          <w:rFonts w:ascii="Arial" w:cs="Arial" w:eastAsia="Arial" w:hAnsi="Arial"/>
          <w:sz w:val="18"/>
          <w:szCs w:val="18"/>
          <w:color w:val="auto"/>
        </w:rPr>
      </w:pPr>
      <w:r>
        <w:rPr>
          <w:rFonts w:ascii="Arial" w:cs="Arial" w:eastAsia="Arial" w:hAnsi="Arial"/>
          <w:sz w:val="18"/>
          <w:szCs w:val="18"/>
          <w:color w:val="auto"/>
        </w:rPr>
        <w:t>***In July 2005, our board of directors approved increasing our authorized share capital to 500 million ordinary shares, par value NIS 1.00 per share. This increase is subject to approval of our shareholders.</w:t>
      </w:r>
    </w:p>
    <w:p>
      <w:pPr>
        <w:spacing w:after="0" w:line="1" w:lineRule="exact"/>
        <w:rPr>
          <w:sz w:val="20"/>
          <w:szCs w:val="20"/>
          <w:color w:val="auto"/>
        </w:rPr>
      </w:pPr>
    </w:p>
    <w:p>
      <w:pPr>
        <w:ind w:left="580" w:right="60" w:hanging="572"/>
        <w:spacing w:after="0" w:line="214" w:lineRule="auto"/>
        <w:tabs>
          <w:tab w:leader="none" w:pos="58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As adjusted to reflect our issuance of $50,000,000 in principal amount of debentures convertible into our ordinary shares, assuming the exercise in full of all the rights distributed in this rights offering. The amounts as adjusted reflect the gross proceeds to be received from this rights offering.</w:t>
      </w:r>
    </w:p>
    <w:p>
      <w:pPr>
        <w:spacing w:after="0" w:line="1" w:lineRule="exact"/>
        <w:rPr>
          <w:rFonts w:ascii="Arial" w:cs="Arial" w:eastAsia="Arial" w:hAnsi="Arial"/>
          <w:sz w:val="26"/>
          <w:szCs w:val="26"/>
          <w:color w:val="auto"/>
          <w:vertAlign w:val="superscript"/>
        </w:rPr>
      </w:pPr>
    </w:p>
    <w:p>
      <w:pPr>
        <w:ind w:left="580" w:hanging="572"/>
        <w:spacing w:after="0" w:line="180" w:lineRule="auto"/>
        <w:tabs>
          <w:tab w:leader="none" w:pos="580" w:val="left"/>
        </w:tabs>
        <w:numPr>
          <w:ilvl w:val="0"/>
          <w:numId w:val="18"/>
        </w:numPr>
        <w:rPr>
          <w:rFonts w:ascii="Arial" w:cs="Arial" w:eastAsia="Arial" w:hAnsi="Arial"/>
          <w:sz w:val="25"/>
          <w:szCs w:val="25"/>
          <w:color w:val="auto"/>
          <w:vertAlign w:val="superscript"/>
        </w:rPr>
      </w:pPr>
      <w:r>
        <w:rPr>
          <w:rFonts w:ascii="Arial" w:cs="Arial" w:eastAsia="Arial" w:hAnsi="Arial"/>
          <w:sz w:val="15"/>
          <w:szCs w:val="15"/>
          <w:color w:val="auto"/>
        </w:rPr>
        <w:t>The indebtedness represented by long-term debt is secured by specific and floating liens on all of our assets.</w:t>
      </w:r>
    </w:p>
    <w:p>
      <w:pPr>
        <w:spacing w:after="0" w:line="8" w:lineRule="exact"/>
        <w:rPr>
          <w:rFonts w:ascii="Arial" w:cs="Arial" w:eastAsia="Arial" w:hAnsi="Arial"/>
          <w:sz w:val="25"/>
          <w:szCs w:val="25"/>
          <w:color w:val="auto"/>
          <w:vertAlign w:val="superscript"/>
        </w:rPr>
      </w:pPr>
    </w:p>
    <w:p>
      <w:pPr>
        <w:ind w:left="580" w:right="520" w:hanging="572"/>
        <w:spacing w:after="0" w:line="205" w:lineRule="auto"/>
        <w:tabs>
          <w:tab w:leader="none" w:pos="58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As adjusted to reflect the sale of $25,500,000 in principal amount of debentures convertible into our ordinary shares that Israel Corp.</w:t>
      </w:r>
      <w:r>
        <w:rPr>
          <w:rFonts w:ascii="Arial" w:cs="Arial" w:eastAsia="Arial" w:hAnsi="Arial"/>
          <w:sz w:val="18"/>
          <w:szCs w:val="18"/>
          <w:b w:val="1"/>
          <w:bCs w:val="1"/>
          <w:color w:val="auto"/>
        </w:rPr>
        <w:t>,</w:t>
      </w:r>
      <w:r>
        <w:rPr>
          <w:rFonts w:ascii="Arial" w:cs="Arial" w:eastAsia="Arial" w:hAnsi="Arial"/>
          <w:sz w:val="18"/>
          <w:szCs w:val="18"/>
          <w:color w:val="auto"/>
        </w:rPr>
        <w:t xml:space="preserve"> SanDisk Corporation, Alliance Semiconductor and Macronix International Co. Ltd. have committed to purchase. The amounts, as adjusted, reflect the gross proceeds to be received from this rights offering.</w:t>
      </w:r>
    </w:p>
    <w:p>
      <w:pPr>
        <w:spacing w:after="0" w:line="200" w:lineRule="exact"/>
        <w:rPr>
          <w:sz w:val="20"/>
          <w:szCs w:val="20"/>
          <w:color w:val="auto"/>
        </w:rPr>
      </w:pPr>
    </w:p>
    <w:p>
      <w:pPr>
        <w:spacing w:after="0" w:line="25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The information set forth in the foregoing table excludes 421,422 ordinary shares that we issued in July, 2005. The information excludes as of August 31, 2005: (i) 12,998,560 ordinary shares issuable upon exercise of options granted to employees and directors at a weighted average exercise price of $4.26 (including a grant of options to our chief executive officer to purchase up to 1,325,724 shares approved by our board of directors and which is subject to approval of our shareholders); (ii) up to 2,697,068 ordinary shares issuable upon conversion of unsecured, subordinated convertible debentures, net that we issued in January 2002 in the amount of NIS 117.4 million (or $25.8 million, as of August 31, 2005), which are convertible through December 31, 2008; (iii) 2,211,596 ordinary shares issuable upon exercise of options exercisable through January 20, 2006 at an exercise price of NIS 41.9, linked to the Israeli Consumer Price Index (or $9.2, as of August 31, 2005); (iv) 3,594,070 ordinary shares issuable upon exercise of warrants with an exercise price of $7.50; (v) 400,000 and 896,596 ordinary shares issuable upon the exercise of warrants issued to our banks in connection with our credit facility with exercise prices of $6.20 and $6.17 per share, respectively; (vi) 58,906 ordinary shares issuable upon exercise of warrants issued to Israel Corp. in connection with the November 2003 amendment to our facility agreement with an exercise price of $6.17 per share and exercisable until December 2008; (viii) 8,264,464 ordinary shares issuable upon exercise of the warrants we agreed to issue to our banks with an exercise price of $1.21 in connection with the July 2005 amendment to our facility agreement; and (ix) $21.1 million we borrowed under our credit facility agreement in 2005.</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and agreements with our major wafer partners and with Israel Corp. which cannot be calculated as of the date of this prospectus since the number of shares issuable will depend upon future transactions in which we may engage: (i) ordinary shares issuable upon conversion of up to $38.2 million in wafer prepayment credits (as of August 31, 2005) which we have issued our major wafer partners; (ii) ordinary shares issuable upon exercise of warrants issued to Israel Corp. and our banks in the event that we are required by our banks to complete a rights offering in connection with the arrangements agreed to in the November 2003 amendment to our facility agreement; and (iii) ordinary shares issuable upon conversion of securities we may be required to issue in connection with a rights offering and outside investor provisions agreed to in the November 2003 amendment to our facility agreement.</w:t>
      </w:r>
    </w:p>
    <w:p>
      <w:pPr>
        <w:spacing w:after="0" w:line="234"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DILUTION; EFFECT OF THE RIGHTS OFFERING ON OUR OUTSTANDING</w:t>
      </w:r>
    </w:p>
    <w:p>
      <w:pPr>
        <w:spacing w:after="0" w:line="2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SHARES, OPTIONS, WARRANTS AND CONVERTIBLE SECURITIES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Dilution</w:t>
      </w:r>
    </w:p>
    <w:p>
      <w:pPr>
        <w:spacing w:after="0" w:line="299" w:lineRule="exact"/>
        <w:rPr>
          <w:sz w:val="20"/>
          <w:szCs w:val="20"/>
          <w:color w:val="auto"/>
        </w:rPr>
      </w:pPr>
    </w:p>
    <w:p>
      <w:pPr>
        <w:ind w:right="120" w:firstLine="341"/>
        <w:spacing w:after="0" w:line="314" w:lineRule="auto"/>
        <w:rPr>
          <w:sz w:val="20"/>
          <w:szCs w:val="20"/>
          <w:color w:val="auto"/>
        </w:rPr>
      </w:pPr>
      <w:r>
        <w:rPr>
          <w:rFonts w:ascii="Arial" w:cs="Arial" w:eastAsia="Arial" w:hAnsi="Arial"/>
          <w:sz w:val="15"/>
          <w:szCs w:val="15"/>
          <w:color w:val="auto"/>
        </w:rPr>
        <w:t>Assuming that all of the rights we are distributing are exercised and that all the debentures are converted into our ordinary shares at a conversion rate of one ordinary share per each $1.10 amount of outstanding principal, we will issue an additional 45,454,545 of our ordinary shares. This would represent a 68% increase over our 66,707,609 issued and outstanding ordinary shares as of August 31, 2005, excluding: (i) adjustments to the conversion rate, (ii) shares issuable upon exercise of our outstanding options or warrants, (iii) the conversion by our wafer partners of their wafer credits into our ordinary shares, and (iv) the conversion of our convertible debentures already traded on the TASE, including all changes in the exercise price/conversion rate of such securities as a result of this rights offering. As of August 31, 2005, we had 12,998,560 outstanding options under our employee and directors share option plans (including a grant of</w:t>
      </w:r>
    </w:p>
    <w:p>
      <w:pPr>
        <w:sectPr>
          <w:pgSz w:w="11900" w:h="16838" w:orient="portrait"/>
          <w:cols w:equalWidth="0" w:num="1">
            <w:col w:w="11420"/>
          </w:cols>
          <w:pgMar w:left="240" w:top="127" w:right="239" w:bottom="0" w:gutter="0" w:footer="0" w:header="0"/>
        </w:sectPr>
      </w:pPr>
    </w:p>
    <w:bookmarkStart w:id="19" w:name="page20"/>
    <w:bookmarkEnd w:id="19"/>
    <w:p>
      <w:pPr>
        <w:ind w:right="20"/>
        <w:spacing w:after="0" w:line="255" w:lineRule="auto"/>
        <w:rPr>
          <w:sz w:val="20"/>
          <w:szCs w:val="20"/>
          <w:color w:val="auto"/>
        </w:rPr>
      </w:pPr>
      <w:r>
        <w:rPr>
          <w:rFonts w:ascii="Arial" w:cs="Arial" w:eastAsia="Arial" w:hAnsi="Arial"/>
          <w:sz w:val="18"/>
          <w:szCs w:val="18"/>
          <w:color w:val="auto"/>
        </w:rPr>
        <w:t>options to our chief executive officer to purchase up to 1,325,724 shares approved by our board of directors and which is subject to approval of our shareholders), of which 2,585,105 are options that entitle their holders to receive rights in this offering. If all the rights we are distributing to our eligible employees under our employee share option plans are exercised and all the debentures are converted into our ordinary shares at a conversion rate of one ordinary share per each $1.10 amount of outstanding principal, we will issue approximately 1,695,455 of our ordinary shares to our eligible employees, which represents 2.5% of our issued and outstanding shares as of August 31, 2005.</w:t>
      </w:r>
    </w:p>
    <w:p>
      <w:pPr>
        <w:spacing w:after="0" w:line="191" w:lineRule="exact"/>
        <w:rPr>
          <w:sz w:val="20"/>
          <w:szCs w:val="20"/>
          <w:color w:val="auto"/>
        </w:rPr>
      </w:pPr>
    </w:p>
    <w:p>
      <w:pPr>
        <w:ind w:right="80" w:firstLine="351"/>
        <w:spacing w:after="0" w:line="262" w:lineRule="auto"/>
        <w:rPr>
          <w:sz w:val="20"/>
          <w:szCs w:val="20"/>
          <w:color w:val="auto"/>
        </w:rPr>
      </w:pPr>
      <w:r>
        <w:rPr>
          <w:rFonts w:ascii="Arial" w:cs="Arial" w:eastAsia="Arial" w:hAnsi="Arial"/>
          <w:sz w:val="18"/>
          <w:szCs w:val="18"/>
          <w:b w:val="1"/>
          <w:bCs w:val="1"/>
          <w:color w:val="auto"/>
        </w:rPr>
        <w:t>If you do not exercise your rights or if you exercise your rights but thereafter do not convert the debentures, the percentage of ordinary shares that you hold will decrease upon the conversion of the debentures issued in this rights offering into our ordinary shares by other shareholders and eligible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This Rights Offering on Our Convertible Securities</w:t>
      </w:r>
    </w:p>
    <w:p>
      <w:pPr>
        <w:spacing w:after="0" w:line="312" w:lineRule="exact"/>
        <w:rPr>
          <w:sz w:val="20"/>
          <w:szCs w:val="20"/>
          <w:color w:val="auto"/>
        </w:rPr>
      </w:pPr>
    </w:p>
    <w:p>
      <w:pPr>
        <w:ind w:right="260" w:firstLine="351"/>
        <w:spacing w:after="0" w:line="294" w:lineRule="auto"/>
        <w:rPr>
          <w:sz w:val="20"/>
          <w:szCs w:val="20"/>
          <w:color w:val="auto"/>
        </w:rPr>
      </w:pPr>
      <w:r>
        <w:rPr>
          <w:rFonts w:ascii="Arial" w:cs="Arial" w:eastAsia="Arial" w:hAnsi="Arial"/>
          <w:sz w:val="16"/>
          <w:szCs w:val="16"/>
          <w:i w:val="1"/>
          <w:iCs w:val="1"/>
          <w:color w:val="auto"/>
        </w:rPr>
        <w:t xml:space="preserve">Employee Share Option Plans. </w:t>
      </w:r>
      <w:r>
        <w:rPr>
          <w:rFonts w:ascii="Arial" w:cs="Arial" w:eastAsia="Arial" w:hAnsi="Arial"/>
          <w:sz w:val="16"/>
          <w:szCs w:val="16"/>
          <w:color w:val="auto"/>
        </w:rPr>
        <w:t>Under our employee share option plans that were adopted prior to July 1, 2002, in the event of a rights offering, we are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grant similar rights to all employees holding options on the record date (including unvested options). Accordingly, we are offering those employees holding options under these employee share option plans, one right for each 138.59 employee options held by them on the record date. Each right will entitle these persons to purchase one hundred debentures at a subscription price of $100.00. Each debenture is of $1.00 in principal amount. The debentures will be convertible into our ordinary shares at a rate of one ordinary share per $1.10 aggregate principal amount of debentures.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employee share option plans adopted after July 1, 2002 provide that in the event of a rights offering, new option holders will be entitled to an adjustment to the number of shares into which the options are exercisable based on the element of economic benefit of the rights offering, as such element is calculated by the Tel-Aviv Stock Exchange in accordance with its rules,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employee options as a result of this rights offering. As of June 30, 2005, we issued 10,053,436 options to our employees under these revised option plans (including a grant of options to our chief executive officer to purchase up to 1,325,724 shares approved by our board of directors and which is subject to approval of our shareholders).</w:t>
      </w:r>
    </w:p>
    <w:p>
      <w:pPr>
        <w:spacing w:after="0" w:line="172"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As of August 31, 2005, we had 12,998,560 outstanding options under our employee and directors share option plans (including a grant of options to our chief executive officer to purchase up to 1,325,724 shares approved by our board of directors and which is subject to approval of our shareholders), out of which 2,585,105 are options that entitle their holders to receive rights in this offering. If all the rights we are distributing to our eligible employees under our employee share option plans are exercised and all the debentures are converted into our ordinary shares at a conversion rate of one ordinary share per each $1.10 amount of outstanding principal, we will issue approximately 1,695,455 of our ordinary shares to our eligible employees, which represents 2.5% of our issued and outstanding shares as of August 31, 2005.</w:t>
      </w:r>
    </w:p>
    <w:p>
      <w:pPr>
        <w:spacing w:after="0" w:line="198" w:lineRule="exact"/>
        <w:rPr>
          <w:sz w:val="20"/>
          <w:szCs w:val="20"/>
          <w:color w:val="auto"/>
        </w:rPr>
      </w:pPr>
    </w:p>
    <w:p>
      <w:pPr>
        <w:ind w:right="40" w:firstLine="351"/>
        <w:spacing w:after="0" w:line="286" w:lineRule="auto"/>
        <w:rPr>
          <w:sz w:val="20"/>
          <w:szCs w:val="20"/>
          <w:color w:val="auto"/>
        </w:rPr>
      </w:pPr>
      <w:r>
        <w:rPr>
          <w:rFonts w:ascii="Arial" w:cs="Arial" w:eastAsia="Arial" w:hAnsi="Arial"/>
          <w:sz w:val="16"/>
          <w:szCs w:val="16"/>
          <w:i w:val="1"/>
          <w:iCs w:val="1"/>
          <w:color w:val="auto"/>
        </w:rPr>
        <w:t>Convertible debentures and Options (Series 1)</w:t>
      </w:r>
      <w:r>
        <w:rPr>
          <w:rFonts w:ascii="Arial" w:cs="Arial" w:eastAsia="Arial" w:hAnsi="Arial"/>
          <w:sz w:val="16"/>
          <w:szCs w:val="16"/>
          <w:color w:val="auto"/>
        </w:rPr>
        <w:t>. We have a principal amount of NIS 110,579,800 ($24,175,732) in outstanding convertible debentures,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convertible into 2,697,068 ordinary shares and 2,211,596 outstanding Options (Series 1). Both securities were issued under a prospectus published in Israel on January 15, 2002 and are traded on the Tel Aviv Stock Exchange. The debentures are convertible into our ordinary shares at a conversion rate of one ordinary share per each NIS 41 principal amount of the debentures linked to the CPI. Each Option (Series 1) is exercisable into one ordinary share for an exercise price linked to the Israeli Consumer Price Index (as of August 31, 2005 NIS 41.9; $9.2). Under the terms of their issuance, in the event of a rights offering, the number of shares issuable upon conversion of the convertible debentures and upon exercise of the Options (Series 1) will be adjusted to reflect the economic benefit component in the rights offering (as is represented by the ratio between the price per share on the closing of trade on the Tel Aviv Stock Exchange on the record date and the Ex price determined by the Tel Aviv Stock Exchange to be the opening price on the subsequent trading day). In accordance with the rules of the Tel Aviv Stock Exchange, the Tel Aviv Stock Exchange will not set an Ex price with respect to a rights offering of a new series of convertible debentures. Therefore there will be no adjustment in the number of shares issuable upon exercise of the Options (Series 1) and in the number of ordinary shares issuable upon the conversion of the convertible debentures.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intend to use the net proceeds from this rights offering towards the further ramp-up and deployment of Fab 2 and for marketing expenses for the sale of our products and services as well as for general corporate purposes, including working capital. Our gross proceeds from the rights offering will depend on the number of rights that are exercised. Four of our major shareholders – Israel Corp., SanDisk Corporation, Alliance Semiconductor Corporation and Macronix International Co. Ltd – have committed and are obligated to purchase an aggregate of $25.5 million in principal amount of debentures. Other than pursuant to these commitments, there can be no assurance that any of the rights will be exercised. If all of the rights are exercised, then we will receive immediate proceeds from the sale of our debentures of $50 million, before deducting estimated expenses payable by us of approximately $0.9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RIGHTS OFFERING</w:t>
      </w:r>
    </w:p>
    <w:p>
      <w:pPr>
        <w:spacing w:after="0" w:line="3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Before exercising any rights, you should read carefully the information set forth under “Risk Factors.” For a description of the debentures issuable in this rights offering, see “Description of the Debentures” below.</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Rights</w:t>
      </w:r>
    </w:p>
    <w:p>
      <w:pPr>
        <w:spacing w:after="0" w:line="312" w:lineRule="exact"/>
        <w:rPr>
          <w:sz w:val="20"/>
          <w:szCs w:val="20"/>
          <w:color w:val="auto"/>
        </w:rPr>
      </w:pPr>
    </w:p>
    <w:p>
      <w:pPr>
        <w:ind w:right="100" w:firstLine="348"/>
        <w:spacing w:after="0" w:line="305" w:lineRule="auto"/>
        <w:rPr>
          <w:sz w:val="20"/>
          <w:szCs w:val="20"/>
          <w:color w:val="auto"/>
        </w:rPr>
      </w:pPr>
      <w:r>
        <w:rPr>
          <w:rFonts w:ascii="Arial" w:cs="Arial" w:eastAsia="Arial" w:hAnsi="Arial"/>
          <w:sz w:val="15"/>
          <w:szCs w:val="15"/>
          <w:color w:val="auto"/>
        </w:rPr>
        <w:t>We are distributing transferable rights to shareholders who own our ordinary shares and to eligible employees who hold options to purchase our ordinary shares, granted under certain of our share option plans, at 5:00 p.m., New York time (midnight, Israel time) on _________ __, 2005, the record date, at no cost to</w:t>
      </w:r>
    </w:p>
    <w:p>
      <w:pPr>
        <w:ind w:right="220"/>
        <w:spacing w:after="0" w:line="300" w:lineRule="auto"/>
        <w:rPr>
          <w:sz w:val="20"/>
          <w:szCs w:val="20"/>
          <w:color w:val="auto"/>
        </w:rPr>
      </w:pPr>
      <w:r>
        <w:rPr>
          <w:rFonts w:ascii="Arial" w:cs="Arial" w:eastAsia="Arial" w:hAnsi="Arial"/>
          <w:sz w:val="15"/>
          <w:szCs w:val="15"/>
          <w:color w:val="auto"/>
        </w:rPr>
        <w:t>the shareholders and eligible employees. We will distribute to you one right for each 138.59 ordinary shares and/or employee options that you own at 5:00 p.m. New York time (midnight, Israel time) on the record date, _________ __, 2005 (two Tel Aviv Stock Exchange trading days after the date of this prospectus). If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you hold 138 or fewer ordinary shares and/or eligible options on the record date, you will not receive any rights. Your rights will be aggregated for all the shares</w:t>
      </w:r>
    </w:p>
    <w:p>
      <w:pPr>
        <w:sectPr>
          <w:pgSz w:w="11900" w:h="16838" w:orient="portrait"/>
          <w:cols w:equalWidth="0" w:num="1">
            <w:col w:w="11420"/>
          </w:cols>
          <w:pgMar w:left="240" w:top="131" w:right="239" w:bottom="0" w:gutter="0" w:footer="0" w:header="0"/>
        </w:sectPr>
      </w:pPr>
    </w:p>
    <w:bookmarkStart w:id="20" w:name="page21"/>
    <w:bookmarkEnd w:id="20"/>
    <w:p>
      <w:pPr>
        <w:ind w:right="20"/>
        <w:spacing w:after="0" w:line="255" w:lineRule="auto"/>
        <w:rPr>
          <w:sz w:val="20"/>
          <w:szCs w:val="20"/>
          <w:color w:val="auto"/>
        </w:rPr>
      </w:pPr>
      <w:r>
        <w:rPr>
          <w:rFonts w:ascii="Arial" w:cs="Arial" w:eastAsia="Arial" w:hAnsi="Arial"/>
          <w:sz w:val="18"/>
          <w:szCs w:val="18"/>
          <w:color w:val="auto"/>
        </w:rPr>
        <w:t>(and/or eligible employee options, as the case may be) that you own on the record date and then rounded down to the nearest whole number, so that you will not receive fractional rights. For example, if you own 139 shares on the record date, you will receive one right, and if you own 100,000 shares on the record date, you will receive 721 rights. Each right will entitle you to purchase, at a subscription price of $100.00, one hundred U.S. dollar denominated debentures. Each debenture is of $1.00 in principal amount. The debentures will be convertible into our ordinary shares at a rate of one ordinary share per $1.10 aggregate principal amount of debentures.</w:t>
      </w:r>
    </w:p>
    <w:p>
      <w:pPr>
        <w:spacing w:after="0" w:line="197"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subscription price must be paid to American Stock Transfer &amp; Trust Co., as Rights Agent, or directly to us under the procedures described herein. If you hold your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the subscription price is to be paid in New Israeli Shekels according to the representative exchange rate that will be published by the Bank of Israel on the day before payment of the subscription price.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are exercisable during a 23-day period, beginning after 5:00 p.m. New York City time (midnight, Israel time) on _________ __, 2005 (the record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date) and ending at 5:00 p.m. New York City time (midnight, Israel time) on _________ __, 2005 (23 days after the record date). We will issue to you certificates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representing the debentures convertible into our ordinary shares purchased in this offering as soon as practicable after _______ __, 2005 (23 days after the record</w:t>
      </w:r>
    </w:p>
    <w:p>
      <w:pPr>
        <w:spacing w:after="0" w:line="44"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color w:val="auto"/>
        </w:rPr>
        <w:t>date), provided that the Rights Agent has received your duly completed exercise form and your payment has cleared. If you hold your shares through a broker, dealer or other nominee (including through members of the Tel Aviv Stock Exchange), your time to exercise will be subject to the timing requirements of your broker, dealer or other nominee (which may be earlier than the final expiration date of the rights), in addition to other procedural requirements of your broker, dealer or other nominee, as described below.</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Fractional Entitlements</w:t>
      </w:r>
    </w:p>
    <w:p>
      <w:pPr>
        <w:spacing w:after="0" w:line="312"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The rights will be aggregated for all of the ordinary shares and eligible employee options you own on the record date and then rounded down to the nearest whole number. We will neither issue fractional rights nor pay cash in lieu thereof. Subscriptions will be accepted for a whole number of rights only.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Committed Purchases</w:t>
      </w:r>
    </w:p>
    <w:p>
      <w:pPr>
        <w:spacing w:after="0" w:line="312" w:lineRule="exact"/>
        <w:rPr>
          <w:sz w:val="20"/>
          <w:szCs w:val="20"/>
          <w:color w:val="auto"/>
        </w:rPr>
      </w:pPr>
    </w:p>
    <w:p>
      <w:pPr>
        <w:ind w:right="60" w:firstLine="351"/>
        <w:spacing w:after="0" w:line="285" w:lineRule="auto"/>
        <w:rPr>
          <w:sz w:val="20"/>
          <w:szCs w:val="20"/>
          <w:color w:val="auto"/>
        </w:rPr>
      </w:pPr>
      <w:r>
        <w:rPr>
          <w:rFonts w:ascii="Arial" w:cs="Arial" w:eastAsia="Arial" w:hAnsi="Arial"/>
          <w:sz w:val="16"/>
          <w:szCs w:val="16"/>
          <w:color w:val="auto"/>
        </w:rPr>
        <w:t>Four of our major shareholders – Israel Corp., SanDisk Corporation, Alliance Semiconductor Corporation and Macronix International Co. Ltd – have committed and are obligated to exercise all or some of their rights to purchase debentures. Israel Corp., which as of the date of this prospectus owns approximately 21.4% of our outstanding share capital on a non-diluted basis, and SanDisk Corporation, which as of the date of this prospectus owns approximately 15.1% of our outstanding share capital on a non-diluted basis, have committed, in connection with the July 2005 amendment to our credit facility agreement, and are obligated to exercise 100% and approximately 48.2%, of their rights, respectively, for the purchase of approximately $10.29 million and $3.5 million in debentures, respectively. In addition, Alliance and Macronix, which as of the date of this prospectus owned approximately 13.4% and 13.2%, respectively, of our outstanding share capital on a non-diluted basis, have committed to exercise approximately 15.6% and 15.8%, respectively, of their rights for the purchase by each of them of $1 million principal amount of debentures. SanDisk, Alliance and Macronix have also agreed to transfer to Israel Corp. a portion of their unexercised rights, which Israel Corp. has committed and is obligated to exercise, such that Israel Corp. will purchase an aggregate of $20 million in debentures ($10.29 million by the exercise of its own rights and approximately $9.71 million by the exercise of the rights transferred to it). Our four major shareholders together have committed and are obligated to purchase an aggregate of $25.5 million principal amount of convertible debentures. The purchase of debentures by these major shareholders will be effected at the same time as purchases of debentures which are covered by the registration statement filed with the Securities and Exchange Commission of which this prospectus is a part, and they will receive certificates representing the debentures purchased upon exercise of their rights as soon as practicable thereafter.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rights to be distributed to these major shareholders, the convertible debentures issuable upon exercise of such rights and our ordinary shares issuable upon the conversion of such debentures are not covered by the registration statement filed with the Securities and Exchange Commission of which this prospectus is a part, and are being issued in transactions pursuant to an exemption from the registration requirements of the Securities Act of 1933. These securities will be restricted securities and will not be transferable absent registration or an applicable exemption. We have agreed to register the resale of such securities by these major shareholders following the effective date of the registration statement of which this prospectus is a part.</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to the securities obtainable upon exercise of the rights being distributed to them, these major shareholders may purchase from other rights holders, either in the open market or in private transactions, securities covered by the registration statement filed with the Securities and Exchange Commission of which this prospectus is a part. The resale of any securities so purchased by the major shareholders would require either a separate resale registration or compliance with the provisions of applicable securities laws relating to the sale of a company’s securities by its affiliates. The major shareholders have no arrangement in the nature of a standby or any other arrangement with us or anyone else to purchase any of the securities covered by the registration statement.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Recommendation to Rights Holders</w:t>
      </w:r>
    </w:p>
    <w:p>
      <w:pPr>
        <w:spacing w:after="0" w:line="312" w:lineRule="exact"/>
        <w:rPr>
          <w:sz w:val="20"/>
          <w:szCs w:val="20"/>
          <w:color w:val="auto"/>
        </w:rPr>
      </w:pPr>
    </w:p>
    <w:p>
      <w:pPr>
        <w:ind w:right="780" w:firstLine="348"/>
        <w:spacing w:after="0" w:line="268" w:lineRule="auto"/>
        <w:rPr>
          <w:sz w:val="20"/>
          <w:szCs w:val="20"/>
          <w:color w:val="auto"/>
        </w:rPr>
      </w:pPr>
      <w:r>
        <w:rPr>
          <w:rFonts w:ascii="Arial" w:cs="Arial" w:eastAsia="Arial" w:hAnsi="Arial"/>
          <w:sz w:val="18"/>
          <w:szCs w:val="18"/>
          <w:color w:val="auto"/>
        </w:rPr>
        <w:t>We are not making any recommendations as to whether or not you should exercise your rights. You should make your decision based on your own assessment of your best interests after reading this prospectus.</w:t>
      </w:r>
    </w:p>
    <w:p>
      <w:pPr>
        <w:spacing w:after="0" w:line="186" w:lineRule="exact"/>
        <w:rPr>
          <w:sz w:val="20"/>
          <w:szCs w:val="20"/>
          <w:color w:val="auto"/>
        </w:rPr>
      </w:pPr>
    </w:p>
    <w:p>
      <w:pPr>
        <w:ind w:right="100" w:firstLine="341"/>
        <w:spacing w:after="0" w:line="254" w:lineRule="auto"/>
        <w:rPr>
          <w:sz w:val="20"/>
          <w:szCs w:val="20"/>
          <w:color w:val="auto"/>
        </w:rPr>
      </w:pPr>
      <w:r>
        <w:rPr>
          <w:rFonts w:ascii="Arial" w:cs="Arial" w:eastAsia="Arial" w:hAnsi="Arial"/>
          <w:sz w:val="18"/>
          <w:szCs w:val="18"/>
          <w:color w:val="auto"/>
        </w:rPr>
        <w:t>As of August 31, 2005, our officers and directors as a group held an aggregate of 1,052 of our ordinary shares, held options exercisable for the purchase of 4,299,881 of our ordinary shares, (including a grant of options to our chief executive officer to purchase up to 1,325,724 shares approved by our board of directors and which is subject to approval of our shareholders) of which 235,416 options entitle their holders to receive rights in this offering. If all the rights we are distributing to our officers and directors under this rights offering are exercised and all their debentures are converted into our ordinary shares at a conversion rate of one ordinary share per each $1.10 amount of outstanding principal, we will issue approximately 154,726 of our ordinary shares to our officers and directors.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board of directors may withdraw the rights offering in its sole discretion at any time prior to 5:00 p.m., New York City time (midnight, Israel time),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 __, 2005 (the record date, two Tel Aviv Stock Exchange trading days after the date of this prospectus) for any reason (including, without limitation, 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the market price of our ordinary shares).</w:t>
      </w:r>
    </w:p>
    <w:p>
      <w:pPr>
        <w:sectPr>
          <w:pgSz w:w="11900" w:h="16838" w:orient="portrait"/>
          <w:cols w:equalWidth="0" w:num="1">
            <w:col w:w="11420"/>
          </w:cols>
          <w:pgMar w:left="240" w:top="131" w:right="239" w:bottom="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Determination of Subscription Price</w:t>
      </w:r>
    </w:p>
    <w:p>
      <w:pPr>
        <w:spacing w:after="0" w:line="29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board of directors will set all of the terms and conditions of the rights offering, including the subscription price. Our company’s objective in establishing the subscription price will be to reflect recent trading prices, raise the targeted proceeds and provide all of our shareholders with a reasonable opportunity to make an additional investment in our company and minimize an involuntary dilution of their ownership and voting percentage. In establishing the subscription price, our board of directors will consider the following factors: the strategic alternatives available to us for raising capital, the market price of our ordinary shares, the pro rata nature of the offering, pricing and terms of similar transactions, our business prospects and general conditions in the securities markets. The subscription price, however, does not necessarily bear any relationship to our past or expected future results of operations, cash flows, current financial condition, or any other established criteria for value.</w:t>
      </w:r>
    </w:p>
    <w:p>
      <w:pPr>
        <w:spacing w:after="0" w:line="172"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did not seek or obtain any opinion of financial advisors or investment bankers in establishing the subscription price or conversion rate. The subscription price should not be considered an indication of our actual value, or the actual value of our ordinary shares or our debentures. We cannot assure you that the market price of our ordinary shares will not decline during the rights offering or that the market price of our ordinary shares or the debentures will not decline after the rights offering. We also cannot assure you that you will be able to sell the ordinary shares issuable upon conversion of the debentures at a price equal to or greater than the conversion rate at which your debentures may be converted. On October 10, 2005, the last reported sale price of our ordinary shares on the NASDAQ National Market was $1.21 per share and on the Tel Aviv Stock Exchange was NIS 5.497 per share. We urge you to obtain a current quote for our ordinary shares before exercising your rights or converting your debentures.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Decision Will be Binding on You</w:t>
      </w:r>
    </w:p>
    <w:p>
      <w:pPr>
        <w:spacing w:after="0" w:line="299" w:lineRule="exact"/>
        <w:rPr>
          <w:sz w:val="20"/>
          <w:szCs w:val="20"/>
          <w:color w:val="auto"/>
        </w:rPr>
      </w:pPr>
    </w:p>
    <w:p>
      <w:pPr>
        <w:jc w:val="both"/>
        <w:ind w:right="160" w:firstLine="341"/>
        <w:spacing w:after="0" w:line="284" w:lineRule="auto"/>
        <w:rPr>
          <w:sz w:val="20"/>
          <w:szCs w:val="20"/>
          <w:color w:val="auto"/>
        </w:rPr>
      </w:pPr>
      <w:r>
        <w:rPr>
          <w:rFonts w:ascii="Arial" w:cs="Arial" w:eastAsia="Arial" w:hAnsi="Arial"/>
          <w:sz w:val="16"/>
          <w:szCs w:val="16"/>
          <w:color w:val="auto"/>
        </w:rPr>
        <w:t>All questions concerning the timeliness, validity, form and eligibility of any exercise of rights will be determined by us in accordance with the terms of this prospectus, and our determinations will be final and binding. In our sole discretion, we may waive any defect or irregularity, or permit a defect or irregularity to be corrected within such time as we may determine, or reject the purported exercise of any right by reason of any defect or irregularity in such exercise.</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Subscriptions will not be deemed to have been received or accepted until all irregularities have been waived or cured within such time as we determine in our sole discretion. In determining whether to waive any defect or irregularity regarding the exercise of the rights, we will consider the materiality of the defect or irregularity. If we determine that any such defect or irregularity is material then the subscription will not be deemed to have been received or accepted until such defect or irregularity is cured within such time as we determine in our sole discretion. We will not be under any duty to notify you of any defect or irregularity in connection with the exercise of your rights or incur any liability for failure to give such notification. However, liabilities under the U.S. federal securities laws and Israeli securities laws cannot be waived.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Revocation of Exercise of Rights</w:t>
      </w:r>
    </w:p>
    <w:p>
      <w:pPr>
        <w:spacing w:after="0" w:line="293" w:lineRule="exact"/>
        <w:rPr>
          <w:sz w:val="20"/>
          <w:szCs w:val="20"/>
          <w:color w:val="auto"/>
        </w:rPr>
      </w:pPr>
    </w:p>
    <w:p>
      <w:pPr>
        <w:ind w:right="640" w:firstLine="341"/>
        <w:spacing w:after="0" w:line="275" w:lineRule="auto"/>
        <w:rPr>
          <w:sz w:val="20"/>
          <w:szCs w:val="20"/>
          <w:color w:val="auto"/>
        </w:rPr>
      </w:pPr>
      <w:r>
        <w:rPr>
          <w:rFonts w:ascii="Arial" w:cs="Arial" w:eastAsia="Arial" w:hAnsi="Arial"/>
          <w:sz w:val="18"/>
          <w:szCs w:val="18"/>
          <w:color w:val="auto"/>
        </w:rPr>
        <w:t xml:space="preserve">After you have exercised your rights, </w:t>
      </w:r>
      <w:r>
        <w:rPr>
          <w:rFonts w:ascii="Arial" w:cs="Arial" w:eastAsia="Arial" w:hAnsi="Arial"/>
          <w:sz w:val="18"/>
          <w:szCs w:val="18"/>
          <w:b w:val="1"/>
          <w:bCs w:val="1"/>
          <w:color w:val="auto"/>
        </w:rPr>
        <w:t>you may not revoke that exercise</w:t>
      </w:r>
      <w:r>
        <w:rPr>
          <w:rFonts w:ascii="Arial" w:cs="Arial" w:eastAsia="Arial" w:hAnsi="Arial"/>
          <w:sz w:val="18"/>
          <w:szCs w:val="18"/>
          <w:color w:val="auto"/>
        </w:rPr>
        <w:t>. You should not exercise your rights unless you are certain that you wish to purchase our debentures.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Exercise of Rights for Record Holders</w:t>
      </w:r>
    </w:p>
    <w:p>
      <w:pPr>
        <w:spacing w:after="0" w:line="299" w:lineRule="exact"/>
        <w:rPr>
          <w:sz w:val="20"/>
          <w:szCs w:val="20"/>
          <w:color w:val="auto"/>
        </w:rPr>
      </w:pPr>
    </w:p>
    <w:p>
      <w:pPr>
        <w:jc w:val="both"/>
        <w:ind w:right="160" w:firstLine="351"/>
        <w:spacing w:after="0" w:line="306" w:lineRule="auto"/>
        <w:rPr>
          <w:sz w:val="20"/>
          <w:szCs w:val="20"/>
          <w:color w:val="auto"/>
        </w:rPr>
      </w:pPr>
      <w:r>
        <w:rPr>
          <w:rFonts w:ascii="Arial" w:cs="Arial" w:eastAsia="Arial" w:hAnsi="Arial"/>
          <w:sz w:val="16"/>
          <w:szCs w:val="16"/>
          <w:color w:val="auto"/>
        </w:rPr>
        <w:t>Shortly after the date of this prospectus, we will send by registered mail or personal delivery to each holder of our ordinary shares that is registered on our shareholder registry maintained at American Stock Transfer &amp; Trust Co. a rights certificate conferring the number of rights applicable to each holder. The rights certificate will be accompanied by a copy of this prospectus, and on the back of the rights certificate will be a rights exercise form and a rights transfer form.</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During the subscription period ending on _________ __, 2005 (23 days after the record date), if you are a record owner of our ordinary shares, you may</w:t>
      </w:r>
    </w:p>
    <w:p>
      <w:pPr>
        <w:spacing w:after="0" w:line="38"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exercise your rights by delivering a signed exercise form on the back of your rights certificate or a notice of guaranteed delivery to American Stock Transfer &amp; Trust Co., our Rights Agent, at the address noted below together with payment in full of the subscription price for each right being exercised, by 5:00 p.m., New York City time (midnight Israel time), on _________ __, 2005 (23 days after the record date). This rights offering will not be extended beyond the subscription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period ending on _________ __, 2005 (23 days after the record date), except as disclosed in this prospectus.</w:t>
      </w:r>
    </w:p>
    <w:p>
      <w:pPr>
        <w:spacing w:after="0" w:line="219"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If you are a record owner and reside in Israel, you may also exercise your rights by delivering a signed exercise form on the back of your rights certificate to us at the address noted below, together with payment in full of the subscription price for each right being exercised, by midnight, Israel time, on _________ __, 2005 (23 days after the record date).</w:t>
      </w:r>
    </w:p>
    <w:p>
      <w:pPr>
        <w:spacing w:after="0" w:line="194"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and American Stock Transfer &amp; Trust Co., our Rights Agent, as applicable, may refuse to accept improperly completed or delivered or unexecuted exercise forms. We and American Stock Transfer &amp; Trust Co., our Rights Agent, as applicable, must receive payment in full of the subscription price for each right being exercised together with the exercise form (or notice of guaranteed delivery).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are delivering your completed exercise form (or notice of guaranteed delivery) and payment for the exercise of your rights to American Stock Transfer</w:t>
      </w:r>
    </w:p>
    <w:p>
      <w:pPr>
        <w:spacing w:after="0" w:line="38" w:lineRule="exact"/>
        <w:rPr>
          <w:sz w:val="20"/>
          <w:szCs w:val="20"/>
          <w:color w:val="auto"/>
        </w:rPr>
      </w:pPr>
    </w:p>
    <w:p>
      <w:pPr>
        <w:ind w:left="580" w:right="7520" w:hanging="572"/>
        <w:spacing w:after="0" w:line="594" w:lineRule="auto"/>
        <w:tabs>
          <w:tab w:leader="none" w:pos="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Trust Co., our Rights Agent, please do so as follows: by mail, overnight or hand delivery to:</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59 Maiden Lane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New York, New York 10038</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______</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or</w:t>
      </w:r>
    </w:p>
    <w:p>
      <w:pPr>
        <w:sectPr>
          <w:pgSz w:w="11900" w:h="16838" w:orient="portrait"/>
          <w:cols w:equalWidth="0" w:num="1">
            <w:col w:w="11420"/>
          </w:cols>
          <w:pgMar w:left="240" w:top="125" w:right="239" w:bottom="0" w:gutter="0" w:footer="0" w:header="0"/>
        </w:sectPr>
      </w:pPr>
    </w:p>
    <w:bookmarkStart w:id="22" w:name="page23"/>
    <w:bookmarkEnd w:id="22"/>
    <w:p>
      <w:pPr>
        <w:ind w:left="580"/>
        <w:spacing w:after="0"/>
        <w:rPr>
          <w:sz w:val="20"/>
          <w:szCs w:val="20"/>
          <w:color w:val="auto"/>
        </w:rPr>
      </w:pPr>
      <w:r>
        <w:rPr>
          <w:rFonts w:ascii="Arial" w:cs="Arial" w:eastAsia="Arial" w:hAnsi="Arial"/>
          <w:sz w:val="18"/>
          <w:szCs w:val="18"/>
          <w:color w:val="auto"/>
        </w:rPr>
        <w:t>American Stock Transfer &amp; Trust Company</w:t>
      </w:r>
    </w:p>
    <w:p>
      <w:pPr>
        <w:ind w:left="580"/>
        <w:spacing w:after="0" w:line="201" w:lineRule="auto"/>
        <w:rPr>
          <w:sz w:val="20"/>
          <w:szCs w:val="20"/>
          <w:color w:val="auto"/>
        </w:rPr>
      </w:pPr>
      <w:r>
        <w:rPr>
          <w:rFonts w:ascii="Arial" w:cs="Arial" w:eastAsia="Arial" w:hAnsi="Arial"/>
          <w:sz w:val="18"/>
          <w:szCs w:val="18"/>
          <w:color w:val="auto"/>
        </w:rPr>
        <w:t>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w:t>
      </w:r>
    </w:p>
    <w:p>
      <w:pPr>
        <w:ind w:left="580"/>
        <w:spacing w:after="0"/>
        <w:rPr>
          <w:sz w:val="20"/>
          <w:szCs w:val="20"/>
          <w:color w:val="auto"/>
        </w:rPr>
      </w:pPr>
      <w:r>
        <w:rPr>
          <w:rFonts w:ascii="Arial" w:cs="Arial" w:eastAsia="Arial" w:hAnsi="Arial"/>
          <w:sz w:val="18"/>
          <w:szCs w:val="18"/>
          <w:color w:val="auto"/>
        </w:rPr>
        <w:t>Brooklyn, New York 11219</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_______</w:t>
      </w:r>
    </w:p>
    <w:p>
      <w:pPr>
        <w:spacing w:after="0" w:line="200" w:lineRule="exact"/>
        <w:rPr>
          <w:sz w:val="20"/>
          <w:szCs w:val="20"/>
          <w:color w:val="auto"/>
        </w:rPr>
      </w:pPr>
    </w:p>
    <w:p>
      <w:pPr>
        <w:spacing w:after="0" w:line="26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Record owners who reside in Israel, and who wish to deliver their completed exercise form and subscription payment for the exercise of their rights directly to us, must do so by mail, overnight courier or by hand, as follows: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Tower Semiconductor Ltd.</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Ramat Gavriel Industrial Park</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P.O. Box 619</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Migdal Haemek 23150 Israel</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Attention: Ms. Nati Somekh Gilboa</w:t>
      </w:r>
    </w:p>
    <w:p>
      <w:pPr>
        <w:spacing w:after="0" w:line="200" w:lineRule="exact"/>
        <w:rPr>
          <w:sz w:val="20"/>
          <w:szCs w:val="20"/>
          <w:color w:val="auto"/>
        </w:rPr>
      </w:pPr>
    </w:p>
    <w:p>
      <w:pPr>
        <w:spacing w:after="0" w:line="262" w:lineRule="exact"/>
        <w:rPr>
          <w:sz w:val="20"/>
          <w:szCs w:val="20"/>
          <w:color w:val="auto"/>
        </w:rPr>
      </w:pPr>
    </w:p>
    <w:p>
      <w:pPr>
        <w:ind w:right="420" w:firstLine="341"/>
        <w:spacing w:after="0" w:line="284" w:lineRule="auto"/>
        <w:rPr>
          <w:sz w:val="20"/>
          <w:szCs w:val="20"/>
          <w:color w:val="auto"/>
        </w:rPr>
      </w:pPr>
      <w:r>
        <w:rPr>
          <w:rFonts w:ascii="Arial" w:cs="Arial" w:eastAsia="Arial" w:hAnsi="Arial"/>
          <w:sz w:val="16"/>
          <w:szCs w:val="16"/>
          <w:color w:val="auto"/>
        </w:rPr>
        <w:t>Any payments to American Stock Transfer &amp; Trust Co., as Rights Agent, must be made in U.S. Dollars by check drawn on a bank located in the United States and payable to "American Stock Transfer &amp; Trust Co., as Rights Agent,” or by wire transfer of funds to the account maintained by American Stock Transfer &amp; Trust Co., our Rights Agent, for this rights offering at ______, ABA No. ______, Account No. _______, reference Tower Semiconductor Ltd.,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Attention: ________.</w:t>
      </w:r>
    </w:p>
    <w:p>
      <w:pPr>
        <w:spacing w:after="0" w:line="219" w:lineRule="exact"/>
        <w:rPr>
          <w:sz w:val="20"/>
          <w:szCs w:val="20"/>
          <w:color w:val="auto"/>
        </w:rPr>
      </w:pPr>
    </w:p>
    <w:p>
      <w:pPr>
        <w:jc w:val="both"/>
        <w:ind w:right="240" w:firstLine="341"/>
        <w:spacing w:after="0" w:line="303" w:lineRule="auto"/>
        <w:rPr>
          <w:sz w:val="20"/>
          <w:szCs w:val="20"/>
          <w:color w:val="auto"/>
        </w:rPr>
      </w:pPr>
      <w:r>
        <w:rPr>
          <w:rFonts w:ascii="Arial" w:cs="Arial" w:eastAsia="Arial" w:hAnsi="Arial"/>
          <w:sz w:val="15"/>
          <w:szCs w:val="15"/>
          <w:color w:val="auto"/>
        </w:rPr>
        <w:t>Any payments to us shall be made in New Israeli Shekels according to the representative exchange rate published by the Bank of Israel on the day before payment of the subscription price and shall be by wire transfer or by check drawn on a bank located in Israel, and payable to “Tower Semiconductor Ltd.” Any wire transfer to us should be made to Bank Leumi Le Israel, Haifa Main Branch, 21 Jaffa St., Haifa, Israel, Branch # 876, Account # 130300/62, Swift Code: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 You will choose the method of delivery of exercise forms and payment of the subscription price and will bear the risk of such election. We may agree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accept other forms of payment if requested and agreed to by us.</w:t>
      </w:r>
    </w:p>
    <w:p>
      <w:pPr>
        <w:spacing w:after="0" w:line="219"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IF YOU SEND YOUR COMPLETED EXERCISE FORM AND PAYMENTS BY MAIL, WE URGE YOU TO USE REGISTERED MAIL, PROPERLY INSURED, WITH RETURN RECEIPT REQUESTED, AND TO ALLOW A SUFFICIENT NUMBER OF DAYS TO ENSURE DELIVERY AND CLEARANCE OF PAYMENT PRIOR TO THE EXPIRATION DATE. WE STRONGLY URGE YOU TO PAY, OR ARRANGE FOR PAYMENT, BY MEANS OF A CHECK DRAWN ON A BANK LOCATED IN THE UNITED STATES OR IN ISRAEL. We will not consider any payment by check, other than a cashier’s check or a money order, to have been made until the check clears through the account of American Stock Transfer &amp; Trust Co., our Rights Agent, or to our account, as applicable, before the expiration date.</w:t>
      </w:r>
    </w:p>
    <w:p>
      <w:pPr>
        <w:spacing w:after="0" w:line="198"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Payments for the exercise of your rights made to American Stock Transfer &amp; Trust Co., our Rights Agent, will be held in a segregated interest bearing money market account, and will be sent to us in accordance with our written instructions.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 in the United States</w:t>
      </w:r>
    </w:p>
    <w:p>
      <w:pPr>
        <w:spacing w:after="0" w:line="299"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If you want to exercise your rights, but time will not permit your rights certificate to reach American Stock Transfer &amp; Trust Co, our Rights Agent, prior to 5:00 p.m., New York City time (midnight, Israel time), on _________ __, 2005 (23 days after the record date), you may exercise your subscription rights if you</w:t>
      </w:r>
    </w:p>
    <w:p>
      <w:pPr>
        <w:ind w:right="160"/>
        <w:spacing w:after="0" w:line="288" w:lineRule="auto"/>
        <w:rPr>
          <w:sz w:val="20"/>
          <w:szCs w:val="20"/>
          <w:color w:val="auto"/>
        </w:rPr>
      </w:pPr>
      <w:r>
        <w:rPr>
          <w:rFonts w:ascii="Arial" w:cs="Arial" w:eastAsia="Arial" w:hAnsi="Arial"/>
          <w:sz w:val="16"/>
          <w:szCs w:val="16"/>
          <w:color w:val="auto"/>
        </w:rPr>
        <w:t>send, and the Rights’ Agent receives, (1) payment in full for each right being exercised, (2) a notice of guaranteed delivery, substantially in the form provided to you with your rights certificate, from a member firm of a registered national securities exchange or a member of the National Association of Securities Dealers, Inc., or a commercial bank or trust company having an office or correspondent in the United States, and (3) your properly completed and duly executed rights certificate, including any required signature guarantees, within three NASDAQ National Market trading days following the date of your notice of guaranteed delivery. The notice of guaranteed delivery may be delivered to the Rights Agent in the same manner as your rights certificate as set forth herein, or may be transmitted to the Rights Agent by facsimile transmission, to facsimile number ______. You can obtain additional copies of the form of notice of guaranteed delivery by requesting them from the Rights Agent.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Rights</w:t>
      </w:r>
    </w:p>
    <w:p>
      <w:pPr>
        <w:spacing w:after="0" w:line="231"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rights are transferable. You may sell or otherwise transfer them to others. The unexercised rights will be eligible for trading on the NASDAQ SmallCap Market and the Tel Aviv Stock Exchange for one day only on _____, 2005 (21 days after the record date). If you are one of our affiliates, you may transfer your rights only if there is an effective registration statement or exemption covering such transfer under the United States securities laws.</w:t>
      </w:r>
    </w:p>
    <w:p>
      <w:pPr>
        <w:spacing w:after="0" w:line="161"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Record holders wishing to transfer their rights to another person may do so by executing the rights transfer form on the back of the rights certificate and submitting it to American Stock Transfer &amp; Trust Co. prior to _________ __, 2005 (23 days after the record date). Record holders wishing to sell their rights on the NASDAQ SmallCap Market or the Tel Aviv Stock Exchange, should independently engage a broker to execute this sale on their behalf.</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no contrary instructions have been received by _________ __, 2005 (23 days after the record date) and your rights remain unexercised, your rights will</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expire. If you hold your shares through the nominee company of the Tel Aviv Stock Exchange (</w:t>
      </w:r>
      <w:r>
        <w:rPr>
          <w:rFonts w:ascii="Arial" w:cs="Arial" w:eastAsia="Arial" w:hAnsi="Arial"/>
          <w:sz w:val="16"/>
          <w:szCs w:val="16"/>
          <w:i w:val="1"/>
          <w:iCs w:val="1"/>
          <w:color w:val="auto"/>
        </w:rPr>
        <w:t>Hevra Le-Rishumim of Bank Leumi Le-Israel Ltd.</w:t>
      </w:r>
      <w:r>
        <w:rPr>
          <w:rFonts w:ascii="Arial" w:cs="Arial" w:eastAsia="Arial" w:hAnsi="Arial"/>
          <w:sz w:val="16"/>
          <w:szCs w:val="16"/>
          <w:color w:val="auto"/>
        </w:rPr>
        <w:t>), the rules of the Tel Aviv Stock Exchange provide that if no contrary instructions have been received from you by the time determined by your broker on ______, 2005 (23 days after the record date), you will be considered to have instructed your broker to sell all your rights on the Tel Aviv Stock Exchange with no price limit.</w:t>
      </w:r>
    </w:p>
    <w:p>
      <w:pPr>
        <w:spacing w:after="0" w:line="163" w:lineRule="exact"/>
        <w:rPr>
          <w:sz w:val="20"/>
          <w:szCs w:val="20"/>
          <w:color w:val="auto"/>
        </w:rPr>
      </w:pPr>
    </w:p>
    <w:p>
      <w:pPr>
        <w:ind w:right="480" w:firstLine="345"/>
        <w:spacing w:after="0" w:line="268" w:lineRule="auto"/>
        <w:rPr>
          <w:sz w:val="20"/>
          <w:szCs w:val="20"/>
          <w:color w:val="auto"/>
        </w:rPr>
      </w:pPr>
      <w:r>
        <w:rPr>
          <w:rFonts w:ascii="Arial" w:cs="Arial" w:eastAsia="Arial" w:hAnsi="Arial"/>
          <w:sz w:val="18"/>
          <w:szCs w:val="18"/>
          <w:color w:val="auto"/>
        </w:rPr>
        <w:t>You are responsible for all commissions, fees and other expenses, including brokerage commissions and transfer taxes, incurred in connection with the purchase, sale or exercise of rights.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Ambiguities in Exercise of Rights</w:t>
      </w:r>
    </w:p>
    <w:p>
      <w:pPr>
        <w:spacing w:after="0" w:line="312"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If you do not specify the number of rights being exercised, or if your payment is not sufficient to pay the total subscription price for all of the debentures that you indicated you wished to purchase, you will be deemed to have exercised the maximum number of rights that could be exercised for the amount of the</w:t>
      </w:r>
    </w:p>
    <w:p>
      <w:pPr>
        <w:sectPr>
          <w:pgSz w:w="11900" w:h="16838" w:orient="portrait"/>
          <w:cols w:equalWidth="0" w:num="1">
            <w:col w:w="11420"/>
          </w:cols>
          <w:pgMar w:left="240" w:top="131" w:right="239" w:bottom="0" w:gutter="0" w:footer="0" w:header="0"/>
        </w:sectPr>
      </w:pPr>
    </w:p>
    <w:bookmarkStart w:id="23" w:name="page24"/>
    <w:bookmarkEnd w:id="23"/>
    <w:p>
      <w:pPr>
        <w:ind w:right="80"/>
        <w:spacing w:after="0" w:line="268" w:lineRule="auto"/>
        <w:rPr>
          <w:sz w:val="20"/>
          <w:szCs w:val="20"/>
          <w:color w:val="auto"/>
        </w:rPr>
      </w:pPr>
      <w:r>
        <w:rPr>
          <w:rFonts w:ascii="Arial" w:cs="Arial" w:eastAsia="Arial" w:hAnsi="Arial"/>
          <w:sz w:val="18"/>
          <w:szCs w:val="18"/>
          <w:color w:val="auto"/>
        </w:rPr>
        <w:t>payment received from you. If your payment exceeds the total subscription price for all of the rights you have elected to exercise, we will promptly refund to you the balance with no interest.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w:t>
      </w:r>
    </w:p>
    <w:p>
      <w:pPr>
        <w:spacing w:after="0" w:line="312" w:lineRule="exact"/>
        <w:rPr>
          <w:sz w:val="20"/>
          <w:szCs w:val="20"/>
          <w:color w:val="auto"/>
        </w:rPr>
      </w:pPr>
    </w:p>
    <w:p>
      <w:pPr>
        <w:ind w:right="40" w:firstLine="348"/>
        <w:spacing w:after="0" w:line="305" w:lineRule="auto"/>
        <w:rPr>
          <w:sz w:val="20"/>
          <w:szCs w:val="20"/>
          <w:color w:val="auto"/>
        </w:rPr>
      </w:pPr>
      <w:r>
        <w:rPr>
          <w:rFonts w:ascii="Arial" w:cs="Arial" w:eastAsia="Arial" w:hAnsi="Arial"/>
          <w:sz w:val="15"/>
          <w:szCs w:val="15"/>
          <w:color w:val="auto"/>
        </w:rPr>
        <w:t>We will issue to you certificates representing your debentures that are convertible into ordinary shares issuable upon the exercise of the rights in this offering as soon as practicable after _______ __, 2005 (23 days after the record date), provided that the American Stock Transfer &amp; Trust Co., our Rights Agent, has</w:t>
      </w:r>
    </w:p>
    <w:p>
      <w:pPr>
        <w:ind w:right="200"/>
        <w:spacing w:after="0" w:line="255" w:lineRule="auto"/>
        <w:rPr>
          <w:sz w:val="20"/>
          <w:szCs w:val="20"/>
          <w:color w:val="auto"/>
        </w:rPr>
      </w:pPr>
      <w:r>
        <w:rPr>
          <w:rFonts w:ascii="Arial" w:cs="Arial" w:eastAsia="Arial" w:hAnsi="Arial"/>
          <w:sz w:val="18"/>
          <w:szCs w:val="18"/>
          <w:color w:val="auto"/>
        </w:rPr>
        <w:t>received your duly completed exercise form and your payment has cleared. Brokers may be unwilling to sell the debentures until these holders have received certificates representing the debentures. Trading in the debentures on NASDAQ and the Tel Aviv Stock Exchange will commence on ______ __, 2005 (30 days after the date of this prospectus).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 Who Are Not Record Holders</w:t>
      </w:r>
    </w:p>
    <w:p>
      <w:pPr>
        <w:spacing w:after="0" w:line="312" w:lineRule="exact"/>
        <w:rPr>
          <w:sz w:val="20"/>
          <w:szCs w:val="20"/>
          <w:color w:val="auto"/>
        </w:rPr>
      </w:pPr>
    </w:p>
    <w:p>
      <w:pPr>
        <w:ind w:right="180" w:firstLine="351"/>
        <w:spacing w:after="0" w:line="254" w:lineRule="auto"/>
        <w:rPr>
          <w:sz w:val="20"/>
          <w:szCs w:val="20"/>
          <w:color w:val="auto"/>
        </w:rPr>
      </w:pPr>
      <w:r>
        <w:rPr>
          <w:rFonts w:ascii="Arial" w:cs="Arial" w:eastAsia="Arial" w:hAnsi="Arial"/>
          <w:sz w:val="18"/>
          <w:szCs w:val="18"/>
          <w:color w:val="auto"/>
        </w:rPr>
        <w:t>If you are a beneficial owner of our ordinary shares and hold them through a broker, dealer or other nominee (including a member of the Tel Aviv Stock Exchange), you should expect your broker, dealer or other nominee to notify you of this rights offering and the procedures for exercising or transferring your rights. If you wish to exercise your rights, you will need to have your broker, dealer or other nominee act for you. To indicate your decision with respect to your rights, you should complete and return to your broker, dealer or other nominee the form provided to you accompanied by the subscription payment. You should receive this form from your broker, custodian bank or other nominee with the other rights offering materials. You should NOT return your subscription form or transfer the subscription payment directly to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Summarized below are the procedures for exercising your rights if you are a beneficial owner whose ordinary shares are held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Procedures Applicable to Holders of Shares Through the Nominee Company of the Tel Aviv Stock Exchange.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If you hold your ordinary shares through the nominee company of the Tel Aviv Stock Exchange (</w:t>
      </w:r>
      <w:r>
        <w:rPr>
          <w:rFonts w:ascii="Arial" w:cs="Arial" w:eastAsia="Arial" w:hAnsi="Arial"/>
          <w:sz w:val="18"/>
          <w:szCs w:val="18"/>
          <w:i w:val="1"/>
          <w:iCs w:val="1"/>
          <w:color w:val="auto"/>
        </w:rPr>
        <w:t>Hevra Le-Rishumim of Bank Leumi Le-Israel Ltd.</w:t>
      </w:r>
      <w:r>
        <w:rPr>
          <w:rFonts w:ascii="Arial" w:cs="Arial" w:eastAsia="Arial" w:hAnsi="Arial"/>
          <w:sz w:val="18"/>
          <w:szCs w:val="18"/>
          <w:color w:val="auto"/>
        </w:rPr>
        <w:t>), you should expect to receive a letter regarding this rights offering from the member of the Tel Aviv Stock Exchange through which you hold your shares. In that letter, you will be requested to make ONE of the following three elections:</w:t>
      </w:r>
    </w:p>
    <w:p>
      <w:pPr>
        <w:spacing w:after="0" w:line="194" w:lineRule="exact"/>
        <w:rPr>
          <w:sz w:val="20"/>
          <w:szCs w:val="20"/>
          <w:color w:val="auto"/>
        </w:rPr>
      </w:pPr>
    </w:p>
    <w:p>
      <w:pPr>
        <w:ind w:right="60" w:firstLine="359"/>
        <w:spacing w:after="0" w:line="254" w:lineRule="auto"/>
        <w:tabs>
          <w:tab w:leader="none" w:pos="9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Exercise your rights and subscribe for debentures that are convertible into our ordinary shares. If this alternative is elected, you may give a member of the Tel Aviv Stock Exchange through which you hold your shares an exercise notice commencing on _______ __, 2005 (two Tel Aviv Stock Exchange trading days after the date of this prospectus, the record date) and no later than the time determined by your broker on _______ __, 2005 (23 days after the record date). You must attach the subscription payment to your notice. You will need to arrange with your broker the method of payment of your subscription payment. The subscription price is to be paid in New Israeli Shekels according to the representative exchange rate published by the Bank of Israel on the day before payment of the subscription price; or</w:t>
      </w:r>
    </w:p>
    <w:p>
      <w:pPr>
        <w:spacing w:after="0" w:line="198" w:lineRule="exact"/>
        <w:rPr>
          <w:rFonts w:ascii="Arial" w:cs="Arial" w:eastAsia="Arial" w:hAnsi="Arial"/>
          <w:sz w:val="18"/>
          <w:szCs w:val="18"/>
          <w:color w:val="auto"/>
        </w:rPr>
      </w:pPr>
    </w:p>
    <w:p>
      <w:pPr>
        <w:ind w:right="60" w:firstLine="359"/>
        <w:spacing w:after="0" w:line="268" w:lineRule="auto"/>
        <w:tabs>
          <w:tab w:leader="none" w:pos="9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the rights or any part of them on the Tel Aviv Stock Exchange. If you select this alternative, you may give your broker price limit instructions as to the sale of the rights; or</w:t>
      </w:r>
    </w:p>
    <w:p>
      <w:pPr>
        <w:spacing w:after="0" w:line="185" w:lineRule="exact"/>
        <w:rPr>
          <w:rFonts w:ascii="Arial" w:cs="Arial" w:eastAsia="Arial" w:hAnsi="Arial"/>
          <w:sz w:val="18"/>
          <w:szCs w:val="18"/>
          <w:color w:val="auto"/>
        </w:rPr>
      </w:pPr>
    </w:p>
    <w:p>
      <w:pPr>
        <w:ind w:left="920" w:hanging="561"/>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Refrain from exercising your rights and from selling them.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Your notice should reach the member of the Tel Aviv Stock Exchange through which you hold your shares by no later than _______ __, 2005 (23 days after</w:t>
      </w:r>
    </w:p>
    <w:p>
      <w:pPr>
        <w:spacing w:after="0" w:line="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record date) at the time determined by your broker. If notice is not received from you by such time, you will be considered to have instructed your broker to sell your rights on the Tel Aviv Stock Exchange, with no price limit.</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you hold rights and wish to transfer them to another person, you may do so by executing the rights transfer form that will be made available to you by your broker.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will trade on the Tel Aviv Stock Exchange for one trading day, _______ __, 2005 (21 days after the record date). Pursuant to the Tel Aviv Stock</w:t>
      </w:r>
    </w:p>
    <w:p>
      <w:pPr>
        <w:spacing w:after="0" w:line="38"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Exchange rules, if the trading of our ordinary shares or the rights is halted for a period in excess of 45 minutes, and the trading does not resume for the remainder of that day upon which the rights are traded on the Tel Aviv Stock Exchange, an additional trading day for the rights will take place, and the last day to exercise the rights will be accordingly extended. If on the day upon which the rights are traded on the Tel Aviv Stock Exchange the trading of our ordinary shares is halted, yet the cessation of trade continues for fewer than five consecutive trading days, your instructions with respect to the rights delivered to your broker shall remain in effect unless contrary instructions have been received by your broker from you. If the trading of our ordinary shares on the day upon which the rights are traded on the Tel Aviv Stock Exchange is halted for a period of more than five consecutive trading days, all prior instructions received by your broker will be cancelled.</w:t>
      </w:r>
    </w:p>
    <w:p>
      <w:pPr>
        <w:spacing w:after="0" w:line="161" w:lineRule="exact"/>
        <w:rPr>
          <w:sz w:val="20"/>
          <w:szCs w:val="20"/>
          <w:color w:val="auto"/>
        </w:rPr>
      </w:pPr>
    </w:p>
    <w:p>
      <w:pPr>
        <w:ind w:right="80" w:firstLine="351"/>
        <w:spacing w:after="0" w:line="335" w:lineRule="auto"/>
        <w:rPr>
          <w:sz w:val="20"/>
          <w:szCs w:val="20"/>
          <w:color w:val="auto"/>
        </w:rPr>
      </w:pPr>
      <w:r>
        <w:rPr>
          <w:rFonts w:ascii="Arial" w:cs="Arial" w:eastAsia="Arial" w:hAnsi="Arial"/>
          <w:sz w:val="15"/>
          <w:szCs w:val="15"/>
          <w:color w:val="auto"/>
        </w:rPr>
        <w:t>Holders of unexercised rights following the Tel Aviv Stock Exchange rights trading day may exercise them and subscribe for debentures that are convertible into our ordinary shares by notifying their broker and transferring the subscription payment. This notice must reach the broker by no later than _________ __, 2005 (23 days after the record date) at the time determined by the broker. If this notice is not received on time, it will not be possible to exercise these rights.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80" w:firstLine="351"/>
        <w:spacing w:after="0" w:line="286" w:lineRule="auto"/>
        <w:rPr>
          <w:sz w:val="20"/>
          <w:szCs w:val="20"/>
          <w:color w:val="auto"/>
        </w:rPr>
      </w:pPr>
      <w:r>
        <w:rPr>
          <w:rFonts w:ascii="Arial" w:cs="Arial" w:eastAsia="Arial" w:hAnsi="Arial"/>
          <w:sz w:val="16"/>
          <w:szCs w:val="16"/>
          <w:color w:val="auto"/>
        </w:rPr>
        <w:t>Under the Tel Aviv Stock Exchange rules, Tel Aviv Stock Exchange members must submit to the Tel Aviv Stock Exchange Clearing House a written rights exercise (subscription) notice on behalf of all their clients wishing to exercise rights no later than 9:00 a.m. Israel time (4:00 p.m., New York City time) on</w:t>
      </w:r>
    </w:p>
    <w:p>
      <w:pPr>
        <w:spacing w:after="0"/>
        <w:rPr>
          <w:sz w:val="20"/>
          <w:szCs w:val="20"/>
          <w:color w:val="auto"/>
        </w:rPr>
      </w:pPr>
      <w:r>
        <w:rPr>
          <w:rFonts w:ascii="Arial" w:cs="Arial" w:eastAsia="Arial" w:hAnsi="Arial"/>
          <w:sz w:val="16"/>
          <w:szCs w:val="16"/>
          <w:color w:val="auto"/>
        </w:rPr>
        <w:t>_________ __, 2005 (23 days after the record date). The rights of holders of our ordinary shares through the nominee company of the Tel Aviv Stock Exchange</w:t>
      </w:r>
    </w:p>
    <w:p>
      <w:pPr>
        <w:spacing w:after="0" w:line="3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will expire if the brokers of these holders do not provide an exercise notice as described above. The Tel Aviv Stock Exchange rules further require brokers to transfer, on the same date, to the Tel Aviv Stock Exchange Clearing House the subscription payments with respect to their clients’ exercised rights, and the Tel Aviv Stock Exchange Clearing House thereafter will transfer these payments to us.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Option Holders</w:t>
      </w:r>
    </w:p>
    <w:p>
      <w:pPr>
        <w:sectPr>
          <w:pgSz w:w="11900" w:h="16838" w:orient="portrait"/>
          <w:cols w:equalWidth="0" w:num="1">
            <w:col w:w="11420"/>
          </w:cols>
          <w:pgMar w:left="240" w:top="131" w:right="239" w:bottom="0" w:gutter="0" w:footer="0" w:header="0"/>
        </w:sectPr>
      </w:pPr>
    </w:p>
    <w:bookmarkStart w:id="24" w:name="page25"/>
    <w:bookmarkEnd w:id="24"/>
    <w:p>
      <w:pPr>
        <w:spacing w:after="0" w:line="11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If you are a holder of employee options that entitle you to receive rights, you should expect to receive a copy of this prospectus from our Human Resources Department. The transfer and exercise of the rights granted to you by virtue of our employee share option plans are taxable (see “Material Income Tax Considerations–Israeli Tax Considerations”). As we are required to withhold the taxes that may apply to you if you exercise or transfer your rights, you must adhere to the following procedures:</w:t>
      </w:r>
    </w:p>
    <w:p>
      <w:pPr>
        <w:spacing w:after="0" w:line="197"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If you wish to exercise your rights (or any part thereof), you must do so through our corporate secretary at our offices and you may not do so through our Rights Agent.</w:t>
      </w:r>
    </w:p>
    <w:p>
      <w:pPr>
        <w:spacing w:after="0" w:line="186" w:lineRule="exact"/>
        <w:rPr>
          <w:sz w:val="20"/>
          <w:szCs w:val="20"/>
          <w:color w:val="auto"/>
        </w:rPr>
      </w:pPr>
    </w:p>
    <w:p>
      <w:pPr>
        <w:ind w:right="140" w:firstLine="351"/>
        <w:spacing w:after="0" w:line="286" w:lineRule="auto"/>
        <w:rPr>
          <w:sz w:val="20"/>
          <w:szCs w:val="20"/>
          <w:color w:val="auto"/>
        </w:rPr>
      </w:pPr>
      <w:r>
        <w:rPr>
          <w:rFonts w:ascii="Arial" w:cs="Arial" w:eastAsia="Arial" w:hAnsi="Arial"/>
          <w:sz w:val="16"/>
          <w:szCs w:val="16"/>
          <w:color w:val="auto"/>
        </w:rPr>
        <w:t>If you wish to sell your rights, you may only do so in the framework of an organized selling arrangement that we are implementing for our employees. You do not have to notify us of your wish to sell your rights. If by 5:00 p.m. (Israel time) on _______ __, 2005 (23 days after the record date), we do not receive a</w:t>
      </w:r>
    </w:p>
    <w:p>
      <w:pPr>
        <w:ind w:right="100"/>
        <w:spacing w:after="0" w:line="281" w:lineRule="auto"/>
        <w:rPr>
          <w:sz w:val="20"/>
          <w:szCs w:val="20"/>
          <w:color w:val="auto"/>
        </w:rPr>
      </w:pPr>
      <w:r>
        <w:rPr>
          <w:rFonts w:ascii="Arial" w:cs="Arial" w:eastAsia="Arial" w:hAnsi="Arial"/>
          <w:sz w:val="16"/>
          <w:szCs w:val="16"/>
          <w:color w:val="auto"/>
        </w:rPr>
        <w:t>notice from you that you wish to exercise your rights, you will be considered to have instructed us to sell your rights and we will include your rights in the organized selling arrangement. Under the organized selling arrangement, we will engage a broker to sell all the unexercised rights on the day upon which the unexercised rights will trade on the Tel Aviv Stock Exchange (_______ __, 2005) (21 days after the record date). We will instruct the broker to use his discretion</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selling the rights with the aim of maximizing the total consideration received for the rights, but we will not specify any price limits. If the broker succeeds in selling the employees’ rights (or any part thereof), he will transfer to us the total consideration received from the sale (after deducting his fees as agreed with us). We will distribute this total consideration among the employees, pro-rata to the number of their unexercised rights. We will transfer your pro-rata share to you as soon as practicable together with your monthly salary and withhold from this amount all applicable taxes. All employees’ rights that are not sold by the broker will expire.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Holders</w:t>
      </w:r>
    </w:p>
    <w:p>
      <w:pPr>
        <w:spacing w:after="0" w:line="31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you are a broker, a trustee or a depositary for securities who holds our ordinary shares for the account of others as a nominee holder, as soon as possible, you should notify the respective beneficial owners of such shares of the issuance of the rights to find out such beneficial owners’ intentions. You should obtain instructions from the beneficial owner with respect to the rights, as set forth in the instructions we have provided to you for your distribution to beneficial owners. If the beneficial owner so instructs, you should complete the appropriate subscription certificates. A nominee holder that holds shares for the account(s) of more than one beneficial owner may exercise the number of rights to which all such beneficial owners in the aggregate otherwise would have been entitled if they had been direct record holders of our ordinary shares on the record date, so long as the nominee submits the appropriate subscription certificates and certifications and proper payment to us. If you are a member of the Tel Aviv Stock Exchange, you must comply with the rules of the Tel Aviv Stock Exchange with respect to providing notices to and receiving instructions from your clients.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appointed American Stock Transfer &amp; Trust Company as Rights Agent for the rights offering.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Rights Agent’s telephone number is ______ or _______ and its facsimile number is ________; attention ___________. We will pay the fees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specified expenses of the Rights Agent.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THE DEBENTURES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debentures will be issued under an indenture to be dated as of _______ __, 2005 between us and _________________ and _________, as co-trustees.</w:t>
      </w:r>
    </w:p>
    <w:p>
      <w:pPr>
        <w:spacing w:after="0" w:line="50" w:lineRule="exact"/>
        <w:rPr>
          <w:sz w:val="20"/>
          <w:szCs w:val="20"/>
          <w:color w:val="auto"/>
        </w:rPr>
      </w:pPr>
    </w:p>
    <w:p>
      <w:pPr>
        <w:jc w:val="both"/>
        <w:ind w:right="80"/>
        <w:spacing w:after="0" w:line="361" w:lineRule="auto"/>
        <w:rPr>
          <w:sz w:val="20"/>
          <w:szCs w:val="20"/>
          <w:color w:val="auto"/>
        </w:rPr>
      </w:pPr>
      <w:r>
        <w:rPr>
          <w:rFonts w:ascii="Arial" w:cs="Arial" w:eastAsia="Arial" w:hAnsi="Arial"/>
          <w:sz w:val="15"/>
          <w:szCs w:val="15"/>
          <w:color w:val="auto"/>
        </w:rPr>
        <w:t>The terms of the debentures include all the terms required to be made part of the indenture under the Israel Securities Law – 1968 and the Trust Indenture Act of 1939, as amended. The debentures are subject to all the terms of the indenture, and holders of the debentures are referred to the indenture for a statement thereof.</w:t>
      </w:r>
    </w:p>
    <w:p>
      <w:pPr>
        <w:spacing w:after="0" w:line="123" w:lineRule="exact"/>
        <w:rPr>
          <w:sz w:val="20"/>
          <w:szCs w:val="20"/>
          <w:color w:val="auto"/>
        </w:rPr>
      </w:pPr>
    </w:p>
    <w:p>
      <w:pPr>
        <w:jc w:val="both"/>
        <w:ind w:right="480" w:firstLine="348"/>
        <w:spacing w:after="0" w:line="259" w:lineRule="auto"/>
        <w:rPr>
          <w:sz w:val="20"/>
          <w:szCs w:val="20"/>
          <w:color w:val="auto"/>
        </w:rPr>
      </w:pPr>
      <w:r>
        <w:rPr>
          <w:rFonts w:ascii="Arial" w:cs="Arial" w:eastAsia="Arial" w:hAnsi="Arial"/>
          <w:sz w:val="18"/>
          <w:szCs w:val="18"/>
          <w:color w:val="auto"/>
        </w:rPr>
        <w:t>We have summarized selected provisions of the indenture below. This summary is not complete. The form of the indenture will be filed with the Israel Securities Authority (ISA), the Securities and Exchange Commission (SEC) and the Israeli Registrar of Companies and will be available for review at our registered office. You should read the entire indenture for provisions that may be important to you.</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Redemption, Interest</w:t>
      </w:r>
    </w:p>
    <w:p>
      <w:pPr>
        <w:spacing w:after="0" w:line="312"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debentures will be general unsecured obligations. The debentures will bear interest at the rate per annum of 5%. Principal of the debentures is payable, together with accrued interest, in one installment (in the aggregate maximum amount of approximately $67 million, assuming the exercise of all of the rights being distributed) on _______, 2011. On _____, 2011, the cumulative interest on the debentures will be approximately $17 million, or 34%. Instruments representing the debentures will be issued in denominations of $1.00 and integral multiples thereof.</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will initially accrue from the date following the last day rights may be exercised (______, 2005), which is 23 days after the record date, and will be</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computed on the basis of a 365-day year. Thereafter, interest will be computed on an annual compounded basis. Accrued interest will not be payable by us upon conversion of the debentures into our ordinary shares and you will lose your right to any accrued interest upon conversion of the debentures into our ordinary shares.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Debentures</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Commencing 30 days after the date of this prospectus (_____ __, 2005) and until ______ __, 2011 (inclusive) (16 days prior to the maturity date of the</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debentures), the debentures are convertible into our ordinary shares at a conversion rate of one ordinary share per each $1.10 amount of outstanding principal of the debentures. Debentures may only be converted in whole and not in part.</w:t>
      </w:r>
    </w:p>
    <w:p>
      <w:pPr>
        <w:spacing w:after="0" w:line="192"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will not issue fractional shares upon conversion of the debentures. We will round down the number of shares issuable upon conversion of the debentures to the nearest whole number and will not pay any cash adjustment in lieu of fractional shares.</w:t>
      </w:r>
    </w:p>
    <w:p>
      <w:pPr>
        <w:spacing w:after="0" w:line="186" w:lineRule="exact"/>
        <w:rPr>
          <w:sz w:val="20"/>
          <w:szCs w:val="20"/>
          <w:color w:val="auto"/>
        </w:rPr>
      </w:pPr>
    </w:p>
    <w:p>
      <w:pPr>
        <w:ind w:right="300" w:firstLine="341"/>
        <w:spacing w:after="0" w:line="370" w:lineRule="auto"/>
        <w:rPr>
          <w:sz w:val="20"/>
          <w:szCs w:val="20"/>
          <w:color w:val="auto"/>
        </w:rPr>
      </w:pPr>
      <w:r>
        <w:rPr>
          <w:rFonts w:ascii="Arial" w:cs="Arial" w:eastAsia="Arial" w:hAnsi="Arial"/>
          <w:sz w:val="15"/>
          <w:szCs w:val="15"/>
          <w:color w:val="auto"/>
        </w:rPr>
        <w:t>Accrued interest will not be payable by us upon conversion of the debentures into our ordinary shares and you will lose your right to any accrued interest upon conversion of the debentures into our ordinary shares. Consequently, the effective conversion rate applicable to your debentures would be increased to</w:t>
      </w:r>
    </w:p>
    <w:p>
      <w:pPr>
        <w:sectPr>
          <w:pgSz w:w="11900" w:h="16948" w:orient="portrait"/>
          <w:cols w:equalWidth="0" w:num="1">
            <w:col w:w="11400"/>
          </w:cols>
          <w:pgMar w:left="240" w:top="131" w:right="259" w:bottom="0" w:gutter="0" w:footer="0" w:header="0"/>
        </w:sectPr>
      </w:pPr>
    </w:p>
    <w:bookmarkStart w:id="25" w:name="page26"/>
    <w:bookmarkEnd w:id="25"/>
    <w:p>
      <w:pPr>
        <w:spacing w:after="0"/>
        <w:rPr>
          <w:sz w:val="20"/>
          <w:szCs w:val="20"/>
          <w:color w:val="auto"/>
        </w:rPr>
      </w:pPr>
      <w:r>
        <w:rPr>
          <w:rFonts w:ascii="Arial" w:cs="Arial" w:eastAsia="Arial" w:hAnsi="Arial"/>
          <w:sz w:val="15"/>
          <w:szCs w:val="15"/>
          <w:color w:val="auto"/>
        </w:rPr>
        <w:t>reflect the amount of interest being forfeited upon conversion. For example, if you convert your debentures on ______ __, 2011 (the last day on which debentures</w:t>
      </w:r>
    </w:p>
    <w:p>
      <w:pPr>
        <w:spacing w:after="0" w:line="5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may be converted), the effective conversion rate applicable to your debentures, assuming no adjustments are made to the conversion rate, would be approximately $1.47.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to Conversion Rate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conversion rate will be adjusted if either of the following two scenarios occurs:</w:t>
      </w:r>
    </w:p>
    <w:p>
      <w:pPr>
        <w:spacing w:after="0" w:line="225" w:lineRule="exact"/>
        <w:rPr>
          <w:sz w:val="20"/>
          <w:szCs w:val="20"/>
          <w:color w:val="auto"/>
        </w:rPr>
      </w:pPr>
    </w:p>
    <w:p>
      <w:pPr>
        <w:ind w:left="1720" w:hanging="567"/>
        <w:spacing w:after="0" w:line="253" w:lineRule="auto"/>
        <w:rPr>
          <w:sz w:val="20"/>
          <w:szCs w:val="20"/>
          <w:color w:val="auto"/>
        </w:rPr>
      </w:pPr>
      <w:r>
        <w:rPr>
          <w:rFonts w:ascii="Arial" w:cs="Arial" w:eastAsia="Arial" w:hAnsi="Arial"/>
          <w:sz w:val="18"/>
          <w:szCs w:val="18"/>
          <w:color w:val="auto"/>
        </w:rPr>
        <w:t>—In the event that by ______ __, 2006 (12 months after the record date), we consummate one or more financings in which we receive gross proceeds from each such financing of at least $5 million (excluding the proceeds from this rights offering), the conversion rate of the debentures will be adjusted to 90% of the lowest price per share (as calculated below) at which we sold securities in any one of these financings, if the adjusted conversion rate would be lower than the original conversion rate. We will issue a press release to announce the adjusted conversion rate on the fifth Tel Aviv Stock Exchange trading day after_____ __, 2006 (12 months after the record date)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80" w:hanging="567"/>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record date), we do not receive in any one financing gross proceeds of at least $5 million (excluding the proceeds from this rights offering), but execute prior to ______ __, 2006 (12 months after the record date) one or more agreements relating to transactions which have not closed, letters of intent, memorandums of understanding or similar agreements or understandings, for a proposed financing or financings, which have not been abandoned prior to ______ __, 2006 (12 months after the record date), and we receive in any one of these financings gross proceeds of at least $5 million by ______ __, 2007 (18 months after the record date), then, the conversion rate will be adjusted to 90% of the lowest price per share (as calculated below) at which we sold securities in any of these financings, if the adjusted conversion rate would be lower than the original conversion rate. We will issue a press release to announce the adjusted conversion rate on the fifth Tel Aviv Stock Exchange trading day after_____ __, 2007 (18 months after the record date) and the adjustment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rate to the debentures shall under no circumstances be lower than $0.01.</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financing for purposes of adjustments to the conversion rate means:</w:t>
      </w:r>
    </w:p>
    <w:p>
      <w:pPr>
        <w:spacing w:after="0" w:line="225" w:lineRule="exact"/>
        <w:rPr>
          <w:sz w:val="20"/>
          <w:szCs w:val="20"/>
          <w:color w:val="auto"/>
        </w:rPr>
      </w:pPr>
    </w:p>
    <w:p>
      <w:pPr>
        <w:ind w:left="2300" w:right="100" w:hanging="567"/>
        <w:spacing w:after="0" w:line="268" w:lineRule="auto"/>
        <w:rPr>
          <w:sz w:val="20"/>
          <w:szCs w:val="20"/>
          <w:color w:val="auto"/>
        </w:rPr>
      </w:pPr>
      <w:r>
        <w:rPr>
          <w:rFonts w:ascii="Arial" w:cs="Arial" w:eastAsia="Arial" w:hAnsi="Arial"/>
          <w:sz w:val="18"/>
          <w:szCs w:val="18"/>
          <w:color w:val="auto"/>
        </w:rPr>
        <w:t>—the sale of our shares, warrants or additional convertible debentures, other than employee options, existing outstanding warrants, employee options convertible debentures or other rights; and</w:t>
      </w:r>
    </w:p>
    <w:p>
      <w:pPr>
        <w:spacing w:after="0" w:line="212" w:lineRule="exact"/>
        <w:rPr>
          <w:sz w:val="20"/>
          <w:szCs w:val="20"/>
          <w:color w:val="auto"/>
        </w:rPr>
      </w:pPr>
    </w:p>
    <w:p>
      <w:pPr>
        <w:ind w:left="2300" w:right="540" w:hanging="567"/>
        <w:spacing w:after="0" w:line="268" w:lineRule="auto"/>
        <w:rPr>
          <w:sz w:val="20"/>
          <w:szCs w:val="20"/>
          <w:color w:val="auto"/>
        </w:rPr>
      </w:pPr>
      <w:r>
        <w:rPr>
          <w:rFonts w:ascii="Arial" w:cs="Arial" w:eastAsia="Arial" w:hAnsi="Arial"/>
          <w:sz w:val="18"/>
          <w:szCs w:val="18"/>
          <w:color w:val="auto"/>
        </w:rPr>
        <w:t>—the conversion of existing debt into equity, other than the conversion of existing wafer credits into our ordinary shares and existing convertible debentures.</w:t>
      </w:r>
    </w:p>
    <w:p>
      <w:pPr>
        <w:spacing w:after="0" w:line="200" w:lineRule="exact"/>
        <w:rPr>
          <w:sz w:val="20"/>
          <w:szCs w:val="20"/>
          <w:color w:val="auto"/>
        </w:rPr>
      </w:pPr>
    </w:p>
    <w:p>
      <w:pPr>
        <w:spacing w:after="0" w:line="229" w:lineRule="exact"/>
        <w:rPr>
          <w:sz w:val="20"/>
          <w:szCs w:val="20"/>
          <w:color w:val="auto"/>
        </w:rPr>
      </w:pPr>
    </w:p>
    <w:p>
      <w:pPr>
        <w:ind w:right="220" w:firstLine="348"/>
        <w:spacing w:after="0" w:line="370" w:lineRule="auto"/>
        <w:rPr>
          <w:sz w:val="20"/>
          <w:szCs w:val="20"/>
          <w:color w:val="auto"/>
        </w:rPr>
      </w:pPr>
      <w:r>
        <w:rPr>
          <w:rFonts w:ascii="Arial" w:cs="Arial" w:eastAsia="Arial" w:hAnsi="Arial"/>
          <w:sz w:val="15"/>
          <w:szCs w:val="15"/>
          <w:color w:val="auto"/>
        </w:rPr>
        <w:t>We will calculate the price per share for the purposes of the adjustment to the conversion rate as set forth below. The examples presented below are for illustration only and are not based on any forecasts, assumptions or actual calculations of economic values and should not be relied upon for any other purpose.</w:t>
      </w:r>
    </w:p>
    <w:p>
      <w:pPr>
        <w:spacing w:after="0" w:line="116" w:lineRule="exact"/>
        <w:rPr>
          <w:sz w:val="20"/>
          <w:szCs w:val="20"/>
          <w:color w:val="auto"/>
        </w:rPr>
      </w:pPr>
    </w:p>
    <w:p>
      <w:pPr>
        <w:ind w:left="2300" w:right="220" w:hanging="567"/>
        <w:spacing w:after="0" w:line="268" w:lineRule="auto"/>
        <w:rPr>
          <w:sz w:val="20"/>
          <w:szCs w:val="20"/>
          <w:color w:val="auto"/>
        </w:rPr>
      </w:pPr>
      <w:r>
        <w:rPr>
          <w:rFonts w:ascii="Arial" w:cs="Arial" w:eastAsia="Arial" w:hAnsi="Arial"/>
          <w:sz w:val="18"/>
          <w:szCs w:val="18"/>
          <w:color w:val="auto"/>
        </w:rPr>
        <w:t>—If, in the financing or financings we issue only shares, the price per share for the purposes of calculating the adjustment will be the price per share in the financing or financings.</w:t>
      </w:r>
    </w:p>
    <w:p>
      <w:pPr>
        <w:spacing w:after="0" w:line="212" w:lineRule="exact"/>
        <w:rPr>
          <w:sz w:val="20"/>
          <w:szCs w:val="20"/>
          <w:color w:val="auto"/>
        </w:rPr>
      </w:pPr>
    </w:p>
    <w:p>
      <w:pPr>
        <w:ind w:left="2300" w:right="40" w:hanging="567"/>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in the financing or financings we issue only convertible debentures, the price per share for the purposes of calculating the adjustment will be the result of dividing the purchase price of the debentures issued in the financing or financings less the present value of the cumulative amount of interest payable prior to the last conversion date of the debentures issued in the financing or financings, by the number of shares issuable upon conversion of the debentures issued in the financing or financings.</w:t>
      </w:r>
    </w:p>
    <w:p>
      <w:pPr>
        <w:spacing w:after="0" w:line="151" w:lineRule="exact"/>
        <w:rPr>
          <w:sz w:val="20"/>
          <w:szCs w:val="20"/>
          <w:color w:val="auto"/>
        </w:rPr>
      </w:pPr>
    </w:p>
    <w:p>
      <w:pPr>
        <w:ind w:left="2300" w:right="160"/>
        <w:spacing w:after="0" w:line="256" w:lineRule="auto"/>
        <w:rPr>
          <w:sz w:val="20"/>
          <w:szCs w:val="20"/>
          <w:color w:val="auto"/>
        </w:rPr>
      </w:pPr>
      <w:r>
        <w:rPr>
          <w:rFonts w:ascii="Arial" w:cs="Arial" w:eastAsia="Arial" w:hAnsi="Arial"/>
          <w:sz w:val="18"/>
          <w:szCs w:val="18"/>
          <w:color w:val="auto"/>
        </w:rPr>
        <w:t>By way of illustration, if the purchase price of the debentures issued in the financing or financings is $1.10, the present value of the cumulative amount of interest payable prior to the last conversion date is $0.25 and the number of shares issuable upon conversion of the debentures issued in the financing or financings is 0.8 shares, the price per share would be ($1.10-$0.25)/0.8=$1.06.</w:t>
      </w:r>
    </w:p>
    <w:p>
      <w:pPr>
        <w:spacing w:after="0" w:line="224" w:lineRule="exact"/>
        <w:rPr>
          <w:sz w:val="20"/>
          <w:szCs w:val="20"/>
          <w:color w:val="auto"/>
        </w:rPr>
      </w:pPr>
    </w:p>
    <w:p>
      <w:pPr>
        <w:ind w:left="2300" w:right="60" w:hanging="567"/>
        <w:spacing w:after="0" w:line="259" w:lineRule="auto"/>
        <w:rPr>
          <w:sz w:val="20"/>
          <w:szCs w:val="20"/>
          <w:color w:val="auto"/>
        </w:rPr>
      </w:pPr>
      <w:r>
        <w:rPr>
          <w:rFonts w:ascii="Arial" w:cs="Arial" w:eastAsia="Arial" w:hAnsi="Arial"/>
          <w:sz w:val="18"/>
          <w:szCs w:val="18"/>
          <w:color w:val="auto"/>
        </w:rPr>
        <w:t>—If, in the financing or financings we issue only warrants, the price per share for the purposes of calculating the adjustment will be the purchase price of the warrants less the difference between the economic value of the warrants and the purchase price of the warrants, plus the present value of the exercise price of the warrants.</w:t>
      </w:r>
    </w:p>
    <w:p>
      <w:pPr>
        <w:spacing w:after="0" w:line="194" w:lineRule="exact"/>
        <w:rPr>
          <w:sz w:val="20"/>
          <w:szCs w:val="20"/>
          <w:color w:val="auto"/>
        </w:rPr>
      </w:pPr>
    </w:p>
    <w:p>
      <w:pPr>
        <w:jc w:val="both"/>
        <w:ind w:left="2300" w:right="80"/>
        <w:spacing w:after="0" w:line="259" w:lineRule="auto"/>
        <w:rPr>
          <w:sz w:val="20"/>
          <w:szCs w:val="20"/>
          <w:color w:val="auto"/>
        </w:rPr>
      </w:pPr>
      <w:r>
        <w:rPr>
          <w:rFonts w:ascii="Arial" w:cs="Arial" w:eastAsia="Arial" w:hAnsi="Arial"/>
          <w:sz w:val="18"/>
          <w:szCs w:val="18"/>
          <w:color w:val="auto"/>
        </w:rPr>
        <w:t>By way of illustration, if the purchase price of the warrants is $0.60, the economic value of the warrants is $0.70, and the present value of the exercise price of the warrants is $0.50, then the price per share for the purposes of calculating the adjustment would be $0.60-($0.70-$0.60)+0.5=$1.00.</w:t>
      </w:r>
    </w:p>
    <w:p>
      <w:pPr>
        <w:spacing w:after="0" w:line="221" w:lineRule="exact"/>
        <w:rPr>
          <w:sz w:val="20"/>
          <w:szCs w:val="20"/>
          <w:color w:val="auto"/>
        </w:rPr>
      </w:pPr>
    </w:p>
    <w:p>
      <w:pPr>
        <w:ind w:left="2300" w:right="120" w:hanging="567"/>
        <w:spacing w:after="0" w:line="256" w:lineRule="auto"/>
        <w:rPr>
          <w:sz w:val="20"/>
          <w:szCs w:val="20"/>
          <w:color w:val="auto"/>
        </w:rPr>
      </w:pPr>
      <w:r>
        <w:rPr>
          <w:rFonts w:ascii="Arial" w:cs="Arial" w:eastAsia="Arial" w:hAnsi="Arial"/>
          <w:sz w:val="18"/>
          <w:szCs w:val="18"/>
          <w:color w:val="auto"/>
        </w:rPr>
        <w:t>—If, in the financing or financings we issue units consisting of shares and warrants, the price per share for the purposes of calculating the adjustment will be the result of dividing the purchase price per unit in the financing or financings, less the economic value of the warrants, by the number of shares in each unit (not including the number of shares issuable upon exercise of the warrants).</w:t>
      </w:r>
    </w:p>
    <w:p>
      <w:pPr>
        <w:spacing w:after="0" w:line="197" w:lineRule="exact"/>
        <w:rPr>
          <w:sz w:val="20"/>
          <w:szCs w:val="20"/>
          <w:color w:val="auto"/>
        </w:rPr>
      </w:pPr>
    </w:p>
    <w:p>
      <w:pPr>
        <w:ind w:left="2300" w:right="380"/>
        <w:spacing w:after="0" w:line="259" w:lineRule="auto"/>
        <w:rPr>
          <w:sz w:val="20"/>
          <w:szCs w:val="20"/>
          <w:color w:val="auto"/>
        </w:rPr>
      </w:pPr>
      <w:r>
        <w:rPr>
          <w:rFonts w:ascii="Arial" w:cs="Arial" w:eastAsia="Arial" w:hAnsi="Arial"/>
          <w:sz w:val="18"/>
          <w:szCs w:val="18"/>
          <w:color w:val="auto"/>
        </w:rPr>
        <w:t>By way of illustration, if the purchase price of a unit is $2.00, the economic value of the warrants is $0.70 and the number of shares in each unit was 1 share, the price per share for the purposes of calculating the adjustment would be ($2.00-$0.70)/1=$1.30.</w:t>
      </w:r>
    </w:p>
    <w:p>
      <w:pPr>
        <w:sectPr>
          <w:pgSz w:w="11900" w:h="16838" w:orient="portrait"/>
          <w:cols w:equalWidth="0" w:num="1">
            <w:col w:w="11420"/>
          </w:cols>
          <w:pgMar w:left="240" w:top="131" w:right="239" w:bottom="0" w:gutter="0" w:footer="0" w:header="0"/>
        </w:sectPr>
      </w:pPr>
    </w:p>
    <w:bookmarkStart w:id="26" w:name="page27"/>
    <w:bookmarkEnd w:id="26"/>
    <w:p>
      <w:pPr>
        <w:ind w:left="2300" w:right="100" w:hanging="567"/>
        <w:spacing w:after="0" w:line="254" w:lineRule="auto"/>
        <w:rPr>
          <w:sz w:val="20"/>
          <w:szCs w:val="20"/>
          <w:color w:val="auto"/>
        </w:rPr>
      </w:pPr>
      <w:r>
        <w:rPr>
          <w:rFonts w:ascii="Arial" w:cs="Arial" w:eastAsia="Arial" w:hAnsi="Arial"/>
          <w:sz w:val="18"/>
          <w:szCs w:val="18"/>
          <w:color w:val="auto"/>
        </w:rPr>
        <w:t>—If, in the financing or financings we issue units consisting of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issuable upon conversion of the debentures issued in the financing or financings, but not including the number of shares issuable upon exercise of the warrants.</w:t>
      </w:r>
    </w:p>
    <w:p>
      <w:pPr>
        <w:spacing w:after="0" w:line="198" w:lineRule="exact"/>
        <w:rPr>
          <w:sz w:val="20"/>
          <w:szCs w:val="20"/>
          <w:color w:val="auto"/>
        </w:rPr>
      </w:pPr>
    </w:p>
    <w:p>
      <w:pPr>
        <w:ind w:left="2300" w:right="60"/>
        <w:spacing w:after="0" w:line="256" w:lineRule="auto"/>
        <w:rPr>
          <w:sz w:val="20"/>
          <w:szCs w:val="20"/>
          <w:color w:val="auto"/>
        </w:rPr>
      </w:pPr>
      <w:r>
        <w:rPr>
          <w:rFonts w:ascii="Arial" w:cs="Arial" w:eastAsia="Arial" w:hAnsi="Arial"/>
          <w:sz w:val="18"/>
          <w:szCs w:val="18"/>
          <w:color w:val="auto"/>
        </w:rPr>
        <w:t>By way of illustration, if the purchase price of the purchase price per unit is $1.70, the present value of the cumulative amount of interest payable prior to the last conversion date is $0.25, the economic value of the warrants is $0.70, and the number of shares issuable upon conversion of the debentures issued in the financing or financings is 0.8 shares, the price per share would be ($1.70-$0.25-$0.7)/$0.8=$0.94.</w:t>
      </w:r>
    </w:p>
    <w:p>
      <w:pPr>
        <w:spacing w:after="0" w:line="224" w:lineRule="exact"/>
        <w:rPr>
          <w:sz w:val="20"/>
          <w:szCs w:val="20"/>
          <w:color w:val="auto"/>
        </w:rPr>
      </w:pPr>
    </w:p>
    <w:p>
      <w:pPr>
        <w:ind w:left="2300" w:right="20" w:hanging="567"/>
        <w:spacing w:after="0" w:line="255" w:lineRule="auto"/>
        <w:rPr>
          <w:sz w:val="20"/>
          <w:szCs w:val="20"/>
          <w:color w:val="auto"/>
        </w:rPr>
      </w:pPr>
      <w:r>
        <w:rPr>
          <w:rFonts w:ascii="Arial" w:cs="Arial" w:eastAsia="Arial" w:hAnsi="Arial"/>
          <w:sz w:val="18"/>
          <w:szCs w:val="18"/>
          <w:color w:val="auto"/>
        </w:rPr>
        <w:t>—If, in the financing or financings we issue units consisting of shares and convertible debentures, the price per share for the purposes of calculating the adjustment will be the result of dividing the purchase price per unit in the financing or financings, less the present value of the cumulative amount of interest payable prior to the last conversion date of the debentures issued in the financing or financings, by the number of shares in each unit including the number of shares issuable upon conversion of the debentures issued in the financing or financings.</w:t>
      </w:r>
    </w:p>
    <w:p>
      <w:pPr>
        <w:spacing w:after="0" w:line="196" w:lineRule="exact"/>
        <w:rPr>
          <w:sz w:val="20"/>
          <w:szCs w:val="20"/>
          <w:color w:val="auto"/>
        </w:rPr>
      </w:pPr>
    </w:p>
    <w:p>
      <w:pPr>
        <w:ind w:left="2300" w:right="60"/>
        <w:spacing w:after="0" w:line="256" w:lineRule="auto"/>
        <w:rPr>
          <w:sz w:val="20"/>
          <w:szCs w:val="20"/>
          <w:color w:val="auto"/>
        </w:rPr>
      </w:pPr>
      <w:r>
        <w:rPr>
          <w:rFonts w:ascii="Arial" w:cs="Arial" w:eastAsia="Arial" w:hAnsi="Arial"/>
          <w:sz w:val="18"/>
          <w:szCs w:val="18"/>
          <w:color w:val="auto"/>
        </w:rPr>
        <w:t>By way of illustration, if the purchase price of the purchase price per unit is $2.10, the present value of the cumulative amount of interest payable prior to the last conversion date is $0.25 and the number of shares in each unit is 1 and the number of shares issuable upon conversion of the debentures issued in the financing or financings is 0.8 shares, the price per share would be ($2.10-$0.25)/(1+0.8)=$1.03.</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in the financing or financings we issue units consisting of shares, convertible debentures and warrants, the price per share for the purposes of calculating the adjustment will be the result of dividing the price per unit in the financing or financings, less the present value of the (cumulative amount of interest payable prior to the last conversion date of the debentures issued in the financing or financings and less the economic value of the warrants included in the units, by the number of shares in each unit including the number of shares issuable upon conversion of the debentures issued in the financing or financings, but not including the number of shares issuable upon exercise of the warrants.</w:t>
      </w:r>
    </w:p>
    <w:p>
      <w:pPr>
        <w:spacing w:after="0" w:line="174" w:lineRule="exact"/>
        <w:rPr>
          <w:sz w:val="20"/>
          <w:szCs w:val="20"/>
          <w:color w:val="auto"/>
        </w:rPr>
      </w:pPr>
    </w:p>
    <w:p>
      <w:pPr>
        <w:ind w:left="2300" w:right="60"/>
        <w:spacing w:after="0" w:line="298" w:lineRule="auto"/>
        <w:rPr>
          <w:sz w:val="20"/>
          <w:szCs w:val="20"/>
          <w:color w:val="auto"/>
        </w:rPr>
      </w:pPr>
      <w:r>
        <w:rPr>
          <w:rFonts w:ascii="Arial" w:cs="Arial" w:eastAsia="Arial" w:hAnsi="Arial"/>
          <w:sz w:val="16"/>
          <w:szCs w:val="16"/>
          <w:color w:val="auto"/>
        </w:rPr>
        <w:t>By way of illustration, if the purchase price of the purchase price per unit is $2.80, the present value of the cumulative amount of interest payable prior to the last conversion date is $0.25, the economic value of the warrants is $0.70, the number of shares in each unit is 1 and the number of shares issuable upon conversion of the debentures issued in the financing or financings is 0.8 shares, the price per share would be ($2.80-$0.25-$0.70)/(1+0.8)=$1.03.</w:t>
      </w:r>
    </w:p>
    <w:p>
      <w:pPr>
        <w:spacing w:after="0" w:line="200" w:lineRule="exact"/>
        <w:rPr>
          <w:sz w:val="20"/>
          <w:szCs w:val="20"/>
          <w:color w:val="auto"/>
        </w:rPr>
      </w:pPr>
    </w:p>
    <w:p>
      <w:pPr>
        <w:spacing w:after="0" w:line="21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For the purposes of the adjustments set forth above, the “economic value” of the warrants will be calculated according to the Black and Scholes model as set forth in the Tel Aviv Stock Exchange Rules for registered companies. The interest rate for this calculation will be the interest rate as published by the Tel Aviv Stock Exchange on the date of the relevant financing.</w:t>
      </w:r>
    </w:p>
    <w:p>
      <w:pPr>
        <w:spacing w:after="0" w:line="19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For the purposes of the adjustments set forth above, the “present value” will be calculated using the interest rate then applicable to the long term loans of our banks under our credit facility agreement. In the event that the financing or financings is denominated in a currency other than United States dollars, the amounts in the financing or financings will be converted to United States dollars according to the last known exchange rate on the date of the consummation of the relevant 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adjusted conversion rate to the debentures shall under no circumstances be lower than $0.01.</w:t>
      </w:r>
    </w:p>
    <w:p>
      <w:pPr>
        <w:spacing w:after="0" w:line="225"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conversion rate is also subject to adjustment as set forth in the indenture in certain events, including the issuance of our capital stock as a dividend (bonus shares), subdivisions, combinations and reclassifications of our ordinary shares and rights offerings. In the event of the distribution of bonus shares, the number of our ordinary shares issuable upon the conversion of each debenture will be increased by such number of our ordinary shares that the debenture holder would have received if such debenture holder had converted his debentures on the record date fixed for the bonus share distribution. In the event of a rights offering to our shareholders of any type of our securities at any time from the date of this prospectus but prior to the conversion of the debentures, the number of our ordinary shares to be issued upon the conversion of the debentures shall be adjusted to take into account the element of economic benefit in the future rights offering as is represented by the ratio between the price per share of our ordinary shares on the effective date of the future rights offering and the opening price per share of our ordinary shares that is established by the Tel Aviv Stock Exchange on the following trading day.</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Mandatory Conversion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debentures will automatically convert into our ordinary shares if either of the following two scenarios occurs:</w:t>
      </w:r>
    </w:p>
    <w:p>
      <w:pPr>
        <w:spacing w:after="0" w:line="225" w:lineRule="exact"/>
        <w:rPr>
          <w:sz w:val="20"/>
          <w:szCs w:val="20"/>
          <w:color w:val="auto"/>
        </w:rPr>
      </w:pPr>
    </w:p>
    <w:p>
      <w:pPr>
        <w:ind w:left="1720" w:right="60" w:hanging="567"/>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If no later than ______ __, 2006 (12 months after the record date) we consummate one or more financings in which we receive gross proceeds from each such financing of at least $5 million (excluding the proceeds from this rights offering), and the sum of the aggregate gross proceeds we receive in such financings together with the proceeds we receive from this rights offering equals or exceeds $60 million, we will cause the conversion of all the outstanding debentures being offered hereby, provided that the average closing price of our ordinary shares on NASDAQ (or such other stock exchange or quotation system on which our ordinary shares are listed in the event that they cease to be traded on NASDAQ) during the 30 consecutive trading days immediately prior to, and on the trading day preceding,</w:t>
      </w:r>
    </w:p>
    <w:p>
      <w:pPr>
        <w:ind w:left="1720" w:right="100"/>
        <w:spacing w:after="0" w:line="292" w:lineRule="auto"/>
        <w:rPr>
          <w:sz w:val="20"/>
          <w:szCs w:val="20"/>
          <w:color w:val="auto"/>
        </w:rPr>
      </w:pPr>
      <w:r>
        <w:rPr>
          <w:rFonts w:ascii="Arial" w:cs="Arial" w:eastAsia="Arial" w:hAnsi="Arial"/>
          <w:sz w:val="16"/>
          <w:szCs w:val="16"/>
          <w:color w:val="auto"/>
        </w:rPr>
        <w:t>______ __, 2006 (12 months after the record date) is at least 10% higher than the conversion rate then applicable to the debentures being offered in this rights offering. (See “Description of the Debentures — Conversion of Debentures — Adjustment to Conversion Rate.”) We will issue a press release to announce the mandatory conversion of the debentures on the fifth Tel Aviv Stock Exchange trading day after_____ __, 2006 (12 months after the record date) and the mandatory conversion of the debentures will take effect on the first Tel Aviv Stock Exchange trading day following the twenty first day after the date of the press release.</w:t>
      </w:r>
    </w:p>
    <w:p>
      <w:pPr>
        <w:sectPr>
          <w:pgSz w:w="11900" w:h="16838" w:orient="portrait"/>
          <w:cols w:equalWidth="0" w:num="1">
            <w:col w:w="11420"/>
          </w:cols>
          <w:pgMar w:left="240" w:top="131" w:right="239" w:bottom="0" w:gutter="0" w:footer="0" w:header="0"/>
        </w:sectPr>
      </w:pPr>
    </w:p>
    <w:bookmarkStart w:id="27" w:name="page28"/>
    <w:bookmarkEnd w:id="27"/>
    <w:p>
      <w:pPr>
        <w:spacing w:after="0" w:line="125" w:lineRule="exact"/>
        <w:rPr>
          <w:sz w:val="20"/>
          <w:szCs w:val="20"/>
          <w:color w:val="auto"/>
        </w:rPr>
      </w:pPr>
    </w:p>
    <w:p>
      <w:pPr>
        <w:ind w:left="1720" w:hanging="567"/>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 the event that by ______ __, 2006 (12 months after the record date), we do not receive in any one financing gross proceeds of at least $5 million (excluding the proceeds from this rights offering), but execute prior to ______ __, 2006 (12 months after the record date) one or more agreements relating to transactions which have not closed, letters of intent, memorandums of understanding or similar agreements or understandings, for one or more proposed financings, which have not been abandoned prior to ______ __, 2006 (12 months after the record date) and by ______ __, 2007 (18 months after the record date) we receive in any such financings gross proceeds of at least $5 million and the sum of the aggregate gross proceeds we receive in such financings together with the proceeds we receive from this rights offering equals or exceeds $60 million, we will cause the conversion of all the outstanding debentures being offered hereby, provided that the average closing price of our ordinary shares on NASDAQ (or such other stock exchange or quotation system on which our ordinary shares are listed in the event that they cease to be traded on NASDAQ) during the 30 consecutive trading days immediately prior to, and on the trading day preceding, ______ __, 2007 (18 months after the record date) is at least 10% higher than the conversion rate then applicable to the debentures being offered in this rights offering. (See “Description of the Debentures — Conversion of Debentures — Adjustment to Conversion Rate.”) We will issue a press release to announce the mandatory conversion of the debentures on the fifth Tel Aviv Stock Exchange trading day after_____ __, 2007 (18 months after the record date) and the mandatory conversion will take effect on the first Tel Aviv Stock Exchange trading day following the twenty first day after the date of the press release.</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In addition to issuing a press release, we will announce adjustments to the conversion rate of the debentures and the mandatory conversion of the debentures on Form 6-K, in an immediate report in Israel as well as a notice to be published in two Israeli newspapers, as well as providing notice to the Co-Trustees.</w:t>
      </w:r>
    </w:p>
    <w:p>
      <w:pPr>
        <w:spacing w:after="0" w:line="116" w:lineRule="exact"/>
        <w:rPr>
          <w:sz w:val="20"/>
          <w:szCs w:val="20"/>
          <w:color w:val="auto"/>
        </w:rPr>
      </w:pPr>
    </w:p>
    <w:p>
      <w:pPr>
        <w:ind w:right="380" w:firstLine="341"/>
        <w:spacing w:after="0" w:line="268" w:lineRule="auto"/>
        <w:rPr>
          <w:sz w:val="20"/>
          <w:szCs w:val="20"/>
          <w:color w:val="auto"/>
        </w:rPr>
      </w:pPr>
      <w:r>
        <w:rPr>
          <w:rFonts w:ascii="Arial" w:cs="Arial" w:eastAsia="Arial" w:hAnsi="Arial"/>
          <w:sz w:val="18"/>
          <w:szCs w:val="18"/>
          <w:color w:val="auto"/>
        </w:rPr>
        <w:t>Accrued interest will not be payable by us upon the mandatory conversion of the debentures into our ordinary shares and you will lose your right to any accrued interest upon conversion of the debentures into our ordinary shares.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Early Redemption of Debentures</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may at our option announce the early redemption of the debentures, provided that the outstanding aggregate balance of principal on account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debentures is equal to or less than $500,000. In accordance with the rules of the Tel Aviv Stock Exchange, we may not announce the early redemption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debentures if the aggregate outstanding balance of principal on account of the last payment to be made equals or is less than NIS 3.2 million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$700,000 at current exchange rates). Therefore, unless the U.S. dollar/NIS exchange rate changes such that one U.S. dollar will equal or be greater than NIS 6.4,</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we will not announce the early redemption of the debentures. In the event we choose to redeem the debentures, the minimum portion of the debentures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redeem is 100% of the then outstanding debentures. We will provide the debenture holders with advance notice of at least 30 days prior to any such redemption.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Upon such early redemption, we will pay to the holders of the debentures the amount of outstanding principal of their debentures and interest accrued as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redemption date. A resolution to announce an early redemption of the debentures will be adopted by our board of directors and we will provide notice of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resolution on Form 6-K, and in an immediate report in Israel as well as a notice to be published in two Israeli newspapers. The date of the early redemption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between 30 to 45 days after the date of our notification.</w:t>
      </w:r>
    </w:p>
    <w:p>
      <w:pPr>
        <w:spacing w:after="0" w:line="219" w:lineRule="exact"/>
        <w:rPr>
          <w:sz w:val="20"/>
          <w:szCs w:val="20"/>
          <w:color w:val="auto"/>
        </w:rPr>
      </w:pPr>
    </w:p>
    <w:p>
      <w:pPr>
        <w:ind w:right="120" w:firstLine="351"/>
        <w:spacing w:after="0" w:line="301" w:lineRule="auto"/>
        <w:rPr>
          <w:sz w:val="20"/>
          <w:szCs w:val="20"/>
          <w:color w:val="auto"/>
        </w:rPr>
      </w:pPr>
      <w:r>
        <w:rPr>
          <w:rFonts w:ascii="Arial" w:cs="Arial" w:eastAsia="Arial" w:hAnsi="Arial"/>
          <w:sz w:val="15"/>
          <w:szCs w:val="15"/>
          <w:color w:val="auto"/>
        </w:rPr>
        <w:t>In the event the debentures are delisted by the TASE due to the value of the public’s holdings in the debentures falling below the value set forth in the rules of the TASE, subject to the approval of our banks, we will redeem the debentures and we will notify the debenture holders within 45 days of the delisting of the debentures of the redemption date of the debentures, which will be between 30 to 45 days after the date of our notification. The redemption date will not be during the period between the record date for the purposes of the receipt of interest payments and the actual date of the payment of such interest. On the redemption date, we will pay the debenture holders the principal of the debentures together with interest accrued as of such date. If we elect to redeem the debentures following their delisting by the TASE for the reasons described above, you have the option of electing not to have your debentures redeemed and not to receive the principal of the debentures together with accrued interest on the redemption date and if you so elect principal and interest will be paid to you 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_____, 2011 and you will be entitled to convert the debentures as set forth in this prospectus. However, following the early redemption date, the debentures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delisted from the Tel Aviv Stock Exchange and will no longer accrue interest following that date.</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the terms of our facility agreement, we are not permitted to redeem any debentures prior to January 1, 2008.</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Debentures</w:t>
      </w:r>
    </w:p>
    <w:p>
      <w:pPr>
        <w:spacing w:after="0" w:line="312"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described below, the payment of the principal of and interest on the debentures is subordinated to the prior payment of all amounts payable by us to the banks under the facility agreement, whether outstanding on the date of the indenture or thereafter created, incurred or assumed. Upon our dissolution, winding up, liquidation or reorganization, the banks will be entitled to receive payment in full of all amounts due to them under the facility agreement before the holders of debentures are entitled to receive any payment.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Postponement of Payments under the Debentures</w:t>
      </w:r>
    </w:p>
    <w:p>
      <w:pPr>
        <w:spacing w:after="0" w:line="225" w:lineRule="exact"/>
        <w:rPr>
          <w:sz w:val="20"/>
          <w:szCs w:val="20"/>
          <w:color w:val="auto"/>
        </w:rPr>
      </w:pPr>
    </w:p>
    <w:p>
      <w:pPr>
        <w:ind w:right="100" w:firstLine="351"/>
        <w:spacing w:after="0" w:line="318" w:lineRule="auto"/>
        <w:rPr>
          <w:sz w:val="20"/>
          <w:szCs w:val="20"/>
          <w:color w:val="auto"/>
        </w:rPr>
      </w:pPr>
      <w:r>
        <w:rPr>
          <w:rFonts w:ascii="Arial" w:cs="Arial" w:eastAsia="Arial" w:hAnsi="Arial"/>
          <w:sz w:val="15"/>
          <w:szCs w:val="15"/>
          <w:color w:val="auto"/>
        </w:rPr>
        <w:t>In addition to the subordination of the debentures to the amounts payable by us to the banks under the facility agreement, upon dissolution, winding up, liquidation or reorganization, the debentures and the indenture provide, in accordance with the requirements of the facility agreement, that the dates for payment of interest and principal on the debentures may be postponed (with interest continuing to accrue at regular rates), depending on various scenarios relating to our relations with the banks as detailed below. In the event of such postponement in payments on the debentures, we will extend the conversion period for the debentures and the record date for payment will be cancelled and we will announce a new record date, as applicable, at least 21 days prior thereto.</w:t>
      </w:r>
    </w:p>
    <w:p>
      <w:pPr>
        <w:spacing w:after="0" w:line="15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Under the facility agreement, the payment dates of interest and principal to the banks fall on the last business day of each calendar quarter (a “Bank Payment Date”). The payment date of principal and interest on the debentures falls on _____, 2011, namely ___ months following a Bank Payment Date.</w:t>
      </w:r>
    </w:p>
    <w:p>
      <w:pPr>
        <w:spacing w:after="0" w:line="139" w:lineRule="exact"/>
        <w:rPr>
          <w:sz w:val="20"/>
          <w:szCs w:val="20"/>
          <w:color w:val="auto"/>
        </w:rPr>
      </w:pPr>
    </w:p>
    <w:p>
      <w:pPr>
        <w:ind w:right="240" w:firstLine="351"/>
        <w:spacing w:after="0" w:line="335" w:lineRule="auto"/>
        <w:rPr>
          <w:sz w:val="20"/>
          <w:szCs w:val="20"/>
          <w:color w:val="auto"/>
        </w:rPr>
      </w:pPr>
      <w:r>
        <w:rPr>
          <w:rFonts w:ascii="Arial" w:cs="Arial" w:eastAsia="Arial" w:hAnsi="Arial"/>
          <w:sz w:val="15"/>
          <w:szCs w:val="15"/>
          <w:color w:val="auto"/>
        </w:rPr>
        <w:t>In the event of the existence of an Event of Default, as such term is defined below, on a Bank Payment Date, then, subject to the provisions below, no payment of principal or interest on the debentures shall be made and the debenture holders and any person or entity acting on their behalf (including the Co-Trustees) shall not be entitled to take any action against us in connection with such non-payment, unless such non-payment shall continue for a period of more</w:t>
      </w:r>
    </w:p>
    <w:p>
      <w:pPr>
        <w:sectPr>
          <w:pgSz w:w="11900" w:h="16963" w:orient="portrait"/>
          <w:cols w:equalWidth="0" w:num="1">
            <w:col w:w="11380"/>
          </w:cols>
          <w:pgMar w:left="240" w:top="131" w:right="279" w:bottom="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than 6 (six) months commencing on the applicable Bank Payment Date (a “Six Month Period”). To illustrate, if on _____, 2011 (which is a Bank Payment Date)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 Event of Default exists, the Six Month Period applicable to the payment to be made on the debentures on _______, 200____will be calculated beginning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_____, 2011. For a description of additional events of default contained in our facility agreement, see “Events of Default under the Facility Agreement.”</w:t>
      </w:r>
    </w:p>
    <w:p>
      <w:pPr>
        <w:spacing w:after="0" w:line="242"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facility agreement further provides that after the conclusion of a Six Month Period, we may not make payments of principal and interest on the debentures unless we have either (i) paid the banks amounts then owing in full; or (ii) the holders of the debentures obtained a final judgment requiring us to make payment to them.</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aforementioned Six Month Period, the following shall apply:</w:t>
      </w:r>
    </w:p>
    <w:p>
      <w:pPr>
        <w:spacing w:after="0" w:line="225" w:lineRule="exact"/>
        <w:rPr>
          <w:sz w:val="20"/>
          <w:szCs w:val="20"/>
          <w:color w:val="auto"/>
        </w:rPr>
      </w:pPr>
    </w:p>
    <w:p>
      <w:pPr>
        <w:ind w:right="240" w:firstLine="351"/>
        <w:spacing w:after="0" w:line="323" w:lineRule="auto"/>
        <w:rPr>
          <w:sz w:val="20"/>
          <w:szCs w:val="20"/>
          <w:color w:val="auto"/>
        </w:rPr>
      </w:pPr>
      <w:r>
        <w:rPr>
          <w:rFonts w:ascii="Arial" w:cs="Arial" w:eastAsia="Arial" w:hAnsi="Arial"/>
          <w:sz w:val="15"/>
          <w:szCs w:val="15"/>
          <w:color w:val="auto"/>
        </w:rPr>
        <w:t>If during such period, we shall make any payment to the banks on account of interest or principal under the facility agreement, then, on the date of such payment to the banks, we shall make a payment on account of interest or principal (as the case may be) then due and payable in respect of the debentures, such payment to be made at the same percentage of the interest or principal then due and payable on the debentures proportionate to the portion of the payment actually made to the banks to the amount (interest or principal as the case may be) due and payable under the facility agreement as of the payment date;</w:t>
      </w:r>
    </w:p>
    <w:p>
      <w:pPr>
        <w:spacing w:after="0" w:line="152" w:lineRule="exact"/>
        <w:rPr>
          <w:sz w:val="20"/>
          <w:szCs w:val="20"/>
          <w:color w:val="auto"/>
        </w:rPr>
      </w:pPr>
    </w:p>
    <w:p>
      <w:pPr>
        <w:ind w:firstLine="351"/>
        <w:spacing w:after="0" w:line="304" w:lineRule="auto"/>
        <w:rPr>
          <w:sz w:val="20"/>
          <w:szCs w:val="20"/>
          <w:color w:val="auto"/>
        </w:rPr>
      </w:pPr>
      <w:r>
        <w:rPr>
          <w:rFonts w:ascii="Arial" w:cs="Arial" w:eastAsia="Arial" w:hAnsi="Arial"/>
          <w:sz w:val="15"/>
          <w:szCs w:val="15"/>
          <w:color w:val="auto"/>
        </w:rPr>
        <w:t>In the event that during such Six Month Period the banks and us shall reach an agreement regarding a rescheduling of payments by us to the banks under the facility agreement, such rescheduling (whether of principal of interest) shall apply pro rata also to payments of principal and/or interest, as the case may be, in respect of the debentures and the holders of the debentures shall be bound by such rescheduling agreement. It is agreed with the banks that such rescheduling agreement will apply only to payments (principal and interest) scheduled to be made on the debentures during the period of 12 (twelve) months beginning on the applicable Bank Payment Date, and shall postpone each payment on the debentures for no longer than 12 months. Pursuant to any such rescheduling agreement, we shall, in such 12 month period commencing from the effective date of such rescheduling agreement, pay to the holders of the debentures, such amounts on account of principal and/or interest at the same percentage of the scheduled repayments of principal or interest, during such 12 period in respect of the debentures, proportionate to the portion of the payments to be made to the banks during such 12 month period under such rescheduling agreement to the scheduled repayments of principal or of interest to the banks pursuant to the facility agreement for such 12 month period. Alternatively, such rescheduling agreement may provide that payments of principal and interest on account of the debentures shall, with effect from the termination of such Six Month Period, be made to the holders of the debentures in accordance with the original schedule under the terms of the debentures, provided that amounts not paid during such Six Month Period, or prior thereto shall be postponed to be paid pro rata to those payments not made to the banks during such Six Month Period or prior thereto and the holders of the debentures shall be bound by such an agreement. If during the rescheduling period another Event of Default under the facility agreement shall occur, the aforementioned provisions shall again apply. Notwithstanding the above, if, on a date scheduled for the payment of principal or interest on the debentures, any of the below events occur, then no amount of whatsoever nature shall be payable by us in respect of the debentures (whether in respect of principal, interest or any other amount) until all amounts owed by us under the facility agreement shall have been paid in full. In the event that, contrary to the above, the holders of the debentures (or, as applicable, any person or entity acting on their behalf, including a trustee) shall receive, during a period under which there is an Event of Default, any payment, distribution or benefit, the recipient thereof shall be deemed to hold same on trust for the banks and shall forthwith pay or transfer to the banks any payment, distribution or benefit so received. The events are as follows: (A) The existence of any of the following events: (i) our inability or admission of our inability to pay our debts as they fall due, (ii) the commencement of winding-up proceedings against us (including the granting of an order of receivership or any similar order against or in respect of us or any of our assets), provided that such proceedings are not cancelled or withdrawn within</w:t>
      </w:r>
    </w:p>
    <w:p>
      <w:pPr>
        <w:spacing w:after="0" w:line="17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60 days (iii) any execution, attachment or sequestration or other process arises out of any third party claim against us where the amount being the subject of the relevant proceeding is in excess of $2.5 million; (B) If the banks shall declare that all loans and/or other credits received under the facility agreement are immediately due and payable, (C) In the event that the holders of the debentures (or any person or entity acting on their behalf, including the Co-Trustees), shall institute any legal proceedings against us other than in connection with excluded proceedings, and in accordance with the terms of the debentures. Excluded proceedings mean (i) proceedings where the sole claim relates to our failure to make payments of principal or interest on the debentures more than 14 business days from the date on which we are required to make them, as these dates may be postponed in accordance with the above provisions; or (ii) proceedings in connection with a claim of “misleading information” in this prospectus.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Subordination to Secured Obligations; Statutory Priorities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 xml:space="preserve">Under the laws of the State of Israel, the following have priority over general unsecured creditors: unpaid wages to a specified limit plus severance payments to a specified limit if not covered by national insurance; certain past due taxes to the government; past due rent for a maximum of one year; and secured indebtedness in which the security interest (which may be a floating charge) is registered as required under the laws of Israel. As of June 30, 2005, we estimate that these statutory priorities would amount to approximately $5.2 million. As of the date of this prospectus, in addition to the first ranking charge which we granted to the banks under the facility agreement (see “Risk Factors – Risks Related to the Rights Offering – </w:t>
      </w:r>
      <w:r>
        <w:rPr>
          <w:rFonts w:ascii="Arial" w:cs="Arial" w:eastAsia="Arial" w:hAnsi="Arial"/>
          <w:sz w:val="16"/>
          <w:szCs w:val="16"/>
          <w:i w:val="1"/>
          <w:iCs w:val="1"/>
          <w:color w:val="auto"/>
        </w:rPr>
        <w:t>The payment of principal and interest on the</w:t>
      </w:r>
      <w:r>
        <w:rPr>
          <w:rFonts w:ascii="Arial" w:cs="Arial" w:eastAsia="Arial" w:hAnsi="Arial"/>
          <w:sz w:val="16"/>
          <w:szCs w:val="16"/>
          <w:color w:val="auto"/>
        </w:rPr>
        <w:t xml:space="preserve"> </w:t>
      </w:r>
      <w:r>
        <w:rPr>
          <w:rFonts w:ascii="Arial" w:cs="Arial" w:eastAsia="Arial" w:hAnsi="Arial"/>
          <w:sz w:val="16"/>
          <w:szCs w:val="16"/>
          <w:i w:val="1"/>
          <w:iCs w:val="1"/>
          <w:color w:val="auto"/>
        </w:rPr>
        <w:t>debentures is subordinated to our indebtedness to our banks and obligations to secured creditors</w:t>
      </w:r>
      <w:r>
        <w:rPr>
          <w:rFonts w:ascii="Arial" w:cs="Arial" w:eastAsia="Arial" w:hAnsi="Arial"/>
          <w:sz w:val="16"/>
          <w:szCs w:val="16"/>
          <w:color w:val="auto"/>
        </w:rPr>
        <w:t>.”), our assets are subject to a second ranking floating charge in</w:t>
      </w:r>
      <w:r>
        <w:rPr>
          <w:rFonts w:ascii="Arial" w:cs="Arial" w:eastAsia="Arial" w:hAnsi="Arial"/>
          <w:sz w:val="16"/>
          <w:szCs w:val="16"/>
          <w:i w:val="1"/>
          <w:iCs w:val="1"/>
          <w:color w:val="auto"/>
        </w:rPr>
        <w:t xml:space="preserve"> </w:t>
      </w:r>
      <w:r>
        <w:rPr>
          <w:rFonts w:ascii="Arial" w:cs="Arial" w:eastAsia="Arial" w:hAnsi="Arial"/>
          <w:sz w:val="16"/>
          <w:szCs w:val="16"/>
          <w:color w:val="auto"/>
        </w:rPr>
        <w:t>favor of the government of the State of Israel, which secures our compliance with the terms of our grants in connection with our government “Approved Enterprise” programs for Fab 1 and Fab 2 (approximately $260 million received and approximately $7.9 million receivables, as of June 30, 2005). The indenture will not limit the amount of additional indebtedness which we can create, incur, assume or guarantee nor our ability to create any security to secure our obligations to any third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 under the Facility Agreement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constitute Events of Default under our facility agreement:</w:t>
      </w:r>
    </w:p>
    <w:p>
      <w:pPr>
        <w:spacing w:after="0" w:line="225" w:lineRule="exact"/>
        <w:rPr>
          <w:sz w:val="20"/>
          <w:szCs w:val="20"/>
          <w:color w:val="auto"/>
        </w:rPr>
      </w:pPr>
    </w:p>
    <w:p>
      <w:pPr>
        <w:ind w:right="60" w:firstLine="8"/>
        <w:spacing w:after="0" w:line="268" w:lineRule="auto"/>
        <w:tabs>
          <w:tab w:leader="none" w:pos="561"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Failure to make a payment: </w:t>
      </w:r>
      <w:r>
        <w:rPr>
          <w:rFonts w:ascii="Arial" w:cs="Arial" w:eastAsia="Arial" w:hAnsi="Arial"/>
          <w:sz w:val="18"/>
          <w:szCs w:val="18"/>
          <w:color w:val="auto"/>
        </w:rPr>
        <w:t>Our failure to pay any amount payable to our banks under the facility agreement within seven business days or ten days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of payment. Payments under the facility agreement include payments of principal and interest.</w:t>
      </w:r>
    </w:p>
    <w:p>
      <w:pPr>
        <w:spacing w:after="0" w:line="185" w:lineRule="exact"/>
        <w:rPr>
          <w:rFonts w:ascii="Arial" w:cs="Arial" w:eastAsia="Arial" w:hAnsi="Arial"/>
          <w:sz w:val="18"/>
          <w:szCs w:val="18"/>
          <w:color w:val="auto"/>
        </w:rPr>
      </w:pPr>
    </w:p>
    <w:p>
      <w:pPr>
        <w:ind w:left="620" w:hanging="612"/>
        <w:spacing w:after="0"/>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Failure to meet production milestone</w:t>
      </w:r>
      <w:r>
        <w:rPr>
          <w:rFonts w:ascii="Arial" w:cs="Arial" w:eastAsia="Arial" w:hAnsi="Arial"/>
          <w:sz w:val="18"/>
          <w:szCs w:val="18"/>
          <w:color w:val="auto"/>
        </w:rPr>
        <w:t>: Fab 2 must reach production capacity of 33,000 wafers per month by December 31, 2007.</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Failure to raise additional funding within the agreed timetable:</w:t>
      </w:r>
    </w:p>
    <w:p>
      <w:pPr>
        <w:spacing w:after="0" w:line="225"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are obligated to raise $26 million by June 30, 2006 from specified sources. The sources of this $26 million of funding are limited to: (i) investments in our equity; (ii) investments in excess of the $23.5 million and $6.5 million which are to be made by October 31, 2005 and March 31, 2006, respectively, as described below; (iii) proceeds, net of taxes paid and related expenses, from the sale of securities we own in Azalea Microelectronics Corporation; and (iv) wafer prepayments under certain prepayment contracts.</w:t>
      </w:r>
    </w:p>
    <w:p>
      <w:pPr>
        <w:sectPr>
          <w:pgSz w:w="11900" w:h="16838" w:orient="portrait"/>
          <w:cols w:equalWidth="0" w:num="1">
            <w:col w:w="11400"/>
          </w:cols>
          <w:pgMar w:left="240" w:top="131" w:right="259" w:bottom="0" w:gutter="0" w:footer="0" w:header="0"/>
        </w:sectPr>
      </w:pPr>
    </w:p>
    <w:bookmarkStart w:id="29" w:name="page30"/>
    <w:bookmarkEnd w:id="29"/>
    <w:p>
      <w:pPr>
        <w:ind w:firstLine="351"/>
        <w:spacing w:after="0" w:line="288" w:lineRule="auto"/>
        <w:rPr>
          <w:sz w:val="20"/>
          <w:szCs w:val="20"/>
          <w:color w:val="auto"/>
        </w:rPr>
      </w:pPr>
      <w:r>
        <w:rPr>
          <w:rFonts w:ascii="Arial" w:cs="Arial" w:eastAsia="Arial" w:hAnsi="Arial"/>
          <w:sz w:val="16"/>
          <w:szCs w:val="16"/>
          <w:color w:val="auto"/>
        </w:rPr>
        <w:t>If we fail to raise an aggregate of $26 million from the specified sources by June 30, 2006, our banks have the option to demand that we consummate a rights offering for convertible debentures for the amount that we failed to raise. If our banks exercise this option, Israel Corp., has undertaken to our banks to exercise all of the rights Israel Corp. receives in such rights offering. In addition, as part of Israel Corp.‘s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such rights offering, if any (and less any amounts invested in the rights offering in connection with Israel Corp.‘s exercise of its own rights). An event of default under the facility agreement will occur if Israel Corp.‘s undertaking shall cease to be in full force and effect, if steps are taken for its liquidation, winding up or similar events or if Israel Corp. repudiates its undertaking. In connection with the July 2005 amendment to our facility agreement, our banks agreed that if Israel Corp. invests at least $14 million in this rights offering, its undertaking described above will be deemed to have been fulfilled.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pursuant to the July 2005 amendment to the facility agreement, we are obligated to raise $23.5 million dollars by October 31, 2005 and an additional $6.5 million by March 31, 2006. Our banks have agreed to extend the October 31, 2005 date to November 30, 2005, and we and our banks are preparing a formal agreement to such effect. In connection with the July 2005 amendment to our facility agreement, Israel Corp. and SanDisk Corporation have undertaken to invest $20 million and $3.5 million, respectively, in a rights offering. An event of default under the facility agreement will also occur if Israel Corp.‘s or SanDisk’s undertakings shall cease to be in full force and effect, if steps are taken for their liquidation, winding up or similar events or if they repudiate their respective undertaking.</w:t>
      </w:r>
    </w:p>
    <w:p>
      <w:pPr>
        <w:spacing w:after="0" w:line="198" w:lineRule="exact"/>
        <w:rPr>
          <w:sz w:val="20"/>
          <w:szCs w:val="20"/>
          <w:color w:val="auto"/>
        </w:rPr>
      </w:pPr>
    </w:p>
    <w:p>
      <w:pPr>
        <w:ind w:right="120" w:firstLine="8"/>
        <w:spacing w:after="0" w:line="306"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Investment Center Grants</w:t>
      </w:r>
      <w:r>
        <w:rPr>
          <w:rFonts w:ascii="Arial" w:cs="Arial" w:eastAsia="Arial" w:hAnsi="Arial"/>
          <w:sz w:val="16"/>
          <w:szCs w:val="16"/>
          <w:color w:val="auto"/>
        </w:rPr>
        <w:t>. We must comply with the terms and conditions of the approval to receive grants for Fab 2 from the Investment Center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Israeli Ministry of Industry, Trade and Labor and must receive these Fab 2 grants in accordance with the timetable set forth in the amended facility agreement. The facility agreement allows us to replace up to $50 million of the Fab 2 grants with paid in equity or wafer prepayments.</w:t>
      </w:r>
    </w:p>
    <w:p>
      <w:pPr>
        <w:spacing w:after="0" w:line="160" w:lineRule="exact"/>
        <w:rPr>
          <w:rFonts w:ascii="Arial" w:cs="Arial" w:eastAsia="Arial" w:hAnsi="Arial"/>
          <w:sz w:val="16"/>
          <w:szCs w:val="16"/>
          <w:color w:val="auto"/>
        </w:rPr>
      </w:pPr>
    </w:p>
    <w:p>
      <w:pPr>
        <w:ind w:right="80" w:firstLine="8"/>
        <w:spacing w:after="0" w:line="29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Failure to comply with certain financial ratios and covenants: </w:t>
      </w:r>
      <w:r>
        <w:rPr>
          <w:rFonts w:ascii="Arial" w:cs="Arial" w:eastAsia="Arial" w:hAnsi="Arial"/>
          <w:sz w:val="16"/>
          <w:szCs w:val="16"/>
          <w:color w:val="auto"/>
        </w:rPr>
        <w:t>Under the terms of the amended facility agreement, we must meet certain financial ratios</w:t>
      </w:r>
      <w:r>
        <w:rPr>
          <w:rFonts w:ascii="Arial" w:cs="Arial" w:eastAsia="Arial" w:hAnsi="Arial"/>
          <w:sz w:val="16"/>
          <w:szCs w:val="16"/>
          <w:i w:val="1"/>
          <w:iCs w:val="1"/>
          <w:color w:val="auto"/>
        </w:rPr>
        <w:t xml:space="preserve"> </w:t>
      </w:r>
      <w:r>
        <w:rPr>
          <w:rFonts w:ascii="Arial" w:cs="Arial" w:eastAsia="Arial" w:hAnsi="Arial"/>
          <w:sz w:val="16"/>
          <w:szCs w:val="16"/>
          <w:color w:val="auto"/>
        </w:rPr>
        <w:t>and covenants, including financial covenants relating to periodic sales, quarterly earnings before interest, taxes, depreciation and amortization (quarterly EBITDA), net cash flow as compared with total debt and equity as compared to total assets. In January 2005, we signed a waiver letter agreement with our banks according to which the banks waived our non-compliance with certain financial ratios and covenants for the fourth quarter of 2004 and which amended certain of the financial ratios and covenants for 2005. As of today, we are in full compliance with our financial ratios and covenants. Under the terms of the July 2005 amendment to our credit facility agreement, our banks agreed to amend our financial ratios and covenants through the third quarter of 2006. See “Risk Factors – If we fail to satisfy the covenants set forth in our amended credit facility, our banks will be able to call our loans.”</w:t>
      </w:r>
    </w:p>
    <w:p>
      <w:pPr>
        <w:spacing w:after="0" w:line="172" w:lineRule="exact"/>
        <w:rPr>
          <w:rFonts w:ascii="Arial" w:cs="Arial" w:eastAsia="Arial" w:hAnsi="Arial"/>
          <w:sz w:val="16"/>
          <w:szCs w:val="16"/>
          <w:color w:val="auto"/>
        </w:rPr>
      </w:pPr>
    </w:p>
    <w:p>
      <w:pPr>
        <w:ind w:left="660" w:hanging="652"/>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Changes to and compliance with material contracts: </w:t>
      </w:r>
      <w:r>
        <w:rPr>
          <w:rFonts w:ascii="Arial" w:cs="Arial" w:eastAsia="Arial" w:hAnsi="Arial"/>
          <w:sz w:val="16"/>
          <w:szCs w:val="16"/>
          <w:color w:val="auto"/>
        </w:rPr>
        <w:t>We may not amend, cancel, terminate or waive any term of a material contract unless the</w:t>
      </w:r>
    </w:p>
    <w:p>
      <w:pPr>
        <w:spacing w:after="0" w:line="38" w:lineRule="exact"/>
        <w:rPr>
          <w:rFonts w:ascii="Arial" w:cs="Arial" w:eastAsia="Arial" w:hAnsi="Arial"/>
          <w:sz w:val="16"/>
          <w:szCs w:val="16"/>
          <w:color w:val="auto"/>
        </w:rPr>
      </w:pPr>
    </w:p>
    <w:p>
      <w:pPr>
        <w:ind w:right="140"/>
        <w:spacing w:after="0" w:line="261" w:lineRule="auto"/>
        <w:rPr>
          <w:rFonts w:ascii="Arial" w:cs="Arial" w:eastAsia="Arial" w:hAnsi="Arial"/>
          <w:sz w:val="16"/>
          <w:szCs w:val="16"/>
          <w:color w:val="auto"/>
        </w:rPr>
      </w:pPr>
      <w:r>
        <w:rPr>
          <w:rFonts w:ascii="Arial" w:cs="Arial" w:eastAsia="Arial" w:hAnsi="Arial"/>
          <w:sz w:val="18"/>
          <w:szCs w:val="18"/>
          <w:color w:val="auto"/>
        </w:rPr>
        <w:t>aforementioned actions are not materially adverse to the interests of our banks. We also must materially comply with the terms of our material contracts. Subject to certain exceptions, certain of our material contracts must remain in full force and effect.</w:t>
      </w:r>
    </w:p>
    <w:p>
      <w:pPr>
        <w:spacing w:after="0" w:line="191" w:lineRule="exact"/>
        <w:rPr>
          <w:rFonts w:ascii="Arial" w:cs="Arial" w:eastAsia="Arial" w:hAnsi="Arial"/>
          <w:sz w:val="16"/>
          <w:szCs w:val="16"/>
          <w:color w:val="auto"/>
        </w:rPr>
      </w:pPr>
    </w:p>
    <w:p>
      <w:pPr>
        <w:ind w:left="700" w:hanging="692"/>
        <w:spacing w:after="0"/>
        <w:tabs>
          <w:tab w:leader="none" w:pos="7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Use of excess cash flow from Fab 2: </w:t>
      </w:r>
      <w:r>
        <w:rPr>
          <w:rFonts w:ascii="Arial" w:cs="Arial" w:eastAsia="Arial" w:hAnsi="Arial"/>
          <w:sz w:val="18"/>
          <w:szCs w:val="18"/>
          <w:color w:val="auto"/>
        </w:rPr>
        <w:t>We must invest the operating cash flow derived from Fab 2 in the Fab 2 project.</w:t>
      </w:r>
    </w:p>
    <w:p>
      <w:pPr>
        <w:spacing w:after="0" w:line="225" w:lineRule="exact"/>
        <w:rPr>
          <w:rFonts w:ascii="Arial" w:cs="Arial" w:eastAsia="Arial" w:hAnsi="Arial"/>
          <w:sz w:val="18"/>
          <w:szCs w:val="18"/>
          <w:color w:val="auto"/>
        </w:rPr>
      </w:pPr>
    </w:p>
    <w:p>
      <w:pPr>
        <w:ind w:right="40" w:firstLine="8"/>
        <w:spacing w:after="0" w:line="306" w:lineRule="auto"/>
        <w:tabs>
          <w:tab w:leader="none" w:pos="746"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Creation of encumbrances: </w:t>
      </w:r>
      <w:r>
        <w:rPr>
          <w:rFonts w:ascii="Arial" w:cs="Arial" w:eastAsia="Arial" w:hAnsi="Arial"/>
          <w:sz w:val="16"/>
          <w:szCs w:val="16"/>
          <w:color w:val="auto"/>
        </w:rPr>
        <w:t>We may not provide security interests in or otherwise encumber our assets, other than in favor of our banks or the</w:t>
      </w:r>
      <w:r>
        <w:rPr>
          <w:rFonts w:ascii="Arial" w:cs="Arial" w:eastAsia="Arial" w:hAnsi="Arial"/>
          <w:sz w:val="16"/>
          <w:szCs w:val="16"/>
          <w:i w:val="1"/>
          <w:iCs w:val="1"/>
          <w:color w:val="auto"/>
        </w:rPr>
        <w:t xml:space="preserve"> </w:t>
      </w:r>
      <w:r>
        <w:rPr>
          <w:rFonts w:ascii="Arial" w:cs="Arial" w:eastAsia="Arial" w:hAnsi="Arial"/>
          <w:sz w:val="16"/>
          <w:szCs w:val="16"/>
          <w:color w:val="auto"/>
        </w:rPr>
        <w:t>government of the State of Israel in connection with grants from the Investment Center of the Ministry of Industry, Trade and Labor for Fab 1 and Fab 2 or unless approved by our banks, as was the case with the first ranking charges on certain of our Fab 1 assets in favor of Siliconix Technology C.V.</w:t>
      </w:r>
    </w:p>
    <w:p>
      <w:pPr>
        <w:spacing w:after="0" w:line="160" w:lineRule="exact"/>
        <w:rPr>
          <w:rFonts w:ascii="Arial" w:cs="Arial" w:eastAsia="Arial" w:hAnsi="Arial"/>
          <w:sz w:val="16"/>
          <w:szCs w:val="16"/>
          <w:color w:val="auto"/>
        </w:rPr>
      </w:pPr>
    </w:p>
    <w:p>
      <w:pPr>
        <w:ind w:right="20" w:firstLine="8"/>
        <w:spacing w:after="0" w:line="291"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Payment of dividends: </w:t>
      </w:r>
      <w:r>
        <w:rPr>
          <w:rFonts w:ascii="Arial" w:cs="Arial" w:eastAsia="Arial" w:hAnsi="Arial"/>
          <w:sz w:val="16"/>
          <w:szCs w:val="16"/>
          <w:color w:val="auto"/>
        </w:rPr>
        <w:t>We are not permitted to undertake to declare or pay a dividend or any other distribution (as defined in the Companies Law –</w:t>
      </w:r>
      <w:r>
        <w:rPr>
          <w:rFonts w:ascii="Arial" w:cs="Arial" w:eastAsia="Arial" w:hAnsi="Arial"/>
          <w:sz w:val="16"/>
          <w:szCs w:val="16"/>
          <w:i w:val="1"/>
          <w:iCs w:val="1"/>
          <w:color w:val="auto"/>
        </w:rPr>
        <w:t xml:space="preserve"> </w:t>
      </w:r>
      <w:r>
        <w:rPr>
          <w:rFonts w:ascii="Arial" w:cs="Arial" w:eastAsia="Arial" w:hAnsi="Arial"/>
          <w:sz w:val="16"/>
          <w:szCs w:val="16"/>
          <w:color w:val="auto"/>
        </w:rPr>
        <w:t>1999) or to redeem any of our shares or convertible securities (including the debentures being offered herein) unless the facility agreement specifically grants us this right. The facility agreement provides that we may declare and pay a dividend on or in respect of our share capital provided that: (a) no such distribution shall take place prior to January 1, 2008 and prior to any such distribution, we must have placed on deposit with our banks an amount equal to the debt service for the quarter in which the distribution is to be made and pledged such deposit in favor of our banks, and (b) we must have complied with certain financial ratios and covenants. In addition, we may only declare and pay a dividend provided that:</w:t>
      </w:r>
    </w:p>
    <w:p>
      <w:pPr>
        <w:spacing w:after="0" w:line="174"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1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facility agreement; and</w:t>
      </w:r>
    </w:p>
    <w:p>
      <w:pPr>
        <w:spacing w:after="0" w:line="9"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rFonts w:ascii="Arial" w:cs="Arial" w:eastAsia="Arial" w:hAnsi="Arial"/>
          <w:sz w:val="16"/>
          <w:szCs w:val="16"/>
          <w:color w:val="auto"/>
        </w:rPr>
      </w:pPr>
    </w:p>
    <w:p>
      <w:pPr>
        <w:spacing w:after="0" w:line="261" w:lineRule="exact"/>
        <w:rPr>
          <w:rFonts w:ascii="Arial" w:cs="Arial" w:eastAsia="Arial" w:hAnsi="Arial"/>
          <w:sz w:val="16"/>
          <w:szCs w:val="16"/>
          <w:color w:val="auto"/>
        </w:rPr>
      </w:pPr>
    </w:p>
    <w:p>
      <w:pPr>
        <w:ind w:right="120" w:firstLine="8"/>
        <w:spacing w:after="0" w:line="255"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Incurrence of financial indebtedness: </w:t>
      </w:r>
      <w:r>
        <w:rPr>
          <w:rFonts w:ascii="Arial" w:cs="Arial" w:eastAsia="Arial" w:hAnsi="Arial"/>
          <w:sz w:val="18"/>
          <w:szCs w:val="18"/>
          <w:color w:val="auto"/>
        </w:rPr>
        <w:t>We may not incur any financial indebtedness, unless we are specifically permitted to do so under the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Examples of financial indebtedness which we are permitted to incur according to the terms of the facility agreement are: an amount of up to $40 million in respect of a credit facility for Fab 1, an amount of up to $10 million in respect of operating leases relating to Fab 2, the debt we incurred in connection with the issuance of convertible debentures in September 2002 and the debt we are incurring in connection with the issuance of the debentures being offered herein.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8"/>
        <w:spacing w:after="0" w:line="332"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Purchase of shares or assets of another company: </w:t>
      </w:r>
      <w:r>
        <w:rPr>
          <w:rFonts w:ascii="Arial" w:cs="Arial" w:eastAsia="Arial" w:hAnsi="Arial"/>
          <w:sz w:val="16"/>
          <w:szCs w:val="16"/>
          <w:color w:val="auto"/>
        </w:rPr>
        <w:t>We may not purchase any interest in the share capital or the business or assets constituting a separate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of another company unless the aggregate amount of all such investments or purchases does not exceed $5 million.</w:t>
      </w:r>
    </w:p>
    <w:p>
      <w:pPr>
        <w:spacing w:after="0" w:line="139" w:lineRule="exact"/>
        <w:rPr>
          <w:rFonts w:ascii="Arial" w:cs="Arial" w:eastAsia="Arial" w:hAnsi="Arial"/>
          <w:sz w:val="16"/>
          <w:szCs w:val="16"/>
          <w:color w:val="auto"/>
        </w:rPr>
      </w:pPr>
    </w:p>
    <w:p>
      <w:pPr>
        <w:ind w:right="100" w:firstLine="8"/>
        <w:spacing w:after="0" w:line="306" w:lineRule="auto"/>
        <w:tabs>
          <w:tab w:leader="none" w:pos="697"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Suspension or cancellation of approvals and permits</w:t>
      </w:r>
      <w:r>
        <w:rPr>
          <w:rFonts w:ascii="Arial" w:cs="Arial" w:eastAsia="Arial" w:hAnsi="Arial"/>
          <w:sz w:val="16"/>
          <w:szCs w:val="16"/>
          <w:color w:val="auto"/>
        </w:rPr>
        <w:t>: We must obtain all of the permits, approvals or licenses necessary for the performance of the Fab</w:t>
      </w:r>
      <w:r>
        <w:rPr>
          <w:rFonts w:ascii="Arial" w:cs="Arial" w:eastAsia="Arial" w:hAnsi="Arial"/>
          <w:sz w:val="16"/>
          <w:szCs w:val="16"/>
          <w:i w:val="1"/>
          <w:iCs w:val="1"/>
          <w:color w:val="auto"/>
        </w:rPr>
        <w:t xml:space="preserve"> </w:t>
      </w:r>
      <w:r>
        <w:rPr>
          <w:rFonts w:ascii="Arial" w:cs="Arial" w:eastAsia="Arial" w:hAnsi="Arial"/>
          <w:sz w:val="16"/>
          <w:szCs w:val="16"/>
          <w:color w:val="auto"/>
        </w:rPr>
        <w:t>2 project and must ensure that they are not suspended, cancelled, revoked or lapse without our having obtained adequate replacements. In addition, we must comply with the terms of such permits, approvals or licenses and their terms cannot be modified in a material adverse respect.</w:t>
      </w:r>
    </w:p>
    <w:p>
      <w:pPr>
        <w:spacing w:after="0" w:line="160" w:lineRule="exact"/>
        <w:rPr>
          <w:rFonts w:ascii="Arial" w:cs="Arial" w:eastAsia="Arial" w:hAnsi="Arial"/>
          <w:sz w:val="16"/>
          <w:szCs w:val="16"/>
          <w:color w:val="auto"/>
        </w:rPr>
      </w:pPr>
    </w:p>
    <w:p>
      <w:pPr>
        <w:ind w:right="40" w:firstLine="8"/>
        <w:spacing w:after="0" w:line="306" w:lineRule="auto"/>
        <w:tabs>
          <w:tab w:leader="none" w:pos="74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A “change of ownership”: </w:t>
      </w:r>
      <w:r>
        <w:rPr>
          <w:rFonts w:ascii="Arial" w:cs="Arial" w:eastAsia="Arial" w:hAnsi="Arial"/>
          <w:sz w:val="16"/>
          <w:szCs w:val="16"/>
          <w:color w:val="auto"/>
        </w:rPr>
        <w:t>The facility agreement provides that certain events would be considered to be a change of our ownership of our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and would constitute an event of default. These events include limitations of the number of our shares that the Israel Corp. and our major wafer partners (SanDisk Corporation, Alliance Semiconductor Corporation and Macronix Co. Ltd.) may sell or hold and the composition of our board of directors including that:</w:t>
      </w:r>
    </w:p>
    <w:p>
      <w:pPr>
        <w:spacing w:after="0" w:line="160" w:lineRule="exact"/>
        <w:rPr>
          <w:rFonts w:ascii="Arial" w:cs="Arial" w:eastAsia="Arial" w:hAnsi="Arial"/>
          <w:sz w:val="16"/>
          <w:szCs w:val="16"/>
          <w:color w:val="auto"/>
        </w:rPr>
      </w:pPr>
    </w:p>
    <w:p>
      <w:pPr>
        <w:ind w:left="1720" w:right="180" w:hanging="567"/>
        <w:spacing w:after="0" w:line="268" w:lineRule="auto"/>
        <w:rPr>
          <w:rFonts w:ascii="Arial" w:cs="Arial" w:eastAsia="Arial" w:hAnsi="Arial"/>
          <w:sz w:val="16"/>
          <w:szCs w:val="16"/>
          <w:color w:val="auto"/>
        </w:rPr>
      </w:pPr>
      <w:r>
        <w:rPr>
          <w:rFonts w:ascii="Arial" w:cs="Arial" w:eastAsia="Arial" w:hAnsi="Arial"/>
          <w:sz w:val="18"/>
          <w:szCs w:val="18"/>
          <w:color w:val="auto"/>
        </w:rPr>
        <w:t>—From December 16, 2003 through January 29, 2006, Israel Corp. must hold at least the higher of (i) eight million of our ordinary shares or (ii) 16.5% of our issued share capital less two million ordinary shares; and</w:t>
      </w:r>
    </w:p>
    <w:p>
      <w:pPr>
        <w:sectPr>
          <w:pgSz w:w="11900" w:h="16838" w:orient="portrait"/>
          <w:cols w:equalWidth="0" w:num="1">
            <w:col w:w="11420"/>
          </w:cols>
          <w:pgMar w:left="240" w:top="131" w:right="239" w:bottom="0" w:gutter="0" w:footer="0" w:header="0"/>
        </w:sectPr>
      </w:pPr>
    </w:p>
    <w:bookmarkStart w:id="30" w:name="page31"/>
    <w:bookmarkEnd w:id="30"/>
    <w:p>
      <w:pPr>
        <w:ind w:left="1712" w:right="140" w:hanging="567"/>
        <w:spacing w:after="0" w:line="268" w:lineRule="auto"/>
        <w:rPr>
          <w:sz w:val="20"/>
          <w:szCs w:val="20"/>
          <w:color w:val="auto"/>
        </w:rPr>
      </w:pPr>
      <w:r>
        <w:rPr>
          <w:rFonts w:ascii="Arial" w:cs="Arial" w:eastAsia="Arial" w:hAnsi="Arial"/>
          <w:sz w:val="18"/>
          <w:szCs w:val="18"/>
          <w:color w:val="auto"/>
        </w:rPr>
        <w:t>—During the three-year period beginning January 29, 2006, Israel Corp. may gradually sell between 25% to 100% of the shares held by it on December 16, 2003, less the amount of shares it was entitled to sell through January 29, 2006.</w:t>
      </w:r>
    </w:p>
    <w:p>
      <w:pPr>
        <w:spacing w:after="0" w:line="212" w:lineRule="exact"/>
        <w:rPr>
          <w:sz w:val="20"/>
          <w:szCs w:val="20"/>
          <w:color w:val="auto"/>
        </w:rPr>
      </w:pPr>
    </w:p>
    <w:p>
      <w:pPr>
        <w:ind w:left="1712" w:right="4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Until January 29, 2006, SanDisk Corporation, Alliance Semiconductor Corporation and Macronix Co. Ltd. cannot sell more than 30% of the number of our shares held by them on January 29, 2004 which were purchased pursuant to the 2000 investment agreements with us.</w:t>
      </w:r>
    </w:p>
    <w:p>
      <w:pPr>
        <w:spacing w:after="0" w:line="143" w:lineRule="exact"/>
        <w:rPr>
          <w:sz w:val="20"/>
          <w:szCs w:val="20"/>
          <w:color w:val="auto"/>
        </w:rPr>
      </w:pPr>
    </w:p>
    <w:p>
      <w:pPr>
        <w:ind w:left="1712" w:right="80" w:hanging="567"/>
        <w:spacing w:after="0" w:line="256" w:lineRule="auto"/>
        <w:rPr>
          <w:sz w:val="20"/>
          <w:szCs w:val="20"/>
          <w:color w:val="auto"/>
        </w:rPr>
      </w:pPr>
      <w:r>
        <w:rPr>
          <w:rFonts w:ascii="Arial" w:cs="Arial" w:eastAsia="Arial" w:hAnsi="Arial"/>
          <w:sz w:val="18"/>
          <w:szCs w:val="18"/>
          <w:color w:val="auto"/>
        </w:rPr>
        <w:t>—At any time during the period between January 30, 2006, and at least 12 months from January 29, 2006, the aggregate shareholdings of SanDisk Corporation, Alliance Semiconductor Corporation and Macronix Co. Ltd. must equal at least 60% of the amount of their aggregate shareholdings on January 29, 2006 (which may be reduced under certain conditions) less an amount of shares equal to 30% of the number of our shares held by them on January 29, 2004.</w:t>
      </w:r>
    </w:p>
    <w:p>
      <w:pPr>
        <w:spacing w:after="0" w:line="224" w:lineRule="exact"/>
        <w:rPr>
          <w:sz w:val="20"/>
          <w:szCs w:val="20"/>
          <w:color w:val="auto"/>
        </w:rPr>
      </w:pPr>
    </w:p>
    <w:p>
      <w:pPr>
        <w:ind w:left="1712" w:hanging="567"/>
        <w:spacing w:after="0" w:line="259" w:lineRule="auto"/>
        <w:rPr>
          <w:sz w:val="20"/>
          <w:szCs w:val="20"/>
          <w:color w:val="auto"/>
        </w:rPr>
      </w:pPr>
      <w:r>
        <w:rPr>
          <w:rFonts w:ascii="Arial" w:cs="Arial" w:eastAsia="Arial" w:hAnsi="Arial"/>
          <w:sz w:val="18"/>
          <w:szCs w:val="18"/>
          <w:color w:val="auto"/>
        </w:rPr>
        <w:t>—The maximum number of directors that Israel Corp. may nominate may not exceed the number of directors nominated by SanDisk Corporation, Alliance Semiconductor Corporation, Macronix Co. Ltd. For the purpose of this calculation external directors and our office holders that are also directors are not taken into account as members of our board of directors.</w:t>
      </w:r>
    </w:p>
    <w:p>
      <w:pPr>
        <w:spacing w:after="0" w:line="221" w:lineRule="exact"/>
        <w:rPr>
          <w:sz w:val="20"/>
          <w:szCs w:val="20"/>
          <w:color w:val="auto"/>
        </w:rPr>
      </w:pPr>
    </w:p>
    <w:p>
      <w:pPr>
        <w:ind w:left="1712" w:right="200" w:hanging="567"/>
        <w:spacing w:after="0" w:line="256" w:lineRule="auto"/>
        <w:rPr>
          <w:sz w:val="20"/>
          <w:szCs w:val="20"/>
          <w:color w:val="auto"/>
        </w:rPr>
      </w:pPr>
      <w:r>
        <w:rPr>
          <w:rFonts w:ascii="Arial" w:cs="Arial" w:eastAsia="Arial" w:hAnsi="Arial"/>
          <w:sz w:val="18"/>
          <w:szCs w:val="18"/>
          <w:color w:val="auto"/>
        </w:rPr>
        <w:t>—Israel Corp. may not hold for more than 7 days ordinary shares that it acquires through the conversion of convertible debentures if, at such time, the number of our ordinary shares held by it exceeds the sum of the number of our ordinary shares held by it on January 18, 2001 (the date the facility agreement was signed) and the number of our ordinary shares purchased by Israel Corp. pursuant to its December 2000 investment agreements with us.</w:t>
      </w:r>
    </w:p>
    <w:p>
      <w:pPr>
        <w:spacing w:after="0" w:line="224" w:lineRule="exact"/>
        <w:rPr>
          <w:sz w:val="20"/>
          <w:szCs w:val="20"/>
          <w:color w:val="auto"/>
        </w:rPr>
      </w:pPr>
    </w:p>
    <w:p>
      <w:pPr>
        <w:ind w:left="1712" w:right="20" w:hanging="567"/>
        <w:spacing w:after="0" w:line="259" w:lineRule="auto"/>
        <w:rPr>
          <w:sz w:val="20"/>
          <w:szCs w:val="20"/>
          <w:color w:val="auto"/>
        </w:rPr>
      </w:pPr>
      <w:r>
        <w:rPr>
          <w:rFonts w:ascii="Arial" w:cs="Arial" w:eastAsia="Arial" w:hAnsi="Arial"/>
          <w:sz w:val="18"/>
          <w:szCs w:val="18"/>
          <w:color w:val="auto"/>
        </w:rPr>
        <w:t>—SanDisk Corporation, Alliance Semiconductor Corporation, Macronix Co. Ltd., and Israel Corp., no longer nominate in excess of half of our directors. For the purpose of this calculation external directors and our office holders that are also directors are not taken into account as members of our board of directors.</w:t>
      </w:r>
    </w:p>
    <w:p>
      <w:pPr>
        <w:spacing w:after="0" w:line="200" w:lineRule="exact"/>
        <w:rPr>
          <w:sz w:val="20"/>
          <w:szCs w:val="20"/>
          <w:color w:val="auto"/>
        </w:rPr>
      </w:pPr>
    </w:p>
    <w:p>
      <w:pPr>
        <w:spacing w:after="0" w:line="237" w:lineRule="exact"/>
        <w:rPr>
          <w:sz w:val="20"/>
          <w:szCs w:val="20"/>
          <w:color w:val="auto"/>
        </w:rPr>
      </w:pPr>
    </w:p>
    <w:p>
      <w:pPr>
        <w:ind w:left="-8" w:right="60" w:firstLine="8"/>
        <w:spacing w:after="0" w:line="268" w:lineRule="auto"/>
        <w:tabs>
          <w:tab w:leader="none" w:pos="728"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Purpose of Credits: </w:t>
      </w:r>
      <w:r>
        <w:rPr>
          <w:rFonts w:ascii="Arial" w:cs="Arial" w:eastAsia="Arial" w:hAnsi="Arial"/>
          <w:sz w:val="18"/>
          <w:szCs w:val="18"/>
          <w:color w:val="auto"/>
        </w:rPr>
        <w:t>We may not use the different forms of credits available under the facility agreement other than for the purposes permitted therefor,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generally relate to costs and expenses associated with the Fab 2 project.</w:t>
      </w:r>
    </w:p>
    <w:p>
      <w:pPr>
        <w:spacing w:after="0" w:line="18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 w:right="100" w:firstLine="8"/>
        <w:spacing w:after="0" w:line="268"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We may not create any obligations to any third party that rank senior in right and priority of payment to the banks or in priority of security to</w:t>
      </w:r>
      <w:r>
        <w:rPr>
          <w:rFonts w:ascii="Arial" w:cs="Arial" w:eastAsia="Arial" w:hAnsi="Arial"/>
          <w:sz w:val="18"/>
          <w:szCs w:val="18"/>
          <w:i w:val="1"/>
          <w:iCs w:val="1"/>
          <w:color w:val="auto"/>
        </w:rPr>
        <w:t xml:space="preserve"> </w:t>
      </w:r>
      <w:r>
        <w:rPr>
          <w:rFonts w:ascii="Arial" w:cs="Arial" w:eastAsia="Arial" w:hAnsi="Arial"/>
          <w:sz w:val="18"/>
          <w:szCs w:val="18"/>
          <w:color w:val="auto"/>
        </w:rPr>
        <w:t>the banks, other than obligations which are mandatorily preferred by law applying to companies generally.</w:t>
      </w:r>
    </w:p>
    <w:p>
      <w:pPr>
        <w:spacing w:after="0" w:line="185" w:lineRule="exact"/>
        <w:rPr>
          <w:rFonts w:ascii="Arial" w:cs="Arial" w:eastAsia="Arial" w:hAnsi="Arial"/>
          <w:sz w:val="18"/>
          <w:szCs w:val="18"/>
          <w:color w:val="auto"/>
        </w:rPr>
      </w:pPr>
    </w:p>
    <w:p>
      <w:pPr>
        <w:ind w:left="-8" w:firstLine="8"/>
        <w:spacing w:after="0" w:line="255" w:lineRule="auto"/>
        <w:tabs>
          <w:tab w:leader="none" w:pos="728"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All of our properties and assets must be insured with reputable insurance companies or underwriters approved by the banks. We must also</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insurance which is generally and customarily maintained by companies carrying on a business similar to ours. The proceeds payable under the insurance polices in the event of loss of Fab 2 or the Fab 2 project must equal at least 110% of the aggregate amount of debt we owe our banks under the facility agreement at any given time. In addition, the insurance policies are to be assigned by way of charge in favor of the banks and the banks are to be joined as an additional insured.</w:t>
      </w:r>
    </w:p>
    <w:p>
      <w:pPr>
        <w:spacing w:after="0" w:line="196" w:lineRule="exact"/>
        <w:rPr>
          <w:rFonts w:ascii="Arial" w:cs="Arial" w:eastAsia="Arial" w:hAnsi="Arial"/>
          <w:sz w:val="18"/>
          <w:szCs w:val="18"/>
          <w:color w:val="auto"/>
        </w:rPr>
      </w:pPr>
    </w:p>
    <w:p>
      <w:pPr>
        <w:ind w:left="-8" w:right="320" w:firstLine="8"/>
        <w:spacing w:after="0" w:line="259" w:lineRule="auto"/>
        <w:tabs>
          <w:tab w:leader="none" w:pos="777"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Construction Contract: </w:t>
      </w:r>
      <w:r>
        <w:rPr>
          <w:rFonts w:ascii="Arial" w:cs="Arial" w:eastAsia="Arial" w:hAnsi="Arial"/>
          <w:sz w:val="18"/>
          <w:szCs w:val="18"/>
          <w:color w:val="auto"/>
        </w:rPr>
        <w:t>We may not terminate or exercise any right or suspension under our agreement with our Fab 2 contractor without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consent of the banks. In addition, the suspension of performance under the agreement with our Fab 2 contractor for a continuous period of more than ninety days or the abandonment of the Fab 2 project or a material part thereof are events of default.</w:t>
      </w:r>
    </w:p>
    <w:p>
      <w:pPr>
        <w:spacing w:after="0" w:line="194" w:lineRule="exact"/>
        <w:rPr>
          <w:rFonts w:ascii="Arial" w:cs="Arial" w:eastAsia="Arial" w:hAnsi="Arial"/>
          <w:sz w:val="18"/>
          <w:szCs w:val="18"/>
          <w:color w:val="auto"/>
        </w:rPr>
      </w:pPr>
    </w:p>
    <w:p>
      <w:pPr>
        <w:ind w:left="-8" w:firstLine="8"/>
        <w:spacing w:after="0" w:line="306" w:lineRule="auto"/>
        <w:tabs>
          <w:tab w:leader="none" w:pos="82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Agreements providing for wafer order rights</w:t>
      </w:r>
      <w:r>
        <w:rPr>
          <w:rFonts w:ascii="Arial" w:cs="Arial" w:eastAsia="Arial" w:hAnsi="Arial"/>
          <w:sz w:val="16"/>
          <w:szCs w:val="16"/>
          <w:color w:val="auto"/>
        </w:rPr>
        <w:t>: We must have binding agreements providing for a wafer order right providing for the sale of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in Fab 2 in aggregate of at least 15,733 wafer starts per month for the three year period commencing after Fab 2 reaches production capacity of 10,000 wafer starts per month. At the present time, this obligation is satisfied as a result of the foundry agreements with our wafer partners.</w:t>
      </w:r>
    </w:p>
    <w:p>
      <w:pPr>
        <w:spacing w:after="0" w:line="160" w:lineRule="exact"/>
        <w:rPr>
          <w:rFonts w:ascii="Arial" w:cs="Arial" w:eastAsia="Arial" w:hAnsi="Arial"/>
          <w:sz w:val="16"/>
          <w:szCs w:val="16"/>
          <w:color w:val="auto"/>
        </w:rPr>
      </w:pPr>
    </w:p>
    <w:p>
      <w:pPr>
        <w:ind w:left="-8" w:right="80" w:firstLine="8"/>
        <w:spacing w:after="0" w:line="298"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Representation and warranties</w:t>
      </w:r>
      <w:r>
        <w:rPr>
          <w:rFonts w:ascii="Arial" w:cs="Arial" w:eastAsia="Arial" w:hAnsi="Arial"/>
          <w:sz w:val="16"/>
          <w:szCs w:val="16"/>
          <w:color w:val="auto"/>
        </w:rPr>
        <w:t>: Prior to the closing of the facility agreement with the banks, we made certain representations and warranties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banks and we were deemed to have been repeated certain of those representations and warranties to the banks each time we delivered a request to borrow money under the facility agreement. We also made certain representations and warranties to the banks in connection with the amendments to our facility agreement. When made, the representations and warranties must have been correct and not misleading in a material manner.</w:t>
      </w:r>
    </w:p>
    <w:p>
      <w:pPr>
        <w:spacing w:after="0" w:line="166" w:lineRule="exact"/>
        <w:rPr>
          <w:rFonts w:ascii="Arial" w:cs="Arial" w:eastAsia="Arial" w:hAnsi="Arial"/>
          <w:sz w:val="16"/>
          <w:szCs w:val="16"/>
          <w:color w:val="auto"/>
        </w:rPr>
      </w:pPr>
    </w:p>
    <w:p>
      <w:pPr>
        <w:ind w:left="-8" w:right="20" w:firstLine="8"/>
        <w:spacing w:after="0" w:line="268"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Continuous legal validity of the facility agreement</w:t>
      </w:r>
      <w:r>
        <w:rPr>
          <w:rFonts w:ascii="Arial" w:cs="Arial" w:eastAsia="Arial" w:hAnsi="Arial"/>
          <w:sz w:val="18"/>
          <w:szCs w:val="18"/>
          <w:color w:val="auto"/>
        </w:rPr>
        <w:t>: The facility agreement or any of its ancillary agreements shall not cease to be in full force and effect</w:t>
      </w:r>
      <w:r>
        <w:rPr>
          <w:rFonts w:ascii="Arial" w:cs="Arial" w:eastAsia="Arial" w:hAnsi="Arial"/>
          <w:sz w:val="18"/>
          <w:szCs w:val="18"/>
          <w:i w:val="1"/>
          <w:iCs w:val="1"/>
          <w:color w:val="auto"/>
        </w:rPr>
        <w:t xml:space="preserve"> </w:t>
      </w:r>
      <w:r>
        <w:rPr>
          <w:rFonts w:ascii="Arial" w:cs="Arial" w:eastAsia="Arial" w:hAnsi="Arial"/>
          <w:sz w:val="18"/>
          <w:szCs w:val="18"/>
          <w:color w:val="auto"/>
        </w:rPr>
        <w:t>in any respect or fail to provide the intended perfected security over our assets in favor of our banks.</w:t>
      </w:r>
    </w:p>
    <w:p>
      <w:pPr>
        <w:spacing w:after="0" w:line="185" w:lineRule="exact"/>
        <w:rPr>
          <w:rFonts w:ascii="Arial" w:cs="Arial" w:eastAsia="Arial" w:hAnsi="Arial"/>
          <w:sz w:val="18"/>
          <w:szCs w:val="18"/>
          <w:color w:val="auto"/>
        </w:rPr>
      </w:pPr>
    </w:p>
    <w:p>
      <w:pPr>
        <w:ind w:left="-8" w:right="40" w:firstLine="8"/>
        <w:spacing w:after="0" w:line="306" w:lineRule="auto"/>
        <w:tabs>
          <w:tab w:leader="none" w:pos="728"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Liquidation; Insolvency</w:t>
      </w:r>
      <w:r>
        <w:rPr>
          <w:rFonts w:ascii="Arial" w:cs="Arial" w:eastAsia="Arial" w:hAnsi="Arial"/>
          <w:sz w:val="16"/>
          <w:szCs w:val="16"/>
          <w:color w:val="auto"/>
        </w:rPr>
        <w:t>: Our becoming insolvent or admitting to being insolvent or our commencement of negotiations with any one or more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creditors with a view to a general readjustment or rescheduling of our indebtedness. In addition, any steps taken for our liquidation, winding up or similar events, including our seeking protection from our creditors, and any proceedings or orders with respect thereto must be cancelled or withdrawn within sixty days.</w:t>
      </w:r>
    </w:p>
    <w:p>
      <w:pPr>
        <w:spacing w:after="0" w:line="160" w:lineRule="exact"/>
        <w:rPr>
          <w:rFonts w:ascii="Arial" w:cs="Arial" w:eastAsia="Arial" w:hAnsi="Arial"/>
          <w:sz w:val="16"/>
          <w:szCs w:val="16"/>
          <w:color w:val="auto"/>
        </w:rPr>
      </w:pPr>
    </w:p>
    <w:p>
      <w:pPr>
        <w:ind w:left="-8" w:right="120" w:firstLine="8"/>
        <w:spacing w:after="0" w:line="332" w:lineRule="auto"/>
        <w:tabs>
          <w:tab w:leader="none" w:pos="777"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Cross acceleration of other indebtedness</w:t>
      </w:r>
      <w:r>
        <w:rPr>
          <w:rFonts w:ascii="Arial" w:cs="Arial" w:eastAsia="Arial" w:hAnsi="Arial"/>
          <w:sz w:val="16"/>
          <w:szCs w:val="16"/>
          <w:color w:val="auto"/>
        </w:rPr>
        <w:t>: We may not fail to make payments regarding any of our other financial indebtedness which aggregates $20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more. In addition, $20 million or more of our other financial indebtedness cannot become prematurely due and payable or be placed on demand.</w:t>
      </w:r>
    </w:p>
    <w:p>
      <w:pPr>
        <w:spacing w:after="0" w:line="139" w:lineRule="exact"/>
        <w:rPr>
          <w:rFonts w:ascii="Arial" w:cs="Arial" w:eastAsia="Arial" w:hAnsi="Arial"/>
          <w:sz w:val="16"/>
          <w:szCs w:val="16"/>
          <w:color w:val="auto"/>
        </w:rPr>
      </w:pPr>
    </w:p>
    <w:p>
      <w:pPr>
        <w:ind w:left="-8" w:right="280" w:firstLine="8"/>
        <w:spacing w:after="0" w:line="306" w:lineRule="auto"/>
        <w:tabs>
          <w:tab w:leader="none" w:pos="826"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Breach of Convertible Debentures</w:t>
      </w:r>
      <w:r>
        <w:rPr>
          <w:rFonts w:ascii="Arial" w:cs="Arial" w:eastAsia="Arial" w:hAnsi="Arial"/>
          <w:sz w:val="16"/>
          <w:szCs w:val="16"/>
          <w:color w:val="auto"/>
        </w:rPr>
        <w:t>. Our default under or breach of any of the terms and conditions of the convertible debentures we issued in</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2002 or the convertible debentures being offered hereunder or our making any payment in relation thereto which is not permitted under the facility agreement or the institution by the holders of the debentures (or anyone acting on their behalf, including a trustee) of proceedings against us.</w:t>
      </w:r>
    </w:p>
    <w:p>
      <w:pPr>
        <w:spacing w:after="0" w:line="160" w:lineRule="exact"/>
        <w:rPr>
          <w:rFonts w:ascii="Arial" w:cs="Arial" w:eastAsia="Arial" w:hAnsi="Arial"/>
          <w:sz w:val="16"/>
          <w:szCs w:val="16"/>
          <w:color w:val="auto"/>
        </w:rPr>
      </w:pPr>
    </w:p>
    <w:p>
      <w:pPr>
        <w:ind w:left="-8" w:firstLine="8"/>
        <w:spacing w:after="0" w:line="268" w:lineRule="auto"/>
        <w:tabs>
          <w:tab w:leader="none" w:pos="816"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Execution, Attachment, Sequestration: </w:t>
      </w:r>
      <w:r>
        <w:rPr>
          <w:rFonts w:ascii="Arial" w:cs="Arial" w:eastAsia="Arial" w:hAnsi="Arial"/>
          <w:sz w:val="18"/>
          <w:szCs w:val="18"/>
          <w:color w:val="auto"/>
        </w:rPr>
        <w:t>We may not permit any execution, attachment, sequestration or other similar process taken against us to subsist</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than 45 days.</w:t>
      </w:r>
    </w:p>
    <w:p>
      <w:pPr>
        <w:spacing w:after="0" w:line="185" w:lineRule="exact"/>
        <w:rPr>
          <w:rFonts w:ascii="Arial" w:cs="Arial" w:eastAsia="Arial" w:hAnsi="Arial"/>
          <w:sz w:val="18"/>
          <w:szCs w:val="18"/>
          <w:color w:val="auto"/>
        </w:rPr>
      </w:pPr>
    </w:p>
    <w:p>
      <w:pPr>
        <w:ind w:left="-8" w:right="260" w:firstLine="8"/>
        <w:spacing w:after="0" w:line="268" w:lineRule="auto"/>
        <w:tabs>
          <w:tab w:leader="none" w:pos="767"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Material adverse effect: </w:t>
      </w:r>
      <w:r>
        <w:rPr>
          <w:rFonts w:ascii="Arial" w:cs="Arial" w:eastAsia="Arial" w:hAnsi="Arial"/>
          <w:sz w:val="18"/>
          <w:szCs w:val="18"/>
          <w:color w:val="auto"/>
        </w:rPr>
        <w:t>The existence of any litigation or other proceedings involving us, or any event or series of events, which is likely to have a</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adverse effect on our company.</w:t>
      </w:r>
    </w:p>
    <w:p>
      <w:pPr>
        <w:sectPr>
          <w:pgSz w:w="11900" w:h="16838" w:orient="portrait"/>
          <w:cols w:equalWidth="0" w:num="1">
            <w:col w:w="11372"/>
          </w:cols>
          <w:pgMar w:left="248" w:top="374" w:right="279" w:bottom="135" w:gutter="0" w:footer="0" w:header="0"/>
        </w:sectPr>
      </w:pPr>
    </w:p>
    <w:bookmarkStart w:id="31" w:name="page32"/>
    <w:bookmarkEnd w:id="31"/>
    <w:p>
      <w:pPr>
        <w:spacing w:after="0" w:line="83" w:lineRule="exact"/>
        <w:rPr>
          <w:sz w:val="20"/>
          <w:szCs w:val="20"/>
          <w:color w:val="auto"/>
        </w:rPr>
      </w:pPr>
    </w:p>
    <w:p>
      <w:pPr>
        <w:ind w:right="560" w:firstLine="8"/>
        <w:spacing w:after="0" w:line="268" w:lineRule="auto"/>
        <w:tabs>
          <w:tab w:leader="none" w:pos="824"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Fab 2 being declared a total loss: </w:t>
      </w:r>
      <w:r>
        <w:rPr>
          <w:rFonts w:ascii="Arial" w:cs="Arial" w:eastAsia="Arial" w:hAnsi="Arial"/>
          <w:sz w:val="18"/>
          <w:szCs w:val="18"/>
          <w:color w:val="auto"/>
        </w:rPr>
        <w:t>Fab 2 or a substantial portion thereof is rendered inoperable or declared by our insurers to be a total loss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constructive total loss.</w:t>
      </w:r>
    </w:p>
    <w:p>
      <w:pPr>
        <w:spacing w:after="0" w:line="185" w:lineRule="exact"/>
        <w:rPr>
          <w:rFonts w:ascii="Arial" w:cs="Arial" w:eastAsia="Arial" w:hAnsi="Arial"/>
          <w:sz w:val="18"/>
          <w:szCs w:val="18"/>
          <w:color w:val="auto"/>
        </w:rPr>
      </w:pPr>
    </w:p>
    <w:p>
      <w:pPr>
        <w:ind w:right="420" w:firstLine="8"/>
        <w:spacing w:after="0" w:line="268" w:lineRule="auto"/>
        <w:tabs>
          <w:tab w:leader="none" w:pos="873"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Government action against us</w:t>
      </w:r>
      <w:r>
        <w:rPr>
          <w:rFonts w:ascii="Arial" w:cs="Arial" w:eastAsia="Arial" w:hAnsi="Arial"/>
          <w:sz w:val="18"/>
          <w:szCs w:val="18"/>
          <w:color w:val="auto"/>
        </w:rPr>
        <w:t>: Any nationalization, seizure or expropriation of all or any substantial or material part of our assets, including our</w:t>
      </w:r>
      <w:r>
        <w:rPr>
          <w:rFonts w:ascii="Arial" w:cs="Arial" w:eastAsia="Arial" w:hAnsi="Arial"/>
          <w:sz w:val="18"/>
          <w:szCs w:val="18"/>
          <w:i w:val="1"/>
          <w:iCs w:val="1"/>
          <w:color w:val="auto"/>
        </w:rPr>
        <w:t xml:space="preserve"> </w:t>
      </w:r>
      <w:r>
        <w:rPr>
          <w:rFonts w:ascii="Arial" w:cs="Arial" w:eastAsia="Arial" w:hAnsi="Arial"/>
          <w:sz w:val="18"/>
          <w:szCs w:val="18"/>
          <w:color w:val="auto"/>
        </w:rPr>
        <w:t>share capital by any governmental authority.</w:t>
      </w:r>
    </w:p>
    <w:p>
      <w:pPr>
        <w:spacing w:after="0" w:line="185" w:lineRule="exact"/>
        <w:rPr>
          <w:rFonts w:ascii="Arial" w:cs="Arial" w:eastAsia="Arial" w:hAnsi="Arial"/>
          <w:sz w:val="18"/>
          <w:szCs w:val="18"/>
          <w:color w:val="auto"/>
        </w:rPr>
      </w:pPr>
    </w:p>
    <w:p>
      <w:pPr>
        <w:ind w:right="320" w:firstLine="8"/>
        <w:spacing w:after="0" w:line="268" w:lineRule="auto"/>
        <w:tabs>
          <w:tab w:leader="none" w:pos="922"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Restrictions on the free exchange of NIS for United States dollars</w:t>
      </w:r>
      <w:r>
        <w:rPr>
          <w:rFonts w:ascii="Arial" w:cs="Arial" w:eastAsia="Arial" w:hAnsi="Arial"/>
          <w:sz w:val="18"/>
          <w:szCs w:val="18"/>
          <w:color w:val="auto"/>
        </w:rPr>
        <w:t>: The imposition of restrictions by an Israeli governmental authority on the free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 NIS for United States dollars or United States dollars for NIS.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40" w:hanging="832"/>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Claim that we defaulted under certain prepayment contracts: </w:t>
      </w:r>
      <w:r>
        <w:rPr>
          <w:rFonts w:ascii="Arial" w:cs="Arial" w:eastAsia="Arial" w:hAnsi="Arial"/>
          <w:sz w:val="16"/>
          <w:szCs w:val="16"/>
          <w:color w:val="auto"/>
        </w:rPr>
        <w:t>The counter party to certain prepayment contracts makes a claim that we defaulted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9" w:lineRule="exact"/>
        <w:rPr>
          <w:sz w:val="20"/>
          <w:szCs w:val="20"/>
          <w:color w:val="auto"/>
        </w:rPr>
      </w:pPr>
    </w:p>
    <w:p>
      <w:pPr>
        <w:ind w:left="880" w:hanging="872"/>
        <w:spacing w:after="0"/>
        <w:tabs>
          <w:tab w:leader="none" w:pos="8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Additional Restrictions: </w:t>
      </w:r>
      <w:r>
        <w:rPr>
          <w:rFonts w:ascii="Arial" w:cs="Arial" w:eastAsia="Arial" w:hAnsi="Arial"/>
          <w:sz w:val="16"/>
          <w:szCs w:val="16"/>
          <w:color w:val="auto"/>
        </w:rPr>
        <w:t>Without the prior written consent of our banks or as permitted under the facility agreement, we are restricted from:</w:t>
      </w:r>
    </w:p>
    <w:p>
      <w:pPr>
        <w:spacing w:after="0" w:line="24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altering the Fab 2 business plan;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entering into or resolving to approve any merger, reorganization or transfer of any part our business;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amending our articles of association in a manner which is materially adverse to the interests of our banks;</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making any payment or transferring our assets to our shareholders or their affiliates;</w:t>
      </w:r>
    </w:p>
    <w:p>
      <w:pPr>
        <w:spacing w:after="0" w:line="252" w:lineRule="exact"/>
        <w:rPr>
          <w:rFonts w:ascii="Arial" w:cs="Arial" w:eastAsia="Arial" w:hAnsi="Arial"/>
          <w:sz w:val="16"/>
          <w:szCs w:val="16"/>
          <w:color w:val="auto"/>
        </w:rPr>
      </w:pPr>
    </w:p>
    <w:p>
      <w:pPr>
        <w:ind w:left="1720" w:right="420" w:hanging="567"/>
        <w:spacing w:after="0" w:line="268" w:lineRule="auto"/>
        <w:rPr>
          <w:rFonts w:ascii="Arial" w:cs="Arial" w:eastAsia="Arial" w:hAnsi="Arial"/>
          <w:sz w:val="16"/>
          <w:szCs w:val="16"/>
          <w:color w:val="auto"/>
        </w:rPr>
      </w:pPr>
      <w:r>
        <w:rPr>
          <w:rFonts w:ascii="Arial" w:cs="Arial" w:eastAsia="Arial" w:hAnsi="Arial"/>
          <w:sz w:val="18"/>
          <w:szCs w:val="18"/>
          <w:color w:val="auto"/>
        </w:rPr>
        <w:t>—disposing of our assets other than in the ordinary course of business or other than to replace such assets with comparable or superior assets;</w:t>
      </w:r>
    </w:p>
    <w:p>
      <w:pPr>
        <w:spacing w:after="0" w:line="212" w:lineRule="exact"/>
        <w:rPr>
          <w:rFonts w:ascii="Arial" w:cs="Arial" w:eastAsia="Arial" w:hAnsi="Arial"/>
          <w:sz w:val="16"/>
          <w:szCs w:val="16"/>
          <w:color w:val="auto"/>
        </w:rPr>
      </w:pPr>
    </w:p>
    <w:p>
      <w:pPr>
        <w:ind w:left="1720" w:right="80" w:hanging="567"/>
        <w:spacing w:after="0" w:line="256" w:lineRule="auto"/>
        <w:rPr>
          <w:rFonts w:ascii="Arial" w:cs="Arial" w:eastAsia="Arial" w:hAnsi="Arial"/>
          <w:sz w:val="16"/>
          <w:szCs w:val="16"/>
          <w:color w:val="auto"/>
        </w:rPr>
      </w:pPr>
      <w:r>
        <w:rPr>
          <w:rFonts w:ascii="Arial" w:cs="Arial" w:eastAsia="Arial" w:hAnsi="Arial"/>
          <w:sz w:val="18"/>
          <w:szCs w:val="18"/>
          <w:color w:val="auto"/>
        </w:rPr>
        <w:t>—selling, transferring or licensing on an exclusive basis any of our intellectual property assets which are material to the Fab 2 project or over which the banks have received a fixed security interest; however, we may enter into exclusive license arrangements on arms’ length bases which are in the ordinary course of business, provided that such arrangements do not adversely affect the interests of the banks or the conduct of the Fab 2 project;</w:t>
      </w:r>
    </w:p>
    <w:p>
      <w:pPr>
        <w:spacing w:after="0" w:line="224"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incurring any capital expenditures other than for the Fab 2 project or for Fab 1;</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delegating the management of the Fab 2 project to any other person;</w:t>
      </w:r>
    </w:p>
    <w:p>
      <w:pPr>
        <w:spacing w:after="0" w:line="252"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5"/>
          <w:szCs w:val="15"/>
          <w:color w:val="auto"/>
        </w:rPr>
        <w:t>abandoning all or any part of the Fab 2 project; and</w:t>
      </w:r>
    </w:p>
    <w:p>
      <w:pPr>
        <w:spacing w:after="0" w:line="252" w:lineRule="exact"/>
        <w:rPr>
          <w:rFonts w:ascii="Arial" w:cs="Arial" w:eastAsia="Arial" w:hAnsi="Arial"/>
          <w:sz w:val="16"/>
          <w:szCs w:val="16"/>
          <w:color w:val="auto"/>
        </w:rPr>
      </w:pPr>
    </w:p>
    <w:p>
      <w:pPr>
        <w:ind w:left="1720" w:right="20" w:hanging="567"/>
        <w:spacing w:after="0" w:line="268" w:lineRule="auto"/>
        <w:rPr>
          <w:rFonts w:ascii="Arial" w:cs="Arial" w:eastAsia="Arial" w:hAnsi="Arial"/>
          <w:sz w:val="16"/>
          <w:szCs w:val="16"/>
          <w:color w:val="auto"/>
        </w:rPr>
      </w:pPr>
      <w:r>
        <w:rPr>
          <w:rFonts w:ascii="Arial" w:cs="Arial" w:eastAsia="Arial" w:hAnsi="Arial"/>
          <w:sz w:val="18"/>
          <w:szCs w:val="18"/>
          <w:color w:val="auto"/>
        </w:rPr>
        <w:t>—maintaining any bank accounts other than the accounts with our banks and all payments related to the Fab 2 project shall be made from or to those accounts.</w:t>
      </w:r>
    </w:p>
    <w:p>
      <w:pPr>
        <w:spacing w:after="0" w:line="200" w:lineRule="exact"/>
        <w:rPr>
          <w:sz w:val="20"/>
          <w:szCs w:val="20"/>
          <w:color w:val="auto"/>
        </w:rPr>
      </w:pPr>
    </w:p>
    <w:p>
      <w:pPr>
        <w:spacing w:after="0" w:line="229" w:lineRule="exact"/>
        <w:rPr>
          <w:sz w:val="20"/>
          <w:szCs w:val="20"/>
          <w:color w:val="auto"/>
        </w:rPr>
      </w:pPr>
    </w:p>
    <w:p>
      <w:pPr>
        <w:jc w:val="both"/>
        <w:ind w:right="220" w:firstLine="348"/>
        <w:spacing w:after="0" w:line="298" w:lineRule="auto"/>
        <w:rPr>
          <w:sz w:val="20"/>
          <w:szCs w:val="20"/>
          <w:color w:val="auto"/>
        </w:rPr>
      </w:pPr>
      <w:r>
        <w:rPr>
          <w:rFonts w:ascii="Arial" w:cs="Arial" w:eastAsia="Arial" w:hAnsi="Arial"/>
          <w:sz w:val="16"/>
          <w:szCs w:val="16"/>
          <w:color w:val="auto"/>
        </w:rPr>
        <w:t>We must notify the banks of any event of default of which we are aware and report on the steps, if any, being taken by us to remedy such event of default. With respect to the majority of the aforementioned events of default, the facility agreement provides that if such event of default is capable of remedy, or if our failure to comply with other obligations under the facility agreement is capable of remedy, then such events will not entitle our banks to exercise their remedies under the facility agreement if we cure such breach within the period or time set forth in the facility agreement (generally 7 or 14 days).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 Under the Debenture</w:t>
      </w:r>
    </w:p>
    <w:p>
      <w:pPr>
        <w:spacing w:after="0" w:line="3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Event of Default under the debenture is:</w:t>
      </w:r>
    </w:p>
    <w:p>
      <w:pPr>
        <w:spacing w:after="0" w:line="225" w:lineRule="exact"/>
        <w:rPr>
          <w:sz w:val="20"/>
          <w:szCs w:val="20"/>
          <w:color w:val="auto"/>
        </w:rPr>
      </w:pPr>
    </w:p>
    <w:p>
      <w:pPr>
        <w:ind w:left="1720" w:right="160" w:hanging="567"/>
        <w:spacing w:after="0" w:line="255" w:lineRule="auto"/>
        <w:rPr>
          <w:sz w:val="20"/>
          <w:szCs w:val="20"/>
          <w:color w:val="auto"/>
        </w:rPr>
      </w:pPr>
      <w:r>
        <w:rPr>
          <w:rFonts w:ascii="Arial" w:cs="Arial" w:eastAsia="Arial" w:hAnsi="Arial"/>
          <w:sz w:val="18"/>
          <w:szCs w:val="18"/>
          <w:color w:val="auto"/>
        </w:rPr>
        <w:t>—Any corporate action taken by us or other steps taken or proceedings started or consented to or any order made for our winding up, administration or re-organization (or for the suspension of payments generally or any process giving protection against creditors), or for the appointment of a liquidator, receiver, administrator, administrative receiver or similar officer for all or any part of our revenues or assets or such a person is appointed, which action, steps, proceedings or order are not cancelled or withdrawn within 60 days of the occurrence or the institution thereof.</w:t>
      </w:r>
    </w:p>
    <w:p>
      <w:pPr>
        <w:spacing w:after="0" w:line="223" w:lineRule="exact"/>
        <w:rPr>
          <w:sz w:val="20"/>
          <w:szCs w:val="20"/>
          <w:color w:val="auto"/>
        </w:rPr>
      </w:pPr>
    </w:p>
    <w:p>
      <w:pPr>
        <w:ind w:left="1720" w:right="2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Our failure to pay an amount of principal or interest in respect of the debentures within 14 Business Days (as defined below) of the date we are required to make the payment under the debentures as such date may be postponed in accordance with the terms of the debentures.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In accordance with the terms of the facility agreement, the debenture provides that no action may be taken by the debenture holders and/or the Co-Trustees with respect to an Event of Default under the debenture unless we have not remedied such Event of Default within 39 days after the date of our receipt of a demand to cure such default, a copy of which must be sent to our banks that are or become a party to the facility agreement on the same day as we receive service.</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 “Business Day” is a day on which the banks that are or become a party to the facility agreement are open for trading in Israel in US dollars and banks generally are open for trading in US dollars in London and New York.</w:t>
      </w:r>
    </w:p>
    <w:p>
      <w:pPr>
        <w:spacing w:after="0" w:line="186"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Holders of the debentures and the Co-Trustees on their behalf may not enforce the indenture or the debentures except as provided in the indenture. Subject to certain limitations, a duly convened meeting of the holders of the debentures may resolve to direct a trustee or both the Co-Trustees in its or their exercise of any</w:t>
      </w:r>
    </w:p>
    <w:p>
      <w:pPr>
        <w:sectPr>
          <w:pgSz w:w="11900" w:h="16921" w:orient="portrait"/>
          <w:cols w:equalWidth="0" w:num="1">
            <w:col w:w="11420"/>
          </w:cols>
          <w:pgMar w:left="240" w:top="131" w:right="239" w:bottom="0" w:gutter="0" w:footer="0" w:header="0"/>
        </w:sectPr>
      </w:pPr>
    </w:p>
    <w:bookmarkStart w:id="32" w:name="page33"/>
    <w:bookmarkEnd w:id="32"/>
    <w:p>
      <w:pPr>
        <w:ind w:right="40"/>
        <w:spacing w:after="0" w:line="259" w:lineRule="auto"/>
        <w:rPr>
          <w:sz w:val="20"/>
          <w:szCs w:val="20"/>
          <w:color w:val="auto"/>
        </w:rPr>
      </w:pPr>
      <w:r>
        <w:rPr>
          <w:rFonts w:ascii="Arial" w:cs="Arial" w:eastAsia="Arial" w:hAnsi="Arial"/>
          <w:sz w:val="18"/>
          <w:szCs w:val="18"/>
          <w:color w:val="auto"/>
        </w:rPr>
        <w:t>trust or power. In addition to other documents that we are required to deliver to the co-trustees under the Securities Law, we undertook in the indenture to provide the Co-Trustees annually a statement regarding compliance with the indenture, and upon becoming aware of any Event of Default, a statement specifying such Event of Default.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31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Subject to certain exceptions, the indenture or the debentures may be amended or supplemented subject to the consent of the banks, and any existing default or compliance with any provision may be waived only if: (a) at least 75% of the debenture holders participating in a duly convened meeting of the debenture holders vote in favor of such amendment, supplement or waiver, provided that at least a majority in principal amount of such then outstanding debentures is present in the meeting (including by proxy); or (b) with the approval of the Co-Trustees, after being convinced that the proposed amendment, supplement or waiver will not adversely affect the rights of the debenture holders. We may not amend the conversion price, the manner in which the conversion rate may be adjusted, the manner in which we may cause the mandatory conversion of the debentures, or maturity date of the debentures except as disclosed in this prospectus or by way of an arrangement pursuant to Section 350 and following of the Israeli Companies Law — 1999.</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Since 1998, we have not declared or paid cash dividends on any of our shares and we have no current intention of paying any cash dividends in the future. The facility agreement that we entered into with our banks, as amended, prohibits the payment of dividends prior to January 1, 2008, and before any such distribution, we must have placed on deposit with our banks in an amount equal to the debt service for the quarter in which the distribution is to be made and charged such deposit in favor of our banks, and we must have complied with financial ratios and covenants. In addition, we may only declare and pay a dividend provided that:</w:t>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dividend is only paid from excess cash flow from Fab 2;</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there is no event of default outstanding under the credit facility agreement;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event of default could not reasonably exist after such distribution.</w:t>
      </w:r>
    </w:p>
    <w:p>
      <w:pPr>
        <w:spacing w:after="0" w:line="200" w:lineRule="exact"/>
        <w:rPr>
          <w:sz w:val="20"/>
          <w:szCs w:val="20"/>
          <w:color w:val="auto"/>
        </w:rPr>
      </w:pPr>
    </w:p>
    <w:p>
      <w:pPr>
        <w:spacing w:after="0" w:line="268"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INCOME TAX CONSIDERATIONS</w:t>
      </w:r>
    </w:p>
    <w:p>
      <w:pPr>
        <w:spacing w:after="0" w:line="31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following is a summary of the material tax consequences in Israel and the United States to individual and corporate residents of Israel and the United States resulting from the distribution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Since our bank credit facility prohibits the payment of dividends on our ordinary shares, this summary does not discuss the tax consequences in Israel or the United States that would result from the payment of dividends. To the extent that the discussion is based on tax legislation that has not been subject to judicial or administrative interpretation, we cannot assure you that the tax authorities will accept the views expressed in this summary. This summary is not intended, and should not be construed, as legal or professional tax advice and is not exhaustive of all possible tax consequences that may be relevant to each person’s decision to exercise or sell the rights we are distributing, the convertible debentures to be issued once the rights are exercised, or the sale of our ordinary shares issued upon the conversion of the convertible debentures.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20" w:firstLine="351"/>
        <w:spacing w:after="0" w:line="332" w:lineRule="auto"/>
        <w:rPr>
          <w:sz w:val="20"/>
          <w:szCs w:val="20"/>
          <w:color w:val="auto"/>
        </w:rPr>
      </w:pPr>
      <w:r>
        <w:rPr>
          <w:rFonts w:ascii="Arial" w:cs="Arial" w:eastAsia="Arial" w:hAnsi="Arial"/>
          <w:sz w:val="16"/>
          <w:szCs w:val="16"/>
          <w:color w:val="auto"/>
        </w:rPr>
        <w:t>Prospective purchasers of our ordinary shares and other securities should consult their own tax advisors as to the United States, Israel or other tax consequences of the purchase, ownership and disposition of our securities, including, in particular, the effect of any foreign, state or local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August 2005, the Israeli parliament approved an amendment to the Israeli tax regime, to become effective on January 1, 2006 (“the 2006 Tax Reform”).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Some applicable provisions of the 2006 Tax Reform will be discussed below.</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31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Israeli law imposes a capital gains tax on the sale of capital assets, including securities and debentures. In general, the distribution of the rights we are distributing, the exercise of the rights we are distributing and the conversion of the debentures into ordinary shares will not be subject to Israeli tax (different rules may apply to employees – see below).</w:t>
      </w:r>
    </w:p>
    <w:p>
      <w:pPr>
        <w:spacing w:after="0" w:line="194" w:lineRule="exact"/>
        <w:rPr>
          <w:sz w:val="20"/>
          <w:szCs w:val="20"/>
          <w:color w:val="auto"/>
        </w:rPr>
      </w:pPr>
    </w:p>
    <w:p>
      <w:pPr>
        <w:ind w:left="1160" w:hanging="571"/>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Israeli Capital Gains Tax on Sales Before January 1, 2006</w:t>
      </w:r>
    </w:p>
    <w:p>
      <w:pPr>
        <w:spacing w:after="0" w:line="200" w:lineRule="exact"/>
        <w:rPr>
          <w:sz w:val="20"/>
          <w:szCs w:val="20"/>
          <w:color w:val="auto"/>
        </w:rPr>
      </w:pPr>
    </w:p>
    <w:p>
      <w:pPr>
        <w:spacing w:after="0" w:line="268"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Before January 1, 2006, any gains from the sale of the rights we are distributing, the debentures convertible into ordinary shares issuable pursuant to the exercise of the rights and/or the ordinary shares issued pursuant to the conversion of the debentures are, in general, liable to capital gains tax of 15%. This will be the case so long as: our securities remain listed for trading on the Tel Aviv Stock Exchange or NASDAQ; the shareholder did not claim financial expenses related to the purchase of the securities; and these securities are not sold to a “relative” as defined under section 105k of the Israeli Income Tax Ordinance. In those cases where the 15% rate does not apply, the real capital gain from the sale of the securities will be subject to capital gains tax of 25%. Non-residents of Israel will be exempt from any capital gains tax from the sale of our securities, including those associated with this rights offering, so long as the gains are not derived through a permanent establishment that the non-resident maintains in Israel, and so long as our securities remain listed for trading as described above. A non-resident corporation will generally not enjoy this exemption if Israeli residents are: (1) its controlling shareholders, as defined for the purpose of section 105k of the Israeli Income Tax Ordinance, or (2) directly or indirectly eligible to receive or are beneficial owners of 25% or more of the income or the profits of the non-resident corporation.</w:t>
      </w:r>
    </w:p>
    <w:p>
      <w:pPr>
        <w:sectPr>
          <w:pgSz w:w="11900" w:h="16838" w:orient="portrait"/>
          <w:cols w:equalWidth="0" w:num="1">
            <w:col w:w="11400"/>
          </w:cols>
          <w:pgMar w:left="240" w:top="131" w:right="259" w:bottom="0" w:gutter="0" w:footer="0" w:header="0"/>
        </w:sectPr>
      </w:pPr>
    </w:p>
    <w:bookmarkStart w:id="33" w:name="page34"/>
    <w:bookmarkEnd w:id="33"/>
    <w:p>
      <w:pPr>
        <w:ind w:right="120" w:firstLine="348"/>
        <w:spacing w:after="0" w:line="255" w:lineRule="auto"/>
        <w:rPr>
          <w:sz w:val="20"/>
          <w:szCs w:val="20"/>
          <w:color w:val="auto"/>
        </w:rPr>
      </w:pPr>
      <w:r>
        <w:rPr>
          <w:rFonts w:ascii="Arial" w:cs="Arial" w:eastAsia="Arial" w:hAnsi="Arial"/>
          <w:sz w:val="18"/>
          <w:szCs w:val="18"/>
          <w:color w:val="auto"/>
        </w:rPr>
        <w:t>These provisions dealing with capital gains are not applicable to an Israeli resident whose gains from selling or otherwise disposing of our securities are deemed to be business income or whose taxable income is determined pursuant to part B of the Israeli Income Tax Law (Inflationary Adjustments), 1985 or pursuant to the Income Tax Regulations (Rules on Bookkeeping by Foreign Invested Companies and Certain Partnership and Determination of their Chargeable Income), 1984 (“Dollar Regulations”). In such cases, a regular rate on capital gains will apply, as follows: for corporations – 34% and for individuals – a tax rate of up to 49%.</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any event, under the US-Israel Tax Treaty, a person who qualifies as a resident of the United States within the meaning of the Tax Treaty and who is entitled to claim benefits under the Treaty, may, in general, only be subject to Israeli capital gains tax on the sale of our ordinary shares (subject to the provisions of Israeli domestic law as described above) if that US treaty resident holds 10% or more of the voting power in our company.</w:t>
      </w:r>
    </w:p>
    <w:p>
      <w:pPr>
        <w:spacing w:after="0" w:line="16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computing a capital gain derived from the sale of our shares originating from a converted debenture, the “purchase date” and “balance of its original cost” will be deemed as the convertible debenture purchase date and cost (plus any additional related costs), respectively.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Israeli Tax on Interest Income and on Original Issuance Discount Earned Before January 1, 2006</w:t>
      </w:r>
    </w:p>
    <w:p>
      <w:pPr>
        <w:spacing w:after="0" w:line="200" w:lineRule="exact"/>
        <w:rPr>
          <w:sz w:val="20"/>
          <w:szCs w:val="20"/>
          <w:color w:val="auto"/>
        </w:rPr>
      </w:pPr>
    </w:p>
    <w:p>
      <w:pPr>
        <w:spacing w:after="0" w:line="26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Interest and Original Issuance Discount (OID) earned before January 1, 2006 on our convertible debentures issued under this rights offering, will, in general, be subject to Israeli tax of up to 15% if received by an individual. This reduced rate of tax will not apply if the interest and OID are business income in the hands of the recipient, if the recipient is a controlling shareholder of our company, or if financing expenses related to the purchase of the debentures were deducted by the individual in the calculation of the individual’s Israeli taxable income. In such cases the regular rate of tax on Interest and OID will apply – for corporations a rate of 34%and for individuals a tax rate of up to 49%.</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Withholding tax at source from debenture interest and OID paid to resident individuals will, in general, be at a rate of 15%, and corporations will be subject to a rate of 35%. Withholding tax at source from debenture interest and OID paid to non-resident individuals or corporations will be at a rate of 25% or less, subject to any relevant tax treaty relating to their domicile country. In any event, under the US-Israel Tax Treaty, the maximum Israeli tax withheld on interest and OID paid on our convertible debentures to a US treaty resident (other than a US bank, savings institution or company) is 17.5%.</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Interest accrued upon redemption of the debentures will be deemed as part of the proceeds from the redemption and not as interest income, if the redemption resulted in a capital loss and it is not in the hands of a controlling shareholder or a holder of the debentures from allotment date and on – up to the ceiling of the capital loss.</w:t>
      </w:r>
    </w:p>
    <w:p>
      <w:pPr>
        <w:spacing w:after="0" w:line="194" w:lineRule="exact"/>
        <w:rPr>
          <w:sz w:val="20"/>
          <w:szCs w:val="20"/>
          <w:color w:val="auto"/>
        </w:rPr>
      </w:pPr>
    </w:p>
    <w:p>
      <w:pPr>
        <w:ind w:left="1160" w:hanging="571"/>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2006 Tax Reform</w:t>
      </w:r>
    </w:p>
    <w:p>
      <w:pPr>
        <w:spacing w:after="0" w:line="200" w:lineRule="exact"/>
        <w:rPr>
          <w:sz w:val="20"/>
          <w:szCs w:val="20"/>
          <w:color w:val="auto"/>
        </w:rPr>
      </w:pPr>
    </w:p>
    <w:p>
      <w:pPr>
        <w:spacing w:after="0" w:line="268"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following are the major changes regarding an Israeli resident included in the 2006 Tax Reform which are applicable to the distributions of the rights we are distributing, the purchase of the debentures that are convertible into our ordinary shares issuable pursuant to the exercise of the rights we are distributing, or the sale of these rights or debentures that are convertible into our ordinary shares, or ordinary shares issuable pursuant to the conversion of the debentures. The 2006 Tax Reform will not derogate from the special provisions applicable to non-residents, under Israeli tax law and the US-Israel Tax Treaty, as described in Parts A and B above.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Individuals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According to the 2006 Tax Reform, an individual will be subject to a 20% tax on real capital gains and real interest, so long the individual is not a controlling shareholder (generally a shareholder with 10% or more in the right to profits, right to nominate a director and voting rights) in the company constituting the origin of this income. This implies a lower tax rate for individuals on income deriving from the sale of securities not traded on a stock exchange and a reduction in the tax rate to 20% (from 25%) on dividends, with a concurrent increase in the tax on the gains from publicly traded securities and on certain interest income as explained above from 15% to 20%.</w:t>
      </w:r>
    </w:p>
    <w:p>
      <w:pPr>
        <w:spacing w:after="0" w:line="19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controlling shareholder will be subject to a tax of 25% in respect of real capital gains derived from the sale of securities issued by the controlled company. Interest received by an individual from such a company will be taxed based on the recipient’s marginal tax rates which will be reduced gradually from the current 49% rate to 44% in 2010. The determination of whether the individual is a controlling shareholder will be made on the date the shares are sold. Nevertheless, the individual will be viewed as a controlling shareholder even if at any time during the 12 months preceding this date he had been a controlling shareholder. The 2006 Tax Reform does not specify the date in which a controlling shareholder should be determined as such if that controlling shareholder receives interest.</w:t>
      </w:r>
    </w:p>
    <w:p>
      <w:pPr>
        <w:spacing w:after="0" w:line="170"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Despite the above, interest income in the hands of an individual will be taxed based on his marginal tax rate in the following instances: (i) the individual claimed interest expenses against this income; (ii) the interest income is business income in his hands or it is such that requires inclusion in the books; (iii) special relations exist between the payer of the interest and its recipient (for example: that of supplier/customer/employee/relative).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Corporations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and interest, with the corporate tax rate reduced gradually from 34% in 2005 to 25% in 2010. However, between 2006 and 2009, taxable income that was taxed prior to the effective date of this Reform at a tax rate up to 25%, will be taxed at a rate of 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tabs>
          <w:tab w:leader="none" w:pos="11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Eligible Employees with Options Entitling Participation In This Rights Offering</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Pursuant to the majority of our pre-2003 employees’ share option plans, we are also offering rights to our employees who hold options under these plans.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applies to Israeli resident employees only.</w:t>
      </w:r>
    </w:p>
    <w:p>
      <w:pPr>
        <w:sectPr>
          <w:pgSz w:w="11900" w:h="16838" w:orient="portrait"/>
          <w:cols w:equalWidth="0" w:num="1">
            <w:col w:w="11420"/>
          </w:cols>
          <w:pgMar w:left="240" w:top="131" w:right="239" w:bottom="47" w:gutter="0" w:footer="0" w:header="0"/>
        </w:sectPr>
      </w:pPr>
    </w:p>
    <w:bookmarkStart w:id="34" w:name="page35"/>
    <w:bookmarkEnd w:id="34"/>
    <w:p>
      <w:pPr>
        <w:spacing w:after="0" w:line="106"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Eligible employees who sell the rights received by virtue of their employee options issued to them under either section 102 or section 3(i) of the Israeli Income Tax Ordinance, will have taxable employment income equal to the consideration received from the sale of the rights. If the eligible employees exercise their rights, the amount by which the fair market value of the debentures convertible into ordinary shares received upon exercise of the rights exceeds the subscription price of the rights will be taxable employment income at the date in which such event occurs.</w:t>
      </w:r>
    </w:p>
    <w:p>
      <w:pPr>
        <w:spacing w:after="0" w:line="167" w:lineRule="exact"/>
        <w:rPr>
          <w:sz w:val="20"/>
          <w:szCs w:val="20"/>
          <w:color w:val="auto"/>
        </w:rPr>
      </w:pPr>
    </w:p>
    <w:p>
      <w:pPr>
        <w:ind w:right="300" w:firstLine="341"/>
        <w:spacing w:after="0" w:line="256" w:lineRule="auto"/>
        <w:rPr>
          <w:sz w:val="20"/>
          <w:szCs w:val="20"/>
          <w:color w:val="auto"/>
        </w:rPr>
      </w:pPr>
      <w:r>
        <w:rPr>
          <w:rFonts w:ascii="Arial" w:cs="Arial" w:eastAsia="Arial" w:hAnsi="Arial"/>
          <w:sz w:val="18"/>
          <w:szCs w:val="18"/>
          <w:color w:val="auto"/>
        </w:rPr>
        <w:t>Any future sale of the debentures or the shares issued upon conversion of the debentures will be subject to capital gains tax, as discussed above. The cost basis of the debentures will then be equal to the amount which was considered, for tax purposes, the fair market value of the debentures received upon the exercise of the rights. With respect to future sales of shares deriving from the conversion of the debentures, the cost basis will include any expenses, if any, associated with the conversion of the debentures.</w:t>
      </w:r>
    </w:p>
    <w:p>
      <w:pPr>
        <w:spacing w:after="0" w:line="197"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We advise our eligible employees to consult their own professional tax advisers with respect to the tax consequences of the exercise or sale of the rights relating to the particular circumstances of each eligible employee.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Tax Considerations</w:t>
      </w:r>
    </w:p>
    <w:p>
      <w:pPr>
        <w:spacing w:after="0" w:line="31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discussion of material United States federal income tax considerations below (other than statements as to whether we are a "passive foreign investment company." statements regarding our earnings and profits, and statements regarding the value of the rights) is based on an opinion of special U.S. tax counsel, Roberts &amp; Holland, LLP. Subject to the limitations described in the next paragraph, the following describes the material United States federal income tax consequences resulting from the distribution to a "U.S. Holder" and related transactions by the U.S. Holder, including the exercise or expiration of rights, the conversion of debentures and the disposition of rights, debentures or ordinary shares. For purposes of this discussion, a U.S. Holder means (1) any U.S. person who receives a distribution of rights pursuant to this rights offering and who holds such rights, debentures issued upon exercise of such rights, or ordinary shares issued upon the conversion of such debentures ("Initial U.S. Holder") and (2) any U.S. person other than an Initial U.S. Holder who acquires such rights, debentures issued upon exercise of such rights, or ordinary shares issued upon the conversion of such debentures from a prior holder ("Subsequent U.S. Holder"). For purposes of our discussion, a U.S. person is:</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citizen or resident of the United States;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corporation created or organized in the United States or under the laws of the United States or any State;</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an estate, the income of which is includable in gross income for U.S. federal income tax purposes regardless of its source; or</w:t>
      </w:r>
    </w:p>
    <w:p>
      <w:pPr>
        <w:spacing w:after="0" w:line="9" w:lineRule="exact"/>
        <w:rPr>
          <w:sz w:val="20"/>
          <w:szCs w:val="20"/>
          <w:color w:val="auto"/>
        </w:rPr>
      </w:pPr>
    </w:p>
    <w:p>
      <w:pPr>
        <w:ind w:left="1720" w:right="20" w:hanging="567"/>
        <w:spacing w:after="0" w:line="255" w:lineRule="auto"/>
        <w:rPr>
          <w:sz w:val="20"/>
          <w:szCs w:val="20"/>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have the authority to control all substantial decisions of the trust or if the trust has validly elected to be treated as a U.S. person under applicable Treasury regulations.</w:t>
      </w:r>
    </w:p>
    <w:p>
      <w:pPr>
        <w:spacing w:after="0" w:line="200" w:lineRule="exact"/>
        <w:rPr>
          <w:sz w:val="20"/>
          <w:szCs w:val="20"/>
          <w:color w:val="auto"/>
        </w:rPr>
      </w:pPr>
    </w:p>
    <w:p>
      <w:pPr>
        <w:spacing w:after="0" w:line="24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discussion is based on current provisions of the Internal Revenue Code of 1986, or the Code, as amended, current and proposed Treasury regulations promulgated thereunder, and administrative and judicial decisions as of the date hereof, all of which are subject to change, possibly on a retroactive basis. This discussion is not a representation of, nor does it address, all aspects of United States federal income taxation that may be relevant to any particular U.S. Holder based on such U.S. Holder’s individual circumstances. In particular, this discussion considers only U.S. Holders that will own rights, debentures, or ordinary shares as capital assets at all relevant times and does not address the potential application of the alternative minimum tax or U.S. federal income tax consequences to U.S. Holders that are subject to special treatment, including U.S. Holders that:</w:t>
      </w:r>
    </w:p>
    <w:p>
      <w:pPr>
        <w:spacing w:after="0" w:line="17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are broker-dealers or insurance companies;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elected mark-to-market accounting;</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are financial institutions or financial services entities;</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hold rights, debentures, or ordinary shares as part of a straddle, hedge or conversion transaction with other investments;</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own directly, indirectly or by attribution at least 10% of our voting power; or</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have a functional currency that is not the U.S. dollar.</w:t>
      </w:r>
    </w:p>
    <w:p>
      <w:pPr>
        <w:spacing w:after="0" w:line="200" w:lineRule="exact"/>
        <w:rPr>
          <w:sz w:val="20"/>
          <w:szCs w:val="20"/>
          <w:color w:val="auto"/>
        </w:rPr>
      </w:pPr>
    </w:p>
    <w:p>
      <w:pPr>
        <w:spacing w:after="0" w:line="262"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Additionally, the discussion does not consider the tax treatment of persons who hold rights, debentures, or ordinary shares through a partnership or other pass-through entity or the possible application of U.S. federal gift or estate tax.</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Finally, this discussion does not address any aspect of state, local or non-U.S. tax laws.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Debt Characterization of the Debentures</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Certain characteristics of the debentures that may be received upon exercise of the rights raise an issue of whether such debentures should be treated as debt or equity for U.S. income tax purposes. Such characteristics include subordination, the absence of interest payments prior to maturity, provisions for optional and mandatory conversion into our ordinary shares, and the absence, in certain circumstances, of a fixed maturity date. Tower intends to take the position that the debentures are characterized as debt for U.S. income tax purposes, but we have not obtained an opinion of counsel and this conclusion is not free of doubt. The discussion below assumes that the debentures are characterized as debt for such purposes. In any case, if the debentures were determined to be characterized as equity for U.S. tax purposes, the U.S. income tax consequences to U.S. Holders generally should not be materially less favorable than those described herein.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below assumes that the debentures are characterized as debt for U.S. income tax purposes.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Receipt of the Distribution; Allocation of Basis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discussion under this subheading applies only to Initial U.S. Holders and is qualified by the special rules for “U.S. Option Holders,” described below.</w:t>
      </w:r>
    </w:p>
    <w:p>
      <w:pPr>
        <w:spacing w:after="0" w:line="248"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 U.S. Holder will not be taxed on the distribution of rights, provided that Tower has no current or accumulated earnings and profits, as determined for U.S. income tax purposes, at any time during the taxable year in which the distribution is made, and provided that the U.S. Holder’s tax basis in the ordinary shares with respect to which the rights are distributed exceeds the fair market value of the rights. Tower considers it highly unlikely that it will have current or</w:t>
      </w:r>
    </w:p>
    <w:p>
      <w:pPr>
        <w:sectPr>
          <w:pgSz w:w="11900" w:h="16945" w:orient="portrait"/>
          <w:cols w:equalWidth="0" w:num="1">
            <w:col w:w="11400"/>
          </w:cols>
          <w:pgMar w:left="240" w:top="131" w:right="259" w:bottom="0" w:gutter="0" w:footer="0" w:header="0"/>
        </w:sectPr>
      </w:pPr>
    </w:p>
    <w:bookmarkStart w:id="35" w:name="page36"/>
    <w:bookmarkEnd w:id="35"/>
    <w:p>
      <w:pPr>
        <w:ind w:right="80"/>
        <w:spacing w:after="0" w:line="291" w:lineRule="auto"/>
        <w:rPr>
          <w:sz w:val="20"/>
          <w:szCs w:val="20"/>
          <w:color w:val="auto"/>
        </w:rPr>
      </w:pPr>
      <w:r>
        <w:rPr>
          <w:rFonts w:ascii="Arial" w:cs="Arial" w:eastAsia="Arial" w:hAnsi="Arial"/>
          <w:sz w:val="16"/>
          <w:szCs w:val="16"/>
          <w:color w:val="auto"/>
        </w:rPr>
        <w:t>accumulated earnings and profits during the above-referenced period, and anticipates that the fair market value of the rights will be nominal and will in any event be unlikely to exceed a U.S. Holder’s tax basis in the ordinary shares. If, contrary to our expectations, we were to have current or accumulated earnings and profits, then a U.S. Holder would recognize ordinary income (as a dividend) equal to the fair market value of the rights received (or, if less, the amount of such current and accumulated earnings and profits allocable to the distribution), unless the distribution is excluded from gross income under Section 305(a) of the Code. As discussed below, it is unclear whether the distribution will be excluded from gross income under Section 305(a). In any event, as stated above, we expect the fair market value of the rights to be zero or nominal.</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If the fair market value of the rights received by a U.S. Holder exceeds the sum of the current or accumulated earnings and profits (if any) allocable to the distribution and the U.S. Holder’s tax basis in the ordinary shares with respect to which the rights are distributed, and Section 305(a) of the Code does not exclude the distribution from gross income, the U.S. Holder will recognize capital gain in an amount equal to such excess.</w:t>
      </w:r>
    </w:p>
    <w:p>
      <w:pPr>
        <w:spacing w:after="0" w:line="16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the distribution is excluded from the gross income of each recipient under Section 305(a) of the Code, then a U.S. Holder’s tax basis in the rights so received will be zero unless (a) the fair market value of the rights distributed to the U.S. Holder is at least 15% of the fair market value of the ordinary shares with respect to which such rights are distributed or (b) the U.S. Holder elects to allocate the basis of the U.S. Holder’s ordinary shares between the ordinary shares and the rights in proportion to their relative fair market values on the date of distribution. Any allocation of basis under the preceding sentence will be given effect only if a U.S. Holder exercises or sells the rights. To make the election, a U.S. Holder must attach a statement to the U.S. Holder’s U.S. federal income tax return for the taxable year in which the rights are received. If the distribution is tax-free under Section 305(a), then the holding period of the rights received will include the holding period of the shares with respect which such rights were distributed.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If the distribution does not satisfy the requirements of Section 305(a) of the Code, then a U.S. Holder’s tax basis in any rights received in the distribution will be their fair market value on the date of distribution. In that event, the holding period of such rights will begin on the date of the distribution.</w:t>
      </w:r>
    </w:p>
    <w:p>
      <w:pPr>
        <w:spacing w:after="0" w:line="139"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distribution of stock or stock rights to shareholders with respect to their stock in a corporation generally is excluded from gross income under Section 305(a) of the Code. It is unclear, however, whether this exclusion will apply to rights received pursuant to this rights offering. First, it is uncertain whether such rights constitute stock rights for this purpose, since the rights permit a holder to purchase convertible debentures, not shares. If the rights are not considered stock rights for this purpose, then Section 305(a) will not apply.</w:t>
      </w:r>
    </w:p>
    <w:p>
      <w:pPr>
        <w:spacing w:after="0" w:line="19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addition, Section 305(a) does not apply in the case of a distribution (or series of distributions) that has the result of a (1) the receipt of property by some shareholders and (2) an increase in the proportionate interests of other shareholders in the assets or earnings and profits of the corporation. This may be the effect here if, for example, some holders exercise their rights and retain their debentures while other holders exercise their rights and covert their debentures. Moreover, even if all holders who exercise their rights convert their debentures, we have other convertible debentures outstanding and, for certain purposes under Section 305, holders of convertible debentures are treated as shareholders. As a result, the receipt of interest payments by holders of our outstanding convertible debentures satisfies condition (1) above. Therefore, the distribution will be ineligible for tax-free treatment under Section 305(a) if holders who receive a distribution of rights with respect to their ordinary shares pursuant to this rights offering are considered to have an increased proportionate interest in our assets or earnings and profits.</w:t>
      </w:r>
    </w:p>
    <w:p>
      <w:pPr>
        <w:spacing w:after="0" w:line="172"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applicable Treasury regulations provide that, if a corporation has convertible securities outstanding (such as our outstanding convertible debentures) and distributes stock or stock rights with respect to the stock into which such convertible securities may be converted (such as our ordinary shares), then the holders of such stock are considered to have an increased proportionate interest in the assets or earnings and profits of the corporation unless a “full adjustment” in the conversion ratio of the convertible securities is made. The Treasury regulations give examples of a qualifying “full adjustment” in conversion ratio but do not define this term. The anti-dilution provision of our outstanding convertible debentures differs from the formulas described in examples in the Treasury regulations, and it is therefore unclear whether the provision in our outstanding convertible debentures would qualify as providing for a “full adjustment” within the meaning of the Treasury regulations. There exists a similar concern with respect to outstanding rights to purchase our ordinary shares, such as the Options (Series 1). Thus, U.S. Holders who receive a distribution of rights with respect to their ordinary shares may be considered to have an increased proportionate interest in our assets or earnings and profits. In that event, Section 305(a) would not apply to the distribution.</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Exercise or Expiration of Rights; Purchase of Debentures Convertible into Ordinary Shares</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will not recognize gain or loss on the exercise of rights. If a U.S. Holder receives our rights in a distribution that satisfies the requirements of Section 305(a) of the Code, such U.S. Holder will not recognize gain or loss on the expiration (without exercise) of rights. Any other U.S. Holder will recognize a capital loss upon the expiration (without exercise) of rights in an amount equal to the U.S. Holder’s basis in such rights. The deductibility of capital losses is subject to limitations.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 U.S. Holder exercises rights, the U.S. Holder’s basis in the convertible debentures received upon such exercise will be determined by adding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Holder’s basis (if any) in the rights to the purchase price paid upon exercise of the rights.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Conversion of Debentures</w:t>
      </w:r>
    </w:p>
    <w:p>
      <w:pPr>
        <w:spacing w:after="0" w:line="231" w:lineRule="exact"/>
        <w:rPr>
          <w:sz w:val="20"/>
          <w:szCs w:val="20"/>
          <w:color w:val="auto"/>
        </w:rPr>
      </w:pPr>
    </w:p>
    <w:p>
      <w:pPr>
        <w:jc w:val="both"/>
        <w:ind w:right="40" w:firstLine="341"/>
        <w:spacing w:after="0" w:line="259" w:lineRule="auto"/>
        <w:rPr>
          <w:sz w:val="20"/>
          <w:szCs w:val="20"/>
          <w:color w:val="auto"/>
        </w:rPr>
      </w:pPr>
      <w:r>
        <w:rPr>
          <w:rFonts w:ascii="Arial" w:cs="Arial" w:eastAsia="Arial" w:hAnsi="Arial"/>
          <w:sz w:val="18"/>
          <w:szCs w:val="18"/>
          <w:color w:val="auto"/>
        </w:rPr>
        <w:t>A U.S. Holder will not recognize gain or loss upon the conversion of the debentures (except with respect to any cash received in lieu of a fractional share). A U.S. Holder’s basis in the ordinary shares received upon conversion will equal the U.S. Holder’s basis in such debentures. A U.S. Holder’s holding period for the ordinary shares received upon exercise of a debenture will begin on the date of conversion.</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Disposition of Rights, Debentures, or Ordinary Shares Issued Upon the Conversion of Debentures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discussion is qualified by the discussion below under the subheading “Tax Consequences if We Are a Passive Foreign Investment Company.”</w:t>
      </w:r>
    </w:p>
    <w:p>
      <w:pPr>
        <w:spacing w:after="0" w:line="248" w:lineRule="exact"/>
        <w:rPr>
          <w:sz w:val="20"/>
          <w:szCs w:val="20"/>
          <w:color w:val="auto"/>
        </w:rPr>
      </w:pPr>
    </w:p>
    <w:p>
      <w:pPr>
        <w:ind w:right="200" w:firstLine="351"/>
        <w:spacing w:after="0" w:line="335" w:lineRule="auto"/>
        <w:rPr>
          <w:sz w:val="20"/>
          <w:szCs w:val="20"/>
          <w:color w:val="auto"/>
        </w:rPr>
      </w:pPr>
      <w:r>
        <w:rPr>
          <w:rFonts w:ascii="Arial" w:cs="Arial" w:eastAsia="Arial" w:hAnsi="Arial"/>
          <w:sz w:val="15"/>
          <w:szCs w:val="15"/>
          <w:color w:val="auto"/>
        </w:rPr>
        <w:t>Upon the sale, exchange or other disposition (other than by means of exercise or expiration) of rights, debentures, or ordinary shares issued upon the conversion of debentures, a U.S. Holder generally will recognize capital gain or loss in an amount equal to the difference between the amount realized and such U.S. Holder’s basis in the rights, debentures, or ordinary shares. In the case of a Subsequent U.S. Holder who purchases a debenture at a market discount,</w:t>
      </w:r>
    </w:p>
    <w:p>
      <w:pPr>
        <w:sectPr>
          <w:pgSz w:w="11900" w:h="16838" w:orient="portrait"/>
          <w:cols w:equalWidth="0" w:num="1">
            <w:col w:w="11420"/>
          </w:cols>
          <w:pgMar w:left="240" w:top="131" w:right="239" w:bottom="0" w:gutter="0" w:footer="0" w:header="0"/>
        </w:sectPr>
      </w:pPr>
    </w:p>
    <w:bookmarkStart w:id="36" w:name="page37"/>
    <w:bookmarkEnd w:id="36"/>
    <w:p>
      <w:pPr>
        <w:spacing w:after="0" w:line="2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however, any gain attributable to accrued market discount will be treated as ordinary income. See the discussion below under the subheading "Original Issue Discount, Acquisition Premium and Market Discount."</w:t>
      </w:r>
    </w:p>
    <w:p>
      <w:pPr>
        <w:spacing w:after="0" w:line="186" w:lineRule="exact"/>
        <w:rPr>
          <w:sz w:val="20"/>
          <w:szCs w:val="20"/>
          <w:color w:val="auto"/>
        </w:rPr>
      </w:pPr>
    </w:p>
    <w:p>
      <w:pPr>
        <w:jc w:val="both"/>
        <w:ind w:right="320" w:firstLine="351"/>
        <w:spacing w:after="0" w:line="298" w:lineRule="auto"/>
        <w:rPr>
          <w:sz w:val="20"/>
          <w:szCs w:val="20"/>
          <w:color w:val="auto"/>
        </w:rPr>
      </w:pPr>
      <w:r>
        <w:rPr>
          <w:rFonts w:ascii="Arial" w:cs="Arial" w:eastAsia="Arial" w:hAnsi="Arial"/>
          <w:sz w:val="16"/>
          <w:szCs w:val="16"/>
          <w:color w:val="auto"/>
        </w:rPr>
        <w:t>Capital gain from the sale, exchange or other disposition of rights, debentures, or ordinary shares for which the U.S. Holder has a holding period of more than one year will be long-term capital gain. In the case of a U.S. Holder that is an individual, estate or trust, long-term capital gains generally are eligible for taxation at reduced rates. For taxable years beginning before 2009, the maximum federal income tax rate for long-term capital gains earned by a noncorporate U.S. Holder is 15%. The deductibility of capital losses is subject to limitations.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Gains and losses recognized by a U.S. Holder on a sale, exchange or other disposition of rights, debentures, or ordinary shares generally will have a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source for foreign tax credit purposes.</w:t>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U.S. Option Holders</w:t>
      </w:r>
    </w:p>
    <w:p>
      <w:pPr>
        <w:spacing w:after="0" w:line="231"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U.S. federal income tax consequences to U.S. Holders who receive rights in their capacity as eligible employees holding compensatory stock options (“U.S. Option Holders”) differ from those of other U.S. Holders.</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the rights are considered to have a readily ascertainable fair market value at the time of grant, then a U.S. Option Holder will recognize ordinary income in the nature of compensation in an amount equal to the fair market value, if any, of the rights received. In that event, the U.S. Option Holder will have a tax basis in such rights equal to the amount of compensation included in ordinary income, and will not recognize income upon a subsequent exercise of the rights or conversion of the debentures.</w:t>
      </w:r>
    </w:p>
    <w:p>
      <w:pPr>
        <w:spacing w:after="0" w:line="19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the rights are not considered to have a readily ascertainable fair market value at the time of grant, then a U.S. Option Holder will not recognize income upon receipt of the rights. In that event, a U.S. Option Holder’s subsequent exercise of the rights will cause the U.S. Option Holder to recognize ordinary income in the nature of compensation in an amount equal to the excess, if any, of the fair market value of the debentures over the purchase price paid for such debentures. No additional income or gain will be recognized upon a subsequent conversion of the debentures.</w:t>
      </w:r>
    </w:p>
    <w:p>
      <w:pPr>
        <w:spacing w:after="0" w:line="16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Under the applicable Treasury regulations, whether an option (such as the rights) has a readily ascertainable fair market value depends in part upon whether the option is actively traded on an established market; however, an option that is not actively traded nonetheless will generally have a readily ascertainable fair market value if all of the following conditions exist:</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option is transferable by the optionee;</w:t>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is exercisable immediately in full by the optionee;</w:t>
      </w:r>
    </w:p>
    <w:p>
      <w:pPr>
        <w:spacing w:after="0" w:line="9" w:lineRule="exact"/>
        <w:rPr>
          <w:sz w:val="20"/>
          <w:szCs w:val="20"/>
          <w:color w:val="auto"/>
        </w:rPr>
      </w:pPr>
    </w:p>
    <w:p>
      <w:pPr>
        <w:ind w:left="1720" w:right="6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option or the property subject to the option is not subject to any restriction or condition (other than a lien or other condition to secure payment of the purchase price) that has a significant effect upon the fair market value of the option; and</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fair market value of the option privilege is considered readily ascertainable.</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Treasury regulations provide that, in determining whether the fair market value of the option privilege is readily ascertainable, it is necessary to consider</w:t>
      </w:r>
    </w:p>
    <w:p>
      <w:pPr>
        <w:spacing w:after="0" w:line="38" w:lineRule="exact"/>
        <w:rPr>
          <w:sz w:val="20"/>
          <w:szCs w:val="20"/>
          <w:color w:val="auto"/>
        </w:rPr>
      </w:pPr>
    </w:p>
    <w:p>
      <w:pPr>
        <w:ind w:right="640" w:firstLine="8"/>
        <w:spacing w:after="0" w:line="261" w:lineRule="auto"/>
        <w:tabs>
          <w:tab w:leader="none" w:pos="249"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value of the property subject to the option can be ascertained, (2) the probability of any ascertainable value of such property increasing or decreasing, and (3) the length of the period during which the option can be exercised.</w:t>
      </w:r>
    </w:p>
    <w:p>
      <w:pPr>
        <w:spacing w:after="0" w:line="192"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present it is not possible to predict whether the rights will be actively traded or satisfy the alternative requirements set forth above for having a readily ascertainable fair market value. Inasmuch as the rights will trade for only one day, however, we consider it unlikely that the rights will be actively traded. It is not possible to predict whether the above-described alternative requirements for having a readily ascertainable fair market value will be satisfied with respect to the rights or the debentures, because the Treasury regulations provide insufficient guidance to determine whether the fair market value of the option privilege of either the rights or the debentures will be readily ascertainable.</w:t>
      </w:r>
    </w:p>
    <w:p>
      <w:pPr>
        <w:spacing w:after="0" w:line="16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Original Issue Discount, Acquisition Premium and Market Discount</w:t>
      </w:r>
    </w:p>
    <w:p>
      <w:pPr>
        <w:spacing w:after="0" w:line="231" w:lineRule="exact"/>
        <w:rPr>
          <w:sz w:val="20"/>
          <w:szCs w:val="20"/>
          <w:color w:val="auto"/>
        </w:rPr>
      </w:pPr>
    </w:p>
    <w:p>
      <w:pPr>
        <w:ind w:right="60" w:firstLine="341"/>
        <w:spacing w:after="0" w:line="290" w:lineRule="auto"/>
        <w:rPr>
          <w:sz w:val="20"/>
          <w:szCs w:val="20"/>
          <w:color w:val="auto"/>
        </w:rPr>
      </w:pPr>
      <w:r>
        <w:rPr>
          <w:rFonts w:ascii="Arial" w:cs="Arial" w:eastAsia="Arial" w:hAnsi="Arial"/>
          <w:sz w:val="16"/>
          <w:szCs w:val="16"/>
          <w:color w:val="auto"/>
        </w:rPr>
        <w:t>A U.S. Holder of debentures will accrue original issue discount (“OID”), and include such OID in income on a current basis, regardless of the U.S. Holder’s regular method of accounting. The amount of OID accrued for each accrual period generally is determined by multiplying the debenture’s yield-to-maturity (adjusted for the length of the accrual period) by its adjusted issue price at the beginning of the accrual period. The amount of OID so determined will then be allocated on a ratable basis to each day in the accrual period on which the U.S. Holder holds the debenture. A U.S. Holder’s adjusted tax basis in the debenture will be increased by the amount of any OID included in income with respect thereto and decreased by any payments received thereon. The adjusted issue price of a debenture at the beginning of any accrual period is equal to the issue price of the debenture increased by the amount of OID accrued, and reduced by any interest paid, during all prior accrual periods.</w:t>
      </w:r>
    </w:p>
    <w:p>
      <w:pPr>
        <w:spacing w:after="0" w:line="172"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 xml:space="preserve">Special rules will apply to a Subsequent U.S. Holder who purchases a debenture for an amount other than its adjusted issue price. If the purchase price paid by the Subsequent U.S. Holder exceeds the adjusted issue price of the debenture, the debenture is considered to have “acquisition premium,” and the amount of OID otherwise allocable to an accrual period is reduced by a portion of such acquisition premium. If the purchase price paid by the Subsequent U.S. Holder is less than the adjusted issue price of the debenture, the debenture is considered to have “market discount.” Any gain recognized by a Subsequent U.S. Holder upon the disposition of a debenture purchased at a market discount will be treated as ordinary income to the extent of the market discount accrued through the date of the disposition. Market discount generally accrues ratably, </w:t>
      </w:r>
      <w:r>
        <w:rPr>
          <w:rFonts w:ascii="Arial" w:cs="Arial" w:eastAsia="Arial" w:hAnsi="Arial"/>
          <w:sz w:val="16"/>
          <w:szCs w:val="16"/>
          <w:i w:val="1"/>
          <w:iCs w:val="1"/>
          <w:color w:val="auto"/>
        </w:rPr>
        <w:t>i.e.</w:t>
      </w:r>
      <w:r>
        <w:rPr>
          <w:rFonts w:ascii="Arial" w:cs="Arial" w:eastAsia="Arial" w:hAnsi="Arial"/>
          <w:sz w:val="16"/>
          <w:szCs w:val="16"/>
          <w:color w:val="auto"/>
        </w:rPr>
        <w:t>, with the same amount of discount allocable to each day during the holding period of the Subsequent U.S. Holder. Alternatively, a Subsequent U.S. Holder may elect to accrue market discount on the basis of a constant interest rate. Under this alternative method, market discount accrues under rules similar to the rules described above governing the accrual of OID. Once the election is made with respect to a debenture, the election is irrevocable.</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Constructive Dividends on the Debentures</w:t>
      </w:r>
    </w:p>
    <w:p>
      <w:pPr>
        <w:spacing w:after="0" w:line="231" w:lineRule="exact"/>
        <w:rPr>
          <w:sz w:val="20"/>
          <w:szCs w:val="20"/>
          <w:color w:val="auto"/>
        </w:rPr>
      </w:pPr>
    </w:p>
    <w:p>
      <w:pPr>
        <w:ind w:right="180" w:firstLine="341"/>
        <w:spacing w:after="0" w:line="323" w:lineRule="auto"/>
        <w:rPr>
          <w:sz w:val="20"/>
          <w:szCs w:val="20"/>
          <w:color w:val="auto"/>
        </w:rPr>
      </w:pPr>
      <w:r>
        <w:rPr>
          <w:rFonts w:ascii="Arial" w:cs="Arial" w:eastAsia="Arial" w:hAnsi="Arial"/>
          <w:sz w:val="15"/>
          <w:szCs w:val="15"/>
          <w:color w:val="auto"/>
        </w:rPr>
        <w:t>As noted above, the conversion rate of the debentures is subject to adjustment under certain circumstances. Under Section 305 of the Code and applicable Treasury regulations, an adjustment to the conversion rate, or a failure to adjust the conversion rate, may in certain circumstances result in a constructive distribution to a U.S. Holder if, and to the extent that, such adjustment to the conversion rate, or failure to adjust the conversion rate, increases the proportionate interest of a U.S. Holder in our earnings and profits or assets, whether or not such U.S. Holder ever converts his, her or its debentures into ordinary shares. Any</w:t>
      </w:r>
    </w:p>
    <w:p>
      <w:pPr>
        <w:sectPr>
          <w:pgSz w:w="11900" w:h="16859" w:orient="portrait"/>
          <w:cols w:equalWidth="0" w:num="1">
            <w:col w:w="11420"/>
          </w:cols>
          <w:pgMar w:left="240" w:top="131" w:right="239" w:bottom="0" w:gutter="0" w:footer="0" w:header="0"/>
        </w:sectPr>
      </w:pPr>
    </w:p>
    <w:bookmarkStart w:id="37" w:name="page38"/>
    <w:bookmarkEnd w:id="37"/>
    <w:p>
      <w:pPr>
        <w:jc w:val="both"/>
        <w:ind w:right="40"/>
        <w:spacing w:after="0" w:line="259" w:lineRule="auto"/>
        <w:rPr>
          <w:sz w:val="20"/>
          <w:szCs w:val="20"/>
          <w:color w:val="auto"/>
        </w:rPr>
      </w:pPr>
      <w:r>
        <w:rPr>
          <w:rFonts w:ascii="Arial" w:cs="Arial" w:eastAsia="Arial" w:hAnsi="Arial"/>
          <w:sz w:val="18"/>
          <w:szCs w:val="18"/>
          <w:color w:val="auto"/>
        </w:rPr>
        <w:t>such constructive distribution would be taxable as a dividend to such U.S. Holder to the extent of our current or accumulated earnings and profits, as determined under U.S. federal income tax principles, with any excess treated as a tax-free return of capital up to such U.S. Holder’s tax basis in his, her or its debentures, and then as capital gain.</w:t>
      </w:r>
    </w:p>
    <w:p>
      <w:pPr>
        <w:spacing w:after="0" w:line="194"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Dividends generally are taxed as ordinary income. In the case of a noncorporate U.S. Holder, certain “qualified dividends” are taxable at the same reduced rates applicable to long-term capital gains for taxable years beginning before 2009. It is not clear whether a constructive dividend with respect to our ordinary shares would be treated as a qualified dividend eligible for such reduced rate. In addition, the reduced rate will not apply if we are treated as a passive foreign investment company in the year that a dividend (or constructive dividend) is paid or in the prior year. See the discussion below under the heading “Tax Consequences if We Are a Passive Foreign Investment Company.”</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Tax Consequences if We Are a Passive Foreign Investment Company</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quarterly over the year and ordinarily determined based on fair market value and including the pro rata share of the assets of any company in which we are considered to own, directly or indirectly, 25% or more of the shares by value, are held for the production of, or produce, passive income. Passive income includes amounts derived by reason of the temporary investment of funds raised in our public offerings. If we are a PFIC, and a U.S. Holder does not make an election to treat us as a qualified electing fund (as described below) or a mark to market election (as described below):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right="60" w:hanging="56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Excess distributions by us to a U.S. Holder will be taxed in a special way. Excess distributions are amounts received by a U.S. Holder with respect to our stock in any taxable year that exceed 125% of the average distributions received by such U.S. Holder from us in the shorter of either the three previous years or such U.S. Holder’s holding period for ordinary shares before the present taxable year. This amount may exceed our current or accumulated earnings and profits. Excess distributions must be allocated ratably to each day that a U.S. Holder has held our stock. A U.S. Holder must include amounts allocated to the current taxable year (or to any year prior to the first year in which we were a PFIC) in its gross income as ordinary income for that year. A U.S. Holder must pay tax on amounts allocated to each prior taxable year (other than any year prior to the first year in which we were a PFIC) at the highest rate in effect for that year on ordinary income and the tax is subject to an interest charge at the rate applicable to underpayments of income tax.</w:t>
      </w:r>
    </w:p>
    <w:p>
      <w:pPr>
        <w:spacing w:after="0" w:line="5" w:lineRule="exact"/>
        <w:rPr>
          <w:sz w:val="20"/>
          <w:szCs w:val="20"/>
          <w:color w:val="auto"/>
        </w:rPr>
      </w:pPr>
    </w:p>
    <w:p>
      <w:pPr>
        <w:ind w:left="1720" w:right="60" w:hanging="567"/>
        <w:spacing w:after="0" w:line="250" w:lineRule="auto"/>
        <w:rPr>
          <w:sz w:val="20"/>
          <w:szCs w:val="20"/>
          <w:color w:val="auto"/>
        </w:rPr>
      </w:pPr>
      <w:r>
        <w:rPr>
          <w:rFonts w:ascii="Arial" w:cs="Arial" w:eastAsia="Arial" w:hAnsi="Arial"/>
          <w:sz w:val="18"/>
          <w:szCs w:val="18"/>
          <w:color w:val="auto"/>
        </w:rPr>
        <w:t>—The entire amount of gain realized by a U.S. Holder upon the sale or other disposition of ordinary shares will also be treated as an excess distribution and will be subject to tax as described above.</w:t>
      </w:r>
    </w:p>
    <w:p>
      <w:pPr>
        <w:ind w:left="1720" w:right="100" w:hanging="567"/>
        <w:spacing w:after="0" w:line="250" w:lineRule="auto"/>
        <w:rPr>
          <w:sz w:val="20"/>
          <w:szCs w:val="20"/>
          <w:color w:val="auto"/>
        </w:rPr>
      </w:pPr>
      <w:r>
        <w:rPr>
          <w:rFonts w:ascii="Arial" w:cs="Arial" w:eastAsia="Arial" w:hAnsi="Arial"/>
          <w:sz w:val="18"/>
          <w:szCs w:val="18"/>
          <w:color w:val="auto"/>
        </w:rPr>
        <w:t>—A subsequent holder’s tax basis in shares of our stock that are acquired from a decedent will not receive a step-up to fair market value as of the date of the decedent’s death but would instead be equal to the decedent’s basis, if lower.</w:t>
      </w:r>
    </w:p>
    <w:p>
      <w:pPr>
        <w:ind w:left="1720" w:right="100" w:hanging="567"/>
        <w:spacing w:after="0" w:line="28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we are a PFIC, and any foreign subsidiary or other foreign company in which we own shares is also a PFIC, then a U.S. Holder of our shares will also be treated as owning shares of that lower-tier PFIC. For purposes of the above-described rules relating to dispositions of PFIC shares, certain proposed Treasury regulations generally would treat any transaction that reduces a U.S. Holder’s proportionate interest in a lower-tier PFIC as a disposition of shares of such lower-tier PFIC.</w:t>
      </w:r>
    </w:p>
    <w:p>
      <w:pPr>
        <w:spacing w:after="0" w:line="2" w:lineRule="exact"/>
        <w:rPr>
          <w:sz w:val="20"/>
          <w:szCs w:val="20"/>
          <w:color w:val="auto"/>
        </w:rPr>
      </w:pPr>
    </w:p>
    <w:p>
      <w:pPr>
        <w:ind w:left="1720" w:right="100" w:hanging="567"/>
        <w:spacing w:after="0" w:line="261" w:lineRule="auto"/>
        <w:rPr>
          <w:sz w:val="20"/>
          <w:szCs w:val="20"/>
          <w:color w:val="auto"/>
        </w:rPr>
      </w:pPr>
      <w:r>
        <w:rPr>
          <w:rFonts w:ascii="Arial" w:cs="Arial" w:eastAsia="Arial" w:hAnsi="Arial"/>
          <w:sz w:val="18"/>
          <w:szCs w:val="18"/>
          <w:color w:val="auto"/>
        </w:rPr>
        <w:t>—Under proposed Treasury regulations, a U.S. Holder of a convertible debenture (or right) would be treated as owning ordinary shares for purposes of the PFIC rules above.</w:t>
      </w:r>
    </w:p>
    <w:p>
      <w:pPr>
        <w:spacing w:after="0" w:line="200" w:lineRule="exact"/>
        <w:rPr>
          <w:sz w:val="20"/>
          <w:szCs w:val="20"/>
          <w:color w:val="auto"/>
        </w:rPr>
      </w:pPr>
    </w:p>
    <w:p>
      <w:pPr>
        <w:spacing w:after="0" w:line="23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special PFIC rules described above will not apply to a U.S. Holder if the U.S. Holder makes an election to treat us as a qualified electing fund, or QEF, in the first taxable year in which the U.S. Holder owns (or is considered to own) ordinary shares and if we provide the Internal Revenue Service, or IRS, with information regarding our earnings; a late (retroactive) election may be made in limited circumstances. Instead, a shareholder of a qualified electing fund is required for each taxable year to include in income a pro rata share of the ordinary earnings of the qualified electing fund as ordinary income and a pro rata share of the net capital gain of the qualified electing fund as long-term capital gain, subject to a separate election to defer payment of taxes, which deferral is subject to an interest charge. We have agreed to supply U.S. Holders with the information needed to report income and gain pursuant to a QEF election in the event we are classified as PFIC. The QEF election is made on a shareholder-by-shareholder basis and can be revoked only with the consent of the IRS. A shareholder makes a QEF election by attaching a completed IRS Form 8621, including the PFIC annual information statement, to a timely filed U.S. federal income tax return or, if no federal income tax return is required to be filed, by filing such form with the IRS Service Center in Philadelphia, Pennsylvania. Even if a QEF election is not made, a shareholder in a PFIC who is a U.S. person must file a completed IRS Form 8621 every year.</w:t>
      </w:r>
    </w:p>
    <w:p>
      <w:pPr>
        <w:spacing w:after="0" w:line="177"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 U.S. Holder of ordinary shares may avoid application of the PFIC rules to shares of a lower-tier PFIC by making a separate QEF election for shares of the lower-tier PFIC for the first taxable year in which the U.S. Holder is considered to own shares of the lower-tier PFIC; this election may only be made, however, if the lower-tier PFIC provides the IRS with information regarding its earnings. A QEF election with respect to our shares does not constitute an election with respect to any lower-tier PFIC.</w:t>
      </w:r>
    </w:p>
    <w:p>
      <w:pPr>
        <w:spacing w:after="0" w:line="197"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As noted above, the proposed regulations would treat a U.S. Holder of a convertible debenture (or right) as if the holder held ordinary shares for purposes of the PFIC rules. A convertible debenture (or right) holder, however, may not make a QEF election. If we are considered a PFIC (presently or in the future), a U.S. Holder of a convertible debenture (or right) might be unable to make a timely QEF election for our shares or for shares of any lower-tier PFIC.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 U.S. Holder of PFIC stock which is publicly traded could elect to mark the stock to market annually, recognizing as ordinary income or loss each year an amount equal to the difference as of the close of the taxable year between the fair market value of the PFIC stock and the holder’s adjusted basis in the PFIC stock. Losses would be allowed only to the extent of net mark-to-market gain previously included by the U.S. Holder under the election for prior taxable years. If the mark-to-market election were made, then the rules set forth above would not apply for periods covered by the election.</w:t>
      </w:r>
    </w:p>
    <w:p>
      <w:pPr>
        <w:spacing w:after="0" w:line="167"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do not believe that we currently are a PFIC. We have not obtained an opinion of counsel confirming this conclusion because it is unclear how the relevant regulations would apply in our circumstances. However, our belief that we are not a PFIC is supported by a private letter ruling issued by the IRS to a company whose circumstances are substantially the same as ours, although such private letter ruling would not be binding on the IRS in determining our status. In addition, the tests for determining PFIC status are applied annually and it is difficult to make accurate predictions of future income and assets, which are relevant to the determination of PFIC status. Accordingly, there can be no assurance that we will not become a PFIC. If we determine that we have become a PFIC, we</w:t>
      </w:r>
    </w:p>
    <w:p>
      <w:pPr>
        <w:sectPr>
          <w:pgSz w:w="11900" w:h="16838" w:orient="portrait"/>
          <w:cols w:equalWidth="0" w:num="1">
            <w:col w:w="11400"/>
          </w:cols>
          <w:pgMar w:left="240" w:top="131" w:right="259" w:bottom="0" w:gutter="0" w:footer="0" w:header="0"/>
        </w:sectPr>
      </w:pPr>
    </w:p>
    <w:bookmarkStart w:id="38" w:name="page39"/>
    <w:bookmarkEnd w:id="38"/>
    <w:p>
      <w:pPr>
        <w:ind w:right="180"/>
        <w:spacing w:after="0" w:line="298" w:lineRule="auto"/>
        <w:rPr>
          <w:sz w:val="20"/>
          <w:szCs w:val="20"/>
          <w:color w:val="auto"/>
        </w:rPr>
      </w:pPr>
      <w:r>
        <w:rPr>
          <w:rFonts w:ascii="Arial" w:cs="Arial" w:eastAsia="Arial" w:hAnsi="Arial"/>
          <w:sz w:val="16"/>
          <w:szCs w:val="16"/>
          <w:color w:val="auto"/>
        </w:rPr>
        <w:t>will notify our U.S. Holders and provide them with the information necessary to comply with the QEF rules. U.S. Holders who hold ordinary shares during a period when we are a PFIC will be subject to the foregoing rules, even if we cease to be a PFIC, subject to exceptions for U.S. Holders who made a timely QEF or mark-to-market election. U.S. Holders are urged to consult their tax advisors about the PFIC rules, including the consequences to them of making a mark-to-market or QEF election with respect to our ordinary shares in the event that we qualify as a PFIC.</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pacing w:after="0" w:line="312"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authorized share capital consists of 250 million ordinary shares, par value NIS 1.00 per share. Under our articles of association, the ordinary shares do not have preemptive rights, however, we have granted preemptive rights to a number of our Fab 2 investors, regarding which we will seek waivers in connection with this offering. We may from time to time, by approval of a majority of our shareholders, increase our authorized share capital. In July 2005, our board of directors approved increasing our authorized share capital to 500 million ordinary shares, par value NIS 1.00 per share. This increase is subject to approval of our shareholders. All ordinary shares are registered shares, rather than bearer shares.</w:t>
      </w:r>
    </w:p>
    <w:p>
      <w:pPr>
        <w:spacing w:after="0" w:line="170"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2004, 65,699,796 of our ordinary shares were outstanding. As of June 30, 2005, 66,286,187 of our ordinary shares were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above numbers of outstanding ordinary shares do not include 1.3 million treasury shares held by us as of such dates in an account with Bear Stearns &amp; Co.</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ectPr>
          <w:pgSz w:w="11900" w:h="16838" w:orient="portrait"/>
          <w:cols w:equalWidth="0" w:num="1">
            <w:col w:w="11420"/>
          </w:cols>
          <w:pgMar w:left="240" w:top="131" w:right="239" w:bottom="22"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UNDERTAKING TO REFRAIN FROM ACTIONS</w:t>
      </w:r>
    </w:p>
    <w:p>
      <w:pPr>
        <w:spacing w:after="0" w:line="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 DISCLOSED IN THIS PROSPECTUS</w:t>
      </w:r>
    </w:p>
    <w:p>
      <w:pPr>
        <w:spacing w:after="0" w:line="30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 signing this prospectus, we and our directors undertake as follows:</w:t>
      </w:r>
    </w:p>
    <w:p>
      <w:pPr>
        <w:spacing w:after="0" w:line="225" w:lineRule="exact"/>
        <w:rPr>
          <w:sz w:val="20"/>
          <w:szCs w:val="20"/>
          <w:color w:val="auto"/>
        </w:rPr>
      </w:pPr>
    </w:p>
    <w:p>
      <w:pPr>
        <w:ind w:left="1160" w:right="480" w:hanging="571"/>
        <w:spacing w:after="0" w:line="286" w:lineRule="auto"/>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not to take any action which is not disclosed in the prospectus concerning this rights offering and distributing or dispersing of the securities offered hereunder to the public, not to grant to purchasers of these securities rights which are not referred to in the prospectus;</w:t>
      </w:r>
    </w:p>
    <w:p>
      <w:pPr>
        <w:ind w:left="1160" w:right="380" w:hanging="571"/>
        <w:spacing w:after="0" w:line="250" w:lineRule="auto"/>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to enter into any agreement with any third party that to the best of our knowledge has entered into arrangements which conflict with sub-paragraph (a); and</w:t>
      </w:r>
    </w:p>
    <w:p>
      <w:pPr>
        <w:ind w:left="1160" w:hanging="571"/>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inform the Israel Securities Authority if we become aware of any arrangement with a third party, which conflicts with sub-paragraph (a).</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Yigal Arnon &amp; Co., our Israeli counsel. Certain legal matters in connection with this offering with respect to United States law will be passed upon for us by Eilenberg &amp; Krause LLP, New York, New York, our United States counsel. Certain matters set forth herein under “Material Income Tax Considerations – United States Tax Considerations” will be passed upon for us by Roberts &amp; Holland LLP, our special United States tax counsel.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20-F for the year ended December 31, 2004 have been audited by Brightman Almagor &amp; Co., a member firm of Deloitte Touche Tohmatsu, an independent registered public accounting firm, as stated in their report, which is incorporated herein by reference (which report expressed an unqualified opinion and included an explanatory paragraph about the differences between accounting principles generally accepted in Israel and in the United States of America), and have been so incorporated in reliance upon the report of such firm given upon their authority as experts in accounting and auditing.</w:t>
      </w:r>
    </w:p>
    <w:p>
      <w:pPr>
        <w:spacing w:after="0" w:line="170"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In accordance with the requirements of the Israel Securities Authority, the consent of Brightman Almagor &amp; Co., which is filed as Exhibit 23.2 to the registration statement of which this prospectus forms a part, will be attached as an annex to the copies of this prospectus that will be distributed in Israel.</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AGENT FOR SERVICE OF PROCESS IN THE UNITED STATES</w:t>
      </w:r>
    </w:p>
    <w:p>
      <w:pPr>
        <w:spacing w:after="0" w:line="300"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rights offering or to assert U.S. securities law claims in Israel.”</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ISRAEL SECURITIES AUTHORITY EXEMPTION</w:t>
      </w:r>
    </w:p>
    <w:p>
      <w:pPr>
        <w:spacing w:after="0" w:line="299"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Section 35-29 of the Israeli Securities Law authorizes the Israel Securities Authority to grant an exemption to companies whose shares are dually-listed on the Tel Aviv Stock Exchange and certain U.S. stock exchanges, including the NASDAQ National Market (under Chapter E3 of the Israeli Securities Law), that offer their securities to the public in Israel under a prospectus, from the requirements of the Securities Regulations (Prospectus Details, Format and Form), 1969. We applied to the Israel Securities Authority to grant us such an exemption in connection with the offering under this prospectus. With respect to the format of this prospectus, if received, the Israel Securities Authority exemption will permit us to present the information contained herein in the English language and in the format applicable to prospectuses published in the U.S. under the Securities Act of 1933, as amended. If received, we will be permitted to include as an integral part of this prospectus, copies of the documents previously filed and/or published by us in accordance with the informational requirements of the Securities Exchange Act of 1934, as amended, which apply to us as a foreign private issuer.</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80" w:firstLine="348"/>
        <w:spacing w:after="0" w:line="323" w:lineRule="auto"/>
        <w:rPr>
          <w:sz w:val="20"/>
          <w:szCs w:val="20"/>
          <w:color w:val="auto"/>
        </w:rPr>
      </w:pPr>
      <w:r>
        <w:rPr>
          <w:rFonts w:ascii="Arial" w:cs="Arial" w:eastAsia="Arial" w:hAnsi="Arial"/>
          <w:sz w:val="15"/>
          <w:szCs w:val="15"/>
          <w:color w:val="auto"/>
        </w:rPr>
        <w:t>This prospectus has been prepared in accordance with the requirements of the Securities Act 1933 and in accordance with the requirements of the Israel Securities Authority assuming we receive the exemption. Since Israeli securities laws do not permit incorporation of certain documents by reference, copies of two of the exhibits (Opinion of Yigal Arnon &amp; Co., our Israeli legal counsel and the Consent of Brightman Almagor &amp; Co., a member firm of Deloitte Touche Tohmatsu, and an independent registered public accounting firm) will be attached as annexes to the copies of this prospectus that will be distributed in Israel.</w:t>
      </w:r>
    </w:p>
    <w:p>
      <w:pPr>
        <w:spacing w:after="0" w:line="15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will apply to list the debentures and ordinary shares issuable upon the conversion of the debentures on the Tel Aviv Stock Exchange and NASDAQ and will apply to the Tel Aviv Stock Exchange and NASDAQ to list the rights for trade for only one day on both the NASDAQ Small Cap Market and the Tel Aviv Stock Exchange. Nothing in these approvals should be interpreted as a verification of the information contained herein, an approval of the accuracy or completeness of such information or an expression of any view as to the quality of the securities we are distributing.</w:t>
      </w:r>
    </w:p>
    <w:p>
      <w:pPr>
        <w:spacing w:after="0" w:line="167" w:lineRule="exact"/>
        <w:rPr>
          <w:sz w:val="20"/>
          <w:szCs w:val="20"/>
          <w:color w:val="auto"/>
        </w:rPr>
      </w:pPr>
    </w:p>
    <w:p>
      <w:pPr>
        <w:ind w:right="560" w:firstLine="348"/>
        <w:spacing w:after="0" w:line="268" w:lineRule="auto"/>
        <w:rPr>
          <w:sz w:val="20"/>
          <w:szCs w:val="20"/>
          <w:color w:val="auto"/>
        </w:rPr>
      </w:pPr>
      <w:r>
        <w:rPr>
          <w:rFonts w:ascii="Arial" w:cs="Arial" w:eastAsia="Arial" w:hAnsi="Arial"/>
          <w:sz w:val="18"/>
          <w:szCs w:val="18"/>
          <w:color w:val="auto"/>
        </w:rPr>
        <w:t>We will seek to obtain all the approvals and permits required under applicable law for the distribution of the debentures and for the publication of this prospectus. The debentures are not being distributed in any jurisdiction where the offer is not permitted.</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On the first business day in Israel following the date of this prospectus, we will file a copy of this prospectus and a copy of the Israel Securities Authority permit with the Israeli Registrar of Companies.</w:t>
      </w:r>
    </w:p>
    <w:p>
      <w:pPr>
        <w:sectPr>
          <w:pgSz w:w="11900" w:h="16838" w:orient="portrait"/>
          <w:cols w:equalWidth="0" w:num="1">
            <w:col w:w="11420"/>
          </w:cols>
          <w:pgMar w:left="240" w:top="131" w:right="239" w:bottom="203" w:gutter="0" w:footer="0" w:header="0"/>
        </w:sectPr>
      </w:pPr>
    </w:p>
    <w:bookmarkStart w:id="40" w:name="page41"/>
    <w:bookmarkEnd w:id="40"/>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286" w:lineRule="exact"/>
        <w:rPr>
          <w:sz w:val="20"/>
          <w:szCs w:val="20"/>
          <w:color w:val="auto"/>
        </w:rPr>
      </w:pPr>
    </w:p>
    <w:p>
      <w:pPr>
        <w:ind w:right="340" w:firstLine="348"/>
        <w:spacing w:after="0" w:line="294" w:lineRule="auto"/>
        <w:rPr>
          <w:sz w:val="20"/>
          <w:szCs w:val="20"/>
          <w:color w:val="auto"/>
        </w:rPr>
      </w:pPr>
      <w:r>
        <w:rPr>
          <w:rFonts w:ascii="Arial" w:cs="Arial" w:eastAsia="Arial" w:hAnsi="Arial"/>
          <w:sz w:val="16"/>
          <w:szCs w:val="16"/>
          <w:color w:val="auto"/>
        </w:rPr>
        <w:t>We have filed a registration statement on Form F-2 with the Securities and Exchange Commission in connection with this offering. In addition, we file annual reports with, and furnish information to, the Securities and Exchange Commission. You may read and copy the registration statement and any other documents we have filed at the Securities and Exchange Commission’s Public Reference Room at 100 F Street N.E., Washington, D.C. 20549. Please call the Securities and Exchange Commission at 1-800-SEC-0330 for further information on the Public Reference Room. Our Securities and Exchange Commission filings are also available to the public at the Securities and Exchange Commission’s Internet site at “http://www.sec.gov.”</w:t>
      </w:r>
    </w:p>
    <w:p>
      <w:pPr>
        <w:spacing w:after="0" w:line="170"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Later information filed with the Securities and Exchange Commission will update and supersede this information.</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2300" w:right="240" w:hanging="567"/>
        <w:spacing w:after="0" w:line="268" w:lineRule="auto"/>
        <w:rPr>
          <w:sz w:val="20"/>
          <w:szCs w:val="20"/>
          <w:color w:val="auto"/>
        </w:rPr>
      </w:pPr>
      <w:r>
        <w:rPr>
          <w:rFonts w:ascii="Arial" w:cs="Arial" w:eastAsia="Arial" w:hAnsi="Arial"/>
          <w:sz w:val="18"/>
          <w:szCs w:val="18"/>
          <w:color w:val="auto"/>
        </w:rPr>
        <w:t>—our annual report on Form 20-F for the year ended December 31, 2004, filed on June 29, 2005, to the extent the information in that report has not been updated or superseded by this prospectus; and</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640" w:hanging="567"/>
        <w:spacing w:after="0" w:line="268" w:lineRule="auto"/>
        <w:rPr>
          <w:sz w:val="20"/>
          <w:szCs w:val="20"/>
          <w:color w:val="auto"/>
        </w:rPr>
      </w:pPr>
      <w:r>
        <w:rPr>
          <w:rFonts w:ascii="Arial" w:cs="Arial" w:eastAsia="Arial" w:hAnsi="Arial"/>
          <w:sz w:val="18"/>
          <w:szCs w:val="18"/>
          <w:color w:val="auto"/>
        </w:rPr>
        <w:t>—our report on Form 6-K/A filed on October __, 2005 (which amends our Form 6-K filed on August 3, 2005, aspreviously amended on Form 6-K/A filed on September 22, 2005).</w:t>
      </w:r>
    </w:p>
    <w:p>
      <w:pPr>
        <w:spacing w:after="0" w:line="200" w:lineRule="exact"/>
        <w:rPr>
          <w:sz w:val="20"/>
          <w:szCs w:val="20"/>
          <w:color w:val="auto"/>
        </w:rPr>
      </w:pP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Copies of these filings are annexed to this prospectus.</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You may request a copy of these filings, at no cost, by contacting us at: Ramat Gavriel Industrial Park, Post Office Box 619, Migdal Haemek, 23105 Israel,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Attn: Corporate Secretary, telephone number: 972-4-650-6611.</w:t>
      </w:r>
    </w:p>
    <w:p>
      <w:pPr>
        <w:spacing w:after="0" w:line="219"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 copy of this registration statement, our articles of association and the documents filed as exhibits are available for inspection at our offices at Hamada Avenue, Ramat Gavriel Industrial Park, Migdal Haemek, Israel.</w:t>
      </w:r>
    </w:p>
    <w:p>
      <w:pPr>
        <w:spacing w:after="0" w:line="186"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copy of this prospectus, the Israel Securities Authority permit pursuant to which this prospectus has been published, our memorandum of association, our articles of association and the documents filed as exhibits, are available for inspection at our offices at Hamada Avenue, Ramat Gavriel Industrial Park, Migdal Haemek, Israel. As mentioned above, two of the documents filed as exhibits to the registration statement filed with the Securities and Exchange Commission (Exhibit 5.1 – Opinion of Yigal Arnon &amp; Co. and Exhibit 23.2 – consent of Brightman Almagor &amp; Co., a member firm of Deloitte Touche Tohmatsu, an independent registered public accounting firm), will be attached as annexes to the copies of this prospectus distributed in Israel.</w:t>
      </w:r>
    </w:p>
    <w:p>
      <w:pPr>
        <w:spacing w:after="0" w:line="170"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b w:val="1"/>
          <w:bCs w:val="1"/>
          <w:i w:val="1"/>
          <w:iCs w:val="1"/>
          <w:color w:val="auto"/>
        </w:rPr>
        <w:t xml:space="preserve">Form F-2 Registration Statement. </w:t>
      </w:r>
      <w:r>
        <w:rPr>
          <w:rFonts w:ascii="Arial" w:cs="Arial" w:eastAsia="Arial" w:hAnsi="Arial"/>
          <w:sz w:val="16"/>
          <w:szCs w:val="16"/>
          <w:color w:val="auto"/>
        </w:rPr>
        <w:t>We have filed with the Securities and Exchange Commission a registration statement on Form F-2 under the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 with respect to the debentures offered in this prospectus. This prospectus, which is part of the registration statement, does not contain all of the information that you can find in the registration statement. Some parts of the registration statement are omitted from the prospectus in accordance with the rules and regulations of the Securities and Exchange Commission. The statements we make in this prospectus as to the contents of any contract, agreement or other document referred to are not necessarily complete. With respect to each such document filed as an exhibit to the registration statement, you should refer to the exhibit for a more complete description of the matter involved. The registration statement may be read and copied at the Securities and Exchange Commission’s public reference rooms as indicated above. In accordance with the requirements of the Israeli Securities Authority, those parts of the Form F-2 that are not part of the prospectus, will be attached as annexes to the copies of this prospectus that will be distributed in Israel.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1529080</wp:posOffset>
            </wp:positionV>
            <wp:extent cx="11061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6170" cy="8890"/>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294005</wp:posOffset>
            </wp:positionV>
            <wp:extent cx="1715135" cy="565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513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194945</wp:posOffset>
            </wp:positionV>
            <wp:extent cx="11061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DISTRIBUTION OF RIGHTS</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 PURCHASE</w:t>
      </w:r>
    </w:p>
    <w:p>
      <w:pPr>
        <w:sectPr>
          <w:pgSz w:w="11900" w:h="16838" w:orient="portrait"/>
          <w:cols w:equalWidth="0" w:num="1">
            <w:col w:w="11420"/>
          </w:cols>
          <w:pgMar w:left="240" w:top="125" w:right="239" w:bottom="0" w:gutter="0" w:footer="0" w:header="0"/>
        </w:sectPr>
      </w:pPr>
    </w:p>
    <w:bookmarkStart w:id="41" w:name="page42"/>
    <w:bookmarkEnd w:id="41"/>
    <w:p>
      <w:pPr>
        <w:spacing w:after="0" w:line="2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DEBENTURES CONVERTIBLE</w:t>
      </w:r>
    </w:p>
    <w:p>
      <w:pPr>
        <w:spacing w:after="0" w:line="1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INTO ORDINARY SHARES</w:t>
      </w:r>
    </w:p>
    <w:p>
      <w:pPr>
        <w:spacing w:after="0" w:line="21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is not permitted. You should not assume that the information in this prospectus is accurate as of any date other than the date that appears below.</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__,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pacing w:after="0" w:line="200" w:lineRule="exact"/>
        <w:rPr>
          <w:sz w:val="20"/>
          <w:szCs w:val="20"/>
          <w:color w:val="auto"/>
        </w:rPr>
      </w:pPr>
    </w:p>
    <w:p>
      <w:pPr>
        <w:spacing w:after="0" w:line="2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Israeli Companies Law-1999, or the Companies Law, which entered into effect on February 1, 2000 and was amended most recently in March 2005, provides that a company may include in its articles of association provisions allowing it to:</w:t>
      </w:r>
    </w:p>
    <w:p>
      <w:pPr>
        <w:spacing w:after="0" w:line="186" w:lineRule="exact"/>
        <w:rPr>
          <w:sz w:val="20"/>
          <w:szCs w:val="20"/>
          <w:color w:val="auto"/>
        </w:rPr>
      </w:pPr>
    </w:p>
    <w:p>
      <w:pPr>
        <w:jc w:val="both"/>
        <w:ind w:left="580" w:right="80" w:hanging="572"/>
        <w:spacing w:after="0" w:line="25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20" w:hanging="571"/>
        <w:spacing w:after="0" w:line="332" w:lineRule="auto"/>
        <w:tabs>
          <w:tab w:leader="none" w:pos="11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monetary liabilities or obligations imposed upon him in favor of other persons pursuant to a court judgment, including a compromise judgment or an arbitrator’s decision approved by a court, by reason of acts or omissions of such person in his capacity as an office holder of the company;</w:t>
      </w:r>
    </w:p>
    <w:p>
      <w:pPr>
        <w:spacing w:after="0" w:line="166" w:lineRule="exact"/>
        <w:rPr>
          <w:rFonts w:ascii="Arial" w:cs="Arial" w:eastAsia="Arial" w:hAnsi="Arial"/>
          <w:sz w:val="16"/>
          <w:szCs w:val="16"/>
          <w:color w:val="auto"/>
        </w:rPr>
      </w:pPr>
    </w:p>
    <w:p>
      <w:pPr>
        <w:ind w:left="1160" w:hanging="571"/>
        <w:spacing w:after="0" w:line="256" w:lineRule="auto"/>
        <w:tabs>
          <w:tab w:leader="none" w:pos="1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actually incurred by such office holder or imposed upon him by a court, in an action, suit or proceeding brought against him by or on behalf of us or by other persons, or in connection with a criminal action from which he was acquitted, or in connection with a criminal action which does not require criminal intent in which he was convicted, in each case by reason of acts or omissions of such person in his capacity as an office holder; and</w:t>
      </w:r>
    </w:p>
    <w:p>
      <w:pPr>
        <w:spacing w:after="0" w:line="224" w:lineRule="exact"/>
        <w:rPr>
          <w:rFonts w:ascii="Arial" w:cs="Arial" w:eastAsia="Arial" w:hAnsi="Arial"/>
          <w:sz w:val="18"/>
          <w:szCs w:val="18"/>
          <w:color w:val="auto"/>
        </w:rPr>
      </w:pPr>
    </w:p>
    <w:p>
      <w:pPr>
        <w:jc w:val="both"/>
        <w:ind w:left="1160" w:right="20" w:hanging="571"/>
        <w:spacing w:after="0" w:line="294" w:lineRule="auto"/>
        <w:tabs>
          <w:tab w:leader="none" w:pos="1160" w:val="left"/>
        </w:tabs>
        <w:numPr>
          <w:ilvl w:val="1"/>
          <w:numId w:val="52"/>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180" w:hanging="571"/>
        <w:spacing w:after="0" w:line="306" w:lineRule="auto"/>
        <w:tabs>
          <w:tab w:leader="none" w:pos="11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breach of his fiduciary duty, except to the extent described above;</w:t>
      </w:r>
    </w:p>
    <w:p>
      <w:pPr>
        <w:spacing w:after="0" w:line="252" w:lineRule="exact"/>
        <w:rPr>
          <w:sz w:val="20"/>
          <w:szCs w:val="20"/>
          <w:color w:val="auto"/>
        </w:rPr>
      </w:pPr>
    </w:p>
    <w:p>
      <w:pPr>
        <w:ind w:left="1160" w:right="780" w:hanging="567"/>
        <w:spacing w:after="0" w:line="268" w:lineRule="auto"/>
        <w:rPr>
          <w:sz w:val="20"/>
          <w:szCs w:val="20"/>
          <w:color w:val="auto"/>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 act or omission done with the intent to unlawfully realize personal gain; or</w:t>
      </w:r>
    </w:p>
    <w:p>
      <w:pPr>
        <w:sectPr>
          <w:pgSz w:w="11900" w:h="16866" w:orient="portrait"/>
          <w:cols w:equalWidth="0" w:num="1">
            <w:col w:w="11420"/>
          </w:cols>
          <w:pgMar w:left="240" w:top="131" w:right="239" w:bottom="0" w:gutter="0" w:footer="0" w:header="0"/>
        </w:sectPr>
      </w:pPr>
    </w:p>
    <w:bookmarkStart w:id="42" w:name="page43"/>
    <w:bookmarkEnd w:id="42"/>
    <w:p>
      <w:pPr>
        <w:spacing w:after="0" w:line="1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fine or monetary settlement imposed upon him.</w:t>
      </w:r>
    </w:p>
    <w:p>
      <w:pPr>
        <w:spacing w:after="0" w:line="200" w:lineRule="exact"/>
        <w:rPr>
          <w:sz w:val="20"/>
          <w:szCs w:val="20"/>
          <w:color w:val="auto"/>
        </w:rPr>
      </w:pPr>
    </w:p>
    <w:p>
      <w:pPr>
        <w:spacing w:after="0" w:line="268" w:lineRule="exact"/>
        <w:rPr>
          <w:sz w:val="20"/>
          <w:szCs w:val="20"/>
          <w:color w:val="auto"/>
        </w:rPr>
      </w:pPr>
    </w:p>
    <w:p>
      <w:pPr>
        <w:jc w:val="both"/>
        <w:ind w:right="700" w:firstLine="351"/>
        <w:spacing w:after="0" w:line="259" w:lineRule="auto"/>
        <w:rPr>
          <w:sz w:val="20"/>
          <w:szCs w:val="20"/>
          <w:color w:val="auto"/>
        </w:rPr>
      </w:pPr>
      <w:r>
        <w:rPr>
          <w:rFonts w:ascii="Arial" w:cs="Arial" w:eastAsia="Arial" w:hAnsi="Arial"/>
          <w:sz w:val="18"/>
          <w:szCs w:val="18"/>
          <w:color w:val="auto"/>
        </w:rPr>
        <w:t>Under the Companies Law, the term “office holder” includes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the company’s audit committee and board of directors, and, in certain circumstances, including if the office holder is a director, the approval of the company’s shareholders.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Prior to the March 2005 amendments to the Companies Law, our Articles of Association provided for indemnification of, and procurement of insurance coverage for our officers and directors to the maximum extent then provided for by the Companies Law. We intend to propose to our shareholders to amend our Articles of Association to reflect the March 2005 changes to the Companies Law.</w:t>
      </w:r>
    </w:p>
    <w:p>
      <w:pPr>
        <w:spacing w:after="0" w:line="194" w:lineRule="exact"/>
        <w:rPr>
          <w:sz w:val="20"/>
          <w:szCs w:val="20"/>
          <w:color w:val="auto"/>
        </w:rPr>
      </w:pPr>
    </w:p>
    <w:p>
      <w:pPr>
        <w:ind w:right="58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ITEM 9.</w:t>
            </w:r>
          </w:p>
        </w:tc>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EXHIBITS</w:t>
            </w:r>
          </w:p>
        </w:tc>
      </w:tr>
      <w:tr>
        <w:trPr>
          <w:trHeight w:val="743"/>
        </w:trPr>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140" w:type="dxa"/>
            <w:vAlign w:val="bottom"/>
          </w:tcPr>
          <w:p>
            <w:pPr>
              <w:ind w:left="1780"/>
              <w:spacing w:after="0"/>
              <w:rPr>
                <w:sz w:val="20"/>
                <w:szCs w:val="20"/>
                <w:color w:val="auto"/>
              </w:rPr>
            </w:pPr>
            <w:r>
              <w:rPr>
                <w:rFonts w:ascii="Arial" w:cs="Arial" w:eastAsia="Arial" w:hAnsi="Arial"/>
                <w:sz w:val="18"/>
                <w:szCs w:val="18"/>
                <w:b w:val="1"/>
                <w:bCs w:val="1"/>
                <w:color w:val="auto"/>
              </w:rPr>
              <w:t>EXHIBIT INDEX</w:t>
            </w:r>
          </w:p>
        </w:tc>
      </w:tr>
      <w:tr>
        <w:trPr>
          <w:trHeight w:val="501"/>
        </w:trPr>
        <w:tc>
          <w:tcPr>
            <w:tcW w:w="180" w:type="dxa"/>
            <w:vAlign w:val="bottom"/>
          </w:tcPr>
          <w:p>
            <w:pPr>
              <w:spacing w:after="0"/>
              <w:rPr>
                <w:sz w:val="24"/>
                <w:szCs w:val="24"/>
                <w:color w:val="auto"/>
              </w:rPr>
            </w:pP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Exhibit</w:t>
            </w:r>
          </w:p>
        </w:tc>
        <w:tc>
          <w:tcPr>
            <w:tcW w:w="1880" w:type="dxa"/>
            <w:vAlign w:val="bottom"/>
          </w:tcPr>
          <w:p>
            <w:pPr>
              <w:spacing w:after="0"/>
              <w:rPr>
                <w:sz w:val="24"/>
                <w:szCs w:val="24"/>
                <w:color w:val="auto"/>
              </w:rPr>
            </w:pPr>
          </w:p>
        </w:tc>
        <w:tc>
          <w:tcPr>
            <w:tcW w:w="8140" w:type="dxa"/>
            <w:vAlign w:val="bottom"/>
          </w:tcPr>
          <w:p>
            <w:pPr>
              <w:spacing w:after="0"/>
              <w:rPr>
                <w:sz w:val="24"/>
                <w:szCs w:val="24"/>
                <w:color w:val="auto"/>
              </w:rPr>
            </w:pPr>
          </w:p>
        </w:tc>
      </w:tr>
      <w:tr>
        <w:trPr>
          <w:trHeight w:val="190"/>
        </w:trPr>
        <w:tc>
          <w:tcPr>
            <w:tcW w:w="180" w:type="dxa"/>
            <w:vAlign w:val="bottom"/>
          </w:tcPr>
          <w:p>
            <w:pPr>
              <w:spacing w:after="0"/>
              <w:rPr>
                <w:sz w:val="16"/>
                <w:szCs w:val="16"/>
                <w:color w:val="auto"/>
              </w:rPr>
            </w:pPr>
          </w:p>
        </w:tc>
        <w:tc>
          <w:tcPr>
            <w:tcW w:w="7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89"/>
              </w:rPr>
              <w:t>Numbers</w:t>
            </w:r>
          </w:p>
        </w:tc>
        <w:tc>
          <w:tcPr>
            <w:tcW w:w="500" w:type="dxa"/>
            <w:vAlign w:val="bottom"/>
          </w:tcPr>
          <w:p>
            <w:pPr>
              <w:spacing w:after="0"/>
              <w:rPr>
                <w:sz w:val="16"/>
                <w:szCs w:val="16"/>
                <w:color w:val="auto"/>
              </w:rPr>
            </w:pPr>
          </w:p>
        </w:tc>
        <w:tc>
          <w:tcPr>
            <w:tcW w:w="18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b w:val="1"/>
                <w:bCs w:val="1"/>
                <w:color w:val="auto"/>
                <w:w w:val="86"/>
              </w:rPr>
              <w:t>Description of Document</w:t>
            </w:r>
          </w:p>
        </w:tc>
        <w:tc>
          <w:tcPr>
            <w:tcW w:w="8140" w:type="dxa"/>
            <w:vAlign w:val="bottom"/>
          </w:tcPr>
          <w:p>
            <w:pPr>
              <w:spacing w:after="0"/>
              <w:rPr>
                <w:sz w:val="16"/>
                <w:szCs w:val="16"/>
                <w:color w:val="auto"/>
              </w:rPr>
            </w:pPr>
          </w:p>
        </w:tc>
      </w:tr>
      <w:tr>
        <w:trPr>
          <w:trHeight w:val="478"/>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Form of Rights Letter*</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Exercise Notice Form*</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4.3</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Transfer of Rights Form*</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4.4</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Indenture*</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4.5</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w w:val="89"/>
              </w:rPr>
              <w:t>Ninth Amendment, dated July 24, 2005, to the Facility Agreement among the Registrant, Bank Hapoalim B.M. and Bank Leumi Le-Israel Ltd.</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7"/>
              </w:rPr>
              <w:t>5.2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12.1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23.2</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23.3</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Consent of Roberts &amp; Holland LLP (contained in their opinion constituting Exhibit 5.2)*</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24.1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Power of Attorney**</w:t>
            </w:r>
          </w:p>
        </w:tc>
      </w:tr>
      <w:tr>
        <w:trPr>
          <w:trHeight w:val="459"/>
        </w:trPr>
        <w:tc>
          <w:tcPr>
            <w:tcW w:w="880" w:type="dxa"/>
            <w:vAlign w:val="bottom"/>
            <w:gridSpan w:val="2"/>
          </w:tcPr>
          <w:p>
            <w:pPr>
              <w:jc w:val="center"/>
              <w:ind w:left="92"/>
              <w:spacing w:after="0"/>
              <w:rPr>
                <w:sz w:val="20"/>
                <w:szCs w:val="20"/>
                <w:color w:val="auto"/>
              </w:rPr>
            </w:pPr>
            <w:r>
              <w:rPr>
                <w:rFonts w:ascii="Arial" w:cs="Arial" w:eastAsia="Arial" w:hAnsi="Arial"/>
                <w:sz w:val="18"/>
                <w:szCs w:val="18"/>
                <w:color w:val="auto"/>
                <w:w w:val="85"/>
              </w:rPr>
              <w:t>25.1</w:t>
            </w:r>
          </w:p>
        </w:tc>
        <w:tc>
          <w:tcPr>
            <w:tcW w:w="500" w:type="dxa"/>
            <w:vAlign w:val="bottom"/>
          </w:tcPr>
          <w:p>
            <w:pPr>
              <w:spacing w:after="0"/>
              <w:rPr>
                <w:sz w:val="24"/>
                <w:szCs w:val="24"/>
                <w:color w:val="auto"/>
              </w:rPr>
            </w:pPr>
          </w:p>
        </w:tc>
        <w:tc>
          <w:tcPr>
            <w:tcW w:w="10020" w:type="dxa"/>
            <w:vAlign w:val="bottom"/>
            <w:gridSpan w:val="2"/>
          </w:tcPr>
          <w:p>
            <w:pPr>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right="8800" w:firstLine="9"/>
        <w:spacing w:after="0" w:line="407" w:lineRule="auto"/>
        <w:tabs>
          <w:tab w:leader="none" w:pos="712" w:val="left"/>
        </w:tabs>
        <w:numPr>
          <w:ilvl w:val="0"/>
          <w:numId w:val="56"/>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20" w:hanging="556"/>
        <w:spacing w:after="0"/>
        <w:tabs>
          <w:tab w:leader="none" w:pos="13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w:t>
      </w:r>
    </w:p>
    <w:p>
      <w:pPr>
        <w:sectPr>
          <w:pgSz w:w="11900" w:h="16857" w:orient="portrait"/>
          <w:cols w:equalWidth="0" w:num="1">
            <w:col w:w="11400"/>
          </w:cols>
          <w:pgMar w:left="240" w:top="374" w:right="259" w:bottom="0" w:gutter="0" w:footer="0" w:header="0"/>
        </w:sectPr>
      </w:pPr>
    </w:p>
    <w:bookmarkStart w:id="43" w:name="page44"/>
    <w:bookmarkEnd w:id="43"/>
    <w:p>
      <w:pPr>
        <w:ind w:left="580" w:right="60"/>
        <w:spacing w:after="0" w:line="294" w:lineRule="auto"/>
        <w:rPr>
          <w:sz w:val="20"/>
          <w:szCs w:val="20"/>
          <w:color w:val="auto"/>
        </w:rPr>
      </w:pPr>
      <w:r>
        <w:rPr>
          <w:rFonts w:ascii="Arial" w:cs="Arial" w:eastAsia="Arial" w:hAnsi="Arial"/>
          <w:sz w:val="16"/>
          <w:szCs w:val="16"/>
          <w:color w:val="auto"/>
        </w:rPr>
        <w:t>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7" w:lineRule="exact"/>
        <w:rPr>
          <w:sz w:val="20"/>
          <w:szCs w:val="20"/>
          <w:color w:val="auto"/>
        </w:rPr>
      </w:pPr>
    </w:p>
    <w:p>
      <w:pPr>
        <w:ind w:left="580" w:right="420" w:firstLine="184"/>
        <w:spacing w:after="0" w:line="268" w:lineRule="auto"/>
        <w:tabs>
          <w:tab w:leader="none" w:pos="136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w:t>
      </w:r>
    </w:p>
    <w:p>
      <w:pPr>
        <w:spacing w:after="0" w:line="194" w:lineRule="exact"/>
        <w:rPr>
          <w:sz w:val="20"/>
          <w:szCs w:val="20"/>
          <w:color w:val="auto"/>
        </w:rPr>
      </w:pPr>
    </w:p>
    <w:p>
      <w:pPr>
        <w:jc w:val="both"/>
        <w:ind w:right="240" w:firstLine="184"/>
        <w:spacing w:after="0" w:line="259" w:lineRule="auto"/>
        <w:tabs>
          <w:tab w:leader="none" w:pos="7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53" w:lineRule="auto"/>
        <w:tabs>
          <w:tab w:leader="none" w:pos="73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8"/>
          <w:szCs w:val="18"/>
          <w:i w:val="1"/>
          <w:iCs w:val="1"/>
          <w:color w:val="auto"/>
        </w:rPr>
        <w:t>provided</w:t>
      </w:r>
      <w:r>
        <w:rPr>
          <w:rFonts w:ascii="Arial" w:cs="Arial" w:eastAsia="Arial" w:hAnsi="Arial"/>
          <w:sz w:val="18"/>
          <w:szCs w:val="18"/>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item 8.A. of Form 20-F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99" w:lineRule="exact"/>
        <w:rPr>
          <w:rFonts w:ascii="Arial" w:cs="Arial" w:eastAsia="Arial" w:hAnsi="Arial"/>
          <w:sz w:val="18"/>
          <w:szCs w:val="18"/>
          <w:color w:val="auto"/>
        </w:rPr>
      </w:pPr>
    </w:p>
    <w:p>
      <w:pPr>
        <w:ind w:left="5700" w:hanging="162"/>
        <w:spacing w:after="0"/>
        <w:tabs>
          <w:tab w:leader="none" w:pos="57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184"/>
        <w:spacing w:after="0" w:line="294" w:lineRule="auto"/>
        <w:tabs>
          <w:tab w:leader="none" w:pos="718"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are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169" w:lineRule="exact"/>
        <w:rPr>
          <w:rFonts w:ascii="Arial" w:cs="Arial" w:eastAsia="Arial" w:hAnsi="Arial"/>
          <w:sz w:val="16"/>
          <w:szCs w:val="16"/>
          <w:color w:val="auto"/>
        </w:rPr>
      </w:pPr>
    </w:p>
    <w:p>
      <w:pPr>
        <w:ind w:right="140" w:firstLine="184"/>
        <w:spacing w:after="0" w:line="290" w:lineRule="auto"/>
        <w:tabs>
          <w:tab w:leader="none" w:pos="731" w:val="left"/>
        </w:tabs>
        <w:numPr>
          <w:ilvl w:val="1"/>
          <w:numId w:val="6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rFonts w:ascii="Arial" w:cs="Arial" w:eastAsia="Arial" w:hAnsi="Arial"/>
          <w:sz w:val="16"/>
          <w:szCs w:val="16"/>
          <w:color w:val="auto"/>
        </w:rPr>
      </w:pPr>
    </w:p>
    <w:p>
      <w:pPr>
        <w:ind w:left="720" w:hanging="536"/>
        <w:spacing w:after="0"/>
        <w:tabs>
          <w:tab w:leader="none" w:pos="720"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 undersigned registrant hereby undertakes to file an application for the purpose of determining the eligibility of the trustee to act under subsection</w:t>
      </w:r>
    </w:p>
    <w:p>
      <w:pPr>
        <w:spacing w:after="0" w:line="38" w:lineRule="exact"/>
        <w:rPr>
          <w:rFonts w:ascii="Arial" w:cs="Arial" w:eastAsia="Arial" w:hAnsi="Arial"/>
          <w:sz w:val="16"/>
          <w:szCs w:val="16"/>
          <w:color w:val="auto"/>
        </w:rPr>
      </w:pPr>
    </w:p>
    <w:p>
      <w:pPr>
        <w:ind w:left="240" w:hanging="232"/>
        <w:spacing w:after="0"/>
        <w:tabs>
          <w:tab w:leader="none" w:pos="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of section 310 of the Trust Indenture Act (“Act”) in accordance with the rules and regulations prescribed by the Commission under Section 305(b)2 of the Act.</w:t>
      </w:r>
    </w:p>
    <w:p>
      <w:pPr>
        <w:spacing w:after="0" w:line="241" w:lineRule="exact"/>
        <w:rPr>
          <w:rFonts w:ascii="Arial" w:cs="Arial" w:eastAsia="Arial" w:hAnsi="Arial"/>
          <w:sz w:val="16"/>
          <w:szCs w:val="16"/>
          <w:color w:val="auto"/>
        </w:rPr>
      </w:pPr>
    </w:p>
    <w:p>
      <w:pPr>
        <w:ind w:right="180" w:firstLine="184"/>
        <w:spacing w:after="0" w:line="332" w:lineRule="auto"/>
        <w:tabs>
          <w:tab w:leader="none" w:pos="699"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undersigned registrant hereby undertakes to deliver or cause to be delivered with the prospectus, to each person to which the prospectus is sent or given, the registrant’s latest filing on Form 20-F and any filing on Form 6-K incorporated by reference into the prospectus.</w:t>
      </w:r>
    </w:p>
    <w:p>
      <w:pPr>
        <w:spacing w:after="0" w:line="139" w:lineRule="exact"/>
        <w:rPr>
          <w:rFonts w:ascii="Arial" w:cs="Arial" w:eastAsia="Arial" w:hAnsi="Arial"/>
          <w:sz w:val="16"/>
          <w:szCs w:val="16"/>
          <w:color w:val="auto"/>
        </w:rPr>
      </w:pPr>
    </w:p>
    <w:p>
      <w:pPr>
        <w:ind w:left="5700" w:hanging="162"/>
        <w:spacing w:after="0"/>
        <w:tabs>
          <w:tab w:leader="none" w:pos="5700" w:val="left"/>
        </w:tabs>
        <w:numPr>
          <w:ilvl w:val="2"/>
          <w:numId w:val="62"/>
        </w:numPr>
        <w:rPr>
          <w:rFonts w:ascii="Arial" w:cs="Arial" w:eastAsia="Arial" w:hAnsi="Arial"/>
          <w:sz w:val="18"/>
          <w:szCs w:val="18"/>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500" w:firstLine="395"/>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F-2 and has duly caused this Amendment No. 2 to the Registration Statement on Form F-2 to be signed on its behalf by the undersigned, thereunto duly authorized, in the City of Migdal Haemek, Israel, on October 11, 2005.</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00" w:lineRule="exact"/>
        <w:rPr>
          <w:sz w:val="20"/>
          <w:szCs w:val="20"/>
          <w:color w:val="auto"/>
        </w:rPr>
      </w:pPr>
    </w:p>
    <w:p>
      <w:pPr>
        <w:spacing w:after="0" w:line="2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ectPr>
          <w:pgSz w:w="11900" w:h="16838" w:orient="portrait"/>
          <w:cols w:equalWidth="0" w:num="1">
            <w:col w:w="11420"/>
          </w:cols>
          <w:pgMar w:left="240" w:top="131" w:right="239" w:bottom="298"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ectPr>
          <w:pgSz w:w="11900" w:h="16838" w:orient="portrait"/>
          <w:cols w:equalWidth="0" w:num="1">
            <w:col w:w="11420"/>
          </w:cols>
          <w:pgMar w:left="240" w:top="131" w:right="239" w:bottom="298" w:gutter="0" w:footer="0" w:header="0"/>
          <w:type w:val="continuous"/>
        </w:sectPr>
      </w:pPr>
    </w:p>
    <w:bookmarkStart w:id="44" w:name="page45"/>
    <w:bookmarkEnd w:id="44"/>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71"/>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Ehud Hillman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Acting Chief Financial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N.D. Reddy</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Tal Yaron-Eldar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40" w:type="dxa"/>
            <w:vAlign w:val="bottom"/>
          </w:tcPr>
          <w:p>
            <w:pPr>
              <w:ind w:left="1420"/>
              <w:spacing w:after="0"/>
              <w:rPr>
                <w:sz w:val="20"/>
                <w:szCs w:val="20"/>
                <w:color w:val="auto"/>
              </w:rPr>
            </w:pPr>
            <w:r>
              <w:rPr>
                <w:rFonts w:ascii="Arial" w:cs="Arial" w:eastAsia="Arial" w:hAnsi="Arial"/>
                <w:sz w:val="18"/>
                <w:szCs w:val="18"/>
                <w:color w:val="auto"/>
              </w:rPr>
              <w:t>II - 6</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r>
      <w:tr>
        <w:trPr>
          <w:trHeight w:val="31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40" w:type="dxa"/>
            <w:vAlign w:val="bottom"/>
          </w:tcPr>
          <w:p>
            <w:pPr>
              <w:ind w:left="620"/>
              <w:spacing w:after="0"/>
              <w:rPr>
                <w:sz w:val="20"/>
                <w:szCs w:val="20"/>
                <w:color w:val="auto"/>
              </w:rPr>
            </w:pPr>
            <w:r>
              <w:rPr>
                <w:rFonts w:ascii="Arial" w:cs="Arial" w:eastAsia="Arial" w:hAnsi="Arial"/>
                <w:sz w:val="18"/>
                <w:szCs w:val="18"/>
                <w:color w:val="auto"/>
              </w:rPr>
              <w:t>*</w:t>
            </w:r>
          </w:p>
        </w:tc>
        <w:tc>
          <w:tcPr>
            <w:tcW w:w="3040" w:type="dxa"/>
            <w:vAlign w:val="bottom"/>
          </w:tcPr>
          <w:p>
            <w:pPr>
              <w:spacing w:after="0"/>
              <w:rPr>
                <w:sz w:val="24"/>
                <w:szCs w:val="24"/>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453"/>
        </w:trPr>
        <w:tc>
          <w:tcPr>
            <w:tcW w:w="7660" w:type="dxa"/>
            <w:vAlign w:val="bottom"/>
            <w:gridSpan w:val="4"/>
          </w:tcPr>
          <w:p>
            <w:pPr>
              <w:spacing w:after="0"/>
              <w:rPr>
                <w:sz w:val="20"/>
                <w:szCs w:val="20"/>
                <w:color w:val="auto"/>
              </w:rPr>
            </w:pPr>
            <w:r>
              <w:rPr>
                <w:rFonts w:ascii="Arial" w:cs="Arial" w:eastAsia="Arial" w:hAnsi="Arial"/>
                <w:sz w:val="18"/>
                <w:szCs w:val="18"/>
                <w:color w:val="auto"/>
              </w:rPr>
              <w:t>AUTHORIZED REPRESENTATIVE IN THE UNITED STATES</w:t>
            </w:r>
          </w:p>
        </w:tc>
        <w:tc>
          <w:tcPr>
            <w:tcW w:w="3760" w:type="dxa"/>
            <w:vAlign w:val="bottom"/>
            <w:gridSpan w:val="2"/>
          </w:tcPr>
          <w:p>
            <w:pPr>
              <w:spacing w:after="0"/>
              <w:rPr>
                <w:sz w:val="20"/>
                <w:szCs w:val="20"/>
                <w:color w:val="auto"/>
              </w:rPr>
            </w:pPr>
            <w:r>
              <w:rPr>
                <w:rFonts w:ascii="Arial" w:cs="Arial" w:eastAsia="Arial" w:hAnsi="Arial"/>
                <w:sz w:val="18"/>
                <w:szCs w:val="18"/>
                <w:color w:val="auto"/>
              </w:rPr>
              <w:t>October 11, 2005</w:t>
            </w: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Chief Executive Officer</w:t>
      </w:r>
    </w:p>
    <w:p>
      <w:pPr>
        <w:spacing w:after="0" w:line="246"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By: /s/ RUSSELL C. ELLWANGER</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Russell C. Ellwanger, Attorney-in-Fact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312"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920" w:type="dxa"/>
            <w:vAlign w:val="bottom"/>
          </w:tcPr>
          <w:p>
            <w:pPr>
              <w:jc w:val="center"/>
              <w:ind w:right="232"/>
              <w:spacing w:after="0"/>
              <w:rPr>
                <w:sz w:val="20"/>
                <w:szCs w:val="20"/>
                <w:color w:val="auto"/>
              </w:rPr>
            </w:pPr>
            <w:r>
              <w:rPr>
                <w:rFonts w:ascii="Arial" w:cs="Arial" w:eastAsia="Arial" w:hAnsi="Arial"/>
                <w:sz w:val="18"/>
                <w:szCs w:val="18"/>
                <w:color w:val="auto"/>
                <w:w w:val="96"/>
              </w:rPr>
              <w:t>Exhibit</w:t>
            </w:r>
          </w:p>
        </w:tc>
        <w:tc>
          <w:tcPr>
            <w:tcW w:w="2060" w:type="dxa"/>
            <w:vAlign w:val="bottom"/>
          </w:tcPr>
          <w:p>
            <w:pPr>
              <w:spacing w:after="0"/>
              <w:rPr>
                <w:sz w:val="18"/>
                <w:szCs w:val="18"/>
                <w:color w:val="auto"/>
              </w:rPr>
            </w:pPr>
          </w:p>
        </w:tc>
      </w:tr>
      <w:tr>
        <w:trPr>
          <w:trHeight w:val="222"/>
        </w:trPr>
        <w:tc>
          <w:tcPr>
            <w:tcW w:w="920" w:type="dxa"/>
            <w:vAlign w:val="bottom"/>
          </w:tcPr>
          <w:p>
            <w:pPr>
              <w:jc w:val="center"/>
              <w:ind w:right="192"/>
              <w:spacing w:after="0"/>
              <w:rPr>
                <w:sz w:val="20"/>
                <w:szCs w:val="20"/>
                <w:color w:val="auto"/>
              </w:rPr>
            </w:pPr>
            <w:r>
              <w:rPr>
                <w:rFonts w:ascii="Arial" w:cs="Arial" w:eastAsia="Arial" w:hAnsi="Arial"/>
                <w:sz w:val="18"/>
                <w:szCs w:val="18"/>
                <w:color w:val="auto"/>
                <w:w w:val="87"/>
              </w:rPr>
              <w:t>Numbers</w:t>
            </w:r>
          </w:p>
        </w:tc>
        <w:tc>
          <w:tcPr>
            <w:tcW w:w="2060" w:type="dxa"/>
            <w:vAlign w:val="bottom"/>
          </w:tcPr>
          <w:p>
            <w:pPr>
              <w:ind w:left="260"/>
              <w:spacing w:after="0"/>
              <w:rPr>
                <w:sz w:val="20"/>
                <w:szCs w:val="20"/>
                <w:color w:val="auto"/>
              </w:rPr>
            </w:pPr>
            <w:r>
              <w:rPr>
                <w:rFonts w:ascii="Arial" w:cs="Arial" w:eastAsia="Arial" w:hAnsi="Arial"/>
                <w:sz w:val="18"/>
                <w:szCs w:val="18"/>
                <w:color w:val="auto"/>
                <w:w w:val="90"/>
              </w:rPr>
              <w:t>Description of Document</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4.1</w:t>
            </w:r>
          </w:p>
        </w:tc>
        <w:tc>
          <w:tcPr>
            <w:tcW w:w="2060" w:type="dxa"/>
            <w:vAlign w:val="bottom"/>
          </w:tcPr>
          <w:p>
            <w:pPr>
              <w:ind w:left="260"/>
              <w:spacing w:after="0"/>
              <w:rPr>
                <w:sz w:val="20"/>
                <w:szCs w:val="20"/>
                <w:color w:val="auto"/>
              </w:rPr>
            </w:pPr>
            <w:r>
              <w:rPr>
                <w:rFonts w:ascii="Arial" w:cs="Arial" w:eastAsia="Arial" w:hAnsi="Arial"/>
                <w:sz w:val="18"/>
                <w:szCs w:val="18"/>
                <w:color w:val="auto"/>
              </w:rPr>
              <w:t>Form of Rights Letter*</w:t>
            </w:r>
          </w:p>
        </w:tc>
      </w:tr>
      <w:tr>
        <w:trPr>
          <w:trHeight w:val="459"/>
        </w:trPr>
        <w:tc>
          <w:tcPr>
            <w:tcW w:w="920" w:type="dxa"/>
            <w:vAlign w:val="bottom"/>
          </w:tcPr>
          <w:p>
            <w:pPr>
              <w:jc w:val="center"/>
              <w:ind w:right="172"/>
              <w:spacing w:after="0"/>
              <w:rPr>
                <w:sz w:val="20"/>
                <w:szCs w:val="20"/>
                <w:color w:val="auto"/>
              </w:rPr>
            </w:pPr>
            <w:r>
              <w:rPr>
                <w:rFonts w:ascii="Arial" w:cs="Arial" w:eastAsia="Arial" w:hAnsi="Arial"/>
                <w:sz w:val="18"/>
                <w:szCs w:val="18"/>
                <w:color w:val="auto"/>
                <w:w w:val="87"/>
              </w:rPr>
              <w:t>4.2</w:t>
            </w:r>
          </w:p>
        </w:tc>
        <w:tc>
          <w:tcPr>
            <w:tcW w:w="2060" w:type="dxa"/>
            <w:vAlign w:val="bottom"/>
          </w:tcPr>
          <w:p>
            <w:pPr>
              <w:ind w:left="260"/>
              <w:spacing w:after="0"/>
              <w:rPr>
                <w:sz w:val="20"/>
                <w:szCs w:val="20"/>
                <w:color w:val="auto"/>
              </w:rPr>
            </w:pPr>
            <w:r>
              <w:rPr>
                <w:rFonts w:ascii="Arial" w:cs="Arial" w:eastAsia="Arial" w:hAnsi="Arial"/>
                <w:sz w:val="18"/>
                <w:szCs w:val="18"/>
                <w:color w:val="auto"/>
                <w:w w:val="99"/>
              </w:rPr>
              <w:t>Exercise Notice Form*</w:t>
            </w:r>
          </w:p>
        </w:tc>
      </w:tr>
    </w:tbl>
    <w:p>
      <w:pPr>
        <w:sectPr>
          <w:pgSz w:w="11900" w:h="16838" w:orient="portrait"/>
          <w:cols w:equalWidth="0" w:num="1">
            <w:col w:w="11420"/>
          </w:cols>
          <w:pgMar w:left="240" w:top="131"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4.3</w:t>
            </w:r>
          </w:p>
        </w:tc>
        <w:tc>
          <w:tcPr>
            <w:tcW w:w="10360" w:type="dxa"/>
            <w:vAlign w:val="bottom"/>
          </w:tcPr>
          <w:p>
            <w:pPr>
              <w:ind w:left="340"/>
              <w:spacing w:after="0"/>
              <w:rPr>
                <w:sz w:val="20"/>
                <w:szCs w:val="20"/>
                <w:color w:val="auto"/>
              </w:rPr>
            </w:pPr>
            <w:r>
              <w:rPr>
                <w:rFonts w:ascii="Arial" w:cs="Arial" w:eastAsia="Arial" w:hAnsi="Arial"/>
                <w:sz w:val="18"/>
                <w:szCs w:val="18"/>
                <w:color w:val="auto"/>
              </w:rPr>
              <w:t>Transfer of Rights Form*</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4.4</w:t>
            </w:r>
          </w:p>
        </w:tc>
        <w:tc>
          <w:tcPr>
            <w:tcW w:w="10360" w:type="dxa"/>
            <w:vAlign w:val="bottom"/>
          </w:tcPr>
          <w:p>
            <w:pPr>
              <w:ind w:left="340"/>
              <w:spacing w:after="0"/>
              <w:rPr>
                <w:sz w:val="20"/>
                <w:szCs w:val="20"/>
                <w:color w:val="auto"/>
              </w:rPr>
            </w:pPr>
            <w:r>
              <w:rPr>
                <w:rFonts w:ascii="Arial" w:cs="Arial" w:eastAsia="Arial" w:hAnsi="Arial"/>
                <w:sz w:val="18"/>
                <w:szCs w:val="18"/>
                <w:color w:val="auto"/>
              </w:rPr>
              <w:t>Indenture*</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4.5</w:t>
            </w:r>
          </w:p>
        </w:tc>
        <w:tc>
          <w:tcPr>
            <w:tcW w:w="10360" w:type="dxa"/>
            <w:vAlign w:val="bottom"/>
          </w:tcPr>
          <w:p>
            <w:pPr>
              <w:ind w:left="340"/>
              <w:spacing w:after="0"/>
              <w:rPr>
                <w:sz w:val="20"/>
                <w:szCs w:val="20"/>
                <w:color w:val="auto"/>
              </w:rPr>
            </w:pPr>
            <w:r>
              <w:rPr>
                <w:rFonts w:ascii="Arial" w:cs="Arial" w:eastAsia="Arial" w:hAnsi="Arial"/>
                <w:sz w:val="18"/>
                <w:szCs w:val="18"/>
                <w:color w:val="auto"/>
                <w:w w:val="89"/>
              </w:rPr>
              <w:t>Ninth Amendment, dated July 24, 2005, to the Facility Agreement among the Registrant, Bank Hapoalim B.M. and Bank Leumi Le-Israel Ltd.</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5.1</w:t>
            </w:r>
          </w:p>
        </w:tc>
        <w:tc>
          <w:tcPr>
            <w:tcW w:w="10360" w:type="dxa"/>
            <w:vAlign w:val="bottom"/>
          </w:tcPr>
          <w:p>
            <w:pPr>
              <w:ind w:left="340"/>
              <w:spacing w:after="0"/>
              <w:rPr>
                <w:sz w:val="20"/>
                <w:szCs w:val="20"/>
                <w:color w:val="auto"/>
              </w:rPr>
            </w:pPr>
            <w:r>
              <w:rPr>
                <w:rFonts w:ascii="Arial" w:cs="Arial" w:eastAsia="Arial" w:hAnsi="Arial"/>
                <w:sz w:val="18"/>
                <w:szCs w:val="18"/>
                <w:color w:val="auto"/>
              </w:rPr>
              <w:t>Opinion of Yigal Arnon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7"/>
              </w:rPr>
              <w:t>5.2</w:t>
            </w:r>
          </w:p>
        </w:tc>
        <w:tc>
          <w:tcPr>
            <w:tcW w:w="10360" w:type="dxa"/>
            <w:vAlign w:val="bottom"/>
          </w:tcPr>
          <w:p>
            <w:pPr>
              <w:ind w:left="340"/>
              <w:spacing w:after="0"/>
              <w:rPr>
                <w:sz w:val="20"/>
                <w:szCs w:val="20"/>
                <w:color w:val="auto"/>
              </w:rPr>
            </w:pPr>
            <w:r>
              <w:rPr>
                <w:rFonts w:ascii="Arial" w:cs="Arial" w:eastAsia="Arial" w:hAnsi="Arial"/>
                <w:sz w:val="18"/>
                <w:szCs w:val="18"/>
                <w:color w:val="auto"/>
              </w:rPr>
              <w:t>Opinion of Roberts and Holland LLP*</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12.1</w:t>
            </w:r>
          </w:p>
        </w:tc>
        <w:tc>
          <w:tcPr>
            <w:tcW w:w="10360" w:type="dxa"/>
            <w:vAlign w:val="bottom"/>
          </w:tcPr>
          <w:p>
            <w:pPr>
              <w:ind w:left="34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23.1</w:t>
            </w:r>
          </w:p>
        </w:tc>
        <w:tc>
          <w:tcPr>
            <w:tcW w:w="10360" w:type="dxa"/>
            <w:vAlign w:val="bottom"/>
          </w:tcPr>
          <w:p>
            <w:pPr>
              <w:ind w:left="340"/>
              <w:spacing w:after="0"/>
              <w:rPr>
                <w:sz w:val="20"/>
                <w:szCs w:val="20"/>
                <w:color w:val="auto"/>
              </w:rPr>
            </w:pPr>
            <w:r>
              <w:rPr>
                <w:rFonts w:ascii="Arial" w:cs="Arial" w:eastAsia="Arial" w:hAnsi="Arial"/>
                <w:sz w:val="18"/>
                <w:szCs w:val="18"/>
                <w:color w:val="auto"/>
              </w:rPr>
              <w:t>Consent of Yigal Arnon &amp; Co. (contained in their opinion constituting Exhibit 5.1)*</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23.2</w:t>
            </w:r>
          </w:p>
        </w:tc>
        <w:tc>
          <w:tcPr>
            <w:tcW w:w="10360" w:type="dxa"/>
            <w:vAlign w:val="bottom"/>
          </w:tcPr>
          <w:p>
            <w:pPr>
              <w:ind w:left="340"/>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23.3</w:t>
            </w:r>
          </w:p>
        </w:tc>
        <w:tc>
          <w:tcPr>
            <w:tcW w:w="10360" w:type="dxa"/>
            <w:vAlign w:val="bottom"/>
          </w:tcPr>
          <w:p>
            <w:pPr>
              <w:ind w:left="340"/>
              <w:spacing w:after="0"/>
              <w:rPr>
                <w:sz w:val="20"/>
                <w:szCs w:val="20"/>
                <w:color w:val="auto"/>
              </w:rPr>
            </w:pPr>
            <w:r>
              <w:rPr>
                <w:rFonts w:ascii="Arial" w:cs="Arial" w:eastAsia="Arial" w:hAnsi="Arial"/>
                <w:sz w:val="18"/>
                <w:szCs w:val="18"/>
                <w:color w:val="auto"/>
              </w:rPr>
              <w:t>Consent of Roberts &amp; Holland LLP (contained in their opinion constituting Exhibit 5.2)*</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24.1</w:t>
            </w:r>
          </w:p>
        </w:tc>
        <w:tc>
          <w:tcPr>
            <w:tcW w:w="10360" w:type="dxa"/>
            <w:vAlign w:val="bottom"/>
          </w:tcPr>
          <w:p>
            <w:pPr>
              <w:ind w:left="340"/>
              <w:spacing w:after="0"/>
              <w:rPr>
                <w:sz w:val="20"/>
                <w:szCs w:val="20"/>
                <w:color w:val="auto"/>
              </w:rPr>
            </w:pPr>
            <w:r>
              <w:rPr>
                <w:rFonts w:ascii="Arial" w:cs="Arial" w:eastAsia="Arial" w:hAnsi="Arial"/>
                <w:sz w:val="18"/>
                <w:szCs w:val="18"/>
                <w:color w:val="auto"/>
              </w:rPr>
              <w:t>Power of Attorney**</w:t>
            </w:r>
          </w:p>
        </w:tc>
      </w:tr>
      <w:tr>
        <w:trPr>
          <w:trHeight w:val="459"/>
        </w:trPr>
        <w:tc>
          <w:tcPr>
            <w:tcW w:w="660" w:type="dxa"/>
            <w:vAlign w:val="bottom"/>
          </w:tcPr>
          <w:p>
            <w:pPr>
              <w:jc w:val="center"/>
              <w:ind w:right="272"/>
              <w:spacing w:after="0"/>
              <w:rPr>
                <w:sz w:val="20"/>
                <w:szCs w:val="20"/>
                <w:color w:val="auto"/>
              </w:rPr>
            </w:pPr>
            <w:r>
              <w:rPr>
                <w:rFonts w:ascii="Arial" w:cs="Arial" w:eastAsia="Arial" w:hAnsi="Arial"/>
                <w:sz w:val="18"/>
                <w:szCs w:val="18"/>
                <w:color w:val="auto"/>
                <w:w w:val="85"/>
              </w:rPr>
              <w:t>25.1</w:t>
            </w:r>
          </w:p>
        </w:tc>
        <w:tc>
          <w:tcPr>
            <w:tcW w:w="10360" w:type="dxa"/>
            <w:vAlign w:val="bottom"/>
          </w:tcPr>
          <w:p>
            <w:pPr>
              <w:ind w:left="340"/>
              <w:spacing w:after="0"/>
              <w:rPr>
                <w:sz w:val="20"/>
                <w:szCs w:val="20"/>
                <w:color w:val="auto"/>
              </w:rPr>
            </w:pPr>
            <w:r>
              <w:rPr>
                <w:rFonts w:ascii="Arial" w:cs="Arial" w:eastAsia="Arial" w:hAnsi="Arial"/>
                <w:sz w:val="18"/>
                <w:szCs w:val="18"/>
                <w:color w:val="auto"/>
              </w:rPr>
              <w:t>Statement of Eligibility of Trustee*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224155</wp:posOffset>
            </wp:positionV>
            <wp:extent cx="11061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00" w:right="8800" w:firstLine="9"/>
        <w:spacing w:after="0" w:line="407" w:lineRule="auto"/>
        <w:tabs>
          <w:tab w:leader="none" w:pos="33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be filed by amendment. ** Previously filed.</w:t>
      </w:r>
    </w:p>
    <w:p>
      <w:pPr>
        <w:spacing w:after="0" w:line="36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120650</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-237490</wp:posOffset>
            </wp:positionH>
            <wp:positionV relativeFrom="paragraph">
              <wp:posOffset>6243955</wp:posOffset>
            </wp:positionV>
            <wp:extent cx="726757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020"/>
          </w:cols>
          <w:pgMar w:left="620" w:top="374"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4.5</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24"/>
          <w:szCs w:val="24"/>
          <w:b w:val="1"/>
          <w:bCs w:val="1"/>
          <w:color w:val="auto"/>
        </w:rPr>
        <w:t>NINTH AMENDMENT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4"/>
          <w:szCs w:val="24"/>
          <w:b w:val="1"/>
          <w:bCs w:val="1"/>
          <w:u w:val="single" w:color="auto"/>
          <w:color w:val="auto"/>
        </w:rPr>
        <w:t>TO THE FACILITY AGREEMENT</w:t>
      </w:r>
    </w:p>
    <w:p>
      <w:pPr>
        <w:spacing w:after="0" w:line="29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Made and entered into on this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July, 2005, by and between:</w:t>
      </w:r>
    </w:p>
    <w:p>
      <w:pPr>
        <w:spacing w:after="0" w:line="159" w:lineRule="exact"/>
        <w:rPr>
          <w:sz w:val="20"/>
          <w:szCs w:val="20"/>
          <w:color w:val="auto"/>
        </w:rPr>
      </w:pPr>
    </w:p>
    <w:p>
      <w:pPr>
        <w:ind w:left="1160" w:hanging="571"/>
        <w:spacing w:after="0"/>
        <w:tabs>
          <w:tab w:leader="none" w:pos="11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TOWER SEMICONDUCTOR LTD.</w:t>
      </w:r>
      <w:r>
        <w:rPr>
          <w:rFonts w:ascii="Arial" w:cs="Arial" w:eastAsia="Arial" w:hAnsi="Arial"/>
          <w:sz w:val="18"/>
          <w:szCs w:val="18"/>
          <w:color w:val="auto"/>
        </w:rPr>
        <w:t>(</w:t>
      </w:r>
      <w:r>
        <w:rPr>
          <w:rFonts w:ascii="Arial" w:cs="Arial" w:eastAsia="Arial" w:hAnsi="Arial"/>
          <w:sz w:val="18"/>
          <w:szCs w:val="18"/>
          <w:b w:val="1"/>
          <w:bCs w:val="1"/>
          <w:color w:val="auto"/>
        </w:rPr>
        <w:t>“the Borrower”</w:t>
      </w:r>
      <w:r>
        <w:rPr>
          <w:rFonts w:ascii="Arial" w:cs="Arial" w:eastAsia="Arial" w:hAnsi="Arial"/>
          <w:sz w:val="18"/>
          <w:szCs w:val="18"/>
          <w:color w:val="auto"/>
        </w:rPr>
        <w:t>)</w:t>
      </w:r>
    </w:p>
    <w:p>
      <w:pPr>
        <w:spacing w:after="0" w:line="258" w:lineRule="exact"/>
        <w:rPr>
          <w:rFonts w:ascii="Arial" w:cs="Arial" w:eastAsia="Arial" w:hAnsi="Arial"/>
          <w:sz w:val="18"/>
          <w:szCs w:val="18"/>
          <w:b w:val="1"/>
          <w:bCs w:val="1"/>
          <w:color w:val="auto"/>
        </w:rPr>
      </w:pPr>
    </w:p>
    <w:p>
      <w:pPr>
        <w:ind w:left="580"/>
        <w:spacing w:after="0"/>
        <w:rPr>
          <w:rFonts w:ascii="Arial" w:cs="Arial" w:eastAsia="Arial" w:hAnsi="Arial"/>
          <w:sz w:val="18"/>
          <w:szCs w:val="18"/>
          <w:b w:val="1"/>
          <w:bCs w:val="1"/>
          <w:color w:val="auto"/>
        </w:rPr>
      </w:pPr>
      <w:r>
        <w:rPr>
          <w:rFonts w:ascii="Arial" w:cs="Arial" w:eastAsia="Arial" w:hAnsi="Arial"/>
          <w:sz w:val="18"/>
          <w:szCs w:val="18"/>
          <w:color w:val="auto"/>
        </w:rPr>
        <w:t>and</w:t>
      </w:r>
    </w:p>
    <w:p>
      <w:pPr>
        <w:spacing w:after="0" w:line="273" w:lineRule="exact"/>
        <w:rPr>
          <w:rFonts w:ascii="Arial" w:cs="Arial" w:eastAsia="Arial" w:hAnsi="Arial"/>
          <w:sz w:val="18"/>
          <w:szCs w:val="18"/>
          <w:b w:val="1"/>
          <w:bCs w:val="1"/>
          <w:color w:val="auto"/>
        </w:rPr>
      </w:pPr>
    </w:p>
    <w:p>
      <w:pPr>
        <w:ind w:left="1160" w:hanging="571"/>
        <w:spacing w:after="0"/>
        <w:tabs>
          <w:tab w:leader="none" w:pos="11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 LEUMI LE-ISRAEL B.M.</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BANK HAPOALIM B.M.</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“the Banks”</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Borrower, on the one hand, and the Banks, on the other hand, are parties to a Facility Agreement dated January 18, 2001, as amended pursuant to a letter dated January 29, 2001, a Second Amendment dated January 10, 2002, a letter dated March 7, 2002, a letter dated April 29, 2002, a letter dated September 18, 2002, as amended on October 22, 2002, a letter dated June 10, 2003, a Seventh Amendment dated November 11, 2003 and a letter dated January 30, 2005 (</w:t>
      </w:r>
      <w:r>
        <w:rPr>
          <w:rFonts w:ascii="Arial" w:cs="Arial" w:eastAsia="Arial" w:hAnsi="Arial"/>
          <w:sz w:val="18"/>
          <w:szCs w:val="18"/>
          <w:b w:val="1"/>
          <w:bCs w:val="1"/>
          <w:color w:val="auto"/>
        </w:rPr>
        <w:t>“the Eighth Amendment”</w:t>
      </w:r>
      <w:r>
        <w:rPr>
          <w:rFonts w:ascii="Arial" w:cs="Arial" w:eastAsia="Arial" w:hAnsi="Arial"/>
          <w:sz w:val="18"/>
          <w:szCs w:val="18"/>
          <w:color w:val="auto"/>
        </w:rPr>
        <w:t xml:space="preserve">) (the Facility Agreement, as amended as aforesaid, hereinafter </w:t>
      </w:r>
      <w:r>
        <w:rPr>
          <w:rFonts w:ascii="Arial" w:cs="Arial" w:eastAsia="Arial" w:hAnsi="Arial"/>
          <w:sz w:val="18"/>
          <w:szCs w:val="18"/>
          <w:b w:val="1"/>
          <w:bCs w:val="1"/>
          <w:color w:val="auto"/>
        </w:rPr>
        <w:t>“the Facility Agreement”</w:t>
      </w:r>
      <w:r>
        <w:rPr>
          <w:rFonts w:ascii="Arial" w:cs="Arial" w:eastAsia="Arial" w:hAnsi="Arial"/>
          <w:sz w:val="18"/>
          <w:szCs w:val="18"/>
          <w:color w:val="auto"/>
        </w:rPr>
        <w:t>); and</w:t>
      </w:r>
    </w:p>
    <w:p>
      <w:pPr>
        <w:spacing w:after="0" w:line="200" w:lineRule="exact"/>
        <w:rPr>
          <w:sz w:val="20"/>
          <w:szCs w:val="20"/>
          <w:color w:val="auto"/>
        </w:rPr>
      </w:pPr>
    </w:p>
    <w:p>
      <w:pPr>
        <w:sectPr>
          <w:pgSz w:w="11900" w:h="16838" w:orient="portrait"/>
          <w:cols w:equalWidth="0" w:num="2">
            <w:col w:w="900" w:space="480"/>
            <w:col w:w="10040"/>
          </w:cols>
          <w:pgMar w:left="240" w:top="125" w:right="239"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WHEREAS: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the Borrower and the Banks have agreed to amend the Facility Agreement in the manner set out below (“</w:t>
      </w:r>
      <w:r>
        <w:rPr>
          <w:rFonts w:ascii="Arial" w:cs="Arial" w:eastAsia="Arial" w:hAnsi="Arial"/>
          <w:sz w:val="15"/>
          <w:szCs w:val="15"/>
          <w:b w:val="1"/>
          <w:bCs w:val="1"/>
          <w:color w:val="auto"/>
        </w:rPr>
        <w:t>this Ninth Amendment</w:t>
      </w:r>
      <w:r>
        <w:rPr>
          <w:rFonts w:ascii="Arial" w:cs="Arial" w:eastAsia="Arial" w:hAnsi="Arial"/>
          <w:sz w:val="15"/>
          <w:szCs w:val="15"/>
          <w:color w:val="auto"/>
        </w:rPr>
        <w:t>”),</w:t>
      </w:r>
    </w:p>
    <w:p>
      <w:pPr>
        <w:spacing w:after="0" w:line="217" w:lineRule="exact"/>
        <w:rPr>
          <w:sz w:val="20"/>
          <w:szCs w:val="20"/>
          <w:color w:val="auto"/>
        </w:rPr>
      </w:pPr>
    </w:p>
    <w:p>
      <w:pPr>
        <w:sectPr>
          <w:pgSz w:w="11900" w:h="16838" w:orient="portrait"/>
          <w:cols w:equalWidth="0" w:num="2">
            <w:col w:w="900" w:space="480"/>
            <w:col w:w="10040"/>
          </w:cols>
          <w:pgMar w:left="240" w:top="125" w:right="239" w:bottom="0" w:gutter="0" w:footer="0" w:header="0"/>
          <w:type w:val="continuous"/>
        </w:sect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HEREBY AGREED AS FOLLOWS:</w:t>
      </w:r>
    </w:p>
    <w:p>
      <w:pPr>
        <w:spacing w:after="0" w:line="306"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INTERPRETATION</w:t>
      </w:r>
    </w:p>
    <w:p>
      <w:pPr>
        <w:spacing w:after="0" w:line="25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1.1.    Terms and expressions defined in the Facility Agreement shall have the same meanings when used in this Ninth Amendment.</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1.2.    References herein to clauses and paragraphs, are to clauses and paragraphs of the Facility Agreement.</w:t>
      </w:r>
    </w:p>
    <w:p>
      <w:pPr>
        <w:spacing w:after="0" w:line="252"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1.3.    References herein to sections, are to sections of this Ninth Amendment.</w:t>
      </w:r>
    </w:p>
    <w:p>
      <w:pPr>
        <w:spacing w:after="0" w:line="200" w:lineRule="exact"/>
        <w:rPr>
          <w:rFonts w:ascii="Arial" w:cs="Arial" w:eastAsia="Arial" w:hAnsi="Arial"/>
          <w:sz w:val="18"/>
          <w:szCs w:val="18"/>
          <w:color w:val="auto"/>
        </w:rPr>
      </w:pPr>
    </w:p>
    <w:p>
      <w:pPr>
        <w:spacing w:after="0" w:line="383" w:lineRule="exact"/>
        <w:rPr>
          <w:rFonts w:ascii="Arial" w:cs="Arial" w:eastAsia="Arial" w:hAnsi="Arial"/>
          <w:sz w:val="18"/>
          <w:szCs w:val="18"/>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38" w:lineRule="exact"/>
        <w:rPr>
          <w:sz w:val="20"/>
          <w:szCs w:val="20"/>
          <w:color w:val="auto"/>
        </w:rPr>
      </w:pPr>
    </w:p>
    <w:p>
      <w:pPr>
        <w:ind w:left="580" w:right="40"/>
        <w:spacing w:after="0" w:line="306" w:lineRule="auto"/>
        <w:rPr>
          <w:sz w:val="20"/>
          <w:szCs w:val="20"/>
          <w:color w:val="auto"/>
        </w:rPr>
      </w:pPr>
      <w:r>
        <w:rPr>
          <w:rFonts w:ascii="Arial" w:cs="Arial" w:eastAsia="Arial" w:hAnsi="Arial"/>
          <w:sz w:val="16"/>
          <w:szCs w:val="16"/>
          <w:color w:val="auto"/>
        </w:rPr>
        <w:t xml:space="preserve">Subject to the fulfilment of the conditions precedent referred to in section 3 below, the Facility Agreement shall, with effect from the date upon which the Banks shall, pursuant to section 3.2 below, have confirmed in writing fulfilment of all of the conditions precedent set out in section 3 below (if fulfilled) (such date hereinafter being referred to as </w:t>
      </w:r>
      <w:r>
        <w:rPr>
          <w:rFonts w:ascii="Arial" w:cs="Arial" w:eastAsia="Arial" w:hAnsi="Arial"/>
          <w:sz w:val="16"/>
          <w:szCs w:val="16"/>
          <w:b w:val="1"/>
          <w:bCs w:val="1"/>
          <w:color w:val="auto"/>
        </w:rPr>
        <w:t>“the Ninth Amendment Closing Date”</w:t>
      </w:r>
      <w:r>
        <w:rPr>
          <w:rFonts w:ascii="Arial" w:cs="Arial" w:eastAsia="Arial" w:hAnsi="Arial"/>
          <w:sz w:val="16"/>
          <w:szCs w:val="16"/>
          <w:color w:val="auto"/>
        </w:rPr>
        <w:t>), be amended in the manner set out below:</w:t>
      </w:r>
    </w:p>
    <w:p>
      <w:pPr>
        <w:spacing w:after="0" w:line="188"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5"/>
          <w:szCs w:val="15"/>
          <w:color w:val="auto"/>
        </w:rPr>
        <w:t>Clause 1 (</w:t>
      </w:r>
      <w:r>
        <w:rPr>
          <w:rFonts w:ascii="Arial" w:cs="Arial" w:eastAsia="Arial" w:hAnsi="Arial"/>
          <w:sz w:val="15"/>
          <w:szCs w:val="15"/>
          <w:i w:val="1"/>
          <w:iCs w:val="1"/>
          <w:color w:val="auto"/>
        </w:rPr>
        <w:t>Interpretation</w:t>
      </w:r>
      <w:r>
        <w:rPr>
          <w:rFonts w:ascii="Arial" w:cs="Arial" w:eastAsia="Arial" w:hAnsi="Arial"/>
          <w:sz w:val="15"/>
          <w:szCs w:val="15"/>
          <w:color w:val="auto"/>
        </w:rPr>
        <w:t>) shall be amended as follows:</w:t>
      </w:r>
    </w:p>
    <w:p>
      <w:pPr>
        <w:spacing w:after="0" w:line="252" w:lineRule="exact"/>
        <w:rPr>
          <w:sz w:val="20"/>
          <w:szCs w:val="20"/>
          <w:color w:val="auto"/>
        </w:rPr>
      </w:pPr>
    </w:p>
    <w:p>
      <w:pPr>
        <w:ind w:left="1720" w:right="760" w:hanging="566"/>
        <w:spacing w:after="0" w:line="268" w:lineRule="auto"/>
        <w:tabs>
          <w:tab w:leader="none" w:pos="1700" w:val="left"/>
        </w:tabs>
        <w:rPr>
          <w:sz w:val="20"/>
          <w:szCs w:val="20"/>
          <w:color w:val="auto"/>
        </w:rPr>
      </w:pPr>
      <w:r>
        <w:rPr>
          <w:rFonts w:ascii="Arial" w:cs="Arial" w:eastAsia="Arial" w:hAnsi="Arial"/>
          <w:sz w:val="18"/>
          <w:szCs w:val="18"/>
          <w:color w:val="auto"/>
        </w:rPr>
        <w:t>2.1.1.</w:t>
        <w:tab/>
        <w:t>clause 1.1.4 (</w:t>
      </w:r>
      <w:r>
        <w:rPr>
          <w:rFonts w:ascii="Arial" w:cs="Arial" w:eastAsia="Arial" w:hAnsi="Arial"/>
          <w:sz w:val="18"/>
          <w:szCs w:val="18"/>
          <w:i w:val="1"/>
          <w:iCs w:val="1"/>
          <w:color w:val="auto"/>
        </w:rPr>
        <w:t>“Advance”</w:t>
      </w:r>
      <w:r>
        <w:rPr>
          <w:rFonts w:ascii="Arial" w:cs="Arial" w:eastAsia="Arial" w:hAnsi="Arial"/>
          <w:sz w:val="18"/>
          <w:szCs w:val="18"/>
          <w:color w:val="auto"/>
        </w:rPr>
        <w:t>) shall be amended by the insertion of the following, after the words “the Safety Net Loans” within the parentheses therein, “and Interest Payment Loans”;</w:t>
      </w:r>
    </w:p>
    <w:p>
      <w:pPr>
        <w:spacing w:after="0" w:line="21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following shall be inserted in clause 1.1.22 (</w:t>
      </w:r>
      <w:r>
        <w:rPr>
          <w:rFonts w:ascii="Arial" w:cs="Arial" w:eastAsia="Arial" w:hAnsi="Arial"/>
          <w:sz w:val="16"/>
          <w:szCs w:val="16"/>
          <w:i w:val="1"/>
          <w:iCs w:val="1"/>
          <w:color w:val="auto"/>
        </w:rPr>
        <w:t>“Commitment”</w:t>
      </w:r>
      <w:r>
        <w:rPr>
          <w:rFonts w:ascii="Arial" w:cs="Arial" w:eastAsia="Arial" w:hAnsi="Arial"/>
          <w:sz w:val="16"/>
          <w:szCs w:val="16"/>
          <w:color w:val="auto"/>
        </w:rPr>
        <w:t>) after the figures “US $250,000,000” wherever they appear:</w:t>
      </w:r>
    </w:p>
    <w:p>
      <w:pPr>
        <w:spacing w:after="0" w:line="252" w:lineRule="exact"/>
        <w:rPr>
          <w:sz w:val="20"/>
          <w:szCs w:val="20"/>
          <w:color w:val="auto"/>
        </w:rPr>
      </w:pPr>
    </w:p>
    <w:p>
      <w:pPr>
        <w:ind w:left="2300" w:right="180"/>
        <w:spacing w:after="0" w:line="268" w:lineRule="auto"/>
        <w:rPr>
          <w:sz w:val="20"/>
          <w:szCs w:val="20"/>
          <w:color w:val="auto"/>
        </w:rPr>
      </w:pPr>
      <w:r>
        <w:rPr>
          <w:rFonts w:ascii="Arial" w:cs="Arial" w:eastAsia="Arial" w:hAnsi="Arial"/>
          <w:sz w:val="18"/>
          <w:szCs w:val="18"/>
          <w:color w:val="auto"/>
        </w:rPr>
        <w:t>"plus 50% (fifty percent) of the aggregate increase in the Facility due to the Interest Payment Loans, as referred to in clause 2.1 below";</w:t>
      </w:r>
    </w:p>
    <w:p>
      <w:pPr>
        <w:spacing w:after="0" w:line="213" w:lineRule="exact"/>
        <w:rPr>
          <w:sz w:val="20"/>
          <w:szCs w:val="20"/>
          <w:color w:val="auto"/>
        </w:rPr>
      </w:pPr>
    </w:p>
    <w:p>
      <w:pPr>
        <w:ind w:left="1720" w:right="180" w:hanging="566"/>
        <w:spacing w:after="0" w:line="268" w:lineRule="auto"/>
        <w:tabs>
          <w:tab w:leader="none" w:pos="1700" w:val="left"/>
        </w:tabs>
        <w:rPr>
          <w:sz w:val="20"/>
          <w:szCs w:val="20"/>
          <w:color w:val="auto"/>
        </w:rPr>
      </w:pPr>
      <w:r>
        <w:rPr>
          <w:rFonts w:ascii="Arial" w:cs="Arial" w:eastAsia="Arial" w:hAnsi="Arial"/>
          <w:sz w:val="18"/>
          <w:szCs w:val="18"/>
          <w:color w:val="auto"/>
        </w:rPr>
        <w:t>2.1.3.</w:t>
        <w:tab/>
        <w:t>clause 1.1.34 (</w:t>
      </w:r>
      <w:r>
        <w:rPr>
          <w:rFonts w:ascii="Arial" w:cs="Arial" w:eastAsia="Arial" w:hAnsi="Arial"/>
          <w:sz w:val="18"/>
          <w:szCs w:val="18"/>
          <w:i w:val="1"/>
          <w:iCs w:val="1"/>
          <w:color w:val="auto"/>
        </w:rPr>
        <w:t>“Credit”</w:t>
      </w:r>
      <w:r>
        <w:rPr>
          <w:rFonts w:ascii="Arial" w:cs="Arial" w:eastAsia="Arial" w:hAnsi="Arial"/>
          <w:sz w:val="18"/>
          <w:szCs w:val="18"/>
          <w:color w:val="auto"/>
        </w:rPr>
        <w:t>) shall be amended by deleting the words “and the Safety Net Loans” in the parentheses thereof and substituting therefor the words “, the Safety Net Loans and the Interest Payment Loans”;</w:t>
      </w:r>
    </w:p>
    <w:p>
      <w:pPr>
        <w:spacing w:after="0" w:line="21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 clause 1.1.51 (“</w:t>
      </w:r>
      <w:r>
        <w:rPr>
          <w:rFonts w:ascii="Arial" w:cs="Arial" w:eastAsia="Arial" w:hAnsi="Arial"/>
          <w:sz w:val="16"/>
          <w:szCs w:val="16"/>
          <w:i w:val="1"/>
          <w:iCs w:val="1"/>
          <w:color w:val="auto"/>
        </w:rPr>
        <w:t>Event of Default</w:t>
      </w:r>
      <w:r>
        <w:rPr>
          <w:rFonts w:ascii="Arial" w:cs="Arial" w:eastAsia="Arial" w:hAnsi="Arial"/>
          <w:sz w:val="16"/>
          <w:szCs w:val="16"/>
          <w:color w:val="auto"/>
        </w:rPr>
        <w:t>”), the words “17.2-17.20B (inclusive)” shall be replaced with “17.2–17.20C (inclusive)";</w:t>
      </w:r>
    </w:p>
    <w:p>
      <w:pPr>
        <w:spacing w:after="0" w:line="252" w:lineRule="exact"/>
        <w:rPr>
          <w:sz w:val="20"/>
          <w:szCs w:val="20"/>
          <w:color w:val="auto"/>
        </w:rPr>
      </w:pPr>
    </w:p>
    <w:p>
      <w:pPr>
        <w:ind w:left="1720" w:right="480" w:hanging="566"/>
        <w:spacing w:after="0" w:line="268" w:lineRule="auto"/>
        <w:tabs>
          <w:tab w:leader="none" w:pos="1700" w:val="left"/>
        </w:tabs>
        <w:rPr>
          <w:sz w:val="20"/>
          <w:szCs w:val="20"/>
          <w:color w:val="auto"/>
        </w:rPr>
      </w:pPr>
      <w:r>
        <w:rPr>
          <w:rFonts w:ascii="Arial" w:cs="Arial" w:eastAsia="Arial" w:hAnsi="Arial"/>
          <w:sz w:val="18"/>
          <w:szCs w:val="18"/>
          <w:color w:val="auto"/>
        </w:rPr>
        <w:t>2.1.5.</w:t>
        <w:tab/>
        <w:t>clause 1.1.96 (</w:t>
      </w:r>
      <w:r>
        <w:rPr>
          <w:rFonts w:ascii="Arial" w:cs="Arial" w:eastAsia="Arial" w:hAnsi="Arial"/>
          <w:sz w:val="18"/>
          <w:szCs w:val="18"/>
          <w:i w:val="1"/>
          <w:iCs w:val="1"/>
          <w:color w:val="auto"/>
        </w:rPr>
        <w:t>“Loan”</w:t>
      </w:r>
      <w:r>
        <w:rPr>
          <w:rFonts w:ascii="Arial" w:cs="Arial" w:eastAsia="Arial" w:hAnsi="Arial"/>
          <w:sz w:val="18"/>
          <w:szCs w:val="18"/>
          <w:color w:val="auto"/>
        </w:rPr>
        <w:t>) shall be amended by adding the words “or the Interest Payment Loans” after the words “or the Reborrowed Loans”;</w:t>
      </w:r>
    </w:p>
    <w:p>
      <w:pPr>
        <w:spacing w:after="0" w:line="21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clause 1.1.97 (</w:t>
      </w:r>
      <w:r>
        <w:rPr>
          <w:rFonts w:ascii="Arial" w:cs="Arial" w:eastAsia="Arial" w:hAnsi="Arial"/>
          <w:sz w:val="16"/>
          <w:szCs w:val="16"/>
          <w:i w:val="1"/>
          <w:iCs w:val="1"/>
          <w:color w:val="auto"/>
        </w:rPr>
        <w:t>“Loan Maturity Date”</w:t>
      </w:r>
      <w:r>
        <w:rPr>
          <w:rFonts w:ascii="Arial" w:cs="Arial" w:eastAsia="Arial" w:hAnsi="Arial"/>
          <w:sz w:val="16"/>
          <w:szCs w:val="16"/>
          <w:color w:val="auto"/>
        </w:rPr>
        <w:t>) shall be amended as follows:</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2.1.6.1. by adding the words “or an Interest Payment Loan” after the words “Safety Net Loans” in paragraph (c) thereof; and</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2.1.6.2. by adding thereto the following new paragraph (e) to read as follows:</w:t>
      </w:r>
    </w:p>
    <w:p>
      <w:pPr>
        <w:sectPr>
          <w:pgSz w:w="11900" w:h="16838" w:orient="portrait"/>
          <w:cols w:equalWidth="0" w:num="1">
            <w:col w:w="11420"/>
          </w:cols>
          <w:pgMar w:left="240" w:top="125" w:right="239" w:bottom="0" w:gutter="0" w:footer="0" w:header="0"/>
          <w:type w:val="continuous"/>
        </w:sectPr>
      </w:pPr>
    </w:p>
    <w:p>
      <w:pPr>
        <w:spacing w:after="0" w:line="25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each Interest Payment Loan, the first anniversary of the date on which the Advances constituting such Interest Payment Loan are consolidated into such Interest Payment Loan in accordance with clause 5.2.4 below;"</w:t>
      </w:r>
    </w:p>
    <w:p>
      <w:pPr>
        <w:spacing w:after="0" w:line="166" w:lineRule="exact"/>
        <w:rPr>
          <w:sz w:val="20"/>
          <w:szCs w:val="20"/>
          <w:color w:val="auto"/>
        </w:rPr>
      </w:pPr>
    </w:p>
    <w:p>
      <w:pPr>
        <w:sectPr>
          <w:pgSz w:w="11900" w:h="16838" w:orient="portrait"/>
          <w:cols w:equalWidth="0" w:num="2">
            <w:col w:w="2580" w:space="300"/>
            <w:col w:w="8540"/>
          </w:cols>
          <w:pgMar w:left="240" w:top="125" w:right="239" w:bottom="0" w:gutter="0" w:footer="0" w:header="0"/>
          <w:type w:val="continuous"/>
        </w:sectPr>
      </w:pPr>
    </w:p>
    <w:p>
      <w:pPr>
        <w:ind w:left="1160"/>
        <w:spacing w:after="0"/>
        <w:tabs>
          <w:tab w:leader="none" w:pos="17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clause 1.1.118 (</w:t>
      </w:r>
      <w:r>
        <w:rPr>
          <w:rFonts w:ascii="Arial" w:cs="Arial" w:eastAsia="Arial" w:hAnsi="Arial"/>
          <w:sz w:val="16"/>
          <w:szCs w:val="16"/>
          <w:i w:val="1"/>
          <w:iCs w:val="1"/>
          <w:color w:val="auto"/>
        </w:rPr>
        <w:t>“Permitted Subordinated Debt”</w:t>
      </w:r>
      <w:r>
        <w:rPr>
          <w:rFonts w:ascii="Arial" w:cs="Arial" w:eastAsia="Arial" w:hAnsi="Arial"/>
          <w:sz w:val="16"/>
          <w:szCs w:val="16"/>
          <w:color w:val="auto"/>
        </w:rPr>
        <w:t>), shall be amended as follows:</w:t>
      </w:r>
    </w:p>
    <w:p>
      <w:pPr>
        <w:sectPr>
          <w:pgSz w:w="11900" w:h="16838" w:orient="portrait"/>
          <w:cols w:equalWidth="0" w:num="1">
            <w:col w:w="11420"/>
          </w:cols>
          <w:pgMar w:left="240" w:top="125" w:right="239" w:bottom="0" w:gutter="0" w:footer="0" w:header="0"/>
          <w:type w:val="continuous"/>
        </w:sectPr>
      </w:pPr>
    </w:p>
    <w:bookmarkStart w:id="47" w:name="page48"/>
    <w:bookmarkEnd w:id="47"/>
    <w:p>
      <w:pPr>
        <w:ind w:left="1720"/>
        <w:spacing w:after="0"/>
        <w:rPr>
          <w:sz w:val="20"/>
          <w:szCs w:val="20"/>
          <w:color w:val="auto"/>
        </w:rPr>
      </w:pPr>
      <w:r>
        <w:rPr>
          <w:rFonts w:ascii="Arial" w:cs="Arial" w:eastAsia="Arial" w:hAnsi="Arial"/>
          <w:sz w:val="18"/>
          <w:szCs w:val="18"/>
          <w:color w:val="auto"/>
        </w:rPr>
        <w:t>2.1.7.1. the following two sentences shall be added prior to the last sentence of paragraph (e) thereof to read as follows:</w:t>
      </w:r>
    </w:p>
    <w:p>
      <w:pPr>
        <w:spacing w:after="0" w:line="252" w:lineRule="exact"/>
        <w:rPr>
          <w:sz w:val="20"/>
          <w:szCs w:val="20"/>
          <w:color w:val="auto"/>
        </w:rPr>
      </w:pPr>
    </w:p>
    <w:p>
      <w:pPr>
        <w:ind w:left="2880" w:right="20"/>
        <w:spacing w:after="0" w:line="253" w:lineRule="auto"/>
        <w:rPr>
          <w:sz w:val="20"/>
          <w:szCs w:val="20"/>
          <w:color w:val="auto"/>
        </w:rPr>
      </w:pPr>
      <w:r>
        <w:rPr>
          <w:rFonts w:ascii="Arial" w:cs="Arial" w:eastAsia="Arial" w:hAnsi="Arial"/>
          <w:sz w:val="18"/>
          <w:szCs w:val="18"/>
          <w:color w:val="auto"/>
        </w:rPr>
        <w:t>“Notwithstanding the aforegoing, with respect to Additional Subordinated Debt, the Borrower shall procure that: (i) upon the issuance of such Additional Subordinated Debt, an amount equal to the aggregate amount of Interest payable in cash by the Borrower thereunder from the date of such issuance until the date immediately prior to the fourth anniversary of the issuance of such Additional Subordinated Debt shall be deposited in the Reserve Account and duly pledged in favour of the Banks as aforesaid; and (ii) none of such amounts are released from the Reserve Account during such 4 (four) year period, except to pay such Interest on such Additional Subordinated Debt as are required to be paid in cash during such period.”</w:t>
      </w:r>
    </w:p>
    <w:p>
      <w:pPr>
        <w:spacing w:after="0" w:line="228"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2.1.7.2. paragraph (f) thereof shall be amended by adding the following thereto:</w:t>
      </w:r>
    </w:p>
    <w:p>
      <w:pPr>
        <w:spacing w:after="0" w:line="252" w:lineRule="exact"/>
        <w:rPr>
          <w:sz w:val="20"/>
          <w:szCs w:val="20"/>
          <w:color w:val="auto"/>
        </w:rPr>
      </w:pPr>
    </w:p>
    <w:p>
      <w:pPr>
        <w:jc w:val="both"/>
        <w:ind w:left="2880" w:right="100"/>
        <w:spacing w:after="0" w:line="259" w:lineRule="auto"/>
        <w:rPr>
          <w:sz w:val="20"/>
          <w:szCs w:val="20"/>
          <w:color w:val="auto"/>
        </w:rPr>
      </w:pPr>
      <w:r>
        <w:rPr>
          <w:rFonts w:ascii="Arial" w:cs="Arial" w:eastAsia="Arial" w:hAnsi="Arial"/>
          <w:sz w:val="18"/>
          <w:szCs w:val="18"/>
          <w:color w:val="auto"/>
        </w:rPr>
        <w:t>“, provided that no Interest (other than periodic Interest at a rate not to exceed 1.5% (one point five percent) per annum) or other amount shall be paid on any Additional Subordinated Debt prior to the sixth anniversary of the issuance of such Additional Subordinated Debt;"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2.1.7.3. paragraph (g) thereof shall be amended by adding the following thereto:</w:t>
      </w:r>
    </w:p>
    <w:p>
      <w:pPr>
        <w:spacing w:after="0" w:line="252" w:lineRule="exact"/>
        <w:rPr>
          <w:sz w:val="20"/>
          <w:szCs w:val="20"/>
          <w:color w:val="auto"/>
        </w:rPr>
      </w:pPr>
    </w:p>
    <w:p>
      <w:pPr>
        <w:jc w:val="both"/>
        <w:ind w:left="2880" w:right="100"/>
        <w:spacing w:after="0" w:line="259" w:lineRule="auto"/>
        <w:rPr>
          <w:sz w:val="20"/>
          <w:szCs w:val="20"/>
          <w:color w:val="auto"/>
        </w:rPr>
      </w:pPr>
      <w:r>
        <w:rPr>
          <w:rFonts w:ascii="Arial" w:cs="Arial" w:eastAsia="Arial" w:hAnsi="Arial"/>
          <w:sz w:val="18"/>
          <w:szCs w:val="18"/>
          <w:color w:val="auto"/>
        </w:rPr>
        <w:t>“, provided further that no principal or other amount (other than periodic Interest at a rate not to exceed 1.5% (one point five percent) per annum) with respect to Additional Subordinated Debt shall be repayable or repaid earlier than the sixth anniversary of the issuance of such Additional Subordinated Debt;"</w:t>
      </w:r>
    </w:p>
    <w:p>
      <w:pPr>
        <w:spacing w:after="0" w:line="22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2.1.7.4. paragraph (j) thereof shall be amended by adding the following sentence thereto:</w:t>
      </w:r>
    </w:p>
    <w:p>
      <w:pPr>
        <w:spacing w:after="0" w:line="252" w:lineRule="exact"/>
        <w:rPr>
          <w:sz w:val="20"/>
          <w:szCs w:val="20"/>
          <w:color w:val="auto"/>
        </w:rPr>
      </w:pPr>
    </w:p>
    <w:p>
      <w:pPr>
        <w:ind w:left="2880" w:right="820"/>
        <w:spacing w:after="0" w:line="268" w:lineRule="auto"/>
        <w:rPr>
          <w:sz w:val="20"/>
          <w:szCs w:val="20"/>
          <w:color w:val="auto"/>
        </w:rPr>
      </w:pPr>
      <w:r>
        <w:rPr>
          <w:rFonts w:ascii="Arial" w:cs="Arial" w:eastAsia="Arial" w:hAnsi="Arial"/>
          <w:sz w:val="18"/>
          <w:szCs w:val="18"/>
          <w:color w:val="auto"/>
        </w:rPr>
        <w:t>“All references to ‘Equity Convertible Debentures’ in this paragraph (j) above shall also be deemed to refer to ‘Additional Subordinated Debt’;"</w:t>
      </w:r>
    </w:p>
    <w:p>
      <w:pPr>
        <w:spacing w:after="0" w:line="213"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5"/>
          <w:szCs w:val="15"/>
          <w:color w:val="auto"/>
        </w:rPr>
        <w:t>clause 1.1.133 (</w:t>
      </w:r>
      <w:r>
        <w:rPr>
          <w:rFonts w:ascii="Arial" w:cs="Arial" w:eastAsia="Arial" w:hAnsi="Arial"/>
          <w:sz w:val="15"/>
          <w:szCs w:val="15"/>
          <w:i w:val="1"/>
          <w:iCs w:val="1"/>
          <w:color w:val="auto"/>
        </w:rPr>
        <w:t>“Security Documents”</w:t>
      </w:r>
      <w:r>
        <w:rPr>
          <w:rFonts w:ascii="Arial" w:cs="Arial" w:eastAsia="Arial" w:hAnsi="Arial"/>
          <w:sz w:val="15"/>
          <w:szCs w:val="15"/>
          <w:color w:val="auto"/>
        </w:rPr>
        <w:t>) shall be amended by adding thereto a new paragraph (h) to read as follows:</w:t>
      </w:r>
    </w:p>
    <w:p>
      <w:pPr>
        <w:spacing w:after="0" w:line="252" w:lineRule="exact"/>
        <w:rPr>
          <w:sz w:val="20"/>
          <w:szCs w:val="20"/>
          <w:color w:val="auto"/>
        </w:rPr>
      </w:pPr>
    </w:p>
    <w:p>
      <w:pPr>
        <w:ind w:left="2300"/>
        <w:spacing w:after="0"/>
        <w:tabs>
          <w:tab w:leader="none" w:pos="286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8"/>
          <w:szCs w:val="18"/>
          <w:color w:val="auto"/>
        </w:rPr>
        <w:t>the Additional Investment Undertakings;"</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the following new definitions shall be added: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80" w:type="dxa"/>
            <w:vAlign w:val="bottom"/>
          </w:tcPr>
          <w:p>
            <w:pPr>
              <w:ind w:left="1720"/>
              <w:spacing w:after="0"/>
              <w:rPr>
                <w:sz w:val="20"/>
                <w:szCs w:val="20"/>
                <w:color w:val="auto"/>
              </w:rPr>
            </w:pPr>
            <w:r>
              <w:rPr>
                <w:rFonts w:ascii="Arial" w:cs="Arial" w:eastAsia="Arial" w:hAnsi="Arial"/>
                <w:sz w:val="18"/>
                <w:szCs w:val="18"/>
                <w:color w:val="auto"/>
              </w:rPr>
              <w:t>2.1.9.1. as new clause 1.1.3A:</w:t>
            </w:r>
          </w:p>
        </w:tc>
        <w:tc>
          <w:tcPr>
            <w:tcW w:w="7040" w:type="dxa"/>
            <w:vAlign w:val="bottom"/>
          </w:tcPr>
          <w:p>
            <w:pPr>
              <w:spacing w:after="0"/>
              <w:rPr>
                <w:sz w:val="19"/>
                <w:szCs w:val="19"/>
                <w:color w:val="auto"/>
              </w:rPr>
            </w:pPr>
          </w:p>
        </w:tc>
      </w:tr>
      <w:tr>
        <w:trPr>
          <w:trHeight w:val="447"/>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“‘Additional</w:t>
            </w:r>
          </w:p>
        </w:tc>
        <w:tc>
          <w:tcPr>
            <w:tcW w:w="7040" w:type="dxa"/>
            <w:vAlign w:val="bottom"/>
          </w:tcPr>
          <w:p>
            <w:pPr>
              <w:spacing w:after="0"/>
              <w:rPr>
                <w:sz w:val="24"/>
                <w:szCs w:val="24"/>
                <w:color w:val="auto"/>
              </w:rPr>
            </w:pPr>
          </w:p>
        </w:tc>
      </w:tr>
      <w:tr>
        <w:trPr>
          <w:trHeight w:val="216"/>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Investment</w:t>
            </w:r>
          </w:p>
        </w:tc>
        <w:tc>
          <w:tcPr>
            <w:tcW w:w="7040" w:type="dxa"/>
            <w:vAlign w:val="bottom"/>
          </w:tcPr>
          <w:p>
            <w:pPr>
              <w:spacing w:after="0"/>
              <w:rPr>
                <w:sz w:val="18"/>
                <w:szCs w:val="18"/>
                <w:color w:val="auto"/>
              </w:rPr>
            </w:pPr>
          </w:p>
        </w:tc>
      </w:tr>
      <w:tr>
        <w:trPr>
          <w:trHeight w:val="228"/>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Obligors’</w:t>
            </w:r>
          </w:p>
        </w:tc>
        <w:tc>
          <w:tcPr>
            <w:tcW w:w="7040" w:type="dxa"/>
            <w:vAlign w:val="bottom"/>
          </w:tcPr>
          <w:p>
            <w:pPr>
              <w:ind w:left="440"/>
              <w:spacing w:after="0"/>
              <w:rPr>
                <w:sz w:val="20"/>
                <w:szCs w:val="20"/>
                <w:color w:val="auto"/>
              </w:rPr>
            </w:pPr>
            <w:r>
              <w:rPr>
                <w:rFonts w:ascii="Arial" w:cs="Arial" w:eastAsia="Arial" w:hAnsi="Arial"/>
                <w:sz w:val="18"/>
                <w:szCs w:val="18"/>
                <w:color w:val="auto"/>
                <w:w w:val="96"/>
              </w:rPr>
              <w:t>–   means the person or entity which provides the Additional Investment Undertaking;”</w:t>
            </w:r>
          </w:p>
        </w:tc>
      </w:tr>
      <w:tr>
        <w:trPr>
          <w:trHeight w:val="675"/>
        </w:trPr>
        <w:tc>
          <w:tcPr>
            <w:tcW w:w="4380" w:type="dxa"/>
            <w:vAlign w:val="bottom"/>
          </w:tcPr>
          <w:p>
            <w:pPr>
              <w:spacing w:after="0"/>
              <w:rPr>
                <w:sz w:val="24"/>
                <w:szCs w:val="24"/>
                <w:color w:val="auto"/>
              </w:rPr>
            </w:pPr>
          </w:p>
        </w:tc>
        <w:tc>
          <w:tcPr>
            <w:tcW w:w="7040" w:type="dxa"/>
            <w:vAlign w:val="bottom"/>
          </w:tcPr>
          <w:p>
            <w:pPr>
              <w:ind w:left="1180"/>
              <w:spacing w:after="0"/>
              <w:rPr>
                <w:sz w:val="20"/>
                <w:szCs w:val="20"/>
                <w:color w:val="auto"/>
              </w:rPr>
            </w:pPr>
            <w:r>
              <w:rPr>
                <w:rFonts w:ascii="Arial" w:cs="Arial" w:eastAsia="Arial" w:hAnsi="Arial"/>
                <w:sz w:val="18"/>
                <w:szCs w:val="18"/>
                <w:color w:val="auto"/>
              </w:rPr>
              <w:t>- 4 -</w:t>
            </w:r>
          </w:p>
        </w:tc>
      </w:tr>
      <w:tr>
        <w:trPr>
          <w:trHeight w:val="174"/>
        </w:trPr>
        <w:tc>
          <w:tcPr>
            <w:tcW w:w="4380" w:type="dxa"/>
            <w:vAlign w:val="bottom"/>
          </w:tcPr>
          <w:p>
            <w:pPr>
              <w:spacing w:after="0"/>
              <w:rPr>
                <w:sz w:val="15"/>
                <w:szCs w:val="15"/>
                <w:color w:val="auto"/>
              </w:rPr>
            </w:pPr>
          </w:p>
        </w:tc>
        <w:tc>
          <w:tcPr>
            <w:tcW w:w="7040" w:type="dxa"/>
            <w:vAlign w:val="bottom"/>
          </w:tcPr>
          <w:p>
            <w:pPr>
              <w:spacing w:after="0"/>
              <w:rPr>
                <w:sz w:val="15"/>
                <w:szCs w:val="15"/>
                <w:color w:val="auto"/>
              </w:rPr>
            </w:pPr>
          </w:p>
        </w:tc>
      </w:tr>
      <w:tr>
        <w:trPr>
          <w:trHeight w:val="61"/>
        </w:trPr>
        <w:tc>
          <w:tcPr>
            <w:tcW w:w="4380" w:type="dxa"/>
            <w:vAlign w:val="bottom"/>
            <w:shd w:val="clear" w:color="auto" w:fill="808080"/>
          </w:tcPr>
          <w:p>
            <w:pPr>
              <w:spacing w:after="0"/>
              <w:rPr>
                <w:sz w:val="5"/>
                <w:szCs w:val="5"/>
                <w:color w:val="auto"/>
              </w:rPr>
            </w:pPr>
          </w:p>
        </w:tc>
        <w:tc>
          <w:tcPr>
            <w:tcW w:w="7040" w:type="dxa"/>
            <w:vAlign w:val="bottom"/>
            <w:shd w:val="clear" w:color="auto" w:fill="808080"/>
          </w:tcPr>
          <w:p>
            <w:pPr>
              <w:spacing w:after="0"/>
              <w:rPr>
                <w:sz w:val="5"/>
                <w:szCs w:val="5"/>
                <w:color w:val="auto"/>
              </w:rPr>
            </w:pPr>
          </w:p>
        </w:tc>
      </w:tr>
      <w:tr>
        <w:trPr>
          <w:trHeight w:val="319"/>
        </w:trPr>
        <w:tc>
          <w:tcPr>
            <w:tcW w:w="4380" w:type="dxa"/>
            <w:vAlign w:val="bottom"/>
          </w:tcPr>
          <w:p>
            <w:pPr>
              <w:ind w:left="1720"/>
              <w:spacing w:after="0"/>
              <w:rPr>
                <w:sz w:val="20"/>
                <w:szCs w:val="20"/>
                <w:color w:val="auto"/>
              </w:rPr>
            </w:pPr>
            <w:r>
              <w:rPr>
                <w:rFonts w:ascii="Arial" w:cs="Arial" w:eastAsia="Arial" w:hAnsi="Arial"/>
                <w:sz w:val="18"/>
                <w:szCs w:val="18"/>
                <w:color w:val="auto"/>
              </w:rPr>
              <w:t>2.1.9.2. as new clause 1.1.3B:</w:t>
            </w:r>
          </w:p>
        </w:tc>
        <w:tc>
          <w:tcPr>
            <w:tcW w:w="7040" w:type="dxa"/>
            <w:vAlign w:val="bottom"/>
          </w:tcPr>
          <w:p>
            <w:pPr>
              <w:spacing w:after="0"/>
              <w:rPr>
                <w:sz w:val="24"/>
                <w:szCs w:val="24"/>
                <w:color w:val="auto"/>
              </w:rPr>
            </w:pPr>
          </w:p>
        </w:tc>
      </w:tr>
      <w:tr>
        <w:trPr>
          <w:trHeight w:val="447"/>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“‘Additional</w:t>
            </w:r>
          </w:p>
        </w:tc>
        <w:tc>
          <w:tcPr>
            <w:tcW w:w="7040" w:type="dxa"/>
            <w:vAlign w:val="bottom"/>
          </w:tcPr>
          <w:p>
            <w:pPr>
              <w:spacing w:after="0"/>
              <w:rPr>
                <w:sz w:val="24"/>
                <w:szCs w:val="24"/>
                <w:color w:val="auto"/>
              </w:rPr>
            </w:pPr>
          </w:p>
        </w:tc>
      </w:tr>
      <w:tr>
        <w:trPr>
          <w:trHeight w:val="216"/>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Investment</w:t>
            </w:r>
          </w:p>
        </w:tc>
        <w:tc>
          <w:tcPr>
            <w:tcW w:w="7040" w:type="dxa"/>
            <w:vAlign w:val="bottom"/>
          </w:tcPr>
          <w:p>
            <w:pPr>
              <w:spacing w:after="0"/>
              <w:rPr>
                <w:sz w:val="18"/>
                <w:szCs w:val="18"/>
                <w:color w:val="auto"/>
              </w:rPr>
            </w:pPr>
          </w:p>
        </w:tc>
      </w:tr>
      <w:tr>
        <w:trPr>
          <w:trHeight w:val="222"/>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Undertakings’</w:t>
            </w:r>
          </w:p>
        </w:tc>
        <w:tc>
          <w:tcPr>
            <w:tcW w:w="7040" w:type="dxa"/>
            <w:vAlign w:val="bottom"/>
          </w:tcPr>
          <w:p>
            <w:pPr>
              <w:ind w:left="440"/>
              <w:spacing w:after="0"/>
              <w:rPr>
                <w:sz w:val="20"/>
                <w:szCs w:val="20"/>
                <w:color w:val="auto"/>
              </w:rPr>
            </w:pPr>
            <w:r>
              <w:rPr>
                <w:rFonts w:ascii="Arial" w:cs="Arial" w:eastAsia="Arial" w:hAnsi="Arial"/>
                <w:sz w:val="18"/>
                <w:szCs w:val="18"/>
                <w:color w:val="auto"/>
                <w:w w:val="91"/>
              </w:rPr>
              <w:t>–   means the undertakings by any of the Lead Investors or any other person acceptable to</w:t>
            </w:r>
          </w:p>
        </w:tc>
      </w:tr>
      <w:tr>
        <w:trPr>
          <w:trHeight w:val="216"/>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96"/>
              </w:rPr>
              <w:t>the Banks, in their sole discretion, to invest in Paid-in Equity of the Borrower or, in</w:t>
            </w:r>
          </w:p>
        </w:tc>
      </w:tr>
      <w:tr>
        <w:trPr>
          <w:trHeight w:val="216"/>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89"/>
              </w:rPr>
              <w:t>respect of Additional Subordinated Debt, in an amount equal to an aggregate of not less</w:t>
            </w:r>
          </w:p>
        </w:tc>
      </w:tr>
      <w:tr>
        <w:trPr>
          <w:trHeight w:val="210"/>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98"/>
              </w:rPr>
              <w:t>than US $23,500,000 (twenty-three million five hundred thousand United States</w:t>
            </w:r>
          </w:p>
        </w:tc>
      </w:tr>
      <w:tr>
        <w:trPr>
          <w:trHeight w:val="222"/>
        </w:trPr>
        <w:tc>
          <w:tcPr>
            <w:tcW w:w="4380" w:type="dxa"/>
            <w:vAlign w:val="bottom"/>
          </w:tcPr>
          <w:p>
            <w:pPr>
              <w:spacing w:after="0"/>
              <w:rPr>
                <w:sz w:val="19"/>
                <w:szCs w:val="19"/>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88"/>
              </w:rPr>
              <w:t xml:space="preserve">Dollars)), each in the forms of </w:t>
            </w:r>
            <w:r>
              <w:rPr>
                <w:rFonts w:ascii="Arial" w:cs="Arial" w:eastAsia="Arial" w:hAnsi="Arial"/>
                <w:sz w:val="18"/>
                <w:szCs w:val="18"/>
                <w:b w:val="1"/>
                <w:bCs w:val="1"/>
                <w:color w:val="auto"/>
                <w:w w:val="88"/>
              </w:rPr>
              <w:t>Schedule 1.1.3B(1)</w:t>
            </w:r>
            <w:r>
              <w:rPr>
                <w:rFonts w:ascii="Arial" w:cs="Arial" w:eastAsia="Arial" w:hAnsi="Arial"/>
                <w:sz w:val="18"/>
                <w:szCs w:val="18"/>
                <w:color w:val="auto"/>
                <w:w w:val="88"/>
              </w:rPr>
              <w:t xml:space="preserve"> and </w:t>
            </w:r>
            <w:r>
              <w:rPr>
                <w:rFonts w:ascii="Arial" w:cs="Arial" w:eastAsia="Arial" w:hAnsi="Arial"/>
                <w:sz w:val="18"/>
                <w:szCs w:val="18"/>
                <w:b w:val="1"/>
                <w:bCs w:val="1"/>
                <w:color w:val="auto"/>
                <w:w w:val="88"/>
              </w:rPr>
              <w:t>Schedule 1.1.3B(2)</w:t>
            </w:r>
            <w:r>
              <w:rPr>
                <w:rFonts w:ascii="Arial" w:cs="Arial" w:eastAsia="Arial" w:hAnsi="Arial"/>
                <w:sz w:val="18"/>
                <w:szCs w:val="18"/>
                <w:color w:val="auto"/>
                <w:w w:val="88"/>
              </w:rPr>
              <w:t xml:space="preserve"> hereto, to be</w:t>
            </w:r>
          </w:p>
        </w:tc>
      </w:tr>
      <w:tr>
        <w:trPr>
          <w:trHeight w:val="210"/>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96"/>
              </w:rPr>
              <w:t>executed by such Lead Investor or other person and delivered to the Banks, all in</w:t>
            </w:r>
          </w:p>
        </w:tc>
      </w:tr>
      <w:tr>
        <w:trPr>
          <w:trHeight w:val="216"/>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89"/>
              </w:rPr>
              <w:t>accordance with the terms and conditions set forth in clause 16.36 below and each, ‘</w:t>
            </w:r>
            <w:r>
              <w:rPr>
                <w:rFonts w:ascii="Arial" w:cs="Arial" w:eastAsia="Arial" w:hAnsi="Arial"/>
                <w:sz w:val="18"/>
                <w:szCs w:val="18"/>
                <w:b w:val="1"/>
                <w:bCs w:val="1"/>
                <w:color w:val="auto"/>
                <w:w w:val="89"/>
              </w:rPr>
              <w:t>an</w:t>
            </w:r>
          </w:p>
        </w:tc>
      </w:tr>
      <w:tr>
        <w:trPr>
          <w:trHeight w:val="228"/>
        </w:trPr>
        <w:tc>
          <w:tcPr>
            <w:tcW w:w="4380" w:type="dxa"/>
            <w:vAlign w:val="bottom"/>
          </w:tcPr>
          <w:p>
            <w:pPr>
              <w:spacing w:after="0"/>
              <w:rPr>
                <w:sz w:val="19"/>
                <w:szCs w:val="19"/>
                <w:color w:val="auto"/>
              </w:rPr>
            </w:pPr>
          </w:p>
        </w:tc>
        <w:tc>
          <w:tcPr>
            <w:tcW w:w="7040" w:type="dxa"/>
            <w:vAlign w:val="bottom"/>
          </w:tcPr>
          <w:p>
            <w:pPr>
              <w:ind w:left="780"/>
              <w:spacing w:after="0"/>
              <w:rPr>
                <w:sz w:val="20"/>
                <w:szCs w:val="20"/>
                <w:color w:val="auto"/>
              </w:rPr>
            </w:pPr>
            <w:r>
              <w:rPr>
                <w:rFonts w:ascii="Arial" w:cs="Arial" w:eastAsia="Arial" w:hAnsi="Arial"/>
                <w:sz w:val="18"/>
                <w:szCs w:val="18"/>
                <w:b w:val="1"/>
                <w:bCs w:val="1"/>
                <w:color w:val="auto"/>
              </w:rPr>
              <w:t>Additional Investment Undertaking’</w:t>
            </w:r>
            <w:r>
              <w:rPr>
                <w:rFonts w:ascii="Arial" w:cs="Arial" w:eastAsia="Arial" w:hAnsi="Arial"/>
                <w:sz w:val="18"/>
                <w:szCs w:val="18"/>
                <w:color w:val="auto"/>
              </w:rPr>
              <w:t>;”</w:t>
            </w:r>
          </w:p>
        </w:tc>
      </w:tr>
      <w:tr>
        <w:trPr>
          <w:trHeight w:val="459"/>
        </w:trPr>
        <w:tc>
          <w:tcPr>
            <w:tcW w:w="4380" w:type="dxa"/>
            <w:vAlign w:val="bottom"/>
          </w:tcPr>
          <w:p>
            <w:pPr>
              <w:ind w:left="1720"/>
              <w:spacing w:after="0"/>
              <w:rPr>
                <w:sz w:val="20"/>
                <w:szCs w:val="20"/>
                <w:color w:val="auto"/>
              </w:rPr>
            </w:pPr>
            <w:r>
              <w:rPr>
                <w:rFonts w:ascii="Arial" w:cs="Arial" w:eastAsia="Arial" w:hAnsi="Arial"/>
                <w:sz w:val="18"/>
                <w:szCs w:val="18"/>
                <w:color w:val="auto"/>
              </w:rPr>
              <w:t>2.1.9.3. as new clause 1.1.3C:</w:t>
            </w:r>
          </w:p>
        </w:tc>
        <w:tc>
          <w:tcPr>
            <w:tcW w:w="7040" w:type="dxa"/>
            <w:vAlign w:val="bottom"/>
          </w:tcPr>
          <w:p>
            <w:pPr>
              <w:spacing w:after="0"/>
              <w:rPr>
                <w:sz w:val="24"/>
                <w:szCs w:val="24"/>
                <w:color w:val="auto"/>
              </w:rPr>
            </w:pPr>
          </w:p>
        </w:tc>
      </w:tr>
      <w:tr>
        <w:trPr>
          <w:trHeight w:val="447"/>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“‘Additional</w:t>
            </w:r>
          </w:p>
        </w:tc>
        <w:tc>
          <w:tcPr>
            <w:tcW w:w="7040" w:type="dxa"/>
            <w:vAlign w:val="bottom"/>
          </w:tcPr>
          <w:p>
            <w:pPr>
              <w:spacing w:after="0"/>
              <w:rPr>
                <w:sz w:val="24"/>
                <w:szCs w:val="24"/>
                <w:color w:val="auto"/>
              </w:rPr>
            </w:pPr>
          </w:p>
        </w:tc>
      </w:tr>
      <w:tr>
        <w:trPr>
          <w:trHeight w:val="216"/>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Ninth</w:t>
            </w:r>
          </w:p>
        </w:tc>
        <w:tc>
          <w:tcPr>
            <w:tcW w:w="7040" w:type="dxa"/>
            <w:vAlign w:val="bottom"/>
          </w:tcPr>
          <w:p>
            <w:pPr>
              <w:spacing w:after="0"/>
              <w:rPr>
                <w:sz w:val="18"/>
                <w:szCs w:val="18"/>
                <w:color w:val="auto"/>
              </w:rPr>
            </w:pPr>
          </w:p>
        </w:tc>
      </w:tr>
      <w:tr>
        <w:trPr>
          <w:trHeight w:val="216"/>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Amendment</w:t>
            </w:r>
          </w:p>
        </w:tc>
        <w:tc>
          <w:tcPr>
            <w:tcW w:w="7040" w:type="dxa"/>
            <w:vAlign w:val="bottom"/>
          </w:tcPr>
          <w:p>
            <w:pPr>
              <w:spacing w:after="0"/>
              <w:rPr>
                <w:sz w:val="18"/>
                <w:szCs w:val="18"/>
                <w:color w:val="auto"/>
              </w:rPr>
            </w:pPr>
          </w:p>
        </w:tc>
      </w:tr>
      <w:tr>
        <w:trPr>
          <w:trHeight w:val="222"/>
        </w:trPr>
        <w:tc>
          <w:tcPr>
            <w:tcW w:w="4380" w:type="dxa"/>
            <w:vAlign w:val="bottom"/>
          </w:tcPr>
          <w:p>
            <w:pPr>
              <w:ind w:left="2880"/>
              <w:spacing w:after="0"/>
              <w:rPr>
                <w:sz w:val="20"/>
                <w:szCs w:val="20"/>
                <w:color w:val="auto"/>
              </w:rPr>
            </w:pPr>
            <w:r>
              <w:rPr>
                <w:rFonts w:ascii="Arial" w:cs="Arial" w:eastAsia="Arial" w:hAnsi="Arial"/>
                <w:sz w:val="18"/>
                <w:szCs w:val="18"/>
                <w:b w:val="1"/>
                <w:bCs w:val="1"/>
                <w:color w:val="auto"/>
              </w:rPr>
              <w:t>Investment’</w:t>
            </w:r>
          </w:p>
        </w:tc>
        <w:tc>
          <w:tcPr>
            <w:tcW w:w="7040" w:type="dxa"/>
            <w:vAlign w:val="bottom"/>
          </w:tcPr>
          <w:p>
            <w:pPr>
              <w:ind w:left="440"/>
              <w:spacing w:after="0"/>
              <w:rPr>
                <w:sz w:val="20"/>
                <w:szCs w:val="20"/>
                <w:color w:val="auto"/>
              </w:rPr>
            </w:pPr>
            <w:r>
              <w:rPr>
                <w:rFonts w:ascii="Arial" w:cs="Arial" w:eastAsia="Arial" w:hAnsi="Arial"/>
                <w:sz w:val="18"/>
                <w:szCs w:val="18"/>
                <w:color w:val="auto"/>
                <w:w w:val="91"/>
              </w:rPr>
              <w:t>–   means an amount of Paid-in Equity and/or an amount of Additional Subordinated Debt,</w:t>
            </w:r>
          </w:p>
        </w:tc>
      </w:tr>
      <w:tr>
        <w:trPr>
          <w:trHeight w:val="216"/>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86"/>
              </w:rPr>
              <w:t>net of discounts, but not net of commissions, fees and other issuance costs, in either case,</w:t>
            </w:r>
          </w:p>
        </w:tc>
      </w:tr>
      <w:tr>
        <w:trPr>
          <w:trHeight w:val="216"/>
        </w:trPr>
        <w:tc>
          <w:tcPr>
            <w:tcW w:w="4380" w:type="dxa"/>
            <w:vAlign w:val="bottom"/>
          </w:tcPr>
          <w:p>
            <w:pPr>
              <w:spacing w:after="0"/>
              <w:rPr>
                <w:sz w:val="18"/>
                <w:szCs w:val="18"/>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w w:val="90"/>
              </w:rPr>
              <w:t>actually received by the Borrower after May 25, 2005 and prior to the Interest Payment</w:t>
            </w:r>
          </w:p>
        </w:tc>
      </w:tr>
      <w:tr>
        <w:trPr>
          <w:trHeight w:val="222"/>
        </w:trPr>
        <w:tc>
          <w:tcPr>
            <w:tcW w:w="4380" w:type="dxa"/>
            <w:vAlign w:val="bottom"/>
          </w:tcPr>
          <w:p>
            <w:pPr>
              <w:spacing w:after="0"/>
              <w:rPr>
                <w:sz w:val="19"/>
                <w:szCs w:val="19"/>
                <w:color w:val="auto"/>
              </w:rPr>
            </w:pPr>
          </w:p>
        </w:tc>
        <w:tc>
          <w:tcPr>
            <w:tcW w:w="7040" w:type="dxa"/>
            <w:vAlign w:val="bottom"/>
          </w:tcPr>
          <w:p>
            <w:pPr>
              <w:ind w:left="780"/>
              <w:spacing w:after="0"/>
              <w:rPr>
                <w:sz w:val="20"/>
                <w:szCs w:val="20"/>
                <w:color w:val="auto"/>
              </w:rPr>
            </w:pPr>
            <w:r>
              <w:rPr>
                <w:rFonts w:ascii="Arial" w:cs="Arial" w:eastAsia="Arial" w:hAnsi="Arial"/>
                <w:sz w:val="18"/>
                <w:szCs w:val="18"/>
                <w:color w:val="auto"/>
              </w:rPr>
              <w:t>Date occurring in March 2006, the aggregate amount of which shall equal US</w:t>
            </w:r>
          </w:p>
        </w:tc>
      </w:tr>
    </w:tbl>
    <w:p>
      <w:pPr>
        <w:sectPr>
          <w:pgSz w:w="11900" w:h="16838" w:orient="portrait"/>
          <w:cols w:equalWidth="0" w:num="1">
            <w:col w:w="11420"/>
          </w:cols>
          <w:pgMar w:left="240" w:top="374" w:right="239" w:bottom="0" w:gutter="0" w:footer="0" w:header="0"/>
        </w:sectPr>
      </w:pPr>
    </w:p>
    <w:bookmarkStart w:id="48" w:name="page49"/>
    <w:bookmarkEnd w:id="48"/>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96"/>
              </w:rPr>
              <w:t>$30,000,000 (thirty million United States Dollars). For the removal of doubt, to the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88"/>
              </w:rPr>
              <w:t>extent that the aggregate amounts of Paid-in Equity and/or Additional Subordinated Debt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91"/>
              </w:rPr>
              <w:t>(net of discounts, but not net of commissions, fees and other issuance costs) received</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89"/>
              </w:rPr>
              <w:t>after May 25, 2005 and prior to the Interest Payment Date occurring in March 2006 shall</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88"/>
              </w:rPr>
              <w:t>exceed US $30,000,000 (thirty million United States Dollars), such excess (`the Excess')</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91"/>
              </w:rPr>
              <w:t>shall not constitute an Additional Ninth Amendment Investment and shall be taken into</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92"/>
              </w:rPr>
              <w:t>account towards the Borrower's obligations to raise funds pursuant to clause 16.27.2</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below;”</w:t>
            </w:r>
          </w:p>
        </w:tc>
        <w:tc>
          <w:tcPr>
            <w:tcW w:w="0" w:type="dxa"/>
            <w:vAlign w:val="bottom"/>
          </w:tcPr>
          <w:p>
            <w:pPr>
              <w:spacing w:after="0"/>
              <w:rPr>
                <w:sz w:val="1"/>
                <w:szCs w:val="1"/>
                <w:color w:val="auto"/>
              </w:rPr>
            </w:pPr>
          </w:p>
        </w:tc>
      </w:tr>
      <w:tr>
        <w:trPr>
          <w:trHeight w:val="675"/>
        </w:trPr>
        <w:tc>
          <w:tcPr>
            <w:tcW w:w="4680" w:type="dxa"/>
            <w:vAlign w:val="bottom"/>
          </w:tcPr>
          <w:p>
            <w:pPr>
              <w:spacing w:after="0"/>
              <w:rPr>
                <w:sz w:val="24"/>
                <w:szCs w:val="24"/>
                <w:color w:val="auto"/>
              </w:rPr>
            </w:pPr>
          </w:p>
        </w:tc>
        <w:tc>
          <w:tcPr>
            <w:tcW w:w="6740" w:type="dxa"/>
            <w:vAlign w:val="bottom"/>
          </w:tcPr>
          <w:p>
            <w:pPr>
              <w:ind w:left="880"/>
              <w:spacing w:after="0"/>
              <w:rPr>
                <w:sz w:val="20"/>
                <w:szCs w:val="20"/>
                <w:color w:val="auto"/>
              </w:rPr>
            </w:pPr>
            <w:r>
              <w:rPr>
                <w:rFonts w:ascii="Arial" w:cs="Arial" w:eastAsia="Arial" w:hAnsi="Arial"/>
                <w:sz w:val="18"/>
                <w:szCs w:val="18"/>
                <w:color w:val="auto"/>
              </w:rPr>
              <w:t>- 5 -</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680" w:type="dxa"/>
            <w:vAlign w:val="bottom"/>
            <w:shd w:val="clear" w:color="auto" w:fill="808080"/>
          </w:tcPr>
          <w:p>
            <w:pPr>
              <w:spacing w:after="0"/>
              <w:rPr>
                <w:sz w:val="5"/>
                <w:szCs w:val="5"/>
                <w:color w:val="auto"/>
              </w:rPr>
            </w:pPr>
          </w:p>
        </w:tc>
        <w:tc>
          <w:tcPr>
            <w:tcW w:w="6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80" w:type="dxa"/>
            <w:vAlign w:val="bottom"/>
          </w:tcPr>
          <w:p>
            <w:pPr>
              <w:ind w:left="1720"/>
              <w:spacing w:after="0"/>
              <w:rPr>
                <w:sz w:val="20"/>
                <w:szCs w:val="20"/>
                <w:color w:val="auto"/>
              </w:rPr>
            </w:pPr>
            <w:r>
              <w:rPr>
                <w:rFonts w:ascii="Arial" w:cs="Arial" w:eastAsia="Arial" w:hAnsi="Arial"/>
                <w:sz w:val="18"/>
                <w:szCs w:val="18"/>
                <w:color w:val="auto"/>
              </w:rPr>
              <w:t>2.1.9.4. as new clause 1.1.3D:</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“‘Additional</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Subordinated</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Debt’</w:t>
            </w:r>
          </w:p>
        </w:tc>
        <w:tc>
          <w:tcPr>
            <w:tcW w:w="6740" w:type="dxa"/>
            <w:vAlign w:val="bottom"/>
          </w:tcPr>
          <w:p>
            <w:pPr>
              <w:ind w:left="140"/>
              <w:spacing w:after="0"/>
              <w:rPr>
                <w:sz w:val="20"/>
                <w:szCs w:val="20"/>
                <w:color w:val="auto"/>
              </w:rPr>
            </w:pPr>
            <w:r>
              <w:rPr>
                <w:rFonts w:ascii="Arial" w:cs="Arial" w:eastAsia="Arial" w:hAnsi="Arial"/>
                <w:sz w:val="18"/>
                <w:szCs w:val="18"/>
                <w:color w:val="auto"/>
                <w:w w:val="91"/>
              </w:rPr>
              <w:t>–   means Permitted Subordinated Debt issued after May 25, 2005 and prior to the Interest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95"/>
              </w:rPr>
              <w:t>Payment Date occurring in March 2006, provided that no principal or other amount</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93"/>
              </w:rPr>
              <w:t>(other than periodic Interest at a rate not to exceed 1.5% (one point five percent) per</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89"/>
              </w:rPr>
              <w:t>annum) shall be repayable or repaid earlier than the sixth anniversary of the issuance of</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such Permitted Subordinated Debt;”</w:t>
            </w:r>
          </w:p>
        </w:tc>
        <w:tc>
          <w:tcPr>
            <w:tcW w:w="0" w:type="dxa"/>
            <w:vAlign w:val="bottom"/>
          </w:tcPr>
          <w:p>
            <w:pPr>
              <w:spacing w:after="0"/>
              <w:rPr>
                <w:sz w:val="1"/>
                <w:szCs w:val="1"/>
                <w:color w:val="auto"/>
              </w:rPr>
            </w:pPr>
          </w:p>
        </w:tc>
      </w:tr>
      <w:tr>
        <w:trPr>
          <w:trHeight w:val="459"/>
        </w:trPr>
        <w:tc>
          <w:tcPr>
            <w:tcW w:w="4680" w:type="dxa"/>
            <w:vAlign w:val="bottom"/>
          </w:tcPr>
          <w:p>
            <w:pPr>
              <w:ind w:left="1720"/>
              <w:spacing w:after="0"/>
              <w:rPr>
                <w:sz w:val="20"/>
                <w:szCs w:val="20"/>
                <w:color w:val="auto"/>
              </w:rPr>
            </w:pPr>
            <w:r>
              <w:rPr>
                <w:rFonts w:ascii="Arial" w:cs="Arial" w:eastAsia="Arial" w:hAnsi="Arial"/>
                <w:sz w:val="18"/>
                <w:szCs w:val="18"/>
                <w:color w:val="auto"/>
              </w:rPr>
              <w:t>2.1.9.5. as new clause 1.1.83A:</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“‘Interest</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Payment</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Loan</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Availability</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Period’</w:t>
            </w:r>
          </w:p>
        </w:tc>
        <w:tc>
          <w:tcPr>
            <w:tcW w:w="6740" w:type="dxa"/>
            <w:vAlign w:val="bottom"/>
          </w:tcPr>
          <w:p>
            <w:pPr>
              <w:ind w:left="140"/>
              <w:spacing w:after="0"/>
              <w:rPr>
                <w:sz w:val="20"/>
                <w:szCs w:val="20"/>
                <w:color w:val="auto"/>
              </w:rPr>
            </w:pPr>
            <w:r>
              <w:rPr>
                <w:rFonts w:ascii="Arial" w:cs="Arial" w:eastAsia="Arial" w:hAnsi="Arial"/>
                <w:sz w:val="18"/>
                <w:szCs w:val="18"/>
                <w:color w:val="auto"/>
                <w:w w:val="89"/>
              </w:rPr>
              <w:t>–   means the period commencing on the Ninth Amendment Closing Date and ending on the</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Interest Payment Date occurring in March 2006;”</w:t>
            </w:r>
          </w:p>
        </w:tc>
        <w:tc>
          <w:tcPr>
            <w:tcW w:w="0" w:type="dxa"/>
            <w:vAlign w:val="bottom"/>
          </w:tcPr>
          <w:p>
            <w:pPr>
              <w:spacing w:after="0"/>
              <w:rPr>
                <w:sz w:val="1"/>
                <w:szCs w:val="1"/>
                <w:color w:val="auto"/>
              </w:rPr>
            </w:pPr>
          </w:p>
        </w:tc>
      </w:tr>
      <w:tr>
        <w:trPr>
          <w:trHeight w:val="675"/>
        </w:trPr>
        <w:tc>
          <w:tcPr>
            <w:tcW w:w="4680" w:type="dxa"/>
            <w:vAlign w:val="bottom"/>
          </w:tcPr>
          <w:p>
            <w:pPr>
              <w:spacing w:after="0"/>
              <w:rPr>
                <w:sz w:val="24"/>
                <w:szCs w:val="24"/>
                <w:color w:val="auto"/>
              </w:rPr>
            </w:pPr>
          </w:p>
        </w:tc>
        <w:tc>
          <w:tcPr>
            <w:tcW w:w="6740" w:type="dxa"/>
            <w:vAlign w:val="bottom"/>
          </w:tcPr>
          <w:p>
            <w:pPr>
              <w:ind w:left="880"/>
              <w:spacing w:after="0"/>
              <w:rPr>
                <w:sz w:val="20"/>
                <w:szCs w:val="20"/>
                <w:color w:val="auto"/>
              </w:rPr>
            </w:pPr>
            <w:r>
              <w:rPr>
                <w:rFonts w:ascii="Arial" w:cs="Arial" w:eastAsia="Arial" w:hAnsi="Arial"/>
                <w:sz w:val="18"/>
                <w:szCs w:val="18"/>
                <w:color w:val="auto"/>
              </w:rPr>
              <w:t>- 6 -</w:t>
            </w:r>
          </w:p>
        </w:tc>
        <w:tc>
          <w:tcPr>
            <w:tcW w:w="0" w:type="dxa"/>
            <w:vAlign w:val="bottom"/>
          </w:tcPr>
          <w:p>
            <w:pPr>
              <w:spacing w:after="0"/>
              <w:rPr>
                <w:sz w:val="1"/>
                <w:szCs w:val="1"/>
                <w:color w:val="auto"/>
              </w:rPr>
            </w:pPr>
          </w:p>
        </w:tc>
      </w:tr>
      <w:tr>
        <w:trPr>
          <w:trHeight w:val="174"/>
        </w:trPr>
        <w:tc>
          <w:tcPr>
            <w:tcW w:w="468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680" w:type="dxa"/>
            <w:vAlign w:val="bottom"/>
            <w:shd w:val="clear" w:color="auto" w:fill="808080"/>
          </w:tcPr>
          <w:p>
            <w:pPr>
              <w:spacing w:after="0"/>
              <w:rPr>
                <w:sz w:val="5"/>
                <w:szCs w:val="5"/>
                <w:color w:val="auto"/>
              </w:rPr>
            </w:pPr>
          </w:p>
        </w:tc>
        <w:tc>
          <w:tcPr>
            <w:tcW w:w="67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680" w:type="dxa"/>
            <w:vAlign w:val="bottom"/>
          </w:tcPr>
          <w:p>
            <w:pPr>
              <w:ind w:left="1720"/>
              <w:spacing w:after="0"/>
              <w:rPr>
                <w:sz w:val="20"/>
                <w:szCs w:val="20"/>
                <w:color w:val="auto"/>
              </w:rPr>
            </w:pPr>
            <w:r>
              <w:rPr>
                <w:rFonts w:ascii="Arial" w:cs="Arial" w:eastAsia="Arial" w:hAnsi="Arial"/>
                <w:sz w:val="18"/>
                <w:szCs w:val="18"/>
                <w:color w:val="auto"/>
              </w:rPr>
              <w:t>2.1.9.6. as new clause 1.1.83B:</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“‘Interest</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Payment</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Loans’</w:t>
            </w:r>
          </w:p>
        </w:tc>
        <w:tc>
          <w:tcPr>
            <w:tcW w:w="6740" w:type="dxa"/>
            <w:vAlign w:val="bottom"/>
          </w:tcPr>
          <w:p>
            <w:pPr>
              <w:ind w:left="140"/>
              <w:spacing w:after="0"/>
              <w:rPr>
                <w:sz w:val="20"/>
                <w:szCs w:val="20"/>
                <w:color w:val="auto"/>
              </w:rPr>
            </w:pPr>
            <w:r>
              <w:rPr>
                <w:rFonts w:ascii="Arial" w:cs="Arial" w:eastAsia="Arial" w:hAnsi="Arial"/>
                <w:sz w:val="18"/>
                <w:szCs w:val="18"/>
                <w:color w:val="auto"/>
                <w:w w:val="89"/>
              </w:rPr>
              <w:t>–   means Loans actually made by the Banks to the Borrower pursuant to the increase in the</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w w:val="89"/>
              </w:rPr>
              <w:t>Facility available to the Borrower described in the last paragraph of clause 2.1 below, all</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as set out in, and subject to, the terms and conditions of, clause 16.36 below;”</w:t>
            </w:r>
          </w:p>
        </w:tc>
        <w:tc>
          <w:tcPr>
            <w:tcW w:w="0" w:type="dxa"/>
            <w:vAlign w:val="bottom"/>
          </w:tcPr>
          <w:p>
            <w:pPr>
              <w:spacing w:after="0"/>
              <w:rPr>
                <w:sz w:val="1"/>
                <w:szCs w:val="1"/>
                <w:color w:val="auto"/>
              </w:rPr>
            </w:pPr>
          </w:p>
        </w:tc>
      </w:tr>
      <w:tr>
        <w:trPr>
          <w:trHeight w:val="459"/>
        </w:trPr>
        <w:tc>
          <w:tcPr>
            <w:tcW w:w="4680" w:type="dxa"/>
            <w:vAlign w:val="bottom"/>
          </w:tcPr>
          <w:p>
            <w:pPr>
              <w:ind w:left="1720"/>
              <w:spacing w:after="0"/>
              <w:rPr>
                <w:sz w:val="20"/>
                <w:szCs w:val="20"/>
                <w:color w:val="auto"/>
              </w:rPr>
            </w:pPr>
            <w:r>
              <w:rPr>
                <w:rFonts w:ascii="Arial" w:cs="Arial" w:eastAsia="Arial" w:hAnsi="Arial"/>
                <w:sz w:val="18"/>
                <w:szCs w:val="18"/>
                <w:color w:val="auto"/>
              </w:rPr>
              <w:t>2.1.9.7. as new clause 1.1.107A:</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w w:val="99"/>
              </w:rPr>
              <w:t>“‘Ninth Amendment'’</w:t>
            </w:r>
          </w:p>
        </w:tc>
        <w:tc>
          <w:tcPr>
            <w:tcW w:w="6740" w:type="dxa"/>
            <w:vAlign w:val="bottom"/>
            <w:vMerge w:val="restart"/>
          </w:tcPr>
          <w:p>
            <w:pPr>
              <w:ind w:left="140"/>
              <w:spacing w:after="0"/>
              <w:rPr>
                <w:sz w:val="20"/>
                <w:szCs w:val="20"/>
                <w:color w:val="auto"/>
              </w:rPr>
            </w:pPr>
            <w:r>
              <w:rPr>
                <w:rFonts w:ascii="Arial" w:cs="Arial" w:eastAsia="Arial" w:hAnsi="Arial"/>
                <w:sz w:val="18"/>
                <w:szCs w:val="18"/>
                <w:color w:val="auto"/>
              </w:rPr>
              <w:t>–   shall bear the meaning assigned to such term in the Ninth Amendment to this</w:t>
            </w: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6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Agreement;”</w:t>
            </w:r>
          </w:p>
        </w:tc>
        <w:tc>
          <w:tcPr>
            <w:tcW w:w="0" w:type="dxa"/>
            <w:vAlign w:val="bottom"/>
          </w:tcPr>
          <w:p>
            <w:pPr>
              <w:spacing w:after="0"/>
              <w:rPr>
                <w:sz w:val="1"/>
                <w:szCs w:val="1"/>
                <w:color w:val="auto"/>
              </w:rPr>
            </w:pPr>
          </w:p>
        </w:tc>
      </w:tr>
      <w:tr>
        <w:trPr>
          <w:trHeight w:val="459"/>
        </w:trPr>
        <w:tc>
          <w:tcPr>
            <w:tcW w:w="4680" w:type="dxa"/>
            <w:vAlign w:val="bottom"/>
          </w:tcPr>
          <w:p>
            <w:pPr>
              <w:ind w:left="1720"/>
              <w:spacing w:after="0"/>
              <w:rPr>
                <w:sz w:val="20"/>
                <w:szCs w:val="20"/>
                <w:color w:val="auto"/>
              </w:rPr>
            </w:pPr>
            <w:r>
              <w:rPr>
                <w:rFonts w:ascii="Arial" w:cs="Arial" w:eastAsia="Arial" w:hAnsi="Arial"/>
                <w:sz w:val="18"/>
                <w:szCs w:val="18"/>
                <w:color w:val="auto"/>
              </w:rPr>
              <w:t>2.1.9.8. as new clause 1.1.107B:</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“‘Ninth</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Amendment</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Closing</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Date’</w:t>
            </w:r>
          </w:p>
        </w:tc>
        <w:tc>
          <w:tcPr>
            <w:tcW w:w="6740" w:type="dxa"/>
            <w:vAlign w:val="bottom"/>
          </w:tcPr>
          <w:p>
            <w:pPr>
              <w:ind w:left="140"/>
              <w:spacing w:after="0"/>
              <w:rPr>
                <w:sz w:val="20"/>
                <w:szCs w:val="20"/>
                <w:color w:val="auto"/>
              </w:rPr>
            </w:pPr>
            <w:r>
              <w:rPr>
                <w:rFonts w:ascii="Arial" w:cs="Arial" w:eastAsia="Arial" w:hAnsi="Arial"/>
                <w:sz w:val="18"/>
                <w:szCs w:val="18"/>
                <w:color w:val="auto"/>
              </w:rPr>
              <w:t>–   shall bear the meaning assigned to such term in the Ninth Amendment;“</w:t>
            </w:r>
          </w:p>
        </w:tc>
        <w:tc>
          <w:tcPr>
            <w:tcW w:w="0" w:type="dxa"/>
            <w:vAlign w:val="bottom"/>
          </w:tcPr>
          <w:p>
            <w:pPr>
              <w:spacing w:after="0"/>
              <w:rPr>
                <w:sz w:val="1"/>
                <w:szCs w:val="1"/>
                <w:color w:val="auto"/>
              </w:rPr>
            </w:pPr>
          </w:p>
        </w:tc>
      </w:tr>
      <w:tr>
        <w:trPr>
          <w:trHeight w:val="459"/>
        </w:trPr>
        <w:tc>
          <w:tcPr>
            <w:tcW w:w="4680" w:type="dxa"/>
            <w:vAlign w:val="bottom"/>
          </w:tcPr>
          <w:p>
            <w:pPr>
              <w:ind w:left="2300"/>
              <w:spacing w:after="0"/>
              <w:rPr>
                <w:sz w:val="20"/>
                <w:szCs w:val="20"/>
                <w:color w:val="auto"/>
              </w:rPr>
            </w:pPr>
            <w:r>
              <w:rPr>
                <w:rFonts w:ascii="Arial" w:cs="Arial" w:eastAsia="Arial" w:hAnsi="Arial"/>
                <w:sz w:val="18"/>
                <w:szCs w:val="18"/>
                <w:color w:val="auto"/>
              </w:rPr>
              <w:t>and</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680" w:type="dxa"/>
            <w:vAlign w:val="bottom"/>
          </w:tcPr>
          <w:p>
            <w:pPr>
              <w:ind w:left="1720"/>
              <w:spacing w:after="0"/>
              <w:rPr>
                <w:sz w:val="20"/>
                <w:szCs w:val="20"/>
                <w:color w:val="auto"/>
              </w:rPr>
            </w:pPr>
            <w:r>
              <w:rPr>
                <w:rFonts w:ascii="Arial" w:cs="Arial" w:eastAsia="Arial" w:hAnsi="Arial"/>
                <w:sz w:val="18"/>
                <w:szCs w:val="18"/>
                <w:color w:val="auto"/>
              </w:rPr>
              <w:t>2.1.9.9. as new clause 1.1.107C:</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“‘Ninth</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Amendment</w:t>
            </w:r>
          </w:p>
        </w:tc>
        <w:tc>
          <w:tcPr>
            <w:tcW w:w="6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tcPr>
          <w:p>
            <w:pPr>
              <w:ind w:left="2880"/>
              <w:spacing w:after="0"/>
              <w:rPr>
                <w:sz w:val="20"/>
                <w:szCs w:val="20"/>
                <w:color w:val="auto"/>
              </w:rPr>
            </w:pPr>
            <w:r>
              <w:rPr>
                <w:rFonts w:ascii="Arial" w:cs="Arial" w:eastAsia="Arial" w:hAnsi="Arial"/>
                <w:sz w:val="18"/>
                <w:szCs w:val="18"/>
                <w:b w:val="1"/>
                <w:bCs w:val="1"/>
                <w:color w:val="auto"/>
              </w:rPr>
              <w:t>Side Letter’</w:t>
            </w:r>
          </w:p>
        </w:tc>
        <w:tc>
          <w:tcPr>
            <w:tcW w:w="6740" w:type="dxa"/>
            <w:vAlign w:val="bottom"/>
          </w:tcPr>
          <w:p>
            <w:pPr>
              <w:ind w:left="140"/>
              <w:spacing w:after="0"/>
              <w:rPr>
                <w:sz w:val="20"/>
                <w:szCs w:val="20"/>
                <w:color w:val="auto"/>
              </w:rPr>
            </w:pPr>
            <w:r>
              <w:rPr>
                <w:rFonts w:ascii="Arial" w:cs="Arial" w:eastAsia="Arial" w:hAnsi="Arial"/>
                <w:sz w:val="18"/>
                <w:szCs w:val="18"/>
                <w:color w:val="auto"/>
                <w:w w:val="94"/>
              </w:rPr>
              <w:t>–   means the side letter or letters, dated the date hereof, between the Borrower and the</w:t>
            </w:r>
          </w:p>
        </w:tc>
        <w:tc>
          <w:tcPr>
            <w:tcW w:w="0" w:type="dxa"/>
            <w:vAlign w:val="bottom"/>
          </w:tcPr>
          <w:p>
            <w:pPr>
              <w:spacing w:after="0"/>
              <w:rPr>
                <w:sz w:val="1"/>
                <w:szCs w:val="1"/>
                <w:color w:val="auto"/>
              </w:rPr>
            </w:pPr>
          </w:p>
        </w:tc>
      </w:tr>
      <w:tr>
        <w:trPr>
          <w:trHeight w:val="222"/>
        </w:trPr>
        <w:tc>
          <w:tcPr>
            <w:tcW w:w="468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Banks;”</w:t>
            </w:r>
          </w:p>
        </w:tc>
        <w:tc>
          <w:tcPr>
            <w:tcW w:w="0" w:type="dxa"/>
            <w:vAlign w:val="bottom"/>
          </w:tcPr>
          <w:p>
            <w:pPr>
              <w:spacing w:after="0"/>
              <w:rPr>
                <w:sz w:val="1"/>
                <w:szCs w:val="1"/>
                <w:color w:val="auto"/>
              </w:rPr>
            </w:pPr>
          </w:p>
        </w:tc>
      </w:tr>
      <w:tr>
        <w:trPr>
          <w:trHeight w:val="675"/>
        </w:trPr>
        <w:tc>
          <w:tcPr>
            <w:tcW w:w="4680" w:type="dxa"/>
            <w:vAlign w:val="bottom"/>
          </w:tcPr>
          <w:p>
            <w:pPr>
              <w:spacing w:after="0"/>
              <w:rPr>
                <w:sz w:val="24"/>
                <w:szCs w:val="24"/>
                <w:color w:val="auto"/>
              </w:rPr>
            </w:pPr>
          </w:p>
        </w:tc>
        <w:tc>
          <w:tcPr>
            <w:tcW w:w="6740" w:type="dxa"/>
            <w:vAlign w:val="bottom"/>
          </w:tcPr>
          <w:p>
            <w:pPr>
              <w:ind w:left="880"/>
              <w:spacing w:after="0"/>
              <w:rPr>
                <w:sz w:val="20"/>
                <w:szCs w:val="20"/>
                <w:color w:val="auto"/>
              </w:rPr>
            </w:pPr>
            <w:r>
              <w:rPr>
                <w:rFonts w:ascii="Arial" w:cs="Arial" w:eastAsia="Arial" w:hAnsi="Arial"/>
                <w:sz w:val="18"/>
                <w:szCs w:val="18"/>
                <w:color w:val="auto"/>
              </w:rPr>
              <w:t>- 7 -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11"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Clause 2.1 (</w:t>
      </w:r>
      <w:r>
        <w:rPr>
          <w:rFonts w:ascii="Arial" w:cs="Arial" w:eastAsia="Arial" w:hAnsi="Arial"/>
          <w:sz w:val="16"/>
          <w:szCs w:val="16"/>
          <w:i w:val="1"/>
          <w:iCs w:val="1"/>
          <w:color w:val="auto"/>
        </w:rPr>
        <w:t>Grant of Facility</w:t>
      </w:r>
      <w:r>
        <w:rPr>
          <w:rFonts w:ascii="Arial" w:cs="Arial" w:eastAsia="Arial" w:hAnsi="Arial"/>
          <w:sz w:val="16"/>
          <w:szCs w:val="16"/>
          <w:color w:val="auto"/>
        </w:rPr>
        <w:t>) shall be amended by adding the following as a third paragraph thereof:</w:t>
      </w:r>
    </w:p>
    <w:p>
      <w:pPr>
        <w:spacing w:after="0" w:line="252" w:lineRule="exact"/>
        <w:rPr>
          <w:sz w:val="20"/>
          <w:szCs w:val="20"/>
          <w:color w:val="auto"/>
        </w:rPr>
      </w:pPr>
    </w:p>
    <w:p>
      <w:pPr>
        <w:ind w:left="1720"/>
        <w:spacing w:after="0" w:line="298" w:lineRule="auto"/>
        <w:rPr>
          <w:sz w:val="20"/>
          <w:szCs w:val="20"/>
          <w:color w:val="auto"/>
        </w:rPr>
      </w:pPr>
      <w:r>
        <w:rPr>
          <w:rFonts w:ascii="Arial" w:cs="Arial" w:eastAsia="Arial" w:hAnsi="Arial"/>
          <w:sz w:val="16"/>
          <w:szCs w:val="16"/>
          <w:color w:val="auto"/>
        </w:rPr>
        <w:t>“In addition, subject to, and otherwise in accordance with, the terms and conditions of clause 16.36 below, the Banks agree to increase the Facility by an aggregate amount equal to up to the lesser of: (a) Interest actually paid by the Borrower to the Banks during Fiscal Year 2005; and (b) US $30,000,000 (thirty million United States Dollars), such increased amount of the Facility to be made available by way of Interest Payment Loans, all as set out in, and subject to the terms and conditions of, clause 16.36 below.”</w:t>
      </w:r>
    </w:p>
    <w:p>
      <w:pPr>
        <w:sectPr>
          <w:pgSz w:w="11900" w:h="16952" w:orient="portrait"/>
          <w:cols w:equalWidth="0" w:num="1">
            <w:col w:w="11420"/>
          </w:cols>
          <w:pgMar w:left="240" w:top="131" w:right="239" w:bottom="0" w:gutter="0" w:footer="0" w:header="0"/>
        </w:sectPr>
      </w:pPr>
    </w:p>
    <w:bookmarkStart w:id="49" w:name="page50"/>
    <w:bookmarkEnd w:id="49"/>
    <w:p>
      <w:pPr>
        <w:spacing w:after="0"/>
        <w:tabs>
          <w:tab w:leader="none" w:pos="5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Clause 5 (</w:t>
      </w:r>
      <w:r>
        <w:rPr>
          <w:rFonts w:ascii="Arial" w:cs="Arial" w:eastAsia="Arial" w:hAnsi="Arial"/>
          <w:sz w:val="16"/>
          <w:szCs w:val="16"/>
          <w:i w:val="1"/>
          <w:iCs w:val="1"/>
          <w:color w:val="auto"/>
        </w:rPr>
        <w:t>Availability of Credits</w:t>
      </w:r>
      <w:r>
        <w:rPr>
          <w:rFonts w:ascii="Arial" w:cs="Arial" w:eastAsia="Arial" w:hAnsi="Arial"/>
          <w:sz w:val="16"/>
          <w:szCs w:val="16"/>
          <w:color w:val="auto"/>
        </w:rPr>
        <w:t>) shall be amended as follows:</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clause 5.1.1(ii) shall be amended by adding the following at the end thereof:</w:t>
      </w:r>
    </w:p>
    <w:p>
      <w:pPr>
        <w:spacing w:after="0" w:line="252" w:lineRule="exact"/>
        <w:rPr>
          <w:sz w:val="20"/>
          <w:szCs w:val="20"/>
          <w:color w:val="auto"/>
        </w:rPr>
      </w:pPr>
    </w:p>
    <w:p>
      <w:pPr>
        <w:ind w:left="1720" w:right="100"/>
        <w:spacing w:after="0" w:line="306" w:lineRule="auto"/>
        <w:rPr>
          <w:sz w:val="20"/>
          <w:szCs w:val="20"/>
          <w:color w:val="auto"/>
        </w:rPr>
      </w:pPr>
      <w:r>
        <w:rPr>
          <w:rFonts w:ascii="Arial" w:cs="Arial" w:eastAsia="Arial" w:hAnsi="Arial"/>
          <w:sz w:val="16"/>
          <w:szCs w:val="16"/>
          <w:color w:val="auto"/>
        </w:rPr>
        <w:t>“Notwithstanding anything to the contrary in this clause 5.1.1(ii) above, neither any Interest Payment Loan, nor any Additional Ninth Amendment Investment, shall be taken into account for the purposes of this clause 5.1.1(ii). For the removal of doubt, any Excess (as defined in clause 1.1.3C above) shall be taken into account for the purposes of this clause 5.1.1(ii).”</w:t>
      </w:r>
    </w:p>
    <w:p>
      <w:pPr>
        <w:spacing w:after="0" w:line="188"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5"/>
          <w:szCs w:val="15"/>
          <w:color w:val="auto"/>
        </w:rPr>
        <w:t>the opening paragraph of clause 5.1.4 shall be amended to read as follows:</w:t>
      </w:r>
    </w:p>
    <w:p>
      <w:pPr>
        <w:spacing w:after="0" w:line="252" w:lineRule="exact"/>
        <w:rPr>
          <w:sz w:val="20"/>
          <w:szCs w:val="20"/>
          <w:color w:val="auto"/>
        </w:rPr>
      </w:pPr>
    </w:p>
    <w:p>
      <w:pPr>
        <w:ind w:left="1720" w:right="40"/>
        <w:spacing w:after="0" w:line="285" w:lineRule="auto"/>
        <w:rPr>
          <w:sz w:val="20"/>
          <w:szCs w:val="20"/>
          <w:color w:val="auto"/>
        </w:rPr>
      </w:pPr>
      <w:r>
        <w:rPr>
          <w:rFonts w:ascii="Arial" w:cs="Arial" w:eastAsia="Arial" w:hAnsi="Arial"/>
          <w:sz w:val="16"/>
          <w:szCs w:val="16"/>
          <w:color w:val="auto"/>
        </w:rPr>
        <w:t>“Credits shall be made during the Availability Period only (except that Safety Net Loans, if any, may be provided after the Availability Period pursuant to clause 16.34 below and Interest Payment Loans may be provided after the Availability Period during the Interest Payment Loan Availability Period pursuant to clause 16.36 below) and then only if all the following conditions for each specific type of Credit specified hereunder in this clause 5 and, with respect to Safety Net Loans, also in addition to those conditions specified in clause 16.34 below and, with respect to Interest Payment Loans, also in addition to those conditions specified in clause 16.36 below) are fulfilled; provided that only clauses 5.1.4.2, 5.2.3, 5.2.4, 5.2.5, 5.2.6 and 5.2.7 below and the delivery of a Drawdown Request in respect thereof shall constitute conditions for the making of Safety Net Loans and, provided further, that only clauses 5.1.4.2, 5.1.4.3, 5.1.4.4, 5.1.4.5 (but only with respect to the first sentence of clause 15.2, the first two sentences of clause 15.3, clause 15.4 (except that solely for purposes of the repetition of the representations and warranties in such clause 15.4 as a condition to the making of the Interest Payment Loan, the words “or any of the Material Contracts” shall be deemed to be deleted therefrom), paragraph (ii) of clause 15.18.1 (except that solely for purposes of the repetition of the representations and warranties in such paragraph (ii) of clause 15.18.1 as a condition to the making of the Interest Payment Loan, the words “or under the Material Contracts” shall be deemed to be deleted therefrom) and clause 15.28), 5.2.1, 5.2.3, 5.2.4, 5.2.5 and 5.2.7 below shall constitute conditions for the making of Interest Payment Loans.”</w:t>
      </w:r>
    </w:p>
    <w:p>
      <w:pPr>
        <w:spacing w:after="0" w:line="200" w:lineRule="exact"/>
        <w:rPr>
          <w:sz w:val="20"/>
          <w:szCs w:val="20"/>
          <w:color w:val="auto"/>
        </w:rPr>
      </w:pPr>
    </w:p>
    <w:p>
      <w:pPr>
        <w:spacing w:after="0" w:line="22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5"/>
          <w:szCs w:val="15"/>
          <w:color w:val="auto"/>
        </w:rPr>
        <w:t>clause 5.1.4.2 shall be amended by adding the following thereto:</w:t>
      </w:r>
    </w:p>
    <w:p>
      <w:pPr>
        <w:spacing w:after="0" w:line="252"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“and an Interest Payment Loan may be made after the Termination Date during the Interest Payment Loan Availability Period;"</w:t>
      </w:r>
    </w:p>
    <w:p>
      <w:pPr>
        <w:spacing w:after="0" w:line="3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5"/>
          <w:szCs w:val="15"/>
          <w:color w:val="auto"/>
        </w:rPr>
        <w:t>clause 5.2.2 shall be amended by adding the words “or Interest Payment Loans” after the words “Safety Net Loans”.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Clause 6.1 (</w:t>
      </w:r>
      <w:r>
        <w:rPr>
          <w:rFonts w:ascii="Arial" w:cs="Arial" w:eastAsia="Arial" w:hAnsi="Arial"/>
          <w:sz w:val="15"/>
          <w:szCs w:val="15"/>
          <w:i w:val="1"/>
          <w:iCs w:val="1"/>
          <w:color w:val="auto"/>
        </w:rPr>
        <w:t>Repayment of Loans</w:t>
      </w:r>
      <w:r>
        <w:rPr>
          <w:rFonts w:ascii="Arial" w:cs="Arial" w:eastAsia="Arial" w:hAnsi="Arial"/>
          <w:sz w:val="15"/>
          <w:szCs w:val="15"/>
          <w:color w:val="auto"/>
        </w:rPr>
        <w:t>) shall be amended as follows:</w:t>
      </w:r>
    </w:p>
    <w:p>
      <w:pPr>
        <w:spacing w:after="0" w:line="252" w:lineRule="exact"/>
        <w:rPr>
          <w:sz w:val="20"/>
          <w:szCs w:val="20"/>
          <w:color w:val="auto"/>
        </w:rPr>
      </w:pPr>
    </w:p>
    <w:p>
      <w:pPr>
        <w:ind w:left="1140" w:right="80" w:hanging="566"/>
        <w:spacing w:after="0" w:line="268" w:lineRule="auto"/>
        <w:tabs>
          <w:tab w:leader="none" w:pos="1120" w:val="left"/>
        </w:tabs>
        <w:rPr>
          <w:sz w:val="20"/>
          <w:szCs w:val="20"/>
          <w:color w:val="auto"/>
        </w:rPr>
      </w:pPr>
      <w:r>
        <w:rPr>
          <w:rFonts w:ascii="Arial" w:cs="Arial" w:eastAsia="Arial" w:hAnsi="Arial"/>
          <w:sz w:val="18"/>
          <w:szCs w:val="18"/>
          <w:color w:val="auto"/>
        </w:rPr>
        <w:t>2.4.1.</w:t>
        <w:tab/>
        <w:t>the words “or Interest Payment Loans” shall be added after the words “Safety Net Loans” in the first parenthetical phrase in clause 6.1.2; and</w:t>
      </w:r>
    </w:p>
    <w:p>
      <w:pPr>
        <w:spacing w:after="0" w:line="21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5"/>
          <w:szCs w:val="15"/>
          <w:color w:val="auto"/>
        </w:rPr>
        <w:t>a new clause 6.1.4 shall be added to read as follows:</w:t>
      </w:r>
    </w:p>
    <w:p>
      <w:pPr>
        <w:spacing w:after="0" w:line="252" w:lineRule="exact"/>
        <w:rPr>
          <w:sz w:val="20"/>
          <w:szCs w:val="20"/>
          <w:color w:val="auto"/>
        </w:rPr>
      </w:pPr>
    </w:p>
    <w:p>
      <w:pPr>
        <w:ind w:left="2300" w:right="500" w:hanging="579"/>
        <w:spacing w:after="0" w:line="268" w:lineRule="auto"/>
        <w:tabs>
          <w:tab w:leader="none" w:pos="2280" w:val="left"/>
        </w:tabs>
        <w:rPr>
          <w:sz w:val="20"/>
          <w:szCs w:val="20"/>
          <w:color w:val="auto"/>
        </w:rPr>
      </w:pPr>
      <w:r>
        <w:rPr>
          <w:rFonts w:ascii="Arial" w:cs="Arial" w:eastAsia="Arial" w:hAnsi="Arial"/>
          <w:sz w:val="18"/>
          <w:szCs w:val="18"/>
          <w:color w:val="auto"/>
        </w:rPr>
        <w:t>“6.1.4.</w:t>
        <w:tab/>
        <w:t>With respect to Interest Payment Loans, the Borrower shall repay to each Bank its Proportion of each such Interest Payment Loan on the Loan Maturity Date for such Interest Payment Loan.”</w:t>
      </w:r>
    </w:p>
    <w:p>
      <w:pPr>
        <w:spacing w:after="0" w:line="213" w:lineRule="exact"/>
        <w:rPr>
          <w:sz w:val="20"/>
          <w:szCs w:val="20"/>
          <w:color w:val="auto"/>
        </w:rPr>
      </w:pPr>
    </w:p>
    <w:p>
      <w:pPr>
        <w:ind w:left="580" w:right="440" w:hanging="566"/>
        <w:spacing w:after="0" w:line="268" w:lineRule="auto"/>
        <w:tabs>
          <w:tab w:leader="none" w:pos="5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Clause 7 (</w:t>
      </w:r>
      <w:r>
        <w:rPr>
          <w:rFonts w:ascii="Arial" w:cs="Arial" w:eastAsia="Arial" w:hAnsi="Arial"/>
          <w:sz w:val="18"/>
          <w:szCs w:val="18"/>
          <w:i w:val="1"/>
          <w:iCs w:val="1"/>
          <w:color w:val="auto"/>
        </w:rPr>
        <w:t>Voluntary Prepayment</w:t>
      </w:r>
      <w:r>
        <w:rPr>
          <w:rFonts w:ascii="Arial" w:cs="Arial" w:eastAsia="Arial" w:hAnsi="Arial"/>
          <w:sz w:val="18"/>
          <w:szCs w:val="18"/>
          <w:color w:val="auto"/>
        </w:rPr>
        <w:t>) shall be amended by adding the words “or Interest Payment Loans” after the words “Safety Net Loans” in clause 7.5.</w:t>
      </w:r>
    </w:p>
    <w:p>
      <w:pPr>
        <w:spacing w:after="0" w:line="200" w:lineRule="exact"/>
        <w:rPr>
          <w:sz w:val="20"/>
          <w:szCs w:val="20"/>
          <w:color w:val="auto"/>
        </w:rPr>
      </w:pPr>
    </w:p>
    <w:p>
      <w:pPr>
        <w:spacing w:after="0" w:line="22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Clause 9.1 (</w:t>
      </w:r>
      <w:r>
        <w:rPr>
          <w:rFonts w:ascii="Arial" w:cs="Arial" w:eastAsia="Arial" w:hAnsi="Arial"/>
          <w:sz w:val="18"/>
          <w:szCs w:val="18"/>
          <w:i w:val="1"/>
          <w:iCs w:val="1"/>
          <w:color w:val="auto"/>
        </w:rPr>
        <w:t>Interest Rate</w:t>
      </w:r>
      <w:r>
        <w:rPr>
          <w:rFonts w:ascii="Arial" w:cs="Arial" w:eastAsia="Arial" w:hAnsi="Arial"/>
          <w:sz w:val="18"/>
          <w:szCs w:val="18"/>
          <w:color w:val="auto"/>
        </w:rPr>
        <w:t>) shall be amended by adding the words “and Interest Payment Loans” after the words “Safety Net Loans” in clause 9.1.1 and by adding a new clause 9.1.3 thereto to read as follows:</w:t>
      </w:r>
    </w:p>
    <w:p>
      <w:pPr>
        <w:spacing w:after="0" w:line="213" w:lineRule="exact"/>
        <w:rPr>
          <w:sz w:val="20"/>
          <w:szCs w:val="20"/>
          <w:color w:val="auto"/>
        </w:rPr>
      </w:pPr>
    </w:p>
    <w:p>
      <w:pPr>
        <w:ind w:left="1720" w:right="120" w:hanging="579"/>
        <w:spacing w:after="0" w:line="370" w:lineRule="auto"/>
        <w:tabs>
          <w:tab w:leader="none" w:pos="1700" w:val="left"/>
        </w:tabs>
        <w:rPr>
          <w:sz w:val="20"/>
          <w:szCs w:val="20"/>
          <w:color w:val="auto"/>
        </w:rPr>
      </w:pPr>
      <w:r>
        <w:rPr>
          <w:rFonts w:ascii="Arial" w:cs="Arial" w:eastAsia="Arial" w:hAnsi="Arial"/>
          <w:sz w:val="15"/>
          <w:szCs w:val="15"/>
          <w:color w:val="auto"/>
        </w:rPr>
        <w:t>“9.1.3.</w:t>
        <w:tab/>
        <w:t>with respect to Interest Payment Loans, the sum of: (a) the rate per annum determined by the Banks to be LIBOR on the Interest Determination Date for such Interest Period; and (b) the percentage per annum set out in the Ninth Amendment Side Letter;.”</w:t>
      </w:r>
    </w:p>
    <w:p>
      <w:pPr>
        <w:spacing w:after="0" w:line="14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5"/>
          <w:szCs w:val="15"/>
          <w:color w:val="auto"/>
        </w:rPr>
        <w:t>Clause 11 (</w:t>
      </w:r>
      <w:r>
        <w:rPr>
          <w:rFonts w:ascii="Arial" w:cs="Arial" w:eastAsia="Arial" w:hAnsi="Arial"/>
          <w:sz w:val="15"/>
          <w:szCs w:val="15"/>
          <w:i w:val="1"/>
          <w:iCs w:val="1"/>
          <w:color w:val="auto"/>
        </w:rPr>
        <w:t>Commissions, Fees and Expenses</w:t>
      </w:r>
      <w:r>
        <w:rPr>
          <w:rFonts w:ascii="Arial" w:cs="Arial" w:eastAsia="Arial" w:hAnsi="Arial"/>
          <w:sz w:val="15"/>
          <w:szCs w:val="15"/>
          <w:color w:val="auto"/>
        </w:rPr>
        <w:t>) shall be amended as follows:</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color w:val="auto"/>
        </w:rPr>
        <w:t>clause 11.1 shall be amended to read as follows:</w:t>
      </w:r>
    </w:p>
    <w:p>
      <w:pPr>
        <w:spacing w:after="0" w:line="246" w:lineRule="exact"/>
        <w:rPr>
          <w:sz w:val="20"/>
          <w:szCs w:val="20"/>
          <w:color w:val="auto"/>
        </w:rPr>
      </w:pPr>
    </w:p>
    <w:p>
      <w:pPr>
        <w:ind w:left="1720"/>
        <w:spacing w:after="0"/>
        <w:tabs>
          <w:tab w:leader="none" w:pos="2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5"/>
          <w:szCs w:val="15"/>
          <w:b w:val="1"/>
          <w:bCs w:val="1"/>
          <w:u w:val="single" w:color="auto"/>
          <w:color w:val="auto"/>
        </w:rPr>
        <w:t>Ninth Amendment Fees</w:t>
      </w:r>
    </w:p>
    <w:p>
      <w:pPr>
        <w:spacing w:after="0" w:line="258" w:lineRule="exact"/>
        <w:rPr>
          <w:sz w:val="20"/>
          <w:szCs w:val="20"/>
          <w:color w:val="auto"/>
        </w:rPr>
      </w:pPr>
    </w:p>
    <w:p>
      <w:pPr>
        <w:ind w:left="2300" w:right="300"/>
        <w:spacing w:after="0" w:line="268" w:lineRule="auto"/>
        <w:rPr>
          <w:sz w:val="20"/>
          <w:szCs w:val="20"/>
          <w:color w:val="auto"/>
        </w:rPr>
      </w:pPr>
      <w:r>
        <w:rPr>
          <w:rFonts w:ascii="Arial" w:cs="Arial" w:eastAsia="Arial" w:hAnsi="Arial"/>
          <w:sz w:val="18"/>
          <w:szCs w:val="18"/>
          <w:color w:val="auto"/>
        </w:rPr>
        <w:t>The Borrower shall pay to each of the Banks, in accordance with, and on the dates set forth in, the Ninth Amendment Side Letter, the fees set out in the Ninth Amendment Side Letter.”</w:t>
      </w:r>
    </w:p>
    <w:p>
      <w:pPr>
        <w:spacing w:after="0" w:line="21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5"/>
          <w:szCs w:val="15"/>
          <w:color w:val="auto"/>
        </w:rPr>
        <w:t>clause 11.2 (</w:t>
      </w:r>
      <w:r>
        <w:rPr>
          <w:rFonts w:ascii="Arial" w:cs="Arial" w:eastAsia="Arial" w:hAnsi="Arial"/>
          <w:sz w:val="15"/>
          <w:szCs w:val="15"/>
          <w:i w:val="1"/>
          <w:iCs w:val="1"/>
          <w:color w:val="auto"/>
        </w:rPr>
        <w:t>Commitment Commission</w:t>
      </w:r>
      <w:r>
        <w:rPr>
          <w:rFonts w:ascii="Arial" w:cs="Arial" w:eastAsia="Arial" w:hAnsi="Arial"/>
          <w:sz w:val="15"/>
          <w:szCs w:val="15"/>
          <w:color w:val="auto"/>
        </w:rPr>
        <w:t>) shall be amended as follows:</w:t>
      </w:r>
    </w:p>
    <w:p>
      <w:pPr>
        <w:sectPr>
          <w:pgSz w:w="11900" w:h="16838" w:orient="portrait"/>
          <w:cols w:equalWidth="0" w:num="1">
            <w:col w:w="10840"/>
          </w:cols>
          <w:pgMar w:left="820" w:top="374" w:right="239" w:bottom="0" w:gutter="0" w:footer="0" w:header="0"/>
        </w:sectPr>
      </w:pPr>
    </w:p>
    <w:bookmarkStart w:id="50" w:name="page51"/>
    <w:bookmarkEnd w:id="50"/>
    <w:p>
      <w:pPr>
        <w:spacing w:after="0" w:line="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2.7.2.1. the first sentence of clause 11.2 shall read as follows:</w:t>
      </w:r>
    </w:p>
    <w:p>
      <w:pPr>
        <w:spacing w:after="0" w:line="252" w:lineRule="exact"/>
        <w:rPr>
          <w:sz w:val="20"/>
          <w:szCs w:val="20"/>
          <w:color w:val="auto"/>
        </w:rPr>
      </w:pPr>
    </w:p>
    <w:p>
      <w:pPr>
        <w:ind w:left="1720" w:right="300"/>
        <w:spacing w:after="0" w:line="255" w:lineRule="auto"/>
        <w:rPr>
          <w:sz w:val="20"/>
          <w:szCs w:val="20"/>
          <w:color w:val="auto"/>
        </w:rPr>
      </w:pPr>
      <w:r>
        <w:rPr>
          <w:rFonts w:ascii="Arial" w:cs="Arial" w:eastAsia="Arial" w:hAnsi="Arial"/>
          <w:sz w:val="18"/>
          <w:szCs w:val="18"/>
          <w:color w:val="auto"/>
        </w:rPr>
        <w:t>“The Borrower shall, from and after the date of signature of the Ninth Amendment to this Agreement through the end of the Interest Payment Loan Availability Period, pay to each of the Banks a Commitment commission at the rate per annum as specified in the Ninth Amendment Side Letter on such Bank’s Available Commitment with respect to Interest Payment Loans from time to time as from the date set out in the Ninth Amendment Side Letter until the last day of the Interest Payment Loan Availability Period.”</w:t>
      </w:r>
    </w:p>
    <w:p>
      <w:pPr>
        <w:spacing w:after="0" w:line="22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and</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2.7.2.2. the third and fourth sentences shall be deleted.</w:t>
      </w:r>
    </w:p>
    <w:p>
      <w:pPr>
        <w:spacing w:after="0" w:line="200" w:lineRule="exact"/>
        <w:rPr>
          <w:sz w:val="20"/>
          <w:szCs w:val="20"/>
          <w:color w:val="auto"/>
        </w:rPr>
      </w:pPr>
    </w:p>
    <w:p>
      <w:pPr>
        <w:spacing w:after="0" w:line="268"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Clause 16.27 (</w:t>
      </w:r>
      <w:r>
        <w:rPr>
          <w:rFonts w:ascii="Arial" w:cs="Arial" w:eastAsia="Arial" w:hAnsi="Arial"/>
          <w:sz w:val="16"/>
          <w:szCs w:val="16"/>
          <w:i w:val="1"/>
          <w:iCs w:val="1"/>
          <w:color w:val="auto"/>
        </w:rPr>
        <w:t>“Investments in the Borrower”</w:t>
      </w:r>
      <w:r>
        <w:rPr>
          <w:rFonts w:ascii="Arial" w:cs="Arial" w:eastAsia="Arial" w:hAnsi="Arial"/>
          <w:sz w:val="16"/>
          <w:szCs w:val="16"/>
          <w:color w:val="auto"/>
        </w:rPr>
        <w:t>) shall be amended as follows:</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5"/>
          <w:szCs w:val="15"/>
          <w:color w:val="auto"/>
        </w:rPr>
        <w:t>the date “December 31, 2005” in clause 16.27.2 shall be replaced with the date “June 30, 2006"; and</w:t>
      </w:r>
    </w:p>
    <w:p>
      <w:pPr>
        <w:spacing w:after="0" w:line="252"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5"/>
          <w:szCs w:val="15"/>
          <w:color w:val="auto"/>
        </w:rPr>
        <w:t>a new clause 16.27.4 shall be inserted to read as follows:</w:t>
      </w:r>
    </w:p>
    <w:p>
      <w:pPr>
        <w:spacing w:after="0" w:line="252" w:lineRule="exact"/>
        <w:rPr>
          <w:sz w:val="20"/>
          <w:szCs w:val="20"/>
          <w:color w:val="auto"/>
        </w:rPr>
      </w:pPr>
    </w:p>
    <w:p>
      <w:pPr>
        <w:ind w:left="2340" w:hanging="661"/>
        <w:spacing w:after="0" w:line="255" w:lineRule="auto"/>
        <w:rPr>
          <w:sz w:val="20"/>
          <w:szCs w:val="20"/>
          <w:color w:val="auto"/>
        </w:rPr>
      </w:pPr>
      <w:r>
        <w:rPr>
          <w:rFonts w:ascii="Arial" w:cs="Arial" w:eastAsia="Arial" w:hAnsi="Arial"/>
          <w:sz w:val="18"/>
          <w:szCs w:val="18"/>
          <w:color w:val="auto"/>
        </w:rPr>
        <w:t>“16.27.4.Notwithstanding anything to the contrary in this Agreement (including in this clause 16.27 above), any amounts of Paid-in Equity or Additional Subordinated Debt received by the Borrower after May 25, 2005 as part of the Additional Ninth Amendment Investment shall not be taken into account for the purposes of clause 16.27.2 above. For the removal of doubt, any Excess (as defined in clause 1.1.3C above) shall be taken into account for the purposes of clause 16.27.2 above.”</w:t>
      </w:r>
    </w:p>
    <w:p>
      <w:pPr>
        <w:spacing w:after="0" w:line="22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5"/>
          <w:szCs w:val="15"/>
          <w:color w:val="auto"/>
        </w:rPr>
        <w:t>Clause 16.29 (</w:t>
      </w:r>
      <w:r>
        <w:rPr>
          <w:rFonts w:ascii="Arial" w:cs="Arial" w:eastAsia="Arial" w:hAnsi="Arial"/>
          <w:sz w:val="15"/>
          <w:szCs w:val="15"/>
          <w:i w:val="1"/>
          <w:iCs w:val="1"/>
          <w:color w:val="auto"/>
        </w:rPr>
        <w:t>Financial Undertakings</w:t>
      </w:r>
      <w:r>
        <w:rPr>
          <w:rFonts w:ascii="Arial" w:cs="Arial" w:eastAsia="Arial" w:hAnsi="Arial"/>
          <w:sz w:val="15"/>
          <w:szCs w:val="15"/>
          <w:color w:val="auto"/>
        </w:rPr>
        <w:t>) shall be amended as follows:</w:t>
      </w:r>
    </w:p>
    <w:p>
      <w:pPr>
        <w:spacing w:after="0" w:line="252" w:lineRule="exact"/>
        <w:rPr>
          <w:sz w:val="20"/>
          <w:szCs w:val="20"/>
          <w:color w:val="auto"/>
        </w:rPr>
      </w:pPr>
    </w:p>
    <w:p>
      <w:pPr>
        <w:ind w:left="1140" w:right="320" w:hanging="566"/>
        <w:spacing w:after="0" w:line="268" w:lineRule="auto"/>
        <w:tabs>
          <w:tab w:leader="none" w:pos="1120" w:val="left"/>
        </w:tabs>
        <w:rPr>
          <w:sz w:val="20"/>
          <w:szCs w:val="20"/>
          <w:color w:val="auto"/>
        </w:rPr>
      </w:pPr>
      <w:r>
        <w:rPr>
          <w:rFonts w:ascii="Arial" w:cs="Arial" w:eastAsia="Arial" w:hAnsi="Arial"/>
          <w:sz w:val="18"/>
          <w:szCs w:val="18"/>
          <w:color w:val="auto"/>
        </w:rPr>
        <w:t>2.9.1.</w:t>
        <w:tab/>
        <w:t>by adding the words “and Interest Payment Loans” after the words “disregarding, for this purpose only, Safety Net Loans” within the parenthetical phrase in the last paragraph thereof; and</w:t>
      </w:r>
    </w:p>
    <w:p>
      <w:pPr>
        <w:spacing w:after="0" w:line="213"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5"/>
          <w:szCs w:val="15"/>
          <w:color w:val="auto"/>
        </w:rPr>
        <w:t>by adding the following new paragraph at the end thereof:</w:t>
      </w:r>
    </w:p>
    <w:p>
      <w:pPr>
        <w:spacing w:after="0" w:line="252" w:lineRule="exact"/>
        <w:rPr>
          <w:sz w:val="20"/>
          <w:szCs w:val="20"/>
          <w:color w:val="auto"/>
        </w:rPr>
      </w:pPr>
    </w:p>
    <w:p>
      <w:pPr>
        <w:ind w:left="1720" w:right="60"/>
        <w:spacing w:after="0" w:line="254" w:lineRule="auto"/>
        <w:rPr>
          <w:sz w:val="20"/>
          <w:szCs w:val="20"/>
          <w:color w:val="auto"/>
        </w:rPr>
      </w:pPr>
      <w:r>
        <w:rPr>
          <w:rFonts w:ascii="Arial" w:cs="Arial" w:eastAsia="Arial" w:hAnsi="Arial"/>
          <w:sz w:val="18"/>
          <w:szCs w:val="18"/>
          <w:color w:val="auto"/>
        </w:rPr>
        <w:t>“With respect only to each of the third and fourth Quarters of Fiscal Year 2005, Fiscal Year 2005, and to each of the first, second and third Quarters of Fiscal Year 2006, Schedules 1.1.106 and 16.29 hereto shall be replaced and be in the respective forms to be delivered in accordance with the Ninth Amendment. For the removal of doubt, with respect to the first and second Quarters of Fiscal Year 2005, Schedule 16.29 shall continue to be in the form of Appendix A to the Eighth Amendment and, with respect to any period after the third Quarter of Fiscal Year 2006, Schedule 16.29 shall continue to be in the form delivered on the Seventh Amendment Closing Date.”</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5"/>
          <w:szCs w:val="15"/>
          <w:color w:val="auto"/>
        </w:rPr>
        <w:t>A new clause 16.34.6 shall be inserted to read as follows:</w:t>
      </w:r>
    </w:p>
    <w:p>
      <w:pPr>
        <w:spacing w:after="0" w:line="252" w:lineRule="exact"/>
        <w:rPr>
          <w:sz w:val="20"/>
          <w:szCs w:val="20"/>
          <w:color w:val="auto"/>
        </w:rPr>
      </w:pPr>
    </w:p>
    <w:p>
      <w:pPr>
        <w:ind w:left="2340" w:right="100" w:hanging="661"/>
        <w:spacing w:after="0" w:line="294" w:lineRule="auto"/>
        <w:rPr>
          <w:sz w:val="20"/>
          <w:szCs w:val="20"/>
          <w:color w:val="auto"/>
        </w:rPr>
      </w:pPr>
      <w:r>
        <w:rPr>
          <w:rFonts w:ascii="Arial" w:cs="Arial" w:eastAsia="Arial" w:hAnsi="Arial"/>
          <w:sz w:val="16"/>
          <w:szCs w:val="16"/>
          <w:color w:val="auto"/>
        </w:rPr>
        <w:t>“16.34.6.Notwithstanding clause 16.27.4 above, for the purposes of this clause 16.34 only, any amount on account of the Additional Ninth Amendment Investment actually received by the Borrower shall be deemed to be an amount raised under clause 16.27.2 above. For the removal of doubt, without derogating from the previous sentence, clause 16.34 and the Safety Net Undertaking shall be of no more force should TIC invest at least US $14,000,000 (fourteen million United States Dollars) in connection with the Additional Ninth Amendment Investment. “</w:t>
      </w:r>
    </w:p>
    <w:p>
      <w:pPr>
        <w:spacing w:after="0" w:line="197" w:lineRule="exact"/>
        <w:rPr>
          <w:sz w:val="20"/>
          <w:szCs w:val="20"/>
          <w:color w:val="auto"/>
        </w:rPr>
      </w:pPr>
    </w:p>
    <w:p>
      <w:pPr>
        <w:ind w:left="58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A new clause 16.36 shall be added to read as follows:</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 xml:space="preserve">“16.36. </w:t>
      </w:r>
      <w:r>
        <w:rPr>
          <w:rFonts w:ascii="Arial" w:cs="Arial" w:eastAsia="Arial" w:hAnsi="Arial"/>
          <w:sz w:val="18"/>
          <w:szCs w:val="18"/>
          <w:b w:val="1"/>
          <w:bCs w:val="1"/>
          <w:u w:val="single" w:color="auto"/>
          <w:color w:val="auto"/>
        </w:rPr>
        <w:t>Interest Payment Loans; Additional Investment Undertakings</w:t>
      </w:r>
    </w:p>
    <w:p>
      <w:pPr>
        <w:spacing w:after="0" w:line="258" w:lineRule="exact"/>
        <w:rPr>
          <w:sz w:val="20"/>
          <w:szCs w:val="20"/>
          <w:color w:val="auto"/>
        </w:rPr>
      </w:pPr>
    </w:p>
    <w:p>
      <w:pPr>
        <w:ind w:left="2300" w:right="300" w:hanging="580"/>
        <w:spacing w:after="0" w:line="268" w:lineRule="auto"/>
        <w:rPr>
          <w:sz w:val="20"/>
          <w:szCs w:val="20"/>
          <w:color w:val="auto"/>
        </w:rPr>
      </w:pPr>
      <w:r>
        <w:rPr>
          <w:rFonts w:ascii="Arial" w:cs="Arial" w:eastAsia="Arial" w:hAnsi="Arial"/>
          <w:sz w:val="18"/>
          <w:szCs w:val="18"/>
          <w:color w:val="auto"/>
        </w:rPr>
        <w:t>16.36.1.The Borrower shall procure that it shall receive the Additional Ninth Amendment Investment in full by the following times:</w:t>
      </w:r>
    </w:p>
    <w:p>
      <w:pPr>
        <w:spacing w:after="0" w:line="213" w:lineRule="exact"/>
        <w:rPr>
          <w:sz w:val="20"/>
          <w:szCs w:val="20"/>
          <w:color w:val="auto"/>
        </w:rPr>
      </w:pPr>
    </w:p>
    <w:p>
      <w:pPr>
        <w:ind w:left="2940" w:right="200" w:hanging="701"/>
        <w:spacing w:after="0" w:line="268" w:lineRule="auto"/>
        <w:rPr>
          <w:sz w:val="20"/>
          <w:szCs w:val="20"/>
          <w:color w:val="auto"/>
        </w:rPr>
      </w:pPr>
      <w:r>
        <w:rPr>
          <w:rFonts w:ascii="Arial" w:cs="Arial" w:eastAsia="Arial" w:hAnsi="Arial"/>
          <w:sz w:val="18"/>
          <w:szCs w:val="18"/>
          <w:color w:val="auto"/>
        </w:rPr>
        <w:t>16.36.1.1.an amount of at least US $23,500,000 (twenty-three million five hundred thousand United States Dollars), by not later than October 31, 2005; and</w:t>
      </w:r>
    </w:p>
    <w:p>
      <w:pPr>
        <w:spacing w:after="0" w:line="213" w:lineRule="exact"/>
        <w:rPr>
          <w:sz w:val="20"/>
          <w:szCs w:val="20"/>
          <w:color w:val="auto"/>
        </w:rPr>
      </w:pPr>
    </w:p>
    <w:p>
      <w:pPr>
        <w:ind w:left="2940" w:right="440" w:hanging="701"/>
        <w:spacing w:after="0" w:line="268" w:lineRule="auto"/>
        <w:rPr>
          <w:sz w:val="20"/>
          <w:szCs w:val="20"/>
          <w:color w:val="auto"/>
        </w:rPr>
      </w:pPr>
      <w:r>
        <w:rPr>
          <w:rFonts w:ascii="Arial" w:cs="Arial" w:eastAsia="Arial" w:hAnsi="Arial"/>
          <w:sz w:val="18"/>
          <w:szCs w:val="18"/>
          <w:color w:val="auto"/>
        </w:rPr>
        <w:t>16.36.1.2.the remainder of the Additional Ninth Amendment Investment, by no later than the Interest Payment Date occurring in March 2006.</w:t>
      </w:r>
    </w:p>
    <w:p>
      <w:pPr>
        <w:spacing w:after="0" w:line="200" w:lineRule="exact"/>
        <w:rPr>
          <w:sz w:val="20"/>
          <w:szCs w:val="20"/>
          <w:color w:val="auto"/>
        </w:rPr>
      </w:pPr>
    </w:p>
    <w:p>
      <w:pPr>
        <w:spacing w:after="0" w:line="22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300" w:right="100"/>
        <w:spacing w:after="0" w:line="298" w:lineRule="auto"/>
        <w:rPr>
          <w:sz w:val="20"/>
          <w:szCs w:val="20"/>
          <w:color w:val="auto"/>
        </w:rPr>
      </w:pPr>
      <w:r>
        <w:rPr>
          <w:rFonts w:ascii="Arial" w:cs="Arial" w:eastAsia="Arial" w:hAnsi="Arial"/>
          <w:sz w:val="16"/>
          <w:szCs w:val="16"/>
          <w:color w:val="auto"/>
        </w:rPr>
        <w:t>Without derogating from the Borrower’s obligations as aforesaid, the parties record that the Additional Investment Obligors have provided Additional Investment Undertakings in favour of the Banks (such undertakings, for the removal of doubt, being only to the Banks and not to the Borrower, its shareholders or any third party) to invest an aggregate of US $23,500,000 (twenty-three million five hundred thousand United States Dollars)) in respect of Paid-in Equity of the</w:t>
      </w:r>
    </w:p>
    <w:p>
      <w:pPr>
        <w:sectPr>
          <w:pgSz w:w="11900" w:h="16844" w:orient="portrait"/>
          <w:cols w:equalWidth="0" w:num="1">
            <w:col w:w="10820"/>
          </w:cols>
          <w:pgMar w:left="820" w:top="131" w:right="259" w:bottom="0" w:gutter="0" w:footer="0" w:header="0"/>
        </w:sectPr>
      </w:pPr>
    </w:p>
    <w:bookmarkStart w:id="51" w:name="page52"/>
    <w:bookmarkEnd w:id="51"/>
    <w:p>
      <w:pPr>
        <w:ind w:left="2300"/>
        <w:spacing w:after="0" w:line="283" w:lineRule="auto"/>
        <w:rPr>
          <w:sz w:val="20"/>
          <w:szCs w:val="20"/>
          <w:color w:val="auto"/>
        </w:rPr>
      </w:pPr>
      <w:r>
        <w:rPr>
          <w:rFonts w:ascii="Arial" w:cs="Arial" w:eastAsia="Arial" w:hAnsi="Arial"/>
          <w:sz w:val="16"/>
          <w:szCs w:val="16"/>
          <w:color w:val="auto"/>
        </w:rPr>
        <w:t>Borrower, or in respect of Additional Subordinated Debt, by way of a rights offering to be completed by the Borrower which the Borrower hereby undertakes to complete. The Borrower acknowledges, for the removal of doubt, that: (a) such Additional Investment Undertakings are in addition to, and do not in any way derogate from, the obligations and undertakings of the Borrower, the Safety Net Obligor and the Lead Investors, as applicable, as described in</w:t>
      </w:r>
    </w:p>
    <w:p>
      <w:pPr>
        <w:spacing w:after="0" w:line="3" w:lineRule="exact"/>
        <w:rPr>
          <w:sz w:val="20"/>
          <w:szCs w:val="20"/>
          <w:color w:val="auto"/>
        </w:rPr>
      </w:pPr>
    </w:p>
    <w:p>
      <w:pPr>
        <w:ind w:left="2300" w:right="40"/>
        <w:spacing w:after="0" w:line="252" w:lineRule="auto"/>
        <w:rPr>
          <w:sz w:val="20"/>
          <w:szCs w:val="20"/>
          <w:color w:val="auto"/>
        </w:rPr>
      </w:pPr>
      <w:r>
        <w:rPr>
          <w:rFonts w:ascii="Arial" w:cs="Arial" w:eastAsia="Arial" w:hAnsi="Arial"/>
          <w:sz w:val="18"/>
          <w:szCs w:val="18"/>
          <w:color w:val="auto"/>
        </w:rPr>
        <w:t>clauses 16.27, 16.34 and 16.35 above, provided that should TIC invest at least US $14,000,000 (fourteen million US Dollars) in connection with an Additional Ninth Amendment Investment the Safety Net Undertaking shall be of no more force and effect as provided for in clause 16.34.6 above; and (b) in the event of any Default by the Borrower, the Banks shall have available to them, subject to clause 16.34, if applicable, all remedies under the Finance Documents (including pursuant to clauses 17.21, 17.22, 17.23, 17.24 and 17.25 below) and nothing in this clause 16.36 nor the fact of the giving of the Additional Investment Undertakings to the Banks shall derogate from the Banks’ rights and remedies as aforesaid.</w:t>
      </w:r>
    </w:p>
    <w:p>
      <w:pPr>
        <w:spacing w:after="0" w:line="228" w:lineRule="exact"/>
        <w:rPr>
          <w:sz w:val="20"/>
          <w:szCs w:val="20"/>
          <w:color w:val="auto"/>
        </w:rPr>
      </w:pPr>
    </w:p>
    <w:p>
      <w:pPr>
        <w:ind w:left="2300" w:right="20"/>
        <w:spacing w:after="0" w:line="306" w:lineRule="auto"/>
        <w:rPr>
          <w:sz w:val="20"/>
          <w:szCs w:val="20"/>
          <w:color w:val="auto"/>
        </w:rPr>
      </w:pPr>
      <w:r>
        <w:rPr>
          <w:rFonts w:ascii="Arial" w:cs="Arial" w:eastAsia="Arial" w:hAnsi="Arial"/>
          <w:sz w:val="16"/>
          <w:szCs w:val="16"/>
          <w:color w:val="auto"/>
        </w:rPr>
        <w:t>The Borrower shall, within 10 (ten) days after each investment in Paid-in Equity and/or Additional Subordinated Debt, submit to the Banks a certificate from the Auditors (such certificate to be in a form satisfactory to the Banks), confirming the amount of such Additional Ninth Amendment Investment actually received by the Borrower.</w:t>
      </w:r>
    </w:p>
    <w:p>
      <w:pPr>
        <w:spacing w:after="0" w:line="188" w:lineRule="exact"/>
        <w:rPr>
          <w:sz w:val="20"/>
          <w:szCs w:val="20"/>
          <w:color w:val="auto"/>
        </w:rPr>
      </w:pPr>
    </w:p>
    <w:p>
      <w:pPr>
        <w:ind w:left="2300" w:hanging="580"/>
        <w:spacing w:after="0" w:line="256" w:lineRule="auto"/>
        <w:rPr>
          <w:sz w:val="20"/>
          <w:szCs w:val="20"/>
          <w:color w:val="auto"/>
        </w:rPr>
      </w:pPr>
      <w:r>
        <w:rPr>
          <w:rFonts w:ascii="Arial" w:cs="Arial" w:eastAsia="Arial" w:hAnsi="Arial"/>
          <w:sz w:val="18"/>
          <w:szCs w:val="18"/>
          <w:color w:val="auto"/>
        </w:rPr>
        <w:t>16.36.2.Subject to compliance by the Borrower with all of the provisions of this Agreement relating to the making available of Interest Payment Loans (including the remainder of this clause 16.36 with respect to Interest Payment Loans), the Banks shall make available the Interest Payment Loans in no more than 3 (three) separate Advances during the Interest Payment Loan Availability Period as follows:</w:t>
      </w:r>
    </w:p>
    <w:p>
      <w:pPr>
        <w:spacing w:after="0" w:line="200" w:lineRule="exact"/>
        <w:rPr>
          <w:sz w:val="20"/>
          <w:szCs w:val="20"/>
          <w:color w:val="auto"/>
        </w:rPr>
      </w:pPr>
    </w:p>
    <w:p>
      <w:pPr>
        <w:spacing w:after="0" w:line="240"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940" w:right="80" w:hanging="701"/>
        <w:spacing w:after="0" w:line="256" w:lineRule="auto"/>
        <w:rPr>
          <w:sz w:val="20"/>
          <w:szCs w:val="20"/>
          <w:color w:val="auto"/>
        </w:rPr>
      </w:pPr>
      <w:r>
        <w:rPr>
          <w:rFonts w:ascii="Arial" w:cs="Arial" w:eastAsia="Arial" w:hAnsi="Arial"/>
          <w:sz w:val="18"/>
          <w:szCs w:val="18"/>
          <w:color w:val="auto"/>
        </w:rPr>
        <w:t>16.36.2.1.1 (one) Advance of Interest Payment Loans from and after the Ninth Amendment Closing Date through and including the Business Day immediately prior to the Interest Payment Date occurring in September 2005, in an amount not to exceed the amount of Interest actually paid by the Borrower to the Banks in March and June 2005;</w:t>
      </w:r>
    </w:p>
    <w:p>
      <w:pPr>
        <w:spacing w:after="0" w:line="224" w:lineRule="exact"/>
        <w:rPr>
          <w:sz w:val="20"/>
          <w:szCs w:val="20"/>
          <w:color w:val="auto"/>
        </w:rPr>
      </w:pPr>
    </w:p>
    <w:p>
      <w:pPr>
        <w:ind w:left="2940" w:right="60" w:hanging="701"/>
        <w:spacing w:after="0" w:line="291" w:lineRule="auto"/>
        <w:rPr>
          <w:sz w:val="20"/>
          <w:szCs w:val="20"/>
          <w:color w:val="auto"/>
        </w:rPr>
      </w:pPr>
      <w:r>
        <w:rPr>
          <w:rFonts w:ascii="Arial" w:cs="Arial" w:eastAsia="Arial" w:hAnsi="Arial"/>
          <w:sz w:val="16"/>
          <w:szCs w:val="16"/>
          <w:color w:val="auto"/>
        </w:rPr>
        <w:t>16.36.2.2.1 (one) Advance of Interest Payment Loans made from and after the Interest Payment Date in September 2005 through and including the Business Day immediately prior to the Interest Payment Date occurring in December 2005, in an amount not to exceed the sum of: (a) the amount of Interest paid by the Borrower to the Banks in September 2005 (if such Advance is made after such Interest Payment Date) or payable by the Borrower to the Banks in September 2005 (if such Advance is made on such Interest Payment Date); plus (b) any amount that the Borrower was entitled to borrow under clause 16.36.2.1 above but did not so borrow; and</w:t>
      </w:r>
    </w:p>
    <w:p>
      <w:pPr>
        <w:spacing w:after="0" w:line="201" w:lineRule="exact"/>
        <w:rPr>
          <w:sz w:val="20"/>
          <w:szCs w:val="20"/>
          <w:color w:val="auto"/>
        </w:rPr>
      </w:pPr>
    </w:p>
    <w:p>
      <w:pPr>
        <w:ind w:left="2940" w:right="60" w:hanging="701"/>
        <w:spacing w:after="0" w:line="283" w:lineRule="auto"/>
        <w:rPr>
          <w:sz w:val="20"/>
          <w:szCs w:val="20"/>
          <w:color w:val="auto"/>
        </w:rPr>
      </w:pPr>
      <w:r>
        <w:rPr>
          <w:rFonts w:ascii="Arial" w:cs="Arial" w:eastAsia="Arial" w:hAnsi="Arial"/>
          <w:sz w:val="16"/>
          <w:szCs w:val="16"/>
          <w:color w:val="auto"/>
        </w:rPr>
        <w:t>16.36.2.3.(one) Advance of Interest Payment Loans made from and after the Interest Payment Date in December 2005 through the end of the Interest Payment Loan Availability Period in an amount not to exceed the sum of: (a) the amount of Interest paid by the Borrower to the Banks in December 2005 (if such Advance is made after such Interest Payment Date) or payable by the Borrower to the Banks in December 2005 (if such Advance is made on such Interest Payment Date); plus (b) any amount that the Borrower was entitled to borrow under</w:t>
      </w:r>
    </w:p>
    <w:p>
      <w:pPr>
        <w:spacing w:after="0" w:line="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clause 16.36.2.1 or clause 16.36.2.2 above but did not so borrow.</w:t>
      </w:r>
    </w:p>
    <w:p>
      <w:pPr>
        <w:spacing w:after="0" w:line="200" w:lineRule="exact"/>
        <w:rPr>
          <w:sz w:val="20"/>
          <w:szCs w:val="20"/>
          <w:color w:val="auto"/>
        </w:rPr>
      </w:pPr>
    </w:p>
    <w:p>
      <w:pPr>
        <w:spacing w:after="0" w:line="262"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jc w:val="center"/>
        <w:ind w:left="2240"/>
        <w:spacing w:after="0"/>
        <w:rPr>
          <w:sz w:val="20"/>
          <w:szCs w:val="20"/>
          <w:color w:val="auto"/>
        </w:rPr>
      </w:pPr>
      <w:r>
        <w:rPr>
          <w:rFonts w:ascii="Arial" w:cs="Arial" w:eastAsia="Arial" w:hAnsi="Arial"/>
          <w:sz w:val="16"/>
          <w:szCs w:val="16"/>
          <w:color w:val="auto"/>
        </w:rPr>
        <w:t>16.36.3.For the avoidance of doubt, and notwithstanding anything to the contrary in this Agreement and without derogating from</w:t>
      </w:r>
    </w:p>
    <w:p>
      <w:pPr>
        <w:spacing w:after="0" w:line="38" w:lineRule="exact"/>
        <w:rPr>
          <w:sz w:val="20"/>
          <w:szCs w:val="20"/>
          <w:color w:val="auto"/>
        </w:rPr>
      </w:pPr>
    </w:p>
    <w:p>
      <w:pPr>
        <w:ind w:left="2300"/>
        <w:spacing w:after="0" w:line="290" w:lineRule="auto"/>
        <w:rPr>
          <w:sz w:val="20"/>
          <w:szCs w:val="20"/>
          <w:color w:val="auto"/>
        </w:rPr>
      </w:pPr>
      <w:r>
        <w:rPr>
          <w:rFonts w:ascii="Arial" w:cs="Arial" w:eastAsia="Arial" w:hAnsi="Arial"/>
          <w:sz w:val="16"/>
          <w:szCs w:val="16"/>
          <w:color w:val="auto"/>
        </w:rPr>
        <w:t>all the other remedies available to the Banks under the Finance Documents, as aforesaid, the Banks shall have no obligation to make any Interest Payment Loans after October 31, 2005, unless the Banks shall have received a certificate or certificates from the Auditors as aforesaid, confirming the actual receipt by the Borrower of an amount of Additional Ninth Amendment Investment equal to at least US $23,500,000 (twenty-three million five hundred thousand United States Dollars) or, if the aggregate Interest Payment Loans which have been made and are requested exceed such amount, then equal to the full amount of US $30,000,000 (thirty million United States Dollars).”</w:t>
      </w:r>
    </w:p>
    <w:p>
      <w:pPr>
        <w:spacing w:after="0" w:line="19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5"/>
          <w:szCs w:val="15"/>
          <w:color w:val="auto"/>
        </w:rPr>
        <w:t>Clause 17 (</w:t>
      </w:r>
      <w:r>
        <w:rPr>
          <w:rFonts w:ascii="Arial" w:cs="Arial" w:eastAsia="Arial" w:hAnsi="Arial"/>
          <w:sz w:val="15"/>
          <w:szCs w:val="15"/>
          <w:i w:val="1"/>
          <w:iCs w:val="1"/>
          <w:color w:val="auto"/>
        </w:rPr>
        <w:t>Default</w:t>
      </w:r>
      <w:r>
        <w:rPr>
          <w:rFonts w:ascii="Arial" w:cs="Arial" w:eastAsia="Arial" w:hAnsi="Arial"/>
          <w:sz w:val="15"/>
          <w:szCs w:val="15"/>
          <w:color w:val="auto"/>
        </w:rPr>
        <w:t>) shall be amended as follows: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2.12.1. in clause 17.1 (</w:t>
      </w:r>
      <w:r>
        <w:rPr>
          <w:rFonts w:ascii="Arial" w:cs="Arial" w:eastAsia="Arial" w:hAnsi="Arial"/>
          <w:sz w:val="16"/>
          <w:szCs w:val="16"/>
          <w:i w:val="1"/>
          <w:iCs w:val="1"/>
          <w:color w:val="auto"/>
        </w:rPr>
        <w:t>Events of Default</w:t>
      </w:r>
      <w:r>
        <w:rPr>
          <w:rFonts w:ascii="Arial" w:cs="Arial" w:eastAsia="Arial" w:hAnsi="Arial"/>
          <w:sz w:val="16"/>
          <w:szCs w:val="16"/>
          <w:color w:val="auto"/>
        </w:rPr>
        <w:t>), the words “clause 17.20B” shall be deleted and replaced with the words “clause 17.20C”; and</w:t>
      </w:r>
    </w:p>
    <w:p>
      <w:pPr>
        <w:spacing w:after="0" w:line="27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2.12.2. a new clause 17.20C shall be inserted to read as follows:</w:t>
      </w:r>
    </w:p>
    <w:p>
      <w:pPr>
        <w:spacing w:after="0" w:line="246"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“17.20C.</w:t>
      </w:r>
      <w:r>
        <w:rPr>
          <w:rFonts w:ascii="Arial" w:cs="Arial" w:eastAsia="Arial" w:hAnsi="Arial"/>
          <w:sz w:val="18"/>
          <w:szCs w:val="18"/>
          <w:b w:val="1"/>
          <w:bCs w:val="1"/>
          <w:u w:val="single" w:color="auto"/>
          <w:color w:val="auto"/>
        </w:rPr>
        <w:t>Additional Investment Undertakings</w:t>
      </w:r>
    </w:p>
    <w:p>
      <w:pPr>
        <w:spacing w:after="0" w:line="258" w:lineRule="exact"/>
        <w:rPr>
          <w:sz w:val="20"/>
          <w:szCs w:val="20"/>
          <w:color w:val="auto"/>
        </w:rPr>
      </w:pPr>
    </w:p>
    <w:p>
      <w:pPr>
        <w:ind w:left="2300" w:right="80"/>
        <w:spacing w:after="0" w:line="259" w:lineRule="auto"/>
        <w:rPr>
          <w:sz w:val="20"/>
          <w:szCs w:val="20"/>
          <w:color w:val="auto"/>
        </w:rPr>
      </w:pPr>
      <w:r>
        <w:rPr>
          <w:rFonts w:ascii="Arial" w:cs="Arial" w:eastAsia="Arial" w:hAnsi="Arial"/>
          <w:sz w:val="18"/>
          <w:szCs w:val="18"/>
          <w:color w:val="auto"/>
        </w:rPr>
        <w:t>For so long as the obligations of the Additional Investment Obligors to make investments in accordance with Additional Investment Undertakings shall not have been completely fulfilled in accordance with the terms of such Additional Investment Undertakings:</w:t>
      </w:r>
    </w:p>
    <w:p>
      <w:pPr>
        <w:spacing w:after="0" w:line="221" w:lineRule="exact"/>
        <w:rPr>
          <w:sz w:val="20"/>
          <w:szCs w:val="20"/>
          <w:color w:val="auto"/>
        </w:rPr>
      </w:pPr>
    </w:p>
    <w:p>
      <w:pPr>
        <w:ind w:left="2920" w:right="140" w:hanging="688"/>
        <w:spacing w:after="0" w:line="332" w:lineRule="auto"/>
        <w:rPr>
          <w:sz w:val="20"/>
          <w:szCs w:val="20"/>
          <w:color w:val="auto"/>
        </w:rPr>
      </w:pPr>
      <w:r>
        <w:rPr>
          <w:rFonts w:ascii="Arial" w:cs="Arial" w:eastAsia="Arial" w:hAnsi="Arial"/>
          <w:sz w:val="16"/>
          <w:szCs w:val="16"/>
          <w:color w:val="auto"/>
        </w:rPr>
        <w:t>17.20C.1.Any of the representations and warranties by any Additional Investment Obligor in any Additional Investment Undertaking to which it is a party are incorrect or misleading in any material respect.</w:t>
      </w:r>
    </w:p>
    <w:p>
      <w:pPr>
        <w:spacing w:after="0" w:line="166" w:lineRule="exact"/>
        <w:rPr>
          <w:sz w:val="20"/>
          <w:szCs w:val="20"/>
          <w:color w:val="auto"/>
        </w:rPr>
      </w:pPr>
    </w:p>
    <w:p>
      <w:pPr>
        <w:ind w:left="2920" w:right="60" w:hanging="688"/>
        <w:spacing w:after="0" w:line="332" w:lineRule="auto"/>
        <w:rPr>
          <w:sz w:val="20"/>
          <w:szCs w:val="20"/>
          <w:color w:val="auto"/>
        </w:rPr>
      </w:pPr>
      <w:r>
        <w:rPr>
          <w:rFonts w:ascii="Arial" w:cs="Arial" w:eastAsia="Arial" w:hAnsi="Arial"/>
          <w:sz w:val="16"/>
          <w:szCs w:val="16"/>
          <w:color w:val="auto"/>
        </w:rPr>
        <w:t>17.20C.2.If the amount to be invested pursuant to any Additional Investment Undertaking shall not have been invested in the Borrower in accordance with the terms of such Additional Investment Undertaking.</w:t>
      </w:r>
    </w:p>
    <w:p>
      <w:pPr>
        <w:sectPr>
          <w:pgSz w:w="11900" w:h="16838" w:orient="portrait"/>
          <w:cols w:equalWidth="0" w:num="1">
            <w:col w:w="10820"/>
          </w:cols>
          <w:pgMar w:left="820" w:top="131" w:right="259" w:bottom="129" w:gutter="0" w:footer="0" w:header="0"/>
        </w:sectPr>
      </w:pPr>
    </w:p>
    <w:bookmarkStart w:id="52" w:name="page53"/>
    <w:bookmarkEnd w:id="52"/>
    <w:p>
      <w:pPr>
        <w:jc w:val="center"/>
        <w:ind w:right="-11"/>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3492" w:hanging="688"/>
        <w:spacing w:after="0" w:line="291" w:lineRule="auto"/>
        <w:rPr>
          <w:sz w:val="20"/>
          <w:szCs w:val="20"/>
          <w:color w:val="auto"/>
        </w:rPr>
      </w:pPr>
      <w:r>
        <w:rPr>
          <w:rFonts w:ascii="Arial" w:cs="Arial" w:eastAsia="Arial" w:hAnsi="Arial"/>
          <w:sz w:val="16"/>
          <w:szCs w:val="16"/>
          <w:color w:val="auto"/>
        </w:rPr>
        <w:t>17.20C.3.Other than with respect to a default described in clause 17.20C.2 above, any Additional Investment Obligor fails to comply with any undertaking or obligation contained in any Additional Investment Undertaking to which it is a party and, if such default is capable of remedy within such period, within 7 (seven) days after the earlier of the Additional Investment Obligor becoming aware of such default and receipt by the Additional Investment Obligor of written notice from the Banks requiring the failure to be remedied, that Additional Investment Obligor shall have failed to cure such default.</w:t>
      </w:r>
    </w:p>
    <w:p>
      <w:pPr>
        <w:spacing w:after="0" w:line="201" w:lineRule="exact"/>
        <w:rPr>
          <w:sz w:val="20"/>
          <w:szCs w:val="20"/>
          <w:color w:val="auto"/>
        </w:rPr>
      </w:pPr>
    </w:p>
    <w:p>
      <w:pPr>
        <w:ind w:left="3492" w:right="60" w:hanging="688"/>
        <w:spacing w:after="0" w:line="298" w:lineRule="auto"/>
        <w:rPr>
          <w:sz w:val="20"/>
          <w:szCs w:val="20"/>
          <w:color w:val="auto"/>
        </w:rPr>
      </w:pPr>
      <w:r>
        <w:rPr>
          <w:rFonts w:ascii="Arial" w:cs="Arial" w:eastAsia="Arial" w:hAnsi="Arial"/>
          <w:sz w:val="16"/>
          <w:szCs w:val="16"/>
          <w:color w:val="auto"/>
        </w:rPr>
        <w:t>17.20C.4.Any Additional Investment Undertaking shall cease to be in full force and effect in any material respect or shall cease to constitute the legal, valid, binding and enforceable obligation of any Additional Investment Obligor party to it or it shall be unlawful for any Additional Investment Obligor to perform any of its material obligations under any of the Outside Investment Undertakings.</w:t>
      </w:r>
    </w:p>
    <w:p>
      <w:pPr>
        <w:spacing w:after="0" w:line="194" w:lineRule="exact"/>
        <w:rPr>
          <w:sz w:val="20"/>
          <w:szCs w:val="20"/>
          <w:color w:val="auto"/>
        </w:rPr>
      </w:pPr>
    </w:p>
    <w:p>
      <w:pPr>
        <w:ind w:left="2812"/>
        <w:spacing w:after="0"/>
        <w:rPr>
          <w:sz w:val="20"/>
          <w:szCs w:val="20"/>
          <w:color w:val="auto"/>
        </w:rPr>
      </w:pPr>
      <w:r>
        <w:rPr>
          <w:rFonts w:ascii="Arial" w:cs="Arial" w:eastAsia="Arial" w:hAnsi="Arial"/>
          <w:sz w:val="16"/>
          <w:szCs w:val="16"/>
          <w:color w:val="auto"/>
        </w:rPr>
        <w:t>17.20C.5.Any Additional Investment Obligor repudiates the Additional Investment Undertaking to which it is a party.</w:t>
      </w:r>
    </w:p>
    <w:p>
      <w:pPr>
        <w:spacing w:after="0" w:line="275" w:lineRule="exact"/>
        <w:rPr>
          <w:sz w:val="20"/>
          <w:szCs w:val="20"/>
          <w:color w:val="auto"/>
        </w:rPr>
      </w:pPr>
    </w:p>
    <w:p>
      <w:pPr>
        <w:ind w:left="3492" w:right="160" w:hanging="688"/>
        <w:spacing w:after="0" w:line="259" w:lineRule="auto"/>
        <w:rPr>
          <w:sz w:val="20"/>
          <w:szCs w:val="20"/>
          <w:color w:val="auto"/>
        </w:rPr>
      </w:pPr>
      <w:r>
        <w:rPr>
          <w:rFonts w:ascii="Arial" w:cs="Arial" w:eastAsia="Arial" w:hAnsi="Arial"/>
          <w:sz w:val="18"/>
          <w:szCs w:val="18"/>
          <w:color w:val="auto"/>
        </w:rPr>
        <w:t>17.20C.6.There occurs with respect to any Additional Investment Obligor any of the events or circumstances referred to in clauses 17.7–17.9 above, such clauses to be read as if references to ‘the Borrower’ therein were instead references to ‘any Additional Investment Obligor’.</w:t>
      </w:r>
    </w:p>
    <w:p>
      <w:pPr>
        <w:spacing w:after="0" w:line="221" w:lineRule="exact"/>
        <w:rPr>
          <w:sz w:val="20"/>
          <w:szCs w:val="20"/>
          <w:color w:val="auto"/>
        </w:rPr>
      </w:pPr>
    </w:p>
    <w:p>
      <w:pPr>
        <w:ind w:left="2872" w:right="180"/>
        <w:spacing w:after="0" w:line="268" w:lineRule="auto"/>
        <w:rPr>
          <w:sz w:val="20"/>
          <w:szCs w:val="20"/>
          <w:color w:val="auto"/>
        </w:rPr>
      </w:pPr>
      <w:r>
        <w:rPr>
          <w:rFonts w:ascii="Arial" w:cs="Arial" w:eastAsia="Arial" w:hAnsi="Arial"/>
          <w:sz w:val="18"/>
          <w:szCs w:val="18"/>
          <w:color w:val="auto"/>
        </w:rPr>
        <w:t>Notwithstanding the provisions of this clause 17.20C, for the removal of doubt, no Additional Investment Undertaking shall create any rights or obligations in favour of the Borrower or any of its shareholders.”</w:t>
      </w:r>
    </w:p>
    <w:p>
      <w:pPr>
        <w:spacing w:after="0" w:line="200" w:lineRule="exact"/>
        <w:rPr>
          <w:sz w:val="20"/>
          <w:szCs w:val="20"/>
          <w:color w:val="auto"/>
        </w:rPr>
      </w:pPr>
    </w:p>
    <w:p>
      <w:pPr>
        <w:spacing w:after="0" w:line="2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72"/>
        <w:spacing w:after="0"/>
        <w:tabs>
          <w:tab w:leader="none" w:pos="1132"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Clause 18.2 (</w:t>
      </w:r>
      <w:r>
        <w:rPr>
          <w:rFonts w:ascii="Arial" w:cs="Arial" w:eastAsia="Arial" w:hAnsi="Arial"/>
          <w:sz w:val="16"/>
          <w:szCs w:val="16"/>
          <w:i w:val="1"/>
          <w:iCs w:val="1"/>
          <w:color w:val="auto"/>
        </w:rPr>
        <w:t>Default Interest</w:t>
      </w:r>
      <w:r>
        <w:rPr>
          <w:rFonts w:ascii="Arial" w:cs="Arial" w:eastAsia="Arial" w:hAnsi="Arial"/>
          <w:sz w:val="16"/>
          <w:szCs w:val="16"/>
          <w:color w:val="auto"/>
        </w:rPr>
        <w:t>) shall be amended by deleting the words “or 9.1.2” in paragraph (b) thereof and substituting therefor the words “,</w:t>
      </w:r>
    </w:p>
    <w:p>
      <w:pPr>
        <w:spacing w:after="0" w:line="15"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9.1.2 or 9.1.3” and deleting the words “(namely, 2.5% (two point five percent))".</w:t>
      </w:r>
    </w:p>
    <w:p>
      <w:pPr>
        <w:spacing w:after="0" w:line="240" w:lineRule="exact"/>
        <w:rPr>
          <w:sz w:val="20"/>
          <w:szCs w:val="20"/>
          <w:color w:val="auto"/>
        </w:rPr>
      </w:pPr>
    </w:p>
    <w:p>
      <w:pPr>
        <w:ind w:left="1152" w:right="140" w:hanging="566"/>
        <w:spacing w:after="0" w:line="275" w:lineRule="auto"/>
        <w:tabs>
          <w:tab w:leader="none" w:pos="1132" w:val="left"/>
        </w:tabs>
        <w:rPr>
          <w:sz w:val="20"/>
          <w:szCs w:val="20"/>
          <w:color w:val="auto"/>
        </w:rPr>
      </w:pPr>
      <w:r>
        <w:rPr>
          <w:rFonts w:ascii="Arial" w:cs="Arial" w:eastAsia="Arial" w:hAnsi="Arial"/>
          <w:sz w:val="18"/>
          <w:szCs w:val="18"/>
          <w:color w:val="auto"/>
        </w:rPr>
        <w:t>2.14.</w:t>
        <w:tab/>
        <w:t>New Schedules 1.1.3B(1) and 1.1.3B(2) (</w:t>
      </w:r>
      <w:r>
        <w:rPr>
          <w:rFonts w:ascii="Arial" w:cs="Arial" w:eastAsia="Arial" w:hAnsi="Arial"/>
          <w:sz w:val="18"/>
          <w:szCs w:val="18"/>
          <w:i w:val="1"/>
          <w:iCs w:val="1"/>
          <w:color w:val="auto"/>
        </w:rPr>
        <w:t>Forms of Additional Investment Undertaking</w:t>
      </w:r>
      <w:r>
        <w:rPr>
          <w:rFonts w:ascii="Arial" w:cs="Arial" w:eastAsia="Arial" w:hAnsi="Arial"/>
          <w:sz w:val="18"/>
          <w:szCs w:val="18"/>
          <w:color w:val="auto"/>
        </w:rPr>
        <w:t xml:space="preserve">) in the forms respectively attached as </w:t>
      </w:r>
      <w:r>
        <w:rPr>
          <w:rFonts w:ascii="Arial" w:cs="Arial" w:eastAsia="Arial" w:hAnsi="Arial"/>
          <w:sz w:val="18"/>
          <w:szCs w:val="18"/>
          <w:b w:val="1"/>
          <w:bCs w:val="1"/>
          <w:color w:val="auto"/>
        </w:rPr>
        <w:t>Appendices A</w:t>
      </w:r>
      <w:r>
        <w:rPr>
          <w:rFonts w:ascii="Arial" w:cs="Arial" w:eastAsia="Arial" w:hAnsi="Arial"/>
          <w:sz w:val="18"/>
          <w:szCs w:val="18"/>
          <w:color w:val="auto"/>
        </w:rPr>
        <w:t xml:space="preserve"> and </w:t>
      </w:r>
      <w:r>
        <w:rPr>
          <w:rFonts w:ascii="Arial" w:cs="Arial" w:eastAsia="Arial" w:hAnsi="Arial"/>
          <w:sz w:val="18"/>
          <w:szCs w:val="18"/>
          <w:b w:val="1"/>
          <w:bCs w:val="1"/>
          <w:color w:val="auto"/>
        </w:rPr>
        <w:t xml:space="preserve">B </w:t>
      </w:r>
      <w:r>
        <w:rPr>
          <w:rFonts w:ascii="Arial" w:cs="Arial" w:eastAsia="Arial" w:hAnsi="Arial"/>
          <w:sz w:val="18"/>
          <w:szCs w:val="18"/>
          <w:color w:val="auto"/>
        </w:rPr>
        <w:t>hereto shall be added to and form part of the Facility Agreement.</w:t>
      </w:r>
    </w:p>
    <w:p>
      <w:pPr>
        <w:spacing w:after="0" w:line="207" w:lineRule="exact"/>
        <w:rPr>
          <w:sz w:val="20"/>
          <w:szCs w:val="20"/>
          <w:color w:val="auto"/>
        </w:rPr>
      </w:pPr>
    </w:p>
    <w:p>
      <w:pPr>
        <w:ind w:left="1152" w:right="100" w:hanging="566"/>
        <w:spacing w:after="0" w:line="294" w:lineRule="auto"/>
        <w:tabs>
          <w:tab w:leader="none" w:pos="1132"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Each of the following Schedules shall be replaced by the Ninth Amendment Closing Date by updated Schedules as referred to in section 3.1.8 below (the updated Schedules, for the removal of doubt, to be in form and substance acceptable to the Banks and to bear the same heading (Schedule number) as those replaced): Schedule 1.1.42 (</w:t>
      </w:r>
      <w:r>
        <w:rPr>
          <w:rFonts w:ascii="Arial" w:cs="Arial" w:eastAsia="Arial" w:hAnsi="Arial"/>
          <w:sz w:val="16"/>
          <w:szCs w:val="16"/>
          <w:i w:val="1"/>
          <w:iCs w:val="1"/>
          <w:color w:val="auto"/>
        </w:rPr>
        <w:t>Form of Drawdown Request</w:t>
      </w:r>
      <w:r>
        <w:rPr>
          <w:rFonts w:ascii="Arial" w:cs="Arial" w:eastAsia="Arial" w:hAnsi="Arial"/>
          <w:sz w:val="16"/>
          <w:szCs w:val="16"/>
          <w:color w:val="auto"/>
        </w:rPr>
        <w:t>); Schedule 1.1.105 (</w:t>
      </w:r>
      <w:r>
        <w:rPr>
          <w:rFonts w:ascii="Arial" w:cs="Arial" w:eastAsia="Arial" w:hAnsi="Arial"/>
          <w:sz w:val="16"/>
          <w:szCs w:val="16"/>
          <w:i w:val="1"/>
          <w:iCs w:val="1"/>
          <w:color w:val="auto"/>
        </w:rPr>
        <w:t>List of Named Directors and Officers</w:t>
      </w:r>
      <w:r>
        <w:rPr>
          <w:rFonts w:ascii="Arial" w:cs="Arial" w:eastAsia="Arial" w:hAnsi="Arial"/>
          <w:sz w:val="16"/>
          <w:szCs w:val="16"/>
          <w:color w:val="auto"/>
        </w:rPr>
        <w:t>); Schedule 1.1.106 (</w:t>
      </w:r>
      <w:r>
        <w:rPr>
          <w:rFonts w:ascii="Arial" w:cs="Arial" w:eastAsia="Arial" w:hAnsi="Arial"/>
          <w:sz w:val="16"/>
          <w:szCs w:val="16"/>
          <w:i w:val="1"/>
          <w:iCs w:val="1"/>
          <w:color w:val="auto"/>
        </w:rPr>
        <w:t>Net Cash Flow</w:t>
      </w:r>
      <w:r>
        <w:rPr>
          <w:rFonts w:ascii="Arial" w:cs="Arial" w:eastAsia="Arial" w:hAnsi="Arial"/>
          <w:sz w:val="16"/>
          <w:szCs w:val="16"/>
          <w:color w:val="auto"/>
        </w:rPr>
        <w:t>) and Schedule 16.29 (</w:t>
      </w:r>
      <w:r>
        <w:rPr>
          <w:rFonts w:ascii="Arial" w:cs="Arial" w:eastAsia="Arial" w:hAnsi="Arial"/>
          <w:sz w:val="16"/>
          <w:szCs w:val="16"/>
          <w:i w:val="1"/>
          <w:iCs w:val="1"/>
          <w:color w:val="auto"/>
        </w:rPr>
        <w:t>Financial Undertakings</w:t>
      </w:r>
      <w:r>
        <w:rPr>
          <w:rFonts w:ascii="Arial" w:cs="Arial" w:eastAsia="Arial" w:hAnsi="Arial"/>
          <w:sz w:val="16"/>
          <w:szCs w:val="16"/>
          <w:color w:val="auto"/>
        </w:rPr>
        <w:t>), but only with respect to the third and fourth Quarters of Fiscal Year 2005, Fiscal Year 2005 and the first and second Quarters of Fiscal Year 2006.</w:t>
      </w:r>
    </w:p>
    <w:p>
      <w:pPr>
        <w:spacing w:after="0" w:line="191" w:lineRule="exact"/>
        <w:rPr>
          <w:sz w:val="20"/>
          <w:szCs w:val="20"/>
          <w:color w:val="auto"/>
        </w:rPr>
      </w:pPr>
    </w:p>
    <w:p>
      <w:pPr>
        <w:ind w:left="572" w:hanging="572"/>
        <w:spacing w:after="0"/>
        <w:tabs>
          <w:tab w:leader="none" w:pos="572"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PRECEDENT</w:t>
      </w:r>
    </w:p>
    <w:p>
      <w:pPr>
        <w:spacing w:after="0" w:line="258" w:lineRule="exact"/>
        <w:rPr>
          <w:rFonts w:ascii="Arial" w:cs="Arial" w:eastAsia="Arial" w:hAnsi="Arial"/>
          <w:sz w:val="18"/>
          <w:szCs w:val="18"/>
          <w:color w:val="auto"/>
        </w:rPr>
      </w:pPr>
    </w:p>
    <w:p>
      <w:pPr>
        <w:ind w:left="1152" w:right="200" w:hanging="567"/>
        <w:spacing w:after="0" w:line="259" w:lineRule="auto"/>
        <w:rPr>
          <w:rFonts w:ascii="Arial" w:cs="Arial" w:eastAsia="Arial" w:hAnsi="Arial"/>
          <w:sz w:val="18"/>
          <w:szCs w:val="18"/>
          <w:color w:val="auto"/>
        </w:rPr>
      </w:pPr>
      <w:r>
        <w:rPr>
          <w:rFonts w:ascii="Arial" w:cs="Arial" w:eastAsia="Arial" w:hAnsi="Arial"/>
          <w:sz w:val="18"/>
          <w:szCs w:val="18"/>
          <w:color w:val="auto"/>
        </w:rPr>
        <w:t>3.1. This Ninth Amendment is subject to the conditions precedent that the Banks shall have received, by not later than September 30, 2005 (or such earlier date expressly set out with respect thereto below), the following documents, information, matters and things in form and substance satisfactory to the Banks:</w:t>
      </w:r>
    </w:p>
    <w:p>
      <w:pPr>
        <w:spacing w:after="0" w:line="221"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the Additional Investment Undertakings duly executed by each Additional Investment Obligor;</w:t>
      </w:r>
    </w:p>
    <w:p>
      <w:pPr>
        <w:spacing w:after="0" w:line="246"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the written consent, acknowledgment and waiver by TIC, pursuant to its Undertaking to the Banks, dated November 11, 2003 (</w:t>
      </w:r>
      <w:r>
        <w:rPr>
          <w:rFonts w:ascii="Arial" w:cs="Arial" w:eastAsia="Arial" w:hAnsi="Arial"/>
          <w:sz w:val="15"/>
          <w:szCs w:val="15"/>
          <w:b w:val="1"/>
          <w:bCs w:val="1"/>
          <w:color w:val="auto"/>
        </w:rPr>
        <w:t>“the</w:t>
      </w:r>
    </w:p>
    <w:p>
      <w:pPr>
        <w:spacing w:after="0" w:line="21" w:lineRule="exact"/>
        <w:rPr>
          <w:sz w:val="20"/>
          <w:szCs w:val="20"/>
          <w:color w:val="auto"/>
        </w:rPr>
      </w:pPr>
    </w:p>
    <w:p>
      <w:pPr>
        <w:ind w:left="1712"/>
        <w:spacing w:after="0"/>
        <w:rPr>
          <w:sz w:val="20"/>
          <w:szCs w:val="20"/>
          <w:color w:val="auto"/>
        </w:rPr>
      </w:pPr>
      <w:r>
        <w:rPr>
          <w:rFonts w:ascii="Arial" w:cs="Arial" w:eastAsia="Arial" w:hAnsi="Arial"/>
          <w:sz w:val="18"/>
          <w:szCs w:val="18"/>
          <w:b w:val="1"/>
          <w:bCs w:val="1"/>
          <w:color w:val="auto"/>
        </w:rPr>
        <w:t>Safety Net Undertaking”</w:t>
      </w:r>
      <w:r>
        <w:rPr>
          <w:rFonts w:ascii="Arial" w:cs="Arial" w:eastAsia="Arial" w:hAnsi="Arial"/>
          <w:sz w:val="18"/>
          <w:szCs w:val="18"/>
          <w:color w:val="auto"/>
        </w:rPr>
        <w:t>):</w:t>
      </w:r>
    </w:p>
    <w:p>
      <w:pPr>
        <w:spacing w:after="0" w:line="246" w:lineRule="exact"/>
        <w:rPr>
          <w:sz w:val="20"/>
          <w:szCs w:val="20"/>
          <w:color w:val="auto"/>
        </w:rPr>
      </w:pPr>
    </w:p>
    <w:p>
      <w:pPr>
        <w:ind w:left="1712"/>
        <w:spacing w:after="0"/>
        <w:rPr>
          <w:sz w:val="20"/>
          <w:szCs w:val="20"/>
          <w:color w:val="auto"/>
        </w:rPr>
      </w:pPr>
      <w:r>
        <w:rPr>
          <w:rFonts w:ascii="Arial" w:cs="Arial" w:eastAsia="Arial" w:hAnsi="Arial"/>
          <w:sz w:val="18"/>
          <w:szCs w:val="18"/>
          <w:color w:val="auto"/>
        </w:rPr>
        <w:t>3.1.2.1. consenting to all of the amendments to the Facility Agreement made by this Ninth Amendment;</w:t>
      </w:r>
    </w:p>
    <w:p>
      <w:pPr>
        <w:spacing w:after="0" w:line="200" w:lineRule="exact"/>
        <w:rPr>
          <w:sz w:val="20"/>
          <w:szCs w:val="20"/>
          <w:color w:val="auto"/>
        </w:rPr>
      </w:pPr>
    </w:p>
    <w:p>
      <w:pPr>
        <w:spacing w:after="0" w:line="26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72504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2292" w:right="220" w:hanging="566"/>
        <w:spacing w:after="0" w:line="268" w:lineRule="auto"/>
        <w:rPr>
          <w:sz w:val="20"/>
          <w:szCs w:val="20"/>
          <w:color w:val="auto"/>
        </w:rPr>
      </w:pPr>
      <w:r>
        <w:rPr>
          <w:rFonts w:ascii="Arial" w:cs="Arial" w:eastAsia="Arial" w:hAnsi="Arial"/>
          <w:sz w:val="18"/>
          <w:szCs w:val="18"/>
          <w:color w:val="auto"/>
        </w:rPr>
        <w:t>3.1.2.2. amending clauses 2.3 and 5.2 of the Safety Net Undertaking to delete the date “June 30, 2006” wherever it appears therein and substituting, in each case, the date “December 31, 2006", therefor; and</w:t>
      </w:r>
    </w:p>
    <w:p>
      <w:pPr>
        <w:spacing w:after="0" w:line="213" w:lineRule="exact"/>
        <w:rPr>
          <w:sz w:val="20"/>
          <w:szCs w:val="20"/>
          <w:color w:val="auto"/>
        </w:rPr>
      </w:pPr>
    </w:p>
    <w:p>
      <w:pPr>
        <w:ind w:left="2292" w:right="220" w:hanging="566"/>
        <w:spacing w:after="0" w:line="268" w:lineRule="auto"/>
        <w:rPr>
          <w:sz w:val="20"/>
          <w:szCs w:val="20"/>
          <w:color w:val="auto"/>
        </w:rPr>
      </w:pPr>
      <w:r>
        <w:rPr>
          <w:rFonts w:ascii="Arial" w:cs="Arial" w:eastAsia="Arial" w:hAnsi="Arial"/>
          <w:sz w:val="18"/>
          <w:szCs w:val="18"/>
          <w:color w:val="auto"/>
        </w:rPr>
        <w:t>3.1.2.3. without derogating from clause 16.34.6, waiving any right of TIC to terminate the Safety Net Undertaking on account of, or in relation to, any of the amendments to the Facility Agreement made by this Ninth Amendment;</w:t>
      </w:r>
    </w:p>
    <w:p>
      <w:pPr>
        <w:spacing w:after="0" w:line="213"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5"/>
          <w:szCs w:val="15"/>
          <w:color w:val="auto"/>
        </w:rPr>
        <w:t>the Ninth Amendment Side Letter executed as at the date hereof by the Borrower;</w:t>
      </w:r>
    </w:p>
    <w:p>
      <w:pPr>
        <w:spacing w:after="0" w:line="252" w:lineRule="exact"/>
        <w:rPr>
          <w:sz w:val="20"/>
          <w:szCs w:val="20"/>
          <w:color w:val="auto"/>
        </w:rPr>
      </w:pPr>
    </w:p>
    <w:p>
      <w:pPr>
        <w:ind w:left="1712" w:right="20" w:hanging="566"/>
        <w:spacing w:after="0" w:line="306" w:lineRule="auto"/>
        <w:tabs>
          <w:tab w:leader="none" w:pos="1692"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copies of resolutions of the Board of Directors of the Borrower, evidencing approval of this Ninth Amendment (including, specifically, of the Additional Investment Undertakings) and authorising designated officers of the Borrower to execute, deliver and perform this Ninth Amendment and to give all notices and take all other action required to be given or taken by the Borrower under this Ninth Amendment;</w:t>
      </w:r>
    </w:p>
    <w:p>
      <w:pPr>
        <w:spacing w:after="0" w:line="188" w:lineRule="exact"/>
        <w:rPr>
          <w:sz w:val="20"/>
          <w:szCs w:val="20"/>
          <w:color w:val="auto"/>
        </w:rPr>
      </w:pPr>
    </w:p>
    <w:p>
      <w:pPr>
        <w:ind w:left="1712" w:right="360" w:hanging="566"/>
        <w:spacing w:after="0" w:line="268" w:lineRule="auto"/>
        <w:tabs>
          <w:tab w:leader="none" w:pos="1692" w:val="left"/>
        </w:tabs>
        <w:rPr>
          <w:sz w:val="20"/>
          <w:szCs w:val="20"/>
          <w:color w:val="auto"/>
        </w:rPr>
      </w:pPr>
      <w:r>
        <w:rPr>
          <w:rFonts w:ascii="Arial" w:cs="Arial" w:eastAsia="Arial" w:hAnsi="Arial"/>
          <w:sz w:val="18"/>
          <w:szCs w:val="18"/>
          <w:color w:val="auto"/>
        </w:rPr>
        <w:t>3.1.5.</w:t>
        <w:tab/>
        <w:t>payment on the date of signature of this Ninth Amendment of the fees and costs referred to in section 5 below, that are payable on or before such date;</w:t>
      </w:r>
    </w:p>
    <w:p>
      <w:pPr>
        <w:spacing w:after="0" w:line="213"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an opinion of Yigal Arnon &amp; Co., Advocates, the Borrower’s external legal counsel, addressed to the Banks;</w:t>
      </w:r>
    </w:p>
    <w:p>
      <w:pPr>
        <w:spacing w:after="0" w:line="252" w:lineRule="exact"/>
        <w:rPr>
          <w:sz w:val="20"/>
          <w:szCs w:val="20"/>
          <w:color w:val="auto"/>
        </w:rPr>
      </w:pPr>
    </w:p>
    <w:p>
      <w:pPr>
        <w:ind w:left="1152"/>
        <w:spacing w:after="0"/>
        <w:tabs>
          <w:tab w:leader="none" w:pos="1692"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5"/>
          <w:szCs w:val="15"/>
          <w:color w:val="auto"/>
        </w:rPr>
        <w:t>an updated certificate by the Auditors confirming investments made in accordance with clauses 16.27.2 and 16.36 through and as of the</w:t>
      </w:r>
    </w:p>
    <w:p>
      <w:pPr>
        <w:sectPr>
          <w:pgSz w:w="11900" w:h="16838" w:orient="portrait"/>
          <w:cols w:equalWidth="0" w:num="1">
            <w:col w:w="11392"/>
          </w:cols>
          <w:pgMar w:left="248" w:top="131" w:right="259" w:bottom="0" w:gutter="0" w:footer="0" w:header="0"/>
        </w:sectPr>
      </w:pPr>
    </w:p>
    <w:bookmarkStart w:id="53" w:name="page54"/>
    <w:bookmarkEnd w:id="53"/>
    <w:p>
      <w:pPr>
        <w:ind w:left="1720"/>
        <w:spacing w:after="0"/>
        <w:rPr>
          <w:sz w:val="20"/>
          <w:szCs w:val="20"/>
          <w:color w:val="auto"/>
        </w:rPr>
      </w:pPr>
      <w:r>
        <w:rPr>
          <w:rFonts w:ascii="Arial" w:cs="Arial" w:eastAsia="Arial" w:hAnsi="Arial"/>
          <w:sz w:val="18"/>
          <w:szCs w:val="18"/>
          <w:color w:val="auto"/>
        </w:rPr>
        <w:t>Ninth Amendment Closing Date;</w:t>
      </w:r>
    </w:p>
    <w:p>
      <w:pPr>
        <w:spacing w:after="0" w:line="252" w:lineRule="exact"/>
        <w:rPr>
          <w:sz w:val="20"/>
          <w:szCs w:val="20"/>
          <w:color w:val="auto"/>
        </w:rPr>
      </w:pPr>
    </w:p>
    <w:p>
      <w:pPr>
        <w:ind w:left="1160"/>
        <w:spacing w:after="0"/>
        <w:tabs>
          <w:tab w:leader="none" w:pos="170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5"/>
          <w:szCs w:val="15"/>
          <w:color w:val="auto"/>
        </w:rPr>
        <w:t>each updated Schedule referred to in section 2.15 above;</w:t>
      </w:r>
    </w:p>
    <w:p>
      <w:pPr>
        <w:spacing w:after="0" w:line="252" w:lineRule="exact"/>
        <w:rPr>
          <w:sz w:val="20"/>
          <w:szCs w:val="20"/>
          <w:color w:val="auto"/>
        </w:rPr>
      </w:pPr>
    </w:p>
    <w:p>
      <w:pPr>
        <w:ind w:left="1720" w:right="620" w:hanging="566"/>
        <w:spacing w:after="0" w:line="370" w:lineRule="auto"/>
        <w:tabs>
          <w:tab w:leader="none" w:pos="170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5"/>
          <w:szCs w:val="15"/>
          <w:color w:val="auto"/>
        </w:rPr>
        <w:t>evidence that this Ninth Amendment and all documentation pursuant thereto, including, the Additional Investment Undertakings, required, if required, to be stamped for stamp duty purposes, has been stamped and the relevant duty payable has been paid; and</w:t>
      </w:r>
    </w:p>
    <w:p>
      <w:pPr>
        <w:spacing w:after="0" w:line="143" w:lineRule="exact"/>
        <w:rPr>
          <w:sz w:val="20"/>
          <w:szCs w:val="20"/>
          <w:color w:val="auto"/>
        </w:rPr>
      </w:pPr>
    </w:p>
    <w:p>
      <w:pPr>
        <w:ind w:left="1720" w:right="100" w:hanging="566"/>
        <w:spacing w:after="0" w:line="268" w:lineRule="auto"/>
        <w:rPr>
          <w:sz w:val="20"/>
          <w:szCs w:val="20"/>
          <w:color w:val="auto"/>
        </w:rPr>
      </w:pPr>
      <w:r>
        <w:rPr>
          <w:rFonts w:ascii="Arial" w:cs="Arial" w:eastAsia="Arial" w:hAnsi="Arial"/>
          <w:sz w:val="18"/>
          <w:szCs w:val="18"/>
          <w:color w:val="auto"/>
        </w:rPr>
        <w:t>3.1.10. all of the Borrower’s representations and warranties given pursuant to this Ninth Amendment shall be accurate in all material respects as of the Ninth Amendment Closing Date, as if made on the Ninth Amendment Closing Date.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0" w:hanging="566"/>
        <w:spacing w:after="0" w:line="294" w:lineRule="auto"/>
        <w:tabs>
          <w:tab w:leader="none" w:pos="11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In the event that the aforegoing conditions precedent are not all fulfilled by September 30, 2005, then, save for section 5 below, this Ninth Amendment shall no longer be of any force or effect and the Facility Agreement shall remain unaltered and in full force and effect and, save as aforesaid, no party shall have any claim arising out of or in connection with this Ninth Amendment. The Banks undertake that promptly following the fulfilment to the satisfaction of the Banks of all the conditions precedent referred to in section 3.1 above, the Banks shall confirm to the Borrower in writing that the conditions precedent have been fulfilled and this Ninth Amendment has become effective.</w:t>
      </w:r>
    </w:p>
    <w:p>
      <w:pPr>
        <w:spacing w:after="0" w:line="191" w:lineRule="exact"/>
        <w:rPr>
          <w:sz w:val="20"/>
          <w:szCs w:val="20"/>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258" w:lineRule="exact"/>
        <w:rPr>
          <w:rFonts w:ascii="Arial" w:cs="Arial" w:eastAsia="Arial" w:hAnsi="Arial"/>
          <w:sz w:val="18"/>
          <w:szCs w:val="18"/>
          <w:color w:val="auto"/>
        </w:rPr>
      </w:pPr>
    </w:p>
    <w:p>
      <w:pPr>
        <w:ind w:left="580"/>
        <w:spacing w:after="0" w:line="290" w:lineRule="auto"/>
        <w:rPr>
          <w:rFonts w:ascii="Arial" w:cs="Arial" w:eastAsia="Arial" w:hAnsi="Arial"/>
          <w:sz w:val="18"/>
          <w:szCs w:val="18"/>
          <w:color w:val="auto"/>
        </w:rPr>
      </w:pPr>
      <w:r>
        <w:rPr>
          <w:rFonts w:ascii="Arial" w:cs="Arial" w:eastAsia="Arial" w:hAnsi="Arial"/>
          <w:sz w:val="16"/>
          <w:szCs w:val="16"/>
          <w:color w:val="auto"/>
        </w:rPr>
        <w:t>The Borrower acknowledges that the Banks have agreed to this Ninth Amendment in full reliance on the representations and warranties set forth in the first sentence of clause 15.2, the first two sentences of clause 15.3, clause 15.4 (except that solely for purposes of the repetition of the representations and warranties in such clause 15.4 as a condition to this Ninth Amendment, the words “or any of the Material Contracts” shall be deemed to be deleted therefrom), paragraph (ii) of clause 15.18.1 (except that solely for purposes of the repetition of the representations and warranties in such paragraph (ii) of clause 15.18.1 as a condition to this Ninth Amendment, the words “or under the Material Contracts” shall be deemed to be deleted therefrom) and clause 15.28, which are deemed to be repeated on the date of signature of this Ninth Amendment, on the Ninth Amendment Closing Date and on each date of drawdown of Interest Payment Loans.</w:t>
      </w:r>
    </w:p>
    <w:p>
      <w:pPr>
        <w:spacing w:after="0" w:line="199" w:lineRule="exact"/>
        <w:rPr>
          <w:rFonts w:ascii="Arial" w:cs="Arial" w:eastAsia="Arial" w:hAnsi="Arial"/>
          <w:sz w:val="18"/>
          <w:szCs w:val="18"/>
          <w:color w:val="auto"/>
        </w:rPr>
      </w:pPr>
    </w:p>
    <w:p>
      <w:pPr>
        <w:ind w:left="580" w:right="300"/>
        <w:spacing w:after="0" w:line="268" w:lineRule="auto"/>
        <w:rPr>
          <w:rFonts w:ascii="Arial" w:cs="Arial" w:eastAsia="Arial" w:hAnsi="Arial"/>
          <w:sz w:val="18"/>
          <w:szCs w:val="18"/>
          <w:color w:val="auto"/>
        </w:rPr>
      </w:pPr>
      <w:r>
        <w:rPr>
          <w:rFonts w:ascii="Arial" w:cs="Arial" w:eastAsia="Arial" w:hAnsi="Arial"/>
          <w:sz w:val="18"/>
          <w:szCs w:val="18"/>
          <w:color w:val="auto"/>
        </w:rPr>
        <w:t>For the removal of doubt, the term “Finance Documents” when referred to in the representations and warranties set out in clause 15, includes also this Ninth Amendment.</w:t>
      </w:r>
    </w:p>
    <w:p>
      <w:pPr>
        <w:spacing w:after="0" w:line="206" w:lineRule="exact"/>
        <w:rPr>
          <w:rFonts w:ascii="Arial" w:cs="Arial" w:eastAsia="Arial" w:hAnsi="Arial"/>
          <w:sz w:val="18"/>
          <w:szCs w:val="18"/>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FEES AND EXPENSES</w:t>
      </w:r>
    </w:p>
    <w:p>
      <w:pPr>
        <w:spacing w:after="0" w:line="258" w:lineRule="exact"/>
        <w:rPr>
          <w:rFonts w:ascii="Arial" w:cs="Arial" w:eastAsia="Arial" w:hAnsi="Arial"/>
          <w:sz w:val="18"/>
          <w:szCs w:val="18"/>
          <w:color w:val="auto"/>
        </w:rPr>
      </w:pPr>
    </w:p>
    <w:p>
      <w:pPr>
        <w:ind w:left="580" w:right="60"/>
        <w:spacing w:after="0" w:line="298" w:lineRule="auto"/>
        <w:rPr>
          <w:rFonts w:ascii="Arial" w:cs="Arial" w:eastAsia="Arial" w:hAnsi="Arial"/>
          <w:sz w:val="18"/>
          <w:szCs w:val="18"/>
          <w:color w:val="auto"/>
        </w:rPr>
      </w:pPr>
      <w:r>
        <w:rPr>
          <w:rFonts w:ascii="Arial" w:cs="Arial" w:eastAsia="Arial" w:hAnsi="Arial"/>
          <w:sz w:val="16"/>
          <w:szCs w:val="16"/>
          <w:color w:val="auto"/>
        </w:rPr>
        <w:t>Without derogating from the obligations of the Borrower to pay the Banks commissions, fees and expenses pursuant to the Facility Agreement and the Ninth Amendment Side Letter and in addition thereto, and for the removal of doubt, the Borrower shall pay to the Banks on the date of signature of this Ninth Amendment and thereafter on demand legal fees for external counsel (and out-of-pocket expenses incurred by such counsel) incurred by the Banks in connection with the negotiation, preparation and execution of this Ninth Amendment.</w:t>
      </w:r>
    </w:p>
    <w:p>
      <w:pPr>
        <w:spacing w:after="0" w:line="200" w:lineRule="exact"/>
        <w:rPr>
          <w:rFonts w:ascii="Arial" w:cs="Arial" w:eastAsia="Arial" w:hAnsi="Arial"/>
          <w:sz w:val="18"/>
          <w:szCs w:val="18"/>
          <w:color w:val="auto"/>
        </w:rPr>
      </w:pPr>
    </w:p>
    <w:p>
      <w:pPr>
        <w:spacing w:after="0" w:line="209" w:lineRule="exact"/>
        <w:rPr>
          <w:rFonts w:ascii="Arial" w:cs="Arial" w:eastAsia="Arial" w:hAnsi="Arial"/>
          <w:sz w:val="18"/>
          <w:szCs w:val="18"/>
          <w:color w:val="auto"/>
        </w:rPr>
      </w:pPr>
    </w:p>
    <w:p>
      <w:pPr>
        <w:ind w:left="5620" w:hanging="96"/>
        <w:spacing w:after="0"/>
        <w:tabs>
          <w:tab w:leader="none" w:pos="56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19 -</w:t>
      </w:r>
    </w:p>
    <w:p>
      <w:pPr>
        <w:spacing w:after="0" w:line="340" w:lineRule="exact"/>
        <w:rPr>
          <w:rFonts w:ascii="Arial" w:cs="Arial" w:eastAsia="Arial" w:hAnsi="Arial"/>
          <w:sz w:val="18"/>
          <w:szCs w:val="18"/>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 TO THE FACILITY AGREEMENT</w:t>
      </w:r>
    </w:p>
    <w:p>
      <w:pPr>
        <w:spacing w:after="0" w:line="258" w:lineRule="exact"/>
        <w:rPr>
          <w:rFonts w:ascii="Arial" w:cs="Arial" w:eastAsia="Arial" w:hAnsi="Arial"/>
          <w:sz w:val="18"/>
          <w:szCs w:val="18"/>
          <w:color w:val="auto"/>
        </w:rPr>
      </w:pPr>
    </w:p>
    <w:p>
      <w:pPr>
        <w:ind w:left="580" w:right="160"/>
        <w:spacing w:after="0" w:line="256" w:lineRule="auto"/>
        <w:rPr>
          <w:rFonts w:ascii="Arial" w:cs="Arial" w:eastAsia="Arial" w:hAnsi="Arial"/>
          <w:sz w:val="18"/>
          <w:szCs w:val="18"/>
          <w:color w:val="auto"/>
        </w:rPr>
      </w:pPr>
      <w:r>
        <w:rPr>
          <w:rFonts w:ascii="Arial" w:cs="Arial" w:eastAsia="Arial" w:hAnsi="Arial"/>
          <w:sz w:val="18"/>
          <w:szCs w:val="18"/>
          <w:color w:val="auto"/>
        </w:rPr>
        <w:t>Subject to the fulfilment of the conditions precedent set out in section 3.1 above and with effect from the Ninth Amendment Closing Date, the Facility Agreement is hereby amended as expressly set out in this Ninth Amendment above. This Ninth Amendment shall be read together with the Facility Agreement as one agreement and, save as expressly amended by this Ninth Amendment, the Facility Agreement shall remain unaltered and in full force and effect.</w:t>
      </w:r>
    </w:p>
    <w:p>
      <w:pPr>
        <w:spacing w:after="0" w:line="218" w:lineRule="exact"/>
        <w:rPr>
          <w:rFonts w:ascii="Arial" w:cs="Arial" w:eastAsia="Arial" w:hAnsi="Arial"/>
          <w:sz w:val="18"/>
          <w:szCs w:val="18"/>
          <w:color w:val="auto"/>
        </w:rPr>
      </w:pPr>
    </w:p>
    <w:p>
      <w:pPr>
        <w:ind w:left="580" w:hanging="572"/>
        <w:spacing w:after="0"/>
        <w:tabs>
          <w:tab w:leader="none" w:pos="58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FURTHER DISCUSSIONS</w:t>
      </w:r>
    </w:p>
    <w:p>
      <w:pPr>
        <w:spacing w:after="0" w:line="258" w:lineRule="exact"/>
        <w:rPr>
          <w:rFonts w:ascii="Arial" w:cs="Arial" w:eastAsia="Arial" w:hAnsi="Arial"/>
          <w:sz w:val="18"/>
          <w:szCs w:val="18"/>
          <w:color w:val="auto"/>
        </w:rPr>
      </w:pPr>
    </w:p>
    <w:p>
      <w:pPr>
        <w:ind w:left="580" w:right="200"/>
        <w:spacing w:after="0" w:line="268" w:lineRule="auto"/>
        <w:rPr>
          <w:rFonts w:ascii="Arial" w:cs="Arial" w:eastAsia="Arial" w:hAnsi="Arial"/>
          <w:sz w:val="18"/>
          <w:szCs w:val="18"/>
          <w:color w:val="auto"/>
        </w:rPr>
      </w:pPr>
      <w:r>
        <w:rPr>
          <w:rFonts w:ascii="Arial" w:cs="Arial" w:eastAsia="Arial" w:hAnsi="Arial"/>
          <w:sz w:val="18"/>
          <w:szCs w:val="18"/>
          <w:color w:val="auto"/>
        </w:rPr>
        <w:t>Following the Ninth Amendment Closing Date, the Banks and the Borrower shall discuss (but without any obligation on the part of the Banks to agree) the rescheduling of the repayment dates of the Interest Payment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-1678940</wp:posOffset>
            </wp:positionV>
            <wp:extent cx="72504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 the parties have signed this Ninth Amendment on the date first mentioned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0" w:type="dxa"/>
            <w:vAlign w:val="bottom"/>
          </w:tcPr>
          <w:p>
            <w:pPr>
              <w:spacing w:after="0"/>
              <w:rPr>
                <w:sz w:val="20"/>
                <w:szCs w:val="20"/>
                <w:color w:val="auto"/>
              </w:rPr>
            </w:pPr>
            <w:r>
              <w:rPr>
                <w:rFonts w:ascii="Arial" w:cs="Arial" w:eastAsia="Arial" w:hAnsi="Arial"/>
                <w:sz w:val="18"/>
                <w:szCs w:val="18"/>
                <w:color w:val="auto"/>
              </w:rPr>
              <w:t>for:</w:t>
            </w:r>
          </w:p>
        </w:tc>
        <w:tc>
          <w:tcPr>
            <w:tcW w:w="4360" w:type="dxa"/>
            <w:vAlign w:val="bottom"/>
          </w:tcPr>
          <w:p>
            <w:pPr>
              <w:ind w:left="120"/>
              <w:spacing w:after="0"/>
              <w:rPr>
                <w:sz w:val="20"/>
                <w:szCs w:val="20"/>
                <w:color w:val="auto"/>
              </w:rPr>
            </w:pPr>
            <w:r>
              <w:rPr>
                <w:rFonts w:ascii="Arial" w:cs="Arial" w:eastAsia="Arial" w:hAnsi="Arial"/>
                <w:sz w:val="18"/>
                <w:szCs w:val="18"/>
                <w:b w:val="1"/>
                <w:bCs w:val="1"/>
                <w:color w:val="auto"/>
              </w:rPr>
              <w:t>TOWER SEMICONDUCTOR LTD.</w:t>
            </w:r>
          </w:p>
        </w:tc>
        <w:tc>
          <w:tcPr>
            <w:tcW w:w="3900" w:type="dxa"/>
            <w:vAlign w:val="bottom"/>
          </w:tcPr>
          <w:p>
            <w:pPr>
              <w:spacing w:after="0"/>
              <w:rPr>
                <w:sz w:val="19"/>
                <w:szCs w:val="19"/>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Pr>
          <w:p>
            <w:pPr>
              <w:jc w:val="right"/>
              <w:ind w:right="2012"/>
              <w:spacing w:after="0"/>
              <w:rPr>
                <w:sz w:val="20"/>
                <w:szCs w:val="20"/>
                <w:color w:val="auto"/>
              </w:rPr>
            </w:pPr>
            <w:r>
              <w:rPr>
                <w:rFonts w:ascii="Arial" w:cs="Arial" w:eastAsia="Arial" w:hAnsi="Arial"/>
                <w:sz w:val="18"/>
                <w:szCs w:val="18"/>
                <w:color w:val="auto"/>
                <w:w w:val="93"/>
              </w:rPr>
              <w:t>________________________</w:t>
            </w:r>
          </w:p>
        </w:tc>
        <w:tc>
          <w:tcPr>
            <w:tcW w:w="3900" w:type="dxa"/>
            <w:vAlign w:val="bottom"/>
          </w:tcPr>
          <w:p>
            <w:pPr>
              <w:spacing w:after="0"/>
              <w:rPr>
                <w:sz w:val="24"/>
                <w:szCs w:val="24"/>
                <w:color w:val="auto"/>
              </w:rPr>
            </w:pP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Title: ________________________</w:t>
            </w:r>
          </w:p>
        </w:tc>
        <w:tc>
          <w:tcPr>
            <w:tcW w:w="3900" w:type="dxa"/>
            <w:vAlign w:val="bottom"/>
          </w:tcPr>
          <w:p>
            <w:pPr>
              <w:spacing w:after="0"/>
              <w:rPr>
                <w:sz w:val="24"/>
                <w:szCs w:val="24"/>
                <w:color w:val="auto"/>
              </w:rPr>
            </w:pP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for:</w:t>
            </w:r>
          </w:p>
        </w:tc>
        <w:tc>
          <w:tcPr>
            <w:tcW w:w="4360" w:type="dxa"/>
            <w:vAlign w:val="bottom"/>
          </w:tcPr>
          <w:p>
            <w:pPr>
              <w:ind w:left="80"/>
              <w:spacing w:after="0"/>
              <w:rPr>
                <w:sz w:val="20"/>
                <w:szCs w:val="20"/>
                <w:color w:val="auto"/>
              </w:rPr>
            </w:pPr>
            <w:r>
              <w:rPr>
                <w:rFonts w:ascii="Arial" w:cs="Arial" w:eastAsia="Arial" w:hAnsi="Arial"/>
                <w:sz w:val="18"/>
                <w:szCs w:val="18"/>
                <w:b w:val="1"/>
                <w:bCs w:val="1"/>
                <w:color w:val="auto"/>
              </w:rPr>
              <w:t>BANK LEUMI LE-ISRAEL B.M</w:t>
            </w:r>
          </w:p>
        </w:tc>
        <w:tc>
          <w:tcPr>
            <w:tcW w:w="3900" w:type="dxa"/>
            <w:vAlign w:val="bottom"/>
          </w:tcPr>
          <w:p>
            <w:pPr>
              <w:ind w:left="1500"/>
              <w:spacing w:after="0"/>
              <w:rPr>
                <w:sz w:val="20"/>
                <w:szCs w:val="20"/>
                <w:color w:val="auto"/>
              </w:rPr>
            </w:pPr>
            <w:r>
              <w:rPr>
                <w:rFonts w:ascii="Arial" w:cs="Arial" w:eastAsia="Arial" w:hAnsi="Arial"/>
                <w:sz w:val="18"/>
                <w:szCs w:val="18"/>
                <w:color w:val="auto"/>
              </w:rPr>
              <w:t xml:space="preserve">for:  </w:t>
            </w:r>
            <w:r>
              <w:rPr>
                <w:rFonts w:ascii="Arial" w:cs="Arial" w:eastAsia="Arial" w:hAnsi="Arial"/>
                <w:sz w:val="18"/>
                <w:szCs w:val="18"/>
                <w:b w:val="1"/>
                <w:bCs w:val="1"/>
                <w:color w:val="auto"/>
              </w:rPr>
              <w:t>BANK HAPOALIM B.M</w:t>
            </w:r>
            <w:r>
              <w:rPr>
                <w:rFonts w:ascii="Arial" w:cs="Arial" w:eastAsia="Arial" w:hAnsi="Arial"/>
                <w:sz w:val="18"/>
                <w:szCs w:val="18"/>
                <w:color w:val="auto"/>
              </w:rPr>
              <w: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360" w:type="dxa"/>
            <w:vAlign w:val="bottom"/>
          </w:tcPr>
          <w:p>
            <w:pPr>
              <w:ind w:left="120"/>
              <w:spacing w:after="0"/>
              <w:rPr>
                <w:sz w:val="20"/>
                <w:szCs w:val="20"/>
                <w:color w:val="auto"/>
              </w:rPr>
            </w:pPr>
            <w:r>
              <w:rPr>
                <w:rFonts w:ascii="Arial" w:cs="Arial" w:eastAsia="Arial" w:hAnsi="Arial"/>
                <w:sz w:val="18"/>
                <w:szCs w:val="18"/>
                <w:color w:val="auto"/>
              </w:rPr>
              <w:t>________________________</w:t>
            </w:r>
          </w:p>
        </w:tc>
        <w:tc>
          <w:tcPr>
            <w:tcW w:w="3900" w:type="dxa"/>
            <w:vAlign w:val="bottom"/>
          </w:tcPr>
          <w:p>
            <w:pPr>
              <w:ind w:left="1500"/>
              <w:spacing w:after="0"/>
              <w:rPr>
                <w:sz w:val="20"/>
                <w:szCs w:val="20"/>
                <w:color w:val="auto"/>
              </w:rPr>
            </w:pPr>
            <w:r>
              <w:rPr>
                <w:rFonts w:ascii="Arial" w:cs="Arial" w:eastAsia="Arial" w:hAnsi="Arial"/>
                <w:sz w:val="18"/>
                <w:szCs w:val="18"/>
                <w:color w:val="auto"/>
                <w:w w:val="92"/>
              </w:rPr>
              <w:t>By:  ______________________</w:t>
            </w:r>
          </w:p>
        </w:tc>
      </w:tr>
      <w:tr>
        <w:trPr>
          <w:trHeight w:val="432"/>
        </w:trPr>
        <w:tc>
          <w:tcPr>
            <w:tcW w:w="4680" w:type="dxa"/>
            <w:vAlign w:val="bottom"/>
            <w:gridSpan w:val="2"/>
          </w:tcPr>
          <w:p>
            <w:pPr>
              <w:spacing w:after="0"/>
              <w:rPr>
                <w:sz w:val="20"/>
                <w:szCs w:val="20"/>
                <w:color w:val="auto"/>
              </w:rPr>
            </w:pPr>
            <w:r>
              <w:rPr>
                <w:rFonts w:ascii="Arial" w:cs="Arial" w:eastAsia="Arial" w:hAnsi="Arial"/>
                <w:sz w:val="18"/>
                <w:szCs w:val="18"/>
                <w:color w:val="auto"/>
              </w:rPr>
              <w:t>Title: ________________________</w:t>
            </w:r>
          </w:p>
        </w:tc>
        <w:tc>
          <w:tcPr>
            <w:tcW w:w="3900" w:type="dxa"/>
            <w:vAlign w:val="bottom"/>
          </w:tcPr>
          <w:p>
            <w:pPr>
              <w:ind w:left="1500"/>
              <w:spacing w:after="0"/>
              <w:rPr>
                <w:sz w:val="20"/>
                <w:szCs w:val="20"/>
                <w:color w:val="auto"/>
              </w:rPr>
            </w:pPr>
            <w:r>
              <w:rPr>
                <w:rFonts w:ascii="Arial" w:cs="Arial" w:eastAsia="Arial" w:hAnsi="Arial"/>
                <w:sz w:val="18"/>
                <w:szCs w:val="18"/>
                <w:color w:val="auto"/>
                <w:w w:val="90"/>
              </w:rPr>
              <w:t>Title: ______________________</w:t>
            </w:r>
          </w:p>
        </w:tc>
      </w:tr>
    </w:tbl>
    <w:p>
      <w:pPr>
        <w:spacing w:after="0" w:line="200" w:lineRule="exact"/>
        <w:rPr>
          <w:sz w:val="20"/>
          <w:szCs w:val="20"/>
          <w:color w:val="auto"/>
        </w:rPr>
      </w:pPr>
    </w:p>
    <w:p>
      <w:pPr>
        <w:sectPr>
          <w:pgSz w:w="11900" w:h="16838" w:orient="portrait"/>
          <w:cols w:equalWidth="0" w:num="1">
            <w:col w:w="11420"/>
          </w:cols>
          <w:pgMar w:left="240" w:top="131" w:right="239" w:bottom="184" w:gutter="0" w:footer="0" w:header="0"/>
        </w:sect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6757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84" w:gutter="0" w:footer="0" w:header="0"/>
          <w:type w:val="continuous"/>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We consent to the incorporation by reference in this Registration Statement on Amendment No. 2 to Form F-2, of our report dated February 3, 2005 (May 30, 2005 as for Note 20), relating to the financial statements of Tower Semiconductor Ltd. appearing in the Annual Report on Form 20-F of Tower Semiconductor Ltd. for the year ended December 31, 2004, and to the references to us under the headings “Selected Financial Data” and “Experts” in the prospectus, which is part of this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11,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8194675</wp:posOffset>
            </wp:positionV>
            <wp:extent cx="726757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EILENBERG &amp; KRAUSE LLP</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 EAST 44TH STREET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10017</w:t>
      </w:r>
    </w:p>
    <w:p>
      <w:pPr>
        <w:spacing w:after="0" w:line="225"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TELEPHONE:(212) 986-9700</w:t>
      </w:r>
    </w:p>
    <w:p>
      <w:pPr>
        <w:spacing w:after="0" w:line="25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FACSIMILE: (212) 986-2399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October 11,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Russell Mancuso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Branch Chief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3"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Tower Semiconductor Ltd.</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Amendment No. 1 to Registration Statement on Form F-2</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Filed September 22, 2005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Registration No. 333-126909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Form 6-K/A Filed September 22, 2005</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File No. 0-24790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This letter is submitted on behalf of Tower Semiconductor Ltd. (“Tower” or the “Company”), in response to the comments of the Staff of the Division of Corporation Finance of the Securities and Exchange Commission regarding the Amendment No.1 to Registration Statement on Form F-2 (Registration No. 333-126909) and Form 6-K/A filed on September 22, 2005 (File No. 0-24790). With a courtesy copy of this letter, we are including a copy of Amendment No. 2 to the Registration Statement on Form F-2 as filed with the Securities and Exchange Commission on the date hereof. The Amendment reflects Tower’s responses to the comments contained in your letter of September 30, 2005, as well as updated information. We have also enclosed copies of Amendment No. 2 which have been marked to show changes from Amendment No. 1.</w:t>
      </w:r>
    </w:p>
    <w:p>
      <w:pPr>
        <w:spacing w:after="0" w:line="198"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Our numbered responses correlate to the numbers in your September 30, 2005 letter, and we have set forth in full the text of the comments included in your letter for convenience purposes. All references in our responses to page numbers are to the pages in the unmarked copies of the documents.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respond to the Staff’s comments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F-2</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Fee Table</w:t>
      </w:r>
    </w:p>
    <w:p>
      <w:pPr>
        <w:spacing w:after="0" w:line="225" w:lineRule="exact"/>
        <w:rPr>
          <w:sz w:val="20"/>
          <w:szCs w:val="20"/>
          <w:color w:val="auto"/>
        </w:rPr>
      </w:pPr>
    </w:p>
    <w:p>
      <w:pPr>
        <w:ind w:left="1160" w:right="3280" w:hanging="571"/>
        <w:spacing w:after="0" w:line="708" w:lineRule="auto"/>
        <w:tabs>
          <w:tab w:leader="none" w:pos="1160" w:val="left"/>
        </w:tabs>
        <w:numPr>
          <w:ilvl w:val="0"/>
          <w:numId w:val="6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Please revise the notes to the fee table to clarify how you determined the amount to be registered. </w:t>
      </w:r>
      <w:r>
        <w:rPr>
          <w:rFonts w:ascii="Arial" w:cs="Arial" w:eastAsia="Arial" w:hAnsi="Arial"/>
          <w:sz w:val="15"/>
          <w:szCs w:val="15"/>
          <w:color w:val="auto"/>
        </w:rPr>
        <w:t>We have revised the fee table to clarify how the amount to be registered was determined.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 Cover Page</w:t>
      </w:r>
    </w:p>
    <w:p>
      <w:pPr>
        <w:spacing w:after="0" w:line="225" w:lineRule="exact"/>
        <w:rPr>
          <w:sz w:val="20"/>
          <w:szCs w:val="20"/>
          <w:color w:val="auto"/>
        </w:rPr>
      </w:pPr>
    </w:p>
    <w:p>
      <w:pPr>
        <w:ind w:left="1160" w:hanging="571"/>
        <w:spacing w:after="0" w:line="259" w:lineRule="auto"/>
        <w:tabs>
          <w:tab w:leader="none" w:pos="11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comment 3. In an appropriate place in your prospectus, please clarify whether the committed investors can purchase any securities included in registration statement, including by oversubscribing or otherwise. Also clarify whether those securities will be part of the unregistered offering or the registered offering.</w:t>
      </w:r>
    </w:p>
    <w:p>
      <w:pPr>
        <w:spacing w:after="0" w:line="221" w:lineRule="exact"/>
        <w:rPr>
          <w:rFonts w:ascii="Arial" w:cs="Arial" w:eastAsia="Arial" w:hAnsi="Arial"/>
          <w:sz w:val="18"/>
          <w:szCs w:val="18"/>
          <w:b w:val="1"/>
          <w:bCs w:val="1"/>
          <w:color w:val="auto"/>
        </w:rPr>
      </w:pPr>
    </w:p>
    <w:p>
      <w:pPr>
        <w:ind w:left="1160" w:right="20"/>
        <w:spacing w:after="0" w:line="310" w:lineRule="auto"/>
        <w:rPr>
          <w:rFonts w:ascii="Arial" w:cs="Arial" w:eastAsia="Arial" w:hAnsi="Arial"/>
          <w:sz w:val="18"/>
          <w:szCs w:val="18"/>
          <w:b w:val="1"/>
          <w:bCs w:val="1"/>
          <w:color w:val="auto"/>
        </w:rPr>
      </w:pPr>
      <w:r>
        <w:rPr>
          <w:rFonts w:ascii="Arial" w:cs="Arial" w:eastAsia="Arial" w:hAnsi="Arial"/>
          <w:sz w:val="15"/>
          <w:szCs w:val="15"/>
          <w:color w:val="auto"/>
        </w:rPr>
        <w:t>We have revised the filing to clarify on page 29 that the committed investors have no arrangement in the nature of a standby or any other arrangement with the Company or any other person to purchase any unexercised rights issued in the registered offering or to purchase convertible debentures underlying unexercised rights issued in the registered offering. However, as reflected in the prospectus, it is contemplated that the rights and the convertible debentures issuable upon the exercise thereof will be listed for trading. There are not contemplated to be any special restrictions on the purchase by the committed investors of rights and/or debentures in the market or in private transactions. The exercise of any such rights or the conversion of the debentures would involve an issuance of securities by the Company pursuant to the registration statement. We note that since each of the committed investors is deemed to be an affiliate of the Company, any resale of such securities would require either a resale registration or compliance with the provisions of Rule 144 related to the sale of control securities.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Questions and Answers About the Rights Offering, page 2</w:t>
      </w:r>
    </w:p>
    <w:p>
      <w:pPr>
        <w:spacing w:after="0" w:line="225" w:lineRule="exact"/>
        <w:rPr>
          <w:sz w:val="20"/>
          <w:szCs w:val="20"/>
          <w:color w:val="auto"/>
        </w:rPr>
      </w:pPr>
    </w:p>
    <w:p>
      <w:pPr>
        <w:ind w:left="1160" w:right="600" w:hanging="571"/>
        <w:spacing w:after="0" w:line="268" w:lineRule="auto"/>
        <w:tabs>
          <w:tab w:leader="none" w:pos="11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We note your response to prior comment 4 and reissue the comment. Please disclose in the filing the reasons for structuring the rights offering for convertible debentures in the principal amount of $1 per share.</w:t>
      </w:r>
    </w:p>
    <w:p>
      <w:pPr>
        <w:spacing w:after="0" w:line="212" w:lineRule="exact"/>
        <w:rPr>
          <w:rFonts w:ascii="Arial" w:cs="Arial" w:eastAsia="Arial" w:hAnsi="Arial"/>
          <w:sz w:val="18"/>
          <w:szCs w:val="18"/>
          <w:b w:val="1"/>
          <w:bCs w:val="1"/>
          <w:color w:val="auto"/>
        </w:rPr>
      </w:pPr>
    </w:p>
    <w:p>
      <w:pPr>
        <w:ind w:left="1160" w:right="20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revised the filing to disclose the reasons for structuring the rights offering for convertible debentures in the principal amount of $1 per share (page 4).</w:t>
      </w:r>
    </w:p>
    <w:p>
      <w:pPr>
        <w:sectPr>
          <w:pgSz w:w="11900" w:h="16838" w:orient="portrait"/>
          <w:cols w:equalWidth="0" w:num="1">
            <w:col w:w="11420"/>
          </w:cols>
          <w:pgMar w:left="240" w:top="125"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auto"/>
        </w:rPr>
        <w:t>How will principal and interest be paid, page 2</w:t>
      </w:r>
    </w:p>
    <w:p>
      <w:pPr>
        <w:spacing w:after="0" w:line="225" w:lineRule="exact"/>
        <w:rPr>
          <w:sz w:val="20"/>
          <w:szCs w:val="20"/>
          <w:color w:val="auto"/>
        </w:rPr>
      </w:pPr>
    </w:p>
    <w:p>
      <w:pPr>
        <w:ind w:left="1160" w:right="780" w:hanging="571"/>
        <w:spacing w:after="0" w:line="370" w:lineRule="auto"/>
        <w:tabs>
          <w:tab w:leader="none" w:pos="1160"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Please cite any authority on which you rely to reach the conclusions in your response to comment 6. Address how all provisions for postponement of principal and interest payments disclosed in the document are consistent with the Trust Indenture Act of 1939.</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40"/>
        <w:spacing w:after="0" w:line="255" w:lineRule="auto"/>
        <w:rPr>
          <w:sz w:val="20"/>
          <w:szCs w:val="20"/>
          <w:color w:val="auto"/>
        </w:rPr>
      </w:pPr>
      <w:r>
        <w:rPr>
          <w:rFonts w:ascii="Arial" w:cs="Arial" w:eastAsia="Arial" w:hAnsi="Arial"/>
          <w:sz w:val="18"/>
          <w:szCs w:val="18"/>
          <w:color w:val="auto"/>
        </w:rPr>
        <w:t>We believe that the subordination provisions of the debentures disclosed in the document are consistent with the Trust Indenture Act of 1939.The suspension of payment of principal and interest during a senior debt default is what it means to be subordinated debt. For authority we refer you to the Revised Model Simplified Indenture, 55 Bus. Law 1115 at 1157, in Section 11.03 thereof provides for suspension of all payment of principal and interest in the event of a payment default on the senior debt, notwithstanding RMSI Section 6.07 which paraphrases Section 316(b) of the Trust Indenture Act of 1939 as follows:</w:t>
      </w:r>
    </w:p>
    <w:p>
      <w:pPr>
        <w:spacing w:after="0" w:line="224" w:lineRule="exact"/>
        <w:rPr>
          <w:sz w:val="20"/>
          <w:szCs w:val="20"/>
          <w:color w:val="auto"/>
        </w:rPr>
      </w:pPr>
    </w:p>
    <w:p>
      <w:pPr>
        <w:jc w:val="both"/>
        <w:ind w:left="1720" w:right="20"/>
        <w:spacing w:after="0" w:line="306" w:lineRule="auto"/>
        <w:rPr>
          <w:sz w:val="20"/>
          <w:szCs w:val="20"/>
          <w:color w:val="auto"/>
        </w:rPr>
      </w:pPr>
      <w:r>
        <w:rPr>
          <w:rFonts w:ascii="Arial" w:cs="Arial" w:eastAsia="Arial" w:hAnsi="Arial"/>
          <w:sz w:val="16"/>
          <w:szCs w:val="16"/>
          <w:color w:val="auto"/>
        </w:rPr>
        <w:t>“Notwithstanding any other provision of this Indenture, the right of any Holder of a Security to receive payment of Principal and interest on the Security, on or after the respective due dates expressed in the Security, or to bring suit for the enforcement of any such payment on or after such respective dates, shall not be impaired or affected without the consent of the Holder.”</w:t>
      </w:r>
    </w:p>
    <w:p>
      <w:pPr>
        <w:spacing w:after="0" w:line="188" w:lineRule="exact"/>
        <w:rPr>
          <w:sz w:val="20"/>
          <w:szCs w:val="20"/>
          <w:color w:val="auto"/>
        </w:rPr>
      </w:pPr>
    </w:p>
    <w:p>
      <w:pPr>
        <w:ind w:left="1160" w:right="20"/>
        <w:spacing w:after="0" w:line="255" w:lineRule="auto"/>
        <w:rPr>
          <w:sz w:val="20"/>
          <w:szCs w:val="20"/>
          <w:color w:val="auto"/>
        </w:rPr>
      </w:pPr>
      <w:r>
        <w:rPr>
          <w:rFonts w:ascii="Arial" w:cs="Arial" w:eastAsia="Arial" w:hAnsi="Arial"/>
          <w:sz w:val="18"/>
          <w:szCs w:val="18"/>
          <w:color w:val="auto"/>
        </w:rPr>
        <w:t>The subordination of principal and interest in the event of a senior debt default are not inconsistent with the referenced language of the RMSI and the underlying provisions of 316(b). They represent the agreement of the subordinated creditor and the debtor to reallocate to another party (the senior creditor) payments which the subordinated debt would otherwise be eligible to receive. Such terms in the indenture are agreed to and will be enforced as a matter of contract law so long as they are clear and unambiguous. See Notes 1 and 2 to the Model Simplified Indenture, 38 Bus. Law 741 at 808.</w:t>
      </w:r>
    </w:p>
    <w:p>
      <w:pPr>
        <w:spacing w:after="0" w:line="224" w:lineRule="exact"/>
        <w:rPr>
          <w:sz w:val="20"/>
          <w:szCs w:val="20"/>
          <w:color w:val="auto"/>
        </w:rPr>
      </w:pPr>
    </w:p>
    <w:p>
      <w:pPr>
        <w:ind w:left="1160" w:right="120"/>
        <w:spacing w:after="0" w:line="256" w:lineRule="auto"/>
        <w:rPr>
          <w:sz w:val="20"/>
          <w:szCs w:val="20"/>
          <w:color w:val="auto"/>
        </w:rPr>
      </w:pPr>
      <w:r>
        <w:rPr>
          <w:rFonts w:ascii="Arial" w:cs="Arial" w:eastAsia="Arial" w:hAnsi="Arial"/>
          <w:sz w:val="18"/>
          <w:szCs w:val="18"/>
          <w:color w:val="auto"/>
        </w:rPr>
        <w:t>The other operative terms of the subordination in effect mitigate the subordination by requiring certain pro rata payments to the holders of the debentures even though all amounts due and owing on the senior debt have not been paid in full and the default on the senior debt is continuing. These provisions, which benefit the debenture holders, represent part of the subordination agreed to by the debenture holders and are consistent with the Trust Indenture Act of 1939.</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Are the debentures subordinated, page 3</w:t>
      </w:r>
    </w:p>
    <w:p>
      <w:pPr>
        <w:spacing w:after="0" w:line="225" w:lineRule="exact"/>
        <w:rPr>
          <w:sz w:val="20"/>
          <w:szCs w:val="20"/>
          <w:color w:val="auto"/>
        </w:rPr>
      </w:pPr>
    </w:p>
    <w:p>
      <w:pPr>
        <w:ind w:left="1160" w:right="80" w:hanging="571"/>
        <w:spacing w:after="0" w:line="268" w:lineRule="auto"/>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the amount owed to the customer who has a first-ranking charge. Also disclose the nature of the debt, and tell us the name of this customer.</w:t>
      </w:r>
    </w:p>
    <w:p>
      <w:pPr>
        <w:spacing w:after="0" w:line="212" w:lineRule="exact"/>
        <w:rPr>
          <w:rFonts w:ascii="Arial" w:cs="Arial" w:eastAsia="Arial" w:hAnsi="Arial"/>
          <w:sz w:val="18"/>
          <w:szCs w:val="18"/>
          <w:b w:val="1"/>
          <w:bCs w:val="1"/>
          <w:color w:val="auto"/>
        </w:rPr>
      </w:pPr>
    </w:p>
    <w:p>
      <w:pPr>
        <w:ind w:left="1160" w:right="2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We have revised the filing to disclose that Tower granted a first ranking charge in favor of Siliconix Technology C.V. over a bank account into which Siliconix deposited, in 2004, $20 million for the purchase of equipment and to cover other expenses in connection with the Company’s performance of its agreement with Siliconix (of which as of August 31, 2005, there is a balance of approximately $10 million) and over the equipment which has been or which may be subsequently purchased with such funds (page 3).</w:t>
      </w:r>
    </w:p>
    <w:p>
      <w:pPr>
        <w:spacing w:after="0" w:line="193" w:lineRule="exact"/>
        <w:rPr>
          <w:rFonts w:ascii="Arial" w:cs="Arial" w:eastAsia="Arial" w:hAnsi="Arial"/>
          <w:sz w:val="18"/>
          <w:szCs w:val="18"/>
          <w:b w:val="1"/>
          <w:bCs w:val="1"/>
          <w:color w:val="auto"/>
        </w:rPr>
      </w:pPr>
    </w:p>
    <w:p>
      <w:pPr>
        <w:ind w:left="1160" w:right="560" w:hanging="571"/>
        <w:spacing w:after="0" w:line="268" w:lineRule="auto"/>
        <w:tabs>
          <w:tab w:leader="none" w:pos="11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If the wafer credits mentioned on page 38 are senior debt, please quantify that debt in this section. Also, please quantify the “Statutory Priorities” mentioned on page 43.</w:t>
      </w:r>
    </w:p>
    <w:p>
      <w:pPr>
        <w:spacing w:after="0" w:line="212" w:lineRule="exact"/>
        <w:rPr>
          <w:rFonts w:ascii="Arial" w:cs="Arial" w:eastAsia="Arial" w:hAnsi="Arial"/>
          <w:sz w:val="18"/>
          <w:szCs w:val="18"/>
          <w:b w:val="1"/>
          <w:bCs w:val="1"/>
          <w:color w:val="auto"/>
        </w:rPr>
      </w:pPr>
    </w:p>
    <w:p>
      <w:pPr>
        <w:ind w:left="1160" w:right="1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the wafer credits are not senior debt, the amount thereof has not been added to this section. We have revised the filing on page 40 to quantify the “Statutory Priorities”.</w:t>
      </w:r>
    </w:p>
    <w:p>
      <w:pPr>
        <w:spacing w:after="0" w:line="206" w:lineRule="exact"/>
        <w:rPr>
          <w:rFonts w:ascii="Arial" w:cs="Arial" w:eastAsia="Arial" w:hAnsi="Arial"/>
          <w:sz w:val="18"/>
          <w:szCs w:val="18"/>
          <w:b w:val="1"/>
          <w:bCs w:val="1"/>
          <w:color w:val="auto"/>
        </w:rPr>
      </w:pPr>
    </w:p>
    <w:p>
      <w:pPr>
        <w:ind w:left="1160" w:right="4360" w:hanging="571"/>
        <w:spacing w:after="0" w:line="716" w:lineRule="auto"/>
        <w:tabs>
          <w:tab w:leader="none" w:pos="1160"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Clarify what you mean by “certain other events relating to” you or your proper</w:t>
      </w:r>
      <w:r>
        <w:rPr>
          <w:rFonts w:ascii="Arial" w:cs="Arial" w:eastAsia="Arial" w:hAnsi="Arial"/>
          <w:sz w:val="15"/>
          <w:szCs w:val="15"/>
          <w:b w:val="1"/>
          <w:bCs w:val="1"/>
          <w:color w:val="auto"/>
        </w:rPr>
        <w:t>ty.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have removed the words “certain other events relating to us or our property”.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Why are we engaging in the rights offering, page 4</w:t>
      </w:r>
    </w:p>
    <w:p>
      <w:pPr>
        <w:spacing w:after="0" w:line="225" w:lineRule="exact"/>
        <w:rPr>
          <w:sz w:val="20"/>
          <w:szCs w:val="20"/>
          <w:color w:val="auto"/>
        </w:rPr>
      </w:pPr>
    </w:p>
    <w:p>
      <w:pPr>
        <w:ind w:left="1160" w:right="60" w:hanging="571"/>
        <w:spacing w:after="0" w:line="323" w:lineRule="auto"/>
        <w:tabs>
          <w:tab w:leader="none" w:pos="116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that the third paragraph of your response to comment 3 indicates that you are obligated to raise an amount “similar” to the $30 million bank commitment. However, in the fifth paragraph of the response, you state that you are obligated to raise $50 million. Please revise your disclosure to specify the amount you are obligated to raise and tell us with specificity which subsection ofwhich exhibit to the registration statement governs your obligation. Ensure that you have disclosed the reasons for the entire rights offering.</w:t>
      </w:r>
    </w:p>
    <w:p>
      <w:pPr>
        <w:spacing w:after="0" w:line="178" w:lineRule="exact"/>
        <w:rPr>
          <w:rFonts w:ascii="Arial" w:cs="Arial" w:eastAsia="Arial" w:hAnsi="Arial"/>
          <w:sz w:val="15"/>
          <w:szCs w:val="15"/>
          <w:b w:val="1"/>
          <w:bCs w:val="1"/>
          <w:color w:val="auto"/>
        </w:rPr>
      </w:pPr>
    </w:p>
    <w:p>
      <w:pPr>
        <w:ind w:left="1160"/>
        <w:spacing w:after="0" w:line="254" w:lineRule="auto"/>
        <w:rPr>
          <w:rFonts w:ascii="Arial" w:cs="Arial" w:eastAsia="Arial" w:hAnsi="Arial"/>
          <w:sz w:val="15"/>
          <w:szCs w:val="15"/>
          <w:b w:val="1"/>
          <w:bCs w:val="1"/>
          <w:color w:val="auto"/>
        </w:rPr>
      </w:pPr>
      <w:r>
        <w:rPr>
          <w:rFonts w:ascii="Arial" w:cs="Arial" w:eastAsia="Arial" w:hAnsi="Arial"/>
          <w:sz w:val="18"/>
          <w:szCs w:val="18"/>
          <w:color w:val="auto"/>
        </w:rPr>
        <w:t>The impetus for the rights offering is the commitment of Tower’s banks to provide Tower with up to $30 million subject to a similar amount being raised by Tower in the form of equity or convertible debt pursuant to the July 2005 amendment to the credit facility agreement with the banks. The rights offering is for an amount greater than $30 million in order to: (i) allow Israel Corp. and SanDisk to satisfy their commitments to Tower’s banks to invest $20 million and $3.5 million, respectively; (ii) to provide Tower with an opportunity to raise funds towards its pre-July 2005 fundraising obligation to its banks to raise $26 million; and (iii) to provide Tower with an opportunity to raise additional capital for the ramp up and operations of Fab 2.</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line="306" w:lineRule="auto"/>
        <w:rPr>
          <w:sz w:val="20"/>
          <w:szCs w:val="20"/>
          <w:color w:val="auto"/>
        </w:rPr>
      </w:pPr>
      <w:r>
        <w:rPr>
          <w:rFonts w:ascii="Arial" w:cs="Arial" w:eastAsia="Arial" w:hAnsi="Arial"/>
          <w:sz w:val="16"/>
          <w:szCs w:val="16"/>
          <w:color w:val="auto"/>
        </w:rPr>
        <w:t>The reference in the fifth paragraph of our response to prior comment 3 to $50 million was intended to describe the rights offering and was not intended to describe Tower’s obligations to its banks; it should have stated that Tower is engaged in the rights offering to raise funds that Tower is required to raise under its credit facility agreement, as amended. We have revised the filing to include additional reasons as to why Tower is</w:t>
      </w:r>
    </w:p>
    <w:p>
      <w:pPr>
        <w:sectPr>
          <w:pgSz w:w="11900" w:h="16838" w:orient="portrait"/>
          <w:cols w:equalWidth="0" w:num="1">
            <w:col w:w="11400"/>
          </w:cols>
          <w:pgMar w:left="240" w:top="590" w:right="259" w:bottom="0" w:gutter="0" w:footer="0" w:header="0"/>
        </w:sectPr>
      </w:pPr>
    </w:p>
    <w:bookmarkStart w:id="57" w:name="page58"/>
    <w:bookmarkEnd w:id="57"/>
    <w:p>
      <w:pPr>
        <w:ind w:left="1160" w:right="80"/>
        <w:spacing w:after="0" w:line="256" w:lineRule="auto"/>
        <w:rPr>
          <w:sz w:val="20"/>
          <w:szCs w:val="20"/>
          <w:color w:val="auto"/>
        </w:rPr>
      </w:pPr>
      <w:r>
        <w:rPr>
          <w:rFonts w:ascii="Arial" w:cs="Arial" w:eastAsia="Arial" w:hAnsi="Arial"/>
          <w:sz w:val="18"/>
          <w:szCs w:val="18"/>
          <w:color w:val="auto"/>
        </w:rPr>
        <w:t>engaging in the rights offering (page 4). The $30 million bank commitment and Tower’s corresponding fundraising obligation can be found in clause 16.36.1 of section 2.11 of the Ninth Amendment to Tower’s credit facility agreement (attached as Exhibit 4.5 to Amendment No. 2). As disclosed in Amendment No. 2, Tower’s banks have agreed to extend the deadline of Tower’s obligation under the July 2005 amendment to raise $23.5 million by October 31, 2005 to November 30, 2005.</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do you transfer your rights, page 5</w:t>
      </w:r>
    </w:p>
    <w:p>
      <w:pPr>
        <w:spacing w:after="0" w:line="225" w:lineRule="exact"/>
        <w:rPr>
          <w:sz w:val="20"/>
          <w:szCs w:val="20"/>
          <w:color w:val="auto"/>
        </w:rPr>
      </w:pPr>
    </w:p>
    <w:p>
      <w:pPr>
        <w:ind w:left="1160" w:hanging="571"/>
        <w:spacing w:after="0"/>
        <w:tabs>
          <w:tab w:leader="none" w:pos="11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disclose the last sentence of your response to comment 12.</w:t>
      </w:r>
    </w:p>
    <w:p>
      <w:pPr>
        <w:spacing w:after="0" w:line="252" w:lineRule="exact"/>
        <w:rPr>
          <w:rFonts w:ascii="Arial" w:cs="Arial" w:eastAsia="Arial" w:hAnsi="Arial"/>
          <w:sz w:val="18"/>
          <w:szCs w:val="18"/>
          <w:b w:val="1"/>
          <w:bCs w:val="1"/>
          <w:color w:val="auto"/>
        </w:rPr>
      </w:pPr>
    </w:p>
    <w:p>
      <w:pPr>
        <w:ind w:left="1160" w:right="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revised the filing to disclose the last sentence of our response in our letter dated September 22, 2005, to comment 12 of the Staff’s letter dated August 22, 2005 (page 5).</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What are the federal income tax and Israeli income tax consequences, page 6</w:t>
      </w:r>
    </w:p>
    <w:p>
      <w:pPr>
        <w:spacing w:after="0" w:line="225" w:lineRule="exact"/>
        <w:rPr>
          <w:sz w:val="20"/>
          <w:szCs w:val="20"/>
          <w:color w:val="auto"/>
        </w:rPr>
      </w:pPr>
    </w:p>
    <w:p>
      <w:pPr>
        <w:ind w:left="1160" w:hanging="571"/>
        <w:spacing w:after="0"/>
        <w:tabs>
          <w:tab w:leader="none" w:pos="11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confirm our understanding that you will file as an exhibit any ruling that you receive from a tax authority.</w:t>
      </w:r>
    </w:p>
    <w:p>
      <w:pPr>
        <w:spacing w:after="0" w:line="252" w:lineRule="exact"/>
        <w:rPr>
          <w:rFonts w:ascii="Arial" w:cs="Arial" w:eastAsia="Arial" w:hAnsi="Arial"/>
          <w:sz w:val="18"/>
          <w:szCs w:val="18"/>
          <w:b w:val="1"/>
          <w:bCs w:val="1"/>
          <w:color w:val="auto"/>
        </w:rPr>
      </w:pPr>
    </w:p>
    <w:p>
      <w:pPr>
        <w:ind w:left="11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We will file as an exhibit any ruling that Tower receives from a tax authority prior to the effective date of the prospectus, or an English language summary thereof. The Company will provide copies of any ruling received after the effective date of the registration statement to all of its employees.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When will you receive your new securities, page 7</w:t>
      </w:r>
    </w:p>
    <w:p>
      <w:pPr>
        <w:spacing w:after="0" w:line="225" w:lineRule="exact"/>
        <w:rPr>
          <w:sz w:val="20"/>
          <w:szCs w:val="20"/>
          <w:color w:val="auto"/>
        </w:rPr>
      </w:pPr>
    </w:p>
    <w:p>
      <w:pPr>
        <w:ind w:left="1160" w:right="200" w:hanging="571"/>
        <w:spacing w:after="0" w:line="332" w:lineRule="auto"/>
        <w:tabs>
          <w:tab w:leader="none" w:pos="116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Please clarify how you will issue debentures after payment is cleared and still retain the ability to withdraw the offering as noted in the next Q&amp;A. How will you treat securities issued in the offering after the offering has been withdrawn?</w:t>
      </w:r>
    </w:p>
    <w:p>
      <w:pPr>
        <w:spacing w:after="0" w:line="166" w:lineRule="exact"/>
        <w:rPr>
          <w:rFonts w:ascii="Arial" w:cs="Arial" w:eastAsia="Arial" w:hAnsi="Arial"/>
          <w:sz w:val="16"/>
          <w:szCs w:val="16"/>
          <w:b w:val="1"/>
          <w:bCs w:val="1"/>
          <w:color w:val="auto"/>
        </w:rPr>
      </w:pPr>
    </w:p>
    <w:p>
      <w:pPr>
        <w:ind w:left="1160" w:right="60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We have revised the filing to clarify that the rights are exercisable during the 23-day period following the record date (page 4). Therefore, securities cannot be issued prior to the time the Company may withdraw the offering.</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How many shares, page 8</w:t>
      </w:r>
    </w:p>
    <w:p>
      <w:pPr>
        <w:spacing w:after="0" w:line="225" w:lineRule="exact"/>
        <w:rPr>
          <w:sz w:val="20"/>
          <w:szCs w:val="20"/>
          <w:color w:val="auto"/>
        </w:rPr>
      </w:pPr>
    </w:p>
    <w:p>
      <w:pPr>
        <w:ind w:left="1160" w:hanging="571"/>
        <w:spacing w:after="0"/>
        <w:tabs>
          <w:tab w:leader="none" w:pos="11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With a view toward clarified disclosure, please tell us in detail how you calculated the 138.59 ratio.</w:t>
      </w:r>
    </w:p>
    <w:p>
      <w:pPr>
        <w:spacing w:after="0" w:line="252" w:lineRule="exact"/>
        <w:rPr>
          <w:rFonts w:ascii="Arial" w:cs="Arial" w:eastAsia="Arial" w:hAnsi="Arial"/>
          <w:sz w:val="18"/>
          <w:szCs w:val="18"/>
          <w:b w:val="1"/>
          <w:bCs w:val="1"/>
          <w:color w:val="auto"/>
        </w:rPr>
      </w:pPr>
    </w:p>
    <w:p>
      <w:pPr>
        <w:ind w:left="11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138.59 ratio was derived by dividing the sum of the total number of Tower’s issued and outstanding ordinary shares and the number of options that entitle their holders to participate in the rights offering by the dollar amount being offered in the rights offering, multiplied by the subscription price (66,707,609 + 2,585,105)/50,000,000*100). We have added this explanation to the Q&amp;A section under “How many rights will you receive?" (page 2).</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page 9</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you do not exercise all of your rights, page 20</w:t>
      </w:r>
    </w:p>
    <w:p>
      <w:pPr>
        <w:spacing w:after="0" w:line="225" w:lineRule="exact"/>
        <w:rPr>
          <w:sz w:val="20"/>
          <w:szCs w:val="20"/>
          <w:color w:val="auto"/>
        </w:rPr>
      </w:pPr>
    </w:p>
    <w:p>
      <w:pPr>
        <w:ind w:left="1160" w:right="40" w:hanging="571"/>
        <w:spacing w:after="0" w:line="306" w:lineRule="auto"/>
        <w:tabs>
          <w:tab w:leader="none" w:pos="1160" w:val="left"/>
        </w:tabs>
        <w:numPr>
          <w:ilvl w:val="0"/>
          <w:numId w:val="79"/>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response to comment 3. However, we also note your continued vague references to “certain”shareholders like in this risk factor. Please clarify who the “certain” shareholders are. Also if the shifting of right results in material changes to the ownership structure of your company, provide an updated beneficial ownership table in an appropriate section of your document.</w:t>
      </w:r>
    </w:p>
    <w:p>
      <w:pPr>
        <w:spacing w:after="0" w:line="187" w:lineRule="exact"/>
        <w:rPr>
          <w:rFonts w:ascii="Arial" w:cs="Arial" w:eastAsia="Arial" w:hAnsi="Arial"/>
          <w:sz w:val="16"/>
          <w:szCs w:val="16"/>
          <w:b w:val="1"/>
          <w:bCs w:val="1"/>
          <w:color w:val="auto"/>
        </w:rPr>
      </w:pPr>
    </w:p>
    <w:p>
      <w:pPr>
        <w:ind w:left="1160" w:right="100"/>
        <w:spacing w:after="0" w:line="298" w:lineRule="auto"/>
        <w:rPr>
          <w:rFonts w:ascii="Arial" w:cs="Arial" w:eastAsia="Arial" w:hAnsi="Arial"/>
          <w:sz w:val="16"/>
          <w:szCs w:val="16"/>
          <w:b w:val="1"/>
          <w:bCs w:val="1"/>
          <w:color w:val="auto"/>
        </w:rPr>
      </w:pPr>
      <w:r>
        <w:rPr>
          <w:rFonts w:ascii="Arial" w:cs="Arial" w:eastAsia="Arial" w:hAnsi="Arial"/>
          <w:sz w:val="16"/>
          <w:szCs w:val="16"/>
          <w:color w:val="auto"/>
        </w:rPr>
        <w:t>We have revised the disclosure to name the shareholders that have agreed to transfer a portion of their unexercised rights to Israel Corp. (page 20). We have disclosed in the Q&amp;A section, under “What happens if you choose not to exercise your rights?", the increase to Israel Corp.‘s holdings as a result of the transfer of rights from SanDisk, Alliance and Macronix to Israel Corp. which we believe adequately discloses the only material change in the ownership structure of Tower resulting from the transfer of rights (page 6).</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Rights Offering, page 27</w:t>
      </w:r>
    </w:p>
    <w:p>
      <w:pPr>
        <w:spacing w:after="0" w:line="225" w:lineRule="exact"/>
        <w:rPr>
          <w:sz w:val="20"/>
          <w:szCs w:val="20"/>
          <w:color w:val="auto"/>
        </w:rPr>
      </w:pPr>
    </w:p>
    <w:p>
      <w:pPr>
        <w:ind w:left="1160" w:right="20" w:hanging="571"/>
        <w:spacing w:after="0" w:line="294" w:lineRule="auto"/>
        <w:tabs>
          <w:tab w:leader="none" w:pos="1160"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that you have revised your disclosure on pages 4 and 29 to suggest that the board has not yet set the terms of the price offering, including the subscription price and conversion ratio. Please tell us which terms you will omit from the prospectus on the date the registration statement is declared effective and the basis for this omission. Also confirm your understanding that all terms of the offering and securities must be final – not subject to board discretion without recirculation or termination of the offering as appropriate – and must be included in the prospectus that you circulate with the rights certificate.</w:t>
      </w:r>
    </w:p>
    <w:p>
      <w:pPr>
        <w:spacing w:after="0" w:line="196" w:lineRule="exact"/>
        <w:rPr>
          <w:rFonts w:ascii="Arial" w:cs="Arial" w:eastAsia="Arial" w:hAnsi="Arial"/>
          <w:sz w:val="16"/>
          <w:szCs w:val="16"/>
          <w:b w:val="1"/>
          <w:bCs w:val="1"/>
          <w:color w:val="auto"/>
        </w:rPr>
      </w:pPr>
    </w:p>
    <w:p>
      <w:pPr>
        <w:ind w:left="116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Tower will not omit any of the terms of the offering from the prospectus on the date the registration statement is declared effective. The revisions made were to ensure that Tower’s non-US shareholders understand that the terms set forth in the preliminary prospectus are subject to change. We note that the practice in Israel for offerings of securities in Israel only is for preliminary prospectuses to be filed with the Israel Securities Authority on a non-public basis. We recognize and confirm that all terms of the offering and securities must be final – not subject to board discretion without recirculation or termination of the offering as appropriate – and must be included in the prospectus that is circulated with the rights certificate.</w:t>
      </w:r>
    </w:p>
    <w:p>
      <w:pPr>
        <w:sectPr>
          <w:pgSz w:w="11900" w:h="16838" w:orient="portrait"/>
          <w:cols w:equalWidth="0" w:num="1">
            <w:col w:w="11420"/>
          </w:cols>
          <w:pgMar w:left="240" w:top="131" w:right="239" w:bottom="0" w:gutter="0" w:footer="0" w:header="0"/>
        </w:sectPr>
      </w:pPr>
    </w:p>
    <w:bookmarkStart w:id="58" w:name="page59"/>
    <w:bookmarkEnd w:id="58"/>
    <w:p>
      <w:pPr>
        <w:ind w:left="1160" w:right="140" w:hanging="571"/>
        <w:spacing w:after="0" w:line="370" w:lineRule="auto"/>
        <w:tabs>
          <w:tab w:leader="none" w:pos="1160"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We note that the rights are exercisable beginning on the dateof the prospectus. However, according to your prospectus cover, the record date is not until two days after the date of the prospectus. Please clarify how the rights can be exercised before the record date.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We have revised the filing to clarify that the rights are exercisable during the 23-day period following the record date (page 28).</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Purchases, page 28</w:t>
      </w:r>
    </w:p>
    <w:p>
      <w:pPr>
        <w:spacing w:after="0" w:line="225" w:lineRule="exact"/>
        <w:rPr>
          <w:sz w:val="20"/>
          <w:szCs w:val="20"/>
          <w:color w:val="auto"/>
        </w:rPr>
      </w:pPr>
    </w:p>
    <w:p>
      <w:pPr>
        <w:ind w:left="1160" w:hanging="571"/>
        <w:spacing w:after="0"/>
        <w:tabs>
          <w:tab w:leader="none" w:pos="11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clarify when the unregistered offering will close and when the related rights will be exercised.</w:t>
      </w:r>
    </w:p>
    <w:p>
      <w:pPr>
        <w:spacing w:after="0" w:line="252" w:lineRule="exact"/>
        <w:rPr>
          <w:rFonts w:ascii="Arial" w:cs="Arial" w:eastAsia="Arial" w:hAnsi="Arial"/>
          <w:sz w:val="18"/>
          <w:szCs w:val="18"/>
          <w:b w:val="1"/>
          <w:bCs w:val="1"/>
          <w:color w:val="auto"/>
        </w:rPr>
      </w:pPr>
    </w:p>
    <w:p>
      <w:pPr>
        <w:ind w:left="1160" w:right="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revised the filing to clarify that the unregistered offering will close and that the related rights will be exercised at the same time as in the registered offering (page 28).</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 Recommendation, page 29</w:t>
      </w:r>
    </w:p>
    <w:p>
      <w:pPr>
        <w:spacing w:after="0" w:line="225" w:lineRule="exact"/>
        <w:rPr>
          <w:sz w:val="20"/>
          <w:szCs w:val="20"/>
          <w:color w:val="auto"/>
        </w:rPr>
      </w:pPr>
    </w:p>
    <w:p>
      <w:pPr>
        <w:ind w:left="1160" w:right="120" w:hanging="571"/>
        <w:spacing w:after="0" w:line="268" w:lineRule="auto"/>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tell us how you calculated the 1,547 figure. If each right allows the holder to purchase $100 worth of debentures convertible at $1.10, it seems that the 1,547 figure should be much larger.</w:t>
      </w:r>
    </w:p>
    <w:p>
      <w:pPr>
        <w:spacing w:after="0" w:line="212" w:lineRule="exact"/>
        <w:rPr>
          <w:rFonts w:ascii="Arial" w:cs="Arial" w:eastAsia="Arial" w:hAnsi="Arial"/>
          <w:sz w:val="18"/>
          <w:szCs w:val="18"/>
          <w:b w:val="1"/>
          <w:bCs w:val="1"/>
          <w:color w:val="auto"/>
        </w:rPr>
      </w:pPr>
    </w:p>
    <w:p>
      <w:pPr>
        <w:ind w:left="116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figure of 1,547 shares in Amendment No.1 was an error and should have read 154,726 shares. We have revised the filing accordingly (page 29).</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Decision Will be Binding, page 29</w:t>
      </w:r>
    </w:p>
    <w:p>
      <w:pPr>
        <w:spacing w:after="0" w:line="225" w:lineRule="exact"/>
        <w:rPr>
          <w:sz w:val="20"/>
          <w:szCs w:val="20"/>
          <w:color w:val="auto"/>
        </w:rPr>
      </w:pPr>
    </w:p>
    <w:p>
      <w:pPr>
        <w:ind w:left="1160" w:right="140" w:hanging="571"/>
        <w:spacing w:after="0" w:line="268" w:lineRule="auto"/>
        <w:tabs>
          <w:tab w:leader="none" w:pos="11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Please expand your disclosure in response to comment 23 to clarify the practical effect of what you mean by consideration of the materiality of a defect.</w:t>
      </w:r>
    </w:p>
    <w:p>
      <w:pPr>
        <w:spacing w:after="0" w:line="212" w:lineRule="exact"/>
        <w:rPr>
          <w:rFonts w:ascii="Arial" w:cs="Arial" w:eastAsia="Arial" w:hAnsi="Arial"/>
          <w:sz w:val="18"/>
          <w:szCs w:val="18"/>
          <w:b w:val="1"/>
          <w:bCs w:val="1"/>
          <w:color w:val="auto"/>
        </w:rPr>
      </w:pPr>
    </w:p>
    <w:p>
      <w:pPr>
        <w:ind w:left="11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revised the filing to clarify that if Tower determines that a defect is material, the notice of exercise will not be accepted and that the rights holder will not receive debentures (page 30).</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Conversion of Debentures, page 35</w:t>
      </w:r>
    </w:p>
    <w:p>
      <w:pPr>
        <w:spacing w:after="0" w:line="225" w:lineRule="exact"/>
        <w:rPr>
          <w:sz w:val="20"/>
          <w:szCs w:val="20"/>
          <w:color w:val="auto"/>
        </w:rPr>
      </w:pPr>
    </w:p>
    <w:p>
      <w:pPr>
        <w:ind w:left="1160" w:right="60" w:hanging="571"/>
        <w:spacing w:after="0" w:line="332" w:lineRule="auto"/>
        <w:tabs>
          <w:tab w:leader="none" w:pos="1160"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With a view toward clarified disclosure, please provide an example of the operation of the adjustments in the last two bullet points on page 36 (which seek to explain how you will calculate the price per share for purposes of the adjustment).</w:t>
      </w:r>
    </w:p>
    <w:p>
      <w:pPr>
        <w:spacing w:after="0" w:line="166" w:lineRule="exact"/>
        <w:rPr>
          <w:rFonts w:ascii="Arial" w:cs="Arial" w:eastAsia="Arial" w:hAnsi="Arial"/>
          <w:sz w:val="16"/>
          <w:szCs w:val="16"/>
          <w:b w:val="1"/>
          <w:bCs w:val="1"/>
          <w:color w:val="auto"/>
        </w:rPr>
      </w:pPr>
    </w:p>
    <w:p>
      <w:pPr>
        <w:ind w:left="1160" w:right="640"/>
        <w:spacing w:after="0" w:line="268" w:lineRule="auto"/>
        <w:rPr>
          <w:rFonts w:ascii="Arial" w:cs="Arial" w:eastAsia="Arial" w:hAnsi="Arial"/>
          <w:sz w:val="16"/>
          <w:szCs w:val="16"/>
          <w:b w:val="1"/>
          <w:bCs w:val="1"/>
          <w:color w:val="auto"/>
        </w:rPr>
      </w:pPr>
      <w:r>
        <w:rPr>
          <w:rFonts w:ascii="Arial" w:cs="Arial" w:eastAsia="Arial" w:hAnsi="Arial"/>
          <w:sz w:val="18"/>
          <w:szCs w:val="18"/>
          <w:color w:val="auto"/>
        </w:rPr>
        <w:t>We have revised the filing to provide examples regarding the determination of the price per share in future financings for purposes of the adjustment to the conversion rate (page 36).</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2006 Tax Reform, page 51</w:t>
      </w:r>
    </w:p>
    <w:p>
      <w:pPr>
        <w:spacing w:after="0" w:line="225" w:lineRule="exact"/>
        <w:rPr>
          <w:sz w:val="20"/>
          <w:szCs w:val="20"/>
          <w:color w:val="auto"/>
        </w:rPr>
      </w:pPr>
    </w:p>
    <w:p>
      <w:pPr>
        <w:ind w:left="1160" w:hanging="571"/>
        <w:spacing w:after="0"/>
        <w:tabs>
          <w:tab w:leader="none" w:pos="11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Clarify how the reform would affect U.S. residents.</w:t>
      </w:r>
    </w:p>
    <w:p>
      <w:pPr>
        <w:spacing w:after="0" w:line="252" w:lineRule="exact"/>
        <w:rPr>
          <w:rFonts w:ascii="Arial" w:cs="Arial" w:eastAsia="Arial" w:hAnsi="Arial"/>
          <w:sz w:val="18"/>
          <w:szCs w:val="18"/>
          <w:b w:val="1"/>
          <w:bCs w:val="1"/>
          <w:color w:val="auto"/>
        </w:rPr>
      </w:pPr>
    </w:p>
    <w:p>
      <w:pPr>
        <w:ind w:left="11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We have clarified that the Israeli 2006 Tax Reform does not derogate from the special provisions applicable to U.S. residents under Israeli tax law and the US-Israel Tax Treaty as described in the prior section of the prospectus (page 47).</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Tax Considerations, page 52</w:t>
      </w:r>
    </w:p>
    <w:p>
      <w:pPr>
        <w:spacing w:after="0" w:line="225" w:lineRule="exact"/>
        <w:rPr>
          <w:sz w:val="20"/>
          <w:szCs w:val="20"/>
          <w:color w:val="auto"/>
        </w:rPr>
      </w:pPr>
    </w:p>
    <w:p>
      <w:pPr>
        <w:ind w:left="1160" w:right="120" w:hanging="571"/>
        <w:spacing w:after="0" w:line="335" w:lineRule="auto"/>
        <w:tabs>
          <w:tab w:leader="none" w:pos="1160" w:val="left"/>
        </w:tabs>
        <w:numPr>
          <w:ilvl w:val="0"/>
          <w:numId w:val="8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You must file a tax opinion that does not assume material conclusions that are a requirement of the ultimate opinion. For example, we note the assumption regarding debt characterization. If counsel cannot opine with certainty, counselshould explain the reasons for the doubt, the degree of uncertainty and the possible outcomes. You should provide appropriate disclosure setting forth the risk to investors.</w:t>
      </w:r>
    </w:p>
    <w:p>
      <w:pPr>
        <w:spacing w:after="0" w:line="169" w:lineRule="exact"/>
        <w:rPr>
          <w:rFonts w:ascii="Arial" w:cs="Arial" w:eastAsia="Arial" w:hAnsi="Arial"/>
          <w:sz w:val="15"/>
          <w:szCs w:val="15"/>
          <w:b w:val="1"/>
          <w:bCs w:val="1"/>
          <w:color w:val="auto"/>
        </w:rPr>
      </w:pPr>
    </w:p>
    <w:p>
      <w:pPr>
        <w:ind w:left="1160" w:right="480"/>
        <w:spacing w:after="0" w:line="259" w:lineRule="auto"/>
        <w:rPr>
          <w:rFonts w:ascii="Arial" w:cs="Arial" w:eastAsia="Arial" w:hAnsi="Arial"/>
          <w:sz w:val="15"/>
          <w:szCs w:val="15"/>
          <w:b w:val="1"/>
          <w:bCs w:val="1"/>
          <w:color w:val="auto"/>
        </w:rPr>
      </w:pPr>
      <w:r>
        <w:rPr>
          <w:rFonts w:ascii="Arial" w:cs="Arial" w:eastAsia="Arial" w:hAnsi="Arial"/>
          <w:sz w:val="18"/>
          <w:szCs w:val="18"/>
          <w:color w:val="auto"/>
        </w:rPr>
        <w:t>The previous disclosure indicates why counsel cannot opine on the debt/equity issue. The disclosure has been modified to add that the U.S. income tax consequences to U.S. Holders are not likely to be materially less favorable than those described if it were determined that the debentures were equity for U.S. tax purposes (page 49).</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of Tax Opinion</w:t>
      </w:r>
    </w:p>
    <w:p>
      <w:pPr>
        <w:spacing w:after="0" w:line="225" w:lineRule="exact"/>
        <w:rPr>
          <w:sz w:val="20"/>
          <w:szCs w:val="20"/>
          <w:color w:val="auto"/>
        </w:rPr>
      </w:pPr>
    </w:p>
    <w:p>
      <w:pPr>
        <w:ind w:left="1160" w:right="60" w:hanging="571"/>
        <w:spacing w:after="0" w:line="306" w:lineRule="auto"/>
        <w:tabs>
          <w:tab w:leader="none" w:pos="116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your statement that the opinion will speak as of the date of the opinion and that you will undertake no obligation to update the opinion. Please either file an opinion that omits that statement or file an opinion dated as of the effective date of the registration statement as an exhibit to a final pre-effective amendment to your registration statement.</w:t>
      </w:r>
    </w:p>
    <w:p>
      <w:pPr>
        <w:spacing w:after="0" w:line="187" w:lineRule="exact"/>
        <w:rPr>
          <w:rFonts w:ascii="Arial" w:cs="Arial" w:eastAsia="Arial" w:hAnsi="Arial"/>
          <w:sz w:val="16"/>
          <w:szCs w:val="16"/>
          <w:b w:val="1"/>
          <w:bCs w:val="1"/>
          <w:color w:val="auto"/>
        </w:rPr>
      </w:pPr>
    </w:p>
    <w:p>
      <w:pPr>
        <w:ind w:left="1160"/>
        <w:spacing w:after="0"/>
        <w:rPr>
          <w:rFonts w:ascii="Arial" w:cs="Arial" w:eastAsia="Arial" w:hAnsi="Arial"/>
          <w:sz w:val="16"/>
          <w:szCs w:val="16"/>
          <w:b w:val="1"/>
          <w:bCs w:val="1"/>
          <w:color w:val="auto"/>
        </w:rPr>
      </w:pPr>
      <w:r>
        <w:rPr>
          <w:rFonts w:ascii="Arial" w:cs="Arial" w:eastAsia="Arial" w:hAnsi="Arial"/>
          <w:sz w:val="18"/>
          <w:szCs w:val="18"/>
          <w:color w:val="auto"/>
        </w:rPr>
        <w:t>The opinion when filed will omit that statement.</w:t>
      </w:r>
    </w:p>
    <w:p>
      <w:pPr>
        <w:sectPr>
          <w:pgSz w:w="11900" w:h="16838" w:orient="portrait"/>
          <w:cols w:equalWidth="0" w:num="1">
            <w:col w:w="11400"/>
          </w:cols>
          <w:pgMar w:left="240" w:top="131" w:right="259" w:bottom="0" w:gutter="0" w:footer="0" w:header="0"/>
        </w:sectPr>
      </w:pPr>
    </w:p>
    <w:bookmarkStart w:id="59" w:name="page60"/>
    <w:bookmarkEnd w:id="59"/>
    <w:p>
      <w:pPr>
        <w:spacing w:after="0" w:line="6" w:lineRule="exact"/>
        <w:rPr>
          <w:sz w:val="20"/>
          <w:szCs w:val="20"/>
          <w:color w:val="auto"/>
        </w:rPr>
      </w:pPr>
    </w:p>
    <w:p>
      <w:pPr>
        <w:ind w:left="1160" w:right="280" w:hanging="571"/>
        <w:spacing w:after="0" w:line="259" w:lineRule="auto"/>
        <w:tabs>
          <w:tab w:leader="none" w:pos="116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Those who purchase the rights, debentures or underlying shares from your offering must be permitted to rely on the opinion you file as an exhibit. The last paragraph of your current exhibit implies that only the initial holders of the rights may rely on the opinion. Please file a revised opinion.</w:t>
      </w:r>
    </w:p>
    <w:p>
      <w:pPr>
        <w:spacing w:after="0" w:line="221" w:lineRule="exact"/>
        <w:rPr>
          <w:rFonts w:ascii="Arial" w:cs="Arial" w:eastAsia="Arial" w:hAnsi="Arial"/>
          <w:sz w:val="18"/>
          <w:szCs w:val="18"/>
          <w:b w:val="1"/>
          <w:bCs w:val="1"/>
          <w:color w:val="auto"/>
        </w:rPr>
      </w:pPr>
    </w:p>
    <w:p>
      <w:pPr>
        <w:jc w:val="both"/>
        <w:ind w:left="1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opinion as filed will be modified to remove the language which implied that only the initial holders of the rights may rely on the opinion. The disclosure has also been revised as appropriate to describe differing consequences to Initial U.S. Holders and Subsequent U.S. Holders (beginning on page 48).</w:t>
      </w:r>
    </w:p>
    <w:p>
      <w:pPr>
        <w:spacing w:after="0" w:line="221" w:lineRule="exact"/>
        <w:rPr>
          <w:rFonts w:ascii="Arial" w:cs="Arial" w:eastAsia="Arial" w:hAnsi="Arial"/>
          <w:sz w:val="18"/>
          <w:szCs w:val="18"/>
          <w:b w:val="1"/>
          <w:bCs w:val="1"/>
          <w:color w:val="auto"/>
        </w:rPr>
      </w:pPr>
    </w:p>
    <w:p>
      <w:pPr>
        <w:ind w:left="1160" w:right="2800" w:hanging="571"/>
        <w:spacing w:after="0" w:line="708" w:lineRule="auto"/>
        <w:tabs>
          <w:tab w:leader="none" w:pos="1160"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Please note that counsel must also consent to being named in the prospectus. Please revise accordingly. </w:t>
      </w:r>
      <w:r>
        <w:rPr>
          <w:rFonts w:ascii="Arial" w:cs="Arial" w:eastAsia="Arial" w:hAnsi="Arial"/>
          <w:sz w:val="15"/>
          <w:szCs w:val="15"/>
          <w:color w:val="auto"/>
        </w:rPr>
        <w:t>The opinion when filed will include a consent of such counsel to being named in the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6-K/A filed September 22, 2005</w:t>
      </w:r>
    </w:p>
    <w:p>
      <w:pPr>
        <w:spacing w:after="0" w:line="225" w:lineRule="exact"/>
        <w:rPr>
          <w:sz w:val="20"/>
          <w:szCs w:val="20"/>
          <w:color w:val="auto"/>
        </w:rPr>
      </w:pPr>
    </w:p>
    <w:p>
      <w:pPr>
        <w:ind w:left="1160" w:right="20" w:hanging="571"/>
        <w:spacing w:after="0" w:line="294" w:lineRule="auto"/>
        <w:tabs>
          <w:tab w:leader="none" w:pos="1160" w:val="left"/>
        </w:tabs>
        <w:numPr>
          <w:ilvl w:val="0"/>
          <w:numId w:val="90"/>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We note in your response to our previous comment 38 that you agreed to provide all of the disclosures required by Item 10(e) of Regulation S-K with respect to each non-GAAP financial measure you disclose. In your earning discussion furnished as Exhibit 99.1 to the report on Form 6-K/A filed September 22, 2005, which is incorporated by reference into your Form F-2/A also filed September 22, 2005, you have disclosed the non-GAAP financial measure, EBITDA. Please revise the earning discussions in Exhibit 99.1 to include the disclosures required by Item 10(e)(1)(i) of Regulation S-K.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280"/>
        <w:spacing w:after="0" w:line="268" w:lineRule="auto"/>
        <w:rPr>
          <w:sz w:val="20"/>
          <w:szCs w:val="20"/>
          <w:color w:val="auto"/>
        </w:rPr>
      </w:pPr>
      <w:r>
        <w:rPr>
          <w:rFonts w:ascii="Arial" w:cs="Arial" w:eastAsia="Arial" w:hAnsi="Arial"/>
          <w:sz w:val="18"/>
          <w:szCs w:val="18"/>
          <w:color w:val="auto"/>
        </w:rPr>
        <w:t>We will, by an additional amendment on Form 6-K/A, which we will promptly file, add an explanatory note to the report to include disclosure required by Item 10(e)(1)(i) of Regulation S-K for EBITDA as set forth below.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EXPLANATORY NOTE REGARDING NON GAAP MEASURE</w:t>
      </w:r>
    </w:p>
    <w:p>
      <w:pPr>
        <w:spacing w:after="0" w:line="225" w:lineRule="exact"/>
        <w:rPr>
          <w:sz w:val="20"/>
          <w:szCs w:val="20"/>
          <w:color w:val="auto"/>
        </w:rPr>
      </w:pPr>
    </w:p>
    <w:p>
      <w:pPr>
        <w:ind w:left="1160" w:right="280"/>
        <w:spacing w:after="0" w:line="291" w:lineRule="auto"/>
        <w:rPr>
          <w:sz w:val="20"/>
          <w:szCs w:val="20"/>
          <w:color w:val="auto"/>
        </w:rPr>
      </w:pPr>
      <w:r>
        <w:rPr>
          <w:rFonts w:ascii="Arial" w:cs="Arial" w:eastAsia="Arial" w:hAnsi="Arial"/>
          <w:sz w:val="16"/>
          <w:szCs w:val="16"/>
          <w:color w:val="auto"/>
        </w:rPr>
        <w:t>References to EBITDA (earnings before interest, taxes, depreciation and amortization) included herein are to a non-GAAP measure which represents our net loss according to generally accepted accounting principles in Israel) (GAAP), excluding the effects of interest and other financing expenses, net, taxes, depreciation, and amortization. EBITDA is not a measurement under GAAP, and should not be construed as an alternative to the Company’s operating loss or as an indicator of the Company’s operations in accordance with GAAP, nor should EBITDA be construed as an alternative to cash flow from operating activities in accordance with GAAP. Our definition of EBITDA may not be similar to EBITDA as measured and used by other entities.</w:t>
      </w:r>
    </w:p>
    <w:p>
      <w:pPr>
        <w:spacing w:after="0" w:line="201" w:lineRule="exact"/>
        <w:rPr>
          <w:sz w:val="20"/>
          <w:szCs w:val="20"/>
          <w:color w:val="auto"/>
        </w:rPr>
      </w:pPr>
    </w:p>
    <w:p>
      <w:pPr>
        <w:ind w:left="1160"/>
        <w:spacing w:after="0" w:line="298" w:lineRule="auto"/>
        <w:rPr>
          <w:sz w:val="20"/>
          <w:szCs w:val="20"/>
          <w:color w:val="auto"/>
        </w:rPr>
      </w:pPr>
      <w:r>
        <w:rPr>
          <w:rFonts w:ascii="Arial" w:cs="Arial" w:eastAsia="Arial" w:hAnsi="Arial"/>
          <w:sz w:val="16"/>
          <w:szCs w:val="16"/>
          <w:color w:val="auto"/>
        </w:rPr>
        <w:t>We believe that EBITDA provides useful information to investors about our performance, because by eliminating from our Company’s net loss the effects of periodic changes in the significant costs associated with capital investments and interest expenses related to our Company’s long-term loans from banks and convertible debentures, readers of our financial results are presented with what we feel is a more accurate indication of our results from our ongoing business operations. We also use EBITDA in evaluating the overall performance of our business operations.</w:t>
      </w:r>
    </w:p>
    <w:p>
      <w:pPr>
        <w:spacing w:after="0" w:line="19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table reconciles EBITDA to net loss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Three Months Ended</w:t>
            </w: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20" w:type="dxa"/>
            <w:vAlign w:val="bottom"/>
            <w:gridSpan w:val="5"/>
          </w:tcPr>
          <w:p>
            <w:pPr>
              <w:ind w:left="960"/>
              <w:spacing w:after="0"/>
              <w:rPr>
                <w:sz w:val="20"/>
                <w:szCs w:val="20"/>
                <w:color w:val="auto"/>
              </w:rPr>
            </w:pPr>
            <w:r>
              <w:rPr>
                <w:rFonts w:ascii="Arial" w:cs="Arial" w:eastAsia="Arial" w:hAnsi="Arial"/>
                <w:sz w:val="14"/>
                <w:szCs w:val="14"/>
                <w:b w:val="1"/>
                <w:bCs w:val="1"/>
                <w:color w:val="auto"/>
              </w:rPr>
              <w:t>Six Months Ended</w:t>
            </w:r>
          </w:p>
        </w:tc>
      </w:tr>
      <w:tr>
        <w:trPr>
          <w:trHeight w:val="95"/>
        </w:trPr>
        <w:tc>
          <w:tcPr>
            <w:tcW w:w="3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jc w:val="right"/>
              <w:ind w:right="392"/>
              <w:spacing w:after="0"/>
              <w:rPr>
                <w:sz w:val="20"/>
                <w:szCs w:val="20"/>
                <w:color w:val="auto"/>
              </w:rPr>
            </w:pPr>
            <w:r>
              <w:rPr>
                <w:rFonts w:ascii="Arial" w:cs="Arial" w:eastAsia="Arial" w:hAnsi="Arial"/>
                <w:sz w:val="14"/>
                <w:szCs w:val="14"/>
                <w:b w:val="1"/>
                <w:bCs w:val="1"/>
                <w:color w:val="auto"/>
              </w:rPr>
              <w:t>June 30, 2005</w:t>
            </w:r>
          </w:p>
        </w:tc>
        <w:tc>
          <w:tcPr>
            <w:tcW w:w="60" w:type="dxa"/>
            <w:vAlign w:val="bottom"/>
          </w:tcPr>
          <w:p>
            <w:pPr>
              <w:spacing w:after="0"/>
              <w:rPr>
                <w:sz w:val="22"/>
                <w:szCs w:val="22"/>
                <w:color w:val="auto"/>
              </w:rPr>
            </w:pPr>
          </w:p>
        </w:tc>
        <w:tc>
          <w:tcPr>
            <w:tcW w:w="1640" w:type="dxa"/>
            <w:vAlign w:val="bottom"/>
          </w:tcPr>
          <w:p>
            <w:pPr>
              <w:jc w:val="right"/>
              <w:ind w:right="312"/>
              <w:spacing w:after="0"/>
              <w:rPr>
                <w:sz w:val="20"/>
                <w:szCs w:val="20"/>
                <w:color w:val="auto"/>
              </w:rPr>
            </w:pPr>
            <w:r>
              <w:rPr>
                <w:rFonts w:ascii="Arial" w:cs="Arial" w:eastAsia="Arial" w:hAnsi="Arial"/>
                <w:sz w:val="14"/>
                <w:szCs w:val="14"/>
                <w:b w:val="1"/>
                <w:bCs w:val="1"/>
                <w:color w:val="auto"/>
              </w:rPr>
              <w:t>March 31, 2005</w:t>
            </w:r>
          </w:p>
        </w:tc>
        <w:tc>
          <w:tcPr>
            <w:tcW w:w="60" w:type="dxa"/>
            <w:vAlign w:val="bottom"/>
          </w:tcPr>
          <w:p>
            <w:pPr>
              <w:spacing w:after="0"/>
              <w:rPr>
                <w:sz w:val="22"/>
                <w:szCs w:val="22"/>
                <w:color w:val="auto"/>
              </w:rPr>
            </w:pPr>
          </w:p>
        </w:tc>
        <w:tc>
          <w:tcPr>
            <w:tcW w:w="162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 2004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jc w:val="right"/>
              <w:ind w:right="352"/>
              <w:spacing w:after="0"/>
              <w:rPr>
                <w:sz w:val="20"/>
                <w:szCs w:val="20"/>
                <w:color w:val="auto"/>
              </w:rPr>
            </w:pPr>
            <w:r>
              <w:rPr>
                <w:rFonts w:ascii="Arial" w:cs="Arial" w:eastAsia="Arial" w:hAnsi="Arial"/>
                <w:sz w:val="14"/>
                <w:szCs w:val="14"/>
                <w:b w:val="1"/>
                <w:bCs w:val="1"/>
                <w:color w:val="auto"/>
              </w:rPr>
              <w:t>June 30, 2005</w:t>
            </w:r>
          </w:p>
        </w:tc>
        <w:tc>
          <w:tcPr>
            <w:tcW w:w="60" w:type="dxa"/>
            <w:vAlign w:val="bottom"/>
          </w:tcPr>
          <w:p>
            <w:pPr>
              <w:spacing w:after="0"/>
              <w:rPr>
                <w:sz w:val="22"/>
                <w:szCs w:val="22"/>
                <w:color w:val="auto"/>
              </w:rPr>
            </w:pPr>
          </w:p>
        </w:tc>
        <w:tc>
          <w:tcPr>
            <w:tcW w:w="1320" w:type="dxa"/>
            <w:vAlign w:val="bottom"/>
            <w:gridSpan w:val="3"/>
          </w:tcPr>
          <w:p>
            <w:pPr>
              <w:ind w:left="260"/>
              <w:spacing w:after="0"/>
              <w:rPr>
                <w:sz w:val="20"/>
                <w:szCs w:val="20"/>
                <w:color w:val="auto"/>
              </w:rPr>
            </w:pPr>
            <w:r>
              <w:rPr>
                <w:rFonts w:ascii="Arial" w:cs="Arial" w:eastAsia="Arial" w:hAnsi="Arial"/>
                <w:sz w:val="14"/>
                <w:szCs w:val="14"/>
                <w:b w:val="1"/>
                <w:bCs w:val="1"/>
                <w:color w:val="auto"/>
              </w:rPr>
              <w:t>June 30, 2004</w:t>
            </w:r>
          </w:p>
        </w:tc>
      </w:tr>
      <w:tr>
        <w:trPr>
          <w:trHeight w:val="95"/>
        </w:trPr>
        <w:tc>
          <w:tcPr>
            <w:tcW w:w="32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jc w:val="right"/>
              <w:ind w:right="312"/>
              <w:spacing w:after="0"/>
              <w:rPr>
                <w:sz w:val="20"/>
                <w:szCs w:val="20"/>
                <w:color w:val="auto"/>
              </w:rPr>
            </w:pPr>
            <w:r>
              <w:rPr>
                <w:rFonts w:ascii="Arial" w:cs="Arial" w:eastAsia="Arial" w:hAnsi="Arial"/>
                <w:sz w:val="14"/>
                <w:szCs w:val="14"/>
                <w:b w:val="1"/>
                <w:bCs w:val="1"/>
                <w:color w:val="auto"/>
                <w:w w:val="85"/>
              </w:rPr>
              <w:t>Dollars in Thousands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3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63"/>
        </w:trPr>
        <w:tc>
          <w:tcPr>
            <w:tcW w:w="3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Pr>
          <w:p>
            <w:pPr>
              <w:jc w:val="right"/>
              <w:ind w:right="632"/>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95"/>
        </w:trPr>
        <w:tc>
          <w:tcPr>
            <w:tcW w:w="32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50"/>
        </w:trPr>
        <w:tc>
          <w:tcPr>
            <w:tcW w:w="3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16"/>
        </w:trPr>
        <w:tc>
          <w:tcPr>
            <w:tcW w:w="3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6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(4,463)</w:t>
            </w: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(13,691)</w:t>
            </w:r>
          </w:p>
        </w:tc>
        <w:tc>
          <w:tcPr>
            <w:tcW w:w="16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(2,204)</w:t>
            </w:r>
          </w:p>
        </w:tc>
        <w:tc>
          <w:tcPr>
            <w:tcW w:w="1720" w:type="dxa"/>
            <w:vAlign w:val="bottom"/>
            <w:gridSpan w:val="4"/>
            <w:shd w:val="clear" w:color="auto" w:fill="CCEEFF"/>
          </w:tcPr>
          <w:p>
            <w:pPr>
              <w:jc w:val="right"/>
              <w:ind w:right="412"/>
              <w:spacing w:after="0"/>
              <w:rPr>
                <w:sz w:val="20"/>
                <w:szCs w:val="20"/>
                <w:color w:val="auto"/>
              </w:rPr>
            </w:pPr>
            <w:r>
              <w:rPr>
                <w:rFonts w:ascii="Arial" w:cs="Arial" w:eastAsia="Arial" w:hAnsi="Arial"/>
                <w:sz w:val="18"/>
                <w:szCs w:val="18"/>
                <w:color w:val="auto"/>
              </w:rPr>
              <w:t>(18,154)</w:t>
            </w:r>
          </w:p>
        </w:tc>
        <w:tc>
          <w:tcPr>
            <w:tcW w:w="1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(8,201)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08"/>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Interest and</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260" w:type="dxa"/>
            <w:vAlign w:val="bottom"/>
            <w:gridSpan w:val="2"/>
          </w:tcPr>
          <w:p>
            <w:pPr>
              <w:ind w:left="60"/>
              <w:spacing w:after="0"/>
              <w:rPr>
                <w:sz w:val="20"/>
                <w:szCs w:val="20"/>
                <w:color w:val="auto"/>
              </w:rPr>
            </w:pPr>
            <w:r>
              <w:rPr>
                <w:rFonts w:ascii="Arial" w:cs="Arial" w:eastAsia="Arial" w:hAnsi="Arial"/>
                <w:sz w:val="18"/>
                <w:szCs w:val="18"/>
                <w:color w:val="auto"/>
              </w:rPr>
              <w:t>other financing</w:t>
            </w:r>
          </w:p>
        </w:tc>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260" w:type="dxa"/>
            <w:vAlign w:val="bottom"/>
            <w:gridSpan w:val="2"/>
          </w:tcPr>
          <w:p>
            <w:pPr>
              <w:ind w:left="100"/>
              <w:spacing w:after="0"/>
              <w:rPr>
                <w:sz w:val="20"/>
                <w:szCs w:val="20"/>
                <w:color w:val="auto"/>
              </w:rPr>
            </w:pPr>
            <w:r>
              <w:rPr>
                <w:rFonts w:ascii="Arial" w:cs="Arial" w:eastAsia="Arial" w:hAnsi="Arial"/>
                <w:sz w:val="18"/>
                <w:szCs w:val="18"/>
                <w:color w:val="auto"/>
              </w:rPr>
              <w:t>expenses, net</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(6,218)</w:t>
            </w:r>
          </w:p>
        </w:tc>
        <w:tc>
          <w:tcPr>
            <w:tcW w:w="1700" w:type="dxa"/>
            <w:vAlign w:val="bottom"/>
            <w:gridSpan w:val="2"/>
          </w:tcPr>
          <w:p>
            <w:pPr>
              <w:jc w:val="right"/>
              <w:ind w:right="412"/>
              <w:spacing w:after="0"/>
              <w:rPr>
                <w:sz w:val="20"/>
                <w:szCs w:val="20"/>
                <w:color w:val="auto"/>
              </w:rPr>
            </w:pPr>
            <w:r>
              <w:rPr>
                <w:rFonts w:ascii="Arial" w:cs="Arial" w:eastAsia="Arial" w:hAnsi="Arial"/>
                <w:sz w:val="18"/>
                <w:szCs w:val="18"/>
                <w:color w:val="auto"/>
              </w:rPr>
              <w:t>(7,035)</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(5,851)</w:t>
            </w:r>
          </w:p>
        </w:tc>
        <w:tc>
          <w:tcPr>
            <w:tcW w:w="1720" w:type="dxa"/>
            <w:vAlign w:val="bottom"/>
            <w:gridSpan w:val="4"/>
          </w:tcPr>
          <w:p>
            <w:pPr>
              <w:jc w:val="right"/>
              <w:ind w:right="412"/>
              <w:spacing w:after="0"/>
              <w:rPr>
                <w:sz w:val="20"/>
                <w:szCs w:val="20"/>
                <w:color w:val="auto"/>
              </w:rPr>
            </w:pPr>
            <w:r>
              <w:rPr>
                <w:rFonts w:ascii="Arial" w:cs="Arial" w:eastAsia="Arial" w:hAnsi="Arial"/>
                <w:sz w:val="18"/>
                <w:szCs w:val="18"/>
                <w:color w:val="auto"/>
              </w:rPr>
              <w:t>(13,253)</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(11,416)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w:t>
            </w:r>
          </w:p>
        </w:tc>
        <w:tc>
          <w:tcPr>
            <w:tcW w:w="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4"/>
        </w:trPr>
        <w:tc>
          <w:tcPr>
            <w:tcW w:w="3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Amortization</w:t>
            </w:r>
          </w:p>
        </w:tc>
        <w:tc>
          <w:tcPr>
            <w:tcW w:w="168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(36,559)</w:t>
            </w:r>
          </w:p>
        </w:tc>
        <w:tc>
          <w:tcPr>
            <w:tcW w:w="17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(34,594)</w:t>
            </w:r>
          </w:p>
        </w:tc>
        <w:tc>
          <w:tcPr>
            <w:tcW w:w="168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(28,477)</w:t>
            </w:r>
          </w:p>
        </w:tc>
        <w:tc>
          <w:tcPr>
            <w:tcW w:w="1720" w:type="dxa"/>
            <w:vAlign w:val="bottom"/>
            <w:gridSpan w:val="4"/>
            <w:shd w:val="clear" w:color="auto" w:fill="CCEEFF"/>
          </w:tcPr>
          <w:p>
            <w:pPr>
              <w:jc w:val="right"/>
              <w:ind w:right="412"/>
              <w:spacing w:after="0"/>
              <w:rPr>
                <w:sz w:val="20"/>
                <w:szCs w:val="20"/>
                <w:color w:val="auto"/>
              </w:rPr>
            </w:pPr>
            <w:r>
              <w:rPr>
                <w:rFonts w:ascii="Arial" w:cs="Arial" w:eastAsia="Arial" w:hAnsi="Arial"/>
                <w:sz w:val="18"/>
                <w:szCs w:val="18"/>
                <w:color w:val="auto"/>
              </w:rPr>
              <w:t>(71,153)</w:t>
            </w:r>
          </w:p>
        </w:tc>
        <w:tc>
          <w:tcPr>
            <w:tcW w:w="13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(55,406)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2"/>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1680" w:type="dxa"/>
            <w:vAlign w:val="bottom"/>
            <w:gridSpan w:val="2"/>
          </w:tcPr>
          <w:p>
            <w:pPr>
              <w:jc w:val="right"/>
              <w:ind w:right="432"/>
              <w:spacing w:after="0"/>
              <w:rPr>
                <w:sz w:val="20"/>
                <w:szCs w:val="20"/>
                <w:color w:val="auto"/>
              </w:rPr>
            </w:pPr>
            <w:r>
              <w:rPr>
                <w:rFonts w:ascii="Arial" w:cs="Arial" w:eastAsia="Arial" w:hAnsi="Arial"/>
                <w:sz w:val="18"/>
                <w:szCs w:val="18"/>
                <w:color w:val="auto"/>
              </w:rPr>
              <w:t>(47,240)</w:t>
            </w:r>
          </w:p>
        </w:tc>
        <w:tc>
          <w:tcPr>
            <w:tcW w:w="1700" w:type="dxa"/>
            <w:vAlign w:val="bottom"/>
            <w:gridSpan w:val="2"/>
          </w:tcPr>
          <w:p>
            <w:pPr>
              <w:jc w:val="right"/>
              <w:ind w:right="412"/>
              <w:spacing w:after="0"/>
              <w:rPr>
                <w:sz w:val="20"/>
                <w:szCs w:val="20"/>
                <w:color w:val="auto"/>
              </w:rPr>
            </w:pPr>
            <w:r>
              <w:rPr>
                <w:rFonts w:ascii="Arial" w:cs="Arial" w:eastAsia="Arial" w:hAnsi="Arial"/>
                <w:sz w:val="18"/>
                <w:szCs w:val="18"/>
                <w:color w:val="auto"/>
              </w:rPr>
              <w:t>(55,320)</w:t>
            </w:r>
          </w:p>
        </w:tc>
        <w:tc>
          <w:tcPr>
            <w:tcW w:w="1680" w:type="dxa"/>
            <w:vAlign w:val="bottom"/>
            <w:gridSpan w:val="2"/>
          </w:tcPr>
          <w:p>
            <w:pPr>
              <w:jc w:val="right"/>
              <w:ind w:right="392"/>
              <w:spacing w:after="0"/>
              <w:rPr>
                <w:sz w:val="20"/>
                <w:szCs w:val="20"/>
                <w:color w:val="auto"/>
              </w:rPr>
            </w:pPr>
            <w:r>
              <w:rPr>
                <w:rFonts w:ascii="Arial" w:cs="Arial" w:eastAsia="Arial" w:hAnsi="Arial"/>
                <w:sz w:val="18"/>
                <w:szCs w:val="18"/>
                <w:color w:val="auto"/>
              </w:rPr>
              <w:t>(36,532)</w:t>
            </w:r>
          </w:p>
        </w:tc>
        <w:tc>
          <w:tcPr>
            <w:tcW w:w="1720" w:type="dxa"/>
            <w:vAlign w:val="bottom"/>
            <w:gridSpan w:val="4"/>
          </w:tcPr>
          <w:p>
            <w:pPr>
              <w:jc w:val="right"/>
              <w:ind w:right="412"/>
              <w:spacing w:after="0"/>
              <w:rPr>
                <w:sz w:val="20"/>
                <w:szCs w:val="20"/>
                <w:color w:val="auto"/>
              </w:rPr>
            </w:pPr>
            <w:r>
              <w:rPr>
                <w:rFonts w:ascii="Arial" w:cs="Arial" w:eastAsia="Arial" w:hAnsi="Arial"/>
                <w:sz w:val="18"/>
                <w:szCs w:val="18"/>
                <w:color w:val="auto"/>
              </w:rPr>
              <w:t>(102,560)</w:t>
            </w:r>
          </w:p>
        </w:tc>
        <w:tc>
          <w:tcPr>
            <w:tcW w:w="1320" w:type="dxa"/>
            <w:vAlign w:val="bottom"/>
            <w:gridSpan w:val="2"/>
          </w:tcPr>
          <w:p>
            <w:pPr>
              <w:jc w:val="right"/>
              <w:ind w:right="32"/>
              <w:spacing w:after="0"/>
              <w:rPr>
                <w:sz w:val="20"/>
                <w:szCs w:val="20"/>
                <w:color w:val="auto"/>
              </w:rPr>
            </w:pPr>
            <w:r>
              <w:rPr>
                <w:rFonts w:ascii="Arial" w:cs="Arial" w:eastAsia="Arial" w:hAnsi="Arial"/>
                <w:sz w:val="18"/>
                <w:szCs w:val="18"/>
                <w:color w:val="auto"/>
              </w:rPr>
              <w:t>(75,023)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667"/>
        </w:trPr>
        <w:tc>
          <w:tcPr>
            <w:tcW w:w="3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00" w:type="dxa"/>
            <w:vAlign w:val="bottom"/>
            <w:gridSpan w:val="2"/>
          </w:tcPr>
          <w:p>
            <w:pPr>
              <w:jc w:val="right"/>
              <w:ind w:right="812"/>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3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61"/>
        </w:trPr>
        <w:tc>
          <w:tcPr>
            <w:tcW w:w="32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62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you have any questions, please feel free to call the undersigned at (212) 986-9700 (extension 17), or Ted Chastain of this office (extension 50).</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Sheldon Krause</w:t>
      </w:r>
    </w:p>
    <w:p>
      <w:pPr>
        <w:spacing w:after="0" w:line="252" w:lineRule="exact"/>
        <w:rPr>
          <w:sz w:val="20"/>
          <w:szCs w:val="20"/>
          <w:color w:val="auto"/>
        </w:rPr>
      </w:pPr>
    </w:p>
    <w:p>
      <w:pPr>
        <w:ind w:left="580" w:right="9420" w:hanging="572"/>
        <w:spacing w:after="0" w:line="332" w:lineRule="auto"/>
        <w:tabs>
          <w:tab w:leader="none" w:pos="5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Adelaja K. Heyliger Mr. Thomas Dyer</w:t>
      </w:r>
    </w:p>
    <w:p>
      <w:pPr>
        <w:sectPr>
          <w:pgSz w:w="11900" w:h="16844" w:orient="portrait"/>
          <w:cols w:equalWidth="0" w:num="1">
            <w:col w:w="11420"/>
          </w:cols>
          <w:pgMar w:left="240" w:top="374" w:right="239" w:bottom="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David Schapiro, Esq.</w:t>
      </w:r>
    </w:p>
    <w:p>
      <w:pPr>
        <w:spacing w:after="0" w:line="200" w:lineRule="exact"/>
        <w:rPr>
          <w:sz w:val="20"/>
          <w:szCs w:val="20"/>
          <w:color w:val="auto"/>
        </w:rPr>
      </w:pPr>
    </w:p>
    <w:p>
      <w:pPr>
        <w:spacing w:after="0" w:line="26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9639"/>
      </w:cols>
      <w:pgMar w:left="82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B588F54"/>
    <w:multiLevelType w:val="hybridMultilevel"/>
    <w:lvl w:ilvl="0">
      <w:lvlJc w:val="left"/>
      <w:lvlText w:val="(%1)"/>
      <w:numFmt w:val="decimal"/>
      <w:start w:val="1"/>
    </w:lvl>
  </w:abstractNum>
  <w:abstractNum w:abstractNumId="1">
    <w:nsid w:val="542289EC"/>
    <w:multiLevelType w:val="hybridMultilevel"/>
    <w:lvl w:ilvl="0">
      <w:lvlJc w:val="left"/>
      <w:lvlText w:val="\emdash "/>
      <w:numFmt w:val="bullet"/>
      <w:start w:val="1"/>
    </w:lvl>
  </w:abstractNum>
  <w:abstractNum w:abstractNumId="2">
    <w:nsid w:val="6DE91B18"/>
    <w:multiLevelType w:val="hybridMultilevel"/>
    <w:lvl w:ilvl="0">
      <w:lvlJc w:val="left"/>
      <w:lvlText w:val="\emdash "/>
      <w:numFmt w:val="bullet"/>
      <w:start w:val="1"/>
    </w:lvl>
  </w:abstractNum>
  <w:abstractNum w:abstractNumId="3">
    <w:nsid w:val="38437FDB"/>
    <w:multiLevelType w:val="hybridMultilevel"/>
    <w:lvl w:ilvl="0">
      <w:lvlJc w:val="left"/>
      <w:lvlText w:val="\emdash "/>
      <w:numFmt w:val="bullet"/>
      <w:start w:val="1"/>
    </w:lvl>
  </w:abstractNum>
  <w:abstractNum w:abstractNumId="4">
    <w:nsid w:val="7644A45C"/>
    <w:multiLevelType w:val="hybridMultilevel"/>
    <w:lvl w:ilvl="0">
      <w:lvlJc w:val="left"/>
      <w:lvlText w:val="\emdash "/>
      <w:numFmt w:val="bullet"/>
      <w:start w:val="1"/>
    </w:lvl>
  </w:abstractNum>
  <w:abstractNum w:abstractNumId="5">
    <w:nsid w:val="32FFF902"/>
    <w:multiLevelType w:val="hybridMultilevel"/>
    <w:lvl w:ilvl="0">
      <w:lvlJc w:val="left"/>
      <w:lvlText w:val="\emdash "/>
      <w:numFmt w:val="bullet"/>
      <w:start w:val="1"/>
    </w:lvl>
  </w:abstractNum>
  <w:abstractNum w:abstractNumId="6">
    <w:nsid w:val="684A481A"/>
    <w:multiLevelType w:val="hybridMultilevel"/>
    <w:lvl w:ilvl="0">
      <w:lvlJc w:val="left"/>
      <w:lvlText w:val="\emdash "/>
      <w:numFmt w:val="bullet"/>
      <w:start w:val="1"/>
    </w:lvl>
  </w:abstractNum>
  <w:abstractNum w:abstractNumId="7">
    <w:nsid w:val="579478FE"/>
    <w:multiLevelType w:val="hybridMultilevel"/>
    <w:lvl w:ilvl="0">
      <w:lvlJc w:val="left"/>
      <w:lvlText w:val="\emdash "/>
      <w:numFmt w:val="bullet"/>
      <w:start w:val="1"/>
    </w:lvl>
  </w:abstractNum>
  <w:abstractNum w:abstractNumId="8">
    <w:nsid w:val="749ABB43"/>
    <w:multiLevelType w:val="hybridMultilevel"/>
    <w:lvl w:ilvl="0">
      <w:lvlJc w:val="left"/>
      <w:lvlText w:val="\emdash "/>
      <w:numFmt w:val="bullet"/>
      <w:start w:val="1"/>
    </w:lvl>
  </w:abstractNum>
  <w:abstractNum w:abstractNumId="9">
    <w:nsid w:val="3DC240FB"/>
    <w:multiLevelType w:val="hybridMultilevel"/>
    <w:lvl w:ilvl="0">
      <w:lvlJc w:val="left"/>
      <w:lvlText w:val="\emdash "/>
      <w:numFmt w:val="bullet"/>
      <w:start w:val="1"/>
    </w:lvl>
  </w:abstractNum>
  <w:abstractNum w:abstractNumId="10">
    <w:nsid w:val="1BA026FA"/>
    <w:multiLevelType w:val="hybridMultilevel"/>
    <w:lvl w:ilvl="0">
      <w:lvlJc w:val="left"/>
      <w:lvlText w:val="\emdash "/>
      <w:numFmt w:val="bullet"/>
      <w:start w:val="1"/>
    </w:lvl>
  </w:abstractNum>
  <w:abstractNum w:abstractNumId="11">
    <w:nsid w:val="79A1DEAA"/>
    <w:multiLevelType w:val="hybridMultilevel"/>
    <w:lvl w:ilvl="0">
      <w:lvlJc w:val="left"/>
      <w:lvlText w:val="\emdash "/>
      <w:numFmt w:val="bullet"/>
      <w:start w:val="1"/>
    </w:lvl>
  </w:abstractNum>
  <w:abstractNum w:abstractNumId="12">
    <w:nsid w:val="75C6C33A"/>
    <w:multiLevelType w:val="hybridMultilevel"/>
    <w:lvl w:ilvl="0">
      <w:lvlJc w:val="left"/>
      <w:lvlText w:val="\emdash "/>
      <w:numFmt w:val="bullet"/>
      <w:start w:val="1"/>
    </w:lvl>
  </w:abstractNum>
  <w:abstractNum w:abstractNumId="13">
    <w:nsid w:val="12E685FB"/>
    <w:multiLevelType w:val="hybridMultilevel"/>
    <w:lvl w:ilvl="0">
      <w:lvlJc w:val="left"/>
      <w:lvlText w:val="\emdash "/>
      <w:numFmt w:val="bullet"/>
      <w:start w:val="1"/>
    </w:lvl>
  </w:abstractNum>
  <w:abstractNum w:abstractNumId="14">
    <w:nsid w:val="70C6A529"/>
    <w:multiLevelType w:val="hybridMultilevel"/>
    <w:lvl w:ilvl="0">
      <w:lvlJc w:val="left"/>
      <w:lvlText w:val="\emdash "/>
      <w:numFmt w:val="bullet"/>
      <w:start w:val="1"/>
    </w:lvl>
  </w:abstractNum>
  <w:abstractNum w:abstractNumId="15">
    <w:nsid w:val="520EEDD1"/>
    <w:multiLevelType w:val="hybridMultilevel"/>
    <w:lvl w:ilvl="0">
      <w:lvlJc w:val="left"/>
      <w:lvlText w:val="(%1)"/>
      <w:numFmt w:val="decimal"/>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1)"/>
      <w:numFmt w:val="decimal"/>
      <w:start w:val="1"/>
    </w:lvl>
  </w:abstractNum>
  <w:abstractNum w:abstractNumId="18">
    <w:nsid w:val="23F9C13C"/>
    <w:multiLevelType w:val="hybridMultilevel"/>
    <w:lvl w:ilvl="0">
      <w:lvlJc w:val="left"/>
      <w:lvlText w:val="&amp;"/>
      <w:numFmt w:val="bullet"/>
      <w:start w:val="1"/>
    </w:lvl>
  </w:abstractNum>
  <w:abstractNum w:abstractNumId="19">
    <w:nsid w:val="649BB77C"/>
    <w:multiLevelType w:val="hybridMultilevel"/>
    <w:lvl w:ilvl="0">
      <w:lvlJc w:val="left"/>
      <w:lvlText w:val="(%1)"/>
      <w:numFmt w:val="decimal"/>
      <w:start w:val="1"/>
    </w:lvl>
  </w:abstractNum>
  <w:abstractNum w:abstractNumId="20">
    <w:nsid w:val="275AC794"/>
    <w:multiLevelType w:val="hybridMultilevel"/>
    <w:lvl w:ilvl="0">
      <w:lvlJc w:val="left"/>
      <w:lvlText w:val="\emdash "/>
      <w:numFmt w:val="bullet"/>
      <w:start w:val="1"/>
    </w:lvl>
  </w:abstractNum>
  <w:abstractNum w:abstractNumId="21">
    <w:nsid w:val="39386575"/>
    <w:multiLevelType w:val="hybridMultilevel"/>
    <w:lvl w:ilvl="0">
      <w:lvlJc w:val="left"/>
      <w:lvlText w:val="\emdash "/>
      <w:numFmt w:val="bullet"/>
      <w:start w:val="1"/>
    </w:lvl>
  </w:abstractNum>
  <w:abstractNum w:abstractNumId="22">
    <w:nsid w:val="1CF10FD8"/>
    <w:multiLevelType w:val="hybridMultilevel"/>
    <w:lvl w:ilvl="0">
      <w:lvlJc w:val="left"/>
      <w:lvlText w:val="\emdash "/>
      <w:numFmt w:val="bullet"/>
      <w:start w:val="1"/>
    </w:lvl>
  </w:abstractNum>
  <w:abstractNum w:abstractNumId="23">
    <w:nsid w:val="180115BE"/>
    <w:multiLevelType w:val="hybridMultilevel"/>
    <w:lvl w:ilvl="0">
      <w:lvlJc w:val="left"/>
      <w:lvlText w:val="\emdash "/>
      <w:numFmt w:val="bullet"/>
      <w:start w:val="1"/>
    </w:lvl>
  </w:abstractNum>
  <w:abstractNum w:abstractNumId="24">
    <w:nsid w:val="235BA861"/>
    <w:multiLevelType w:val="hybridMultilevel"/>
    <w:lvl w:ilvl="0">
      <w:lvlJc w:val="left"/>
      <w:lvlText w:val="\emdash "/>
      <w:numFmt w:val="bullet"/>
      <w:start w:val="1"/>
    </w:lvl>
  </w:abstractNum>
  <w:abstractNum w:abstractNumId="25">
    <w:nsid w:val="47398C89"/>
    <w:multiLevelType w:val="hybridMultilevel"/>
    <w:lvl w:ilvl="0">
      <w:lvlJc w:val="left"/>
      <w:lvlText w:val="\emdash "/>
      <w:numFmt w:val="bullet"/>
      <w:start w:val="1"/>
    </w:lvl>
  </w:abstractNum>
  <w:abstractNum w:abstractNumId="26">
    <w:nsid w:val="354FE9F9"/>
    <w:multiLevelType w:val="hybridMultilevel"/>
    <w:lvl w:ilvl="0">
      <w:lvlJc w:val="left"/>
      <w:lvlText w:val="\emdash "/>
      <w:numFmt w:val="bullet"/>
      <w:start w:val="1"/>
    </w:lvl>
  </w:abstractNum>
  <w:abstractNum w:abstractNumId="27">
    <w:nsid w:val="15B5AF5C"/>
    <w:multiLevelType w:val="hybridMultilevel"/>
    <w:lvl w:ilvl="0">
      <w:lvlJc w:val="left"/>
      <w:lvlText w:val="\emdash "/>
      <w:numFmt w:val="bullet"/>
      <w:start w:val="1"/>
    </w:lvl>
  </w:abstractNum>
  <w:abstractNum w:abstractNumId="28">
    <w:nsid w:val="741226BB"/>
    <w:multiLevelType w:val="hybridMultilevel"/>
    <w:lvl w:ilvl="0">
      <w:lvlJc w:val="left"/>
      <w:lvlText w:val="(%1)"/>
      <w:numFmt w:val="lowerRoman"/>
      <w:start w:val="1"/>
    </w:lvl>
  </w:abstractNum>
  <w:abstractNum w:abstractNumId="29">
    <w:nsid w:val="D34B6A8"/>
    <w:multiLevelType w:val="hybridMultilevel"/>
    <w:lvl w:ilvl="0">
      <w:lvlJc w:val="left"/>
      <w:lvlText w:val="(%1)"/>
      <w:numFmt w:val="lowerRoman"/>
      <w:start w:val="4"/>
    </w:lvl>
    <w:lvl w:ilvl="1">
      <w:lvlJc w:val="left"/>
      <w:lvlText w:val="\emdash "/>
      <w:numFmt w:val="bullet"/>
      <w:start w:val="1"/>
    </w:lvl>
  </w:abstractNum>
  <w:abstractNum w:abstractNumId="30">
    <w:nsid w:val="10233C99"/>
    <w:multiLevelType w:val="hybridMultilevel"/>
    <w:lvl w:ilvl="0">
      <w:lvlJc w:val="left"/>
      <w:lvlText w:val="(%1)"/>
      <w:numFmt w:val="lowerRoman"/>
      <w:start w:val="11"/>
    </w:lvl>
    <w:lvl w:ilvl="1">
      <w:lvlJc w:val="left"/>
      <w:lvlText w:val="\emdash "/>
      <w:numFmt w:val="bullet"/>
      <w:start w:val="1"/>
    </w:lvl>
  </w:abstractNum>
  <w:abstractNum w:abstractNumId="31">
    <w:nsid w:val="3F6AB60F"/>
    <w:multiLevelType w:val="hybridMultilevel"/>
    <w:lvl w:ilvl="0">
      <w:lvlJc w:val="left"/>
      <w:lvlText w:val="(%1)"/>
      <w:numFmt w:val="lowerRoman"/>
      <w:start w:val="14"/>
    </w:lvl>
    <w:lvl w:ilvl="1">
      <w:lvlJc w:val="left"/>
      <w:lvlText w:val="\emdash "/>
      <w:numFmt w:val="bullet"/>
      <w:start w:val="1"/>
    </w:lvl>
  </w:abstractNum>
  <w:abstractNum w:abstractNumId="32">
    <w:nsid w:val="61574095"/>
    <w:multiLevelType w:val="hybridMultilevel"/>
    <w:lvl w:ilvl="0">
      <w:lvlJc w:val="left"/>
      <w:lvlText w:val="(%1)"/>
      <w:numFmt w:val="lowerRoman"/>
      <w:start w:val="15"/>
    </w:lvl>
  </w:abstractNum>
  <w:abstractNum w:abstractNumId="33">
    <w:nsid w:val="7E0C57B1"/>
    <w:multiLevelType w:val="hybridMultilevel"/>
    <w:lvl w:ilvl="0">
      <w:lvlJc w:val="left"/>
      <w:lvlText w:val="(%1)"/>
      <w:numFmt w:val="lowerRoman"/>
      <w:start w:val="26"/>
    </w:lvl>
  </w:abstractNum>
  <w:abstractNum w:abstractNumId="34">
    <w:nsid w:val="77AE35EB"/>
    <w:multiLevelType w:val="hybridMultilevel"/>
    <w:lvl w:ilvl="0">
      <w:lvlJc w:val="left"/>
      <w:lvlText w:val="(%1)"/>
      <w:numFmt w:val="lowerRoman"/>
      <w:start w:val="29"/>
    </w:lvl>
  </w:abstractNum>
  <w:abstractNum w:abstractNumId="35">
    <w:nsid w:val="579BE4F1"/>
    <w:multiLevelType w:val="hybridMultilevel"/>
    <w:lvl w:ilvl="0">
      <w:lvlJc w:val="left"/>
      <w:lvlText w:val="(%1)"/>
      <w:numFmt w:val="lowerRoman"/>
      <w:start w:val="32"/>
    </w:lvl>
    <w:lvl w:ilvl="1">
      <w:lvlJc w:val="left"/>
      <w:lvlText w:val="\emdash "/>
      <w:numFmt w:val="bullet"/>
      <w:start w:val="1"/>
    </w:lvl>
  </w:abstractNum>
  <w:abstractNum w:abstractNumId="36">
    <w:nsid w:val="310C50B3"/>
    <w:multiLevelType w:val="hybridMultilevel"/>
    <w:lvl w:ilvl="0">
      <w:lvlJc w:val="left"/>
      <w:lvlText w:val="\emdash "/>
      <w:numFmt w:val="bullet"/>
      <w:start w:val="1"/>
    </w:lvl>
  </w:abstractNum>
  <w:abstractNum w:abstractNumId="37">
    <w:nsid w:val="5FF87E05"/>
    <w:multiLevelType w:val="hybridMultilevel"/>
    <w:lvl w:ilvl="0">
      <w:lvlJc w:val="left"/>
      <w:lvlText w:val="\emdash "/>
      <w:numFmt w:val="bullet"/>
      <w:start w:val="1"/>
    </w:lvl>
  </w:abstractNum>
  <w:abstractNum w:abstractNumId="38">
    <w:nsid w:val="2F305DEF"/>
    <w:multiLevelType w:val="hybridMultilevel"/>
    <w:lvl w:ilvl="0">
      <w:lvlJc w:val="left"/>
      <w:lvlText w:val="%1."/>
      <w:numFmt w:val="upperLetter"/>
      <w:start w:val="1"/>
    </w:lvl>
  </w:abstractNum>
  <w:abstractNum w:abstractNumId="39">
    <w:nsid w:val="25A70BF7"/>
    <w:multiLevelType w:val="hybridMultilevel"/>
    <w:lvl w:ilvl="0">
      <w:lvlJc w:val="left"/>
      <w:lvlText w:val="%1."/>
      <w:numFmt w:val="upperLetter"/>
      <w:start w:val="2"/>
    </w:lvl>
  </w:abstractNum>
  <w:abstractNum w:abstractNumId="40">
    <w:nsid w:val="1DBABF00"/>
    <w:multiLevelType w:val="hybridMultilevel"/>
    <w:lvl w:ilvl="0">
      <w:lvlJc w:val="left"/>
      <w:lvlText w:val="%1."/>
      <w:numFmt w:val="upperLetter"/>
      <w:start w:val="3"/>
    </w:lvl>
  </w:abstractNum>
  <w:abstractNum w:abstractNumId="41">
    <w:nsid w:val="4AD084E9"/>
    <w:multiLevelType w:val="hybridMultilevel"/>
    <w:lvl w:ilvl="0">
      <w:lvlJc w:val="left"/>
      <w:lvlText w:val="%1."/>
      <w:numFmt w:val="upperLetter"/>
      <w:start w:val="4"/>
    </w:lvl>
  </w:abstractNum>
  <w:abstractNum w:abstractNumId="42">
    <w:nsid w:val="1F48EAA1"/>
    <w:multiLevelType w:val="hybridMultilevel"/>
    <w:lvl w:ilvl="0">
      <w:lvlJc w:val="left"/>
      <w:lvlText w:val="\emdash "/>
      <w:numFmt w:val="bullet"/>
      <w:start w:val="1"/>
    </w:lvl>
  </w:abstractNum>
  <w:abstractNum w:abstractNumId="43">
    <w:nsid w:val="1381823A"/>
    <w:multiLevelType w:val="hybridMultilevel"/>
    <w:lvl w:ilvl="0">
      <w:lvlJc w:val="left"/>
      <w:lvlText w:val="\emdash "/>
      <w:numFmt w:val="bullet"/>
      <w:start w:val="1"/>
    </w:lvl>
  </w:abstractNum>
  <w:abstractNum w:abstractNumId="44">
    <w:nsid w:val="5DB70AE5"/>
    <w:multiLevelType w:val="hybridMultilevel"/>
    <w:lvl w:ilvl="0">
      <w:lvlJc w:val="left"/>
      <w:lvlText w:val="\emdash "/>
      <w:numFmt w:val="bullet"/>
      <w:start w:val="1"/>
    </w:lvl>
  </w:abstractNum>
  <w:abstractNum w:abstractNumId="45">
    <w:nsid w:val="100F8FCA"/>
    <w:multiLevelType w:val="hybridMultilevel"/>
    <w:lvl w:ilvl="0">
      <w:lvlJc w:val="left"/>
      <w:lvlText w:val="\emdash "/>
      <w:numFmt w:val="bullet"/>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emdash "/>
      <w:numFmt w:val="bullet"/>
      <w:start w:val="1"/>
    </w:lvl>
  </w:abstractNum>
  <w:abstractNum w:abstractNumId="48">
    <w:nsid w:val="5F5E7FD0"/>
    <w:multiLevelType w:val="hybridMultilevel"/>
    <w:lvl w:ilvl="0">
      <w:lvlJc w:val="left"/>
      <w:lvlText w:val="(%1)"/>
      <w:numFmt w:val="lowerLetter"/>
      <w:start w:val="1"/>
    </w:lvl>
  </w:abstractNum>
  <w:abstractNum w:abstractNumId="49">
    <w:nsid w:val="98A3148"/>
    <w:multiLevelType w:val="hybridMultilevel"/>
    <w:lvl w:ilvl="0">
      <w:lvlJc w:val="left"/>
      <w:lvlText w:val="\emdash "/>
      <w:numFmt w:val="bullet"/>
      <w:start w:val="1"/>
    </w:lvl>
  </w:abstractNum>
  <w:abstractNum w:abstractNumId="50">
    <w:nsid w:val="799D0247"/>
    <w:multiLevelType w:val="hybridMultilevel"/>
    <w:lvl w:ilvl="0">
      <w:lvlJc w:val="left"/>
      <w:lvlText w:val="\emdash "/>
      <w:numFmt w:val="bullet"/>
      <w:start w:val="1"/>
    </w:lvl>
  </w:abstractNum>
  <w:abstractNum w:abstractNumId="51">
    <w:nsid w:val="6B94764"/>
    <w:multiLevelType w:val="hybridMultilevel"/>
    <w:lvl w:ilvl="0">
      <w:lvlJc w:val="left"/>
      <w:lvlText w:val="%1."/>
      <w:numFmt w:val="decimal"/>
      <w:start w:val="1"/>
    </w:lvl>
    <w:lvl w:ilvl="1">
      <w:lvlJc w:val="left"/>
      <w:lvlText w:val="(%2)"/>
      <w:numFmt w:val="lowerLetter"/>
      <w:start w:val="1"/>
    </w:lvl>
  </w:abstractNum>
  <w:abstractNum w:abstractNumId="52">
    <w:nsid w:val="42C296BD"/>
    <w:multiLevelType w:val="hybridMultilevel"/>
    <w:lvl w:ilvl="0">
      <w:lvlJc w:val="left"/>
      <w:lvlText w:val="%1."/>
      <w:numFmt w:val="lowerRoman"/>
      <w:start w:val="1"/>
    </w:lvl>
  </w:abstractNum>
  <w:abstractNum w:abstractNumId="53">
    <w:nsid w:val="168E121F"/>
    <w:multiLevelType w:val="hybridMultilevel"/>
    <w:lvl w:ilvl="0">
      <w:lvlJc w:val="left"/>
      <w:lvlText w:val="\emdash "/>
      <w:numFmt w:val="bullet"/>
      <w:start w:val="1"/>
    </w:lvl>
  </w:abstractNum>
  <w:abstractNum w:abstractNumId="54">
    <w:nsid w:val="1EBA5D23"/>
    <w:multiLevelType w:val="hybridMultilevel"/>
    <w:lvl w:ilvl="0">
      <w:lvlJc w:val="left"/>
      <w:lvlText w:val="\emdash "/>
      <w:numFmt w:val="bullet"/>
      <w:start w:val="1"/>
    </w:lvl>
  </w:abstractNum>
  <w:abstractNum w:abstractNumId="55">
    <w:nsid w:val="661E3F1E"/>
    <w:multiLevelType w:val="hybridMultilevel"/>
    <w:lvl w:ilvl="0">
      <w:lvlJc w:val="left"/>
      <w:lvlText w:val="*"/>
      <w:numFmt w:val="bullet"/>
      <w:start w:val="1"/>
    </w:lvl>
  </w:abstractNum>
  <w:abstractNum w:abstractNumId="56">
    <w:nsid w:val="5DC79EA8"/>
    <w:multiLevelType w:val="hybridMultilevel"/>
    <w:lvl w:ilvl="0">
      <w:lvlJc w:val="left"/>
      <w:lvlText w:val="(%1)"/>
      <w:numFmt w:val="lowerLetter"/>
      <w:start w:val="1"/>
    </w:lvl>
  </w:abstractNum>
  <w:abstractNum w:abstractNumId="57">
    <w:nsid w:val="540A471C"/>
    <w:multiLevelType w:val="hybridMultilevel"/>
    <w:lvl w:ilvl="0">
      <w:lvlJc w:val="left"/>
      <w:lvlText w:val="(%1)"/>
      <w:numFmt w:val="decimal"/>
      <w:start w:val="1"/>
    </w:lvl>
    <w:lvl w:ilvl="1">
      <w:lvlJc w:val="left"/>
      <w:lvlText w:val="(%2)"/>
      <w:numFmt w:val="lowerRoman"/>
      <w:start w:val="1"/>
    </w:lvl>
  </w:abstractNum>
  <w:abstractNum w:abstractNumId="58">
    <w:nsid w:val="7BD3EE7B"/>
    <w:multiLevelType w:val="hybridMultilevel"/>
    <w:lvl w:ilvl="0">
      <w:lvlJc w:val="left"/>
      <w:lvlText w:val="(%1)"/>
      <w:numFmt w:val="lowerRoman"/>
      <w:start w:val="3"/>
    </w:lvl>
  </w:abstractNum>
  <w:abstractNum w:abstractNumId="59">
    <w:nsid w:val="51D9C564"/>
    <w:multiLevelType w:val="hybridMultilevel"/>
    <w:lvl w:ilvl="0">
      <w:lvlJc w:val="left"/>
      <w:lvlText w:val="(%1)"/>
      <w:numFmt w:val="decimal"/>
      <w:start w:val="2"/>
    </w:lvl>
    <w:lvl w:ilvl="1">
      <w:lvlJc w:val="left"/>
      <w:lvlText w:val="%2"/>
      <w:numFmt w:val="upperLetter"/>
      <w:start w:val="35"/>
    </w:lvl>
  </w:abstractNum>
  <w:abstractNum w:abstractNumId="60">
    <w:nsid w:val="613EFDC5"/>
    <w:multiLevelType w:val="hybridMultilevel"/>
    <w:lvl w:ilvl="0">
      <w:lvlJc w:val="left"/>
      <w:lvlText w:val="%1"/>
      <w:numFmt w:val="lowerLetter"/>
      <w:start w:val="1"/>
    </w:lvl>
    <w:lvl w:ilvl="1">
      <w:lvlJc w:val="left"/>
      <w:lvlText w:val="(%2)"/>
      <w:numFmt w:val="lowerLetter"/>
      <w:start w:val="3"/>
    </w:lvl>
    <w:lvl w:ilvl="2">
      <w:lvlJc w:val="left"/>
      <w:lvlText w:val="%3"/>
      <w:numFmt w:val="upperLetter"/>
      <w:start w:val="1"/>
    </w:lvl>
  </w:abstractNum>
  <w:abstractNum w:abstractNumId="61">
    <w:nsid w:val="BF72B14"/>
    <w:multiLevelType w:val="hybridMultilevel"/>
    <w:lvl w:ilvl="0">
      <w:lvlJc w:val="left"/>
      <w:lvlText w:val="(%1)"/>
      <w:numFmt w:val="lowerLetter"/>
      <w:start w:val="1"/>
    </w:lvl>
    <w:lvl w:ilvl="1">
      <w:lvlJc w:val="left"/>
      <w:lvlText w:val="(%2)"/>
      <w:numFmt w:val="lowerLetter"/>
      <w:start w:val="6"/>
    </w:lvl>
    <w:lvl w:ilvl="2">
      <w:lvlJc w:val="left"/>
      <w:lvlText w:val="%3"/>
      <w:numFmt w:val="upperLetter"/>
      <w:start w:val="35"/>
    </w:lvl>
  </w:abstractNum>
  <w:abstractNum w:abstractNumId="62">
    <w:nsid w:val="11447B73"/>
    <w:multiLevelType w:val="hybridMultilevel"/>
    <w:lvl w:ilvl="0">
      <w:lvlJc w:val="left"/>
      <w:lvlText w:val="*"/>
      <w:numFmt w:val="bullet"/>
      <w:start w:val="1"/>
    </w:lvl>
  </w:abstractNum>
  <w:abstractNum w:abstractNumId="63">
    <w:nsid w:val="42963E5A"/>
    <w:multiLevelType w:val="hybridMultilevel"/>
    <w:lvl w:ilvl="0">
      <w:lvlJc w:val="left"/>
      <w:lvlText w:val="*"/>
      <w:numFmt w:val="bullet"/>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1"/>
    </w:lvl>
  </w:abstractNum>
  <w:abstractNum w:abstractNumId="66">
    <w:nsid w:val="1A32234B"/>
    <w:multiLevelType w:val="hybridMultilevel"/>
    <w:lvl w:ilvl="0">
      <w:lvlJc w:val="left"/>
      <w:lvlText w:val="%1."/>
      <w:numFmt w:val="decimal"/>
      <w:start w:val="3"/>
    </w:lvl>
  </w:abstractNum>
  <w:abstractNum w:abstractNumId="67">
    <w:nsid w:val="3B0FD379"/>
    <w:multiLevelType w:val="hybridMultilevel"/>
    <w:lvl w:ilvl="0">
      <w:lvlJc w:val="left"/>
      <w:lvlText w:val="%1."/>
      <w:numFmt w:val="decimal"/>
      <w:start w:val="4"/>
    </w:lvl>
    <w:lvl w:ilvl="1">
      <w:lvlJc w:val="left"/>
      <w:lvlText w:val="-"/>
      <w:numFmt w:val="bullet"/>
      <w:start w:val="1"/>
    </w:lvl>
  </w:abstractNum>
  <w:abstractNum w:abstractNumId="68">
    <w:nsid w:val="68EB2F63"/>
    <w:multiLevelType w:val="hybridMultilevel"/>
    <w:lvl w:ilvl="0">
      <w:lvlJc w:val="left"/>
      <w:lvlText w:val="%1."/>
      <w:numFmt w:val="decimal"/>
      <w:start w:val="1"/>
    </w:lvl>
  </w:abstractNum>
  <w:abstractNum w:abstractNumId="69">
    <w:nsid w:val="4962813B"/>
    <w:multiLevelType w:val="hybridMultilevel"/>
    <w:lvl w:ilvl="0">
      <w:lvlJc w:val="left"/>
      <w:lvlText w:val="%1."/>
      <w:numFmt w:val="decimal"/>
      <w:start w:val="2"/>
    </w:lvl>
  </w:abstractNum>
  <w:abstractNum w:abstractNumId="70">
    <w:nsid w:val="60B6DF70"/>
    <w:multiLevelType w:val="hybridMultilevel"/>
    <w:lvl w:ilvl="0">
      <w:lvlJc w:val="left"/>
      <w:lvlText w:val="%1."/>
      <w:numFmt w:val="decimal"/>
      <w:start w:val="3"/>
    </w:lvl>
  </w:abstractNum>
  <w:abstractNum w:abstractNumId="71">
    <w:nsid w:val="6A5EE64"/>
    <w:multiLevelType w:val="hybridMultilevel"/>
    <w:lvl w:ilvl="0">
      <w:lvlJc w:val="left"/>
      <w:lvlText w:val="%1."/>
      <w:numFmt w:val="decimal"/>
      <w:start w:val="4"/>
    </w:lvl>
  </w:abstractNum>
  <w:abstractNum w:abstractNumId="72">
    <w:nsid w:val="14330624"/>
    <w:multiLevelType w:val="hybridMultilevel"/>
    <w:lvl w:ilvl="0">
      <w:lvlJc w:val="left"/>
      <w:lvlText w:val="%1."/>
      <w:numFmt w:val="decimal"/>
      <w:start w:val="5"/>
    </w:lvl>
  </w:abstractNum>
  <w:abstractNum w:abstractNumId="73">
    <w:nsid w:val="7FFFCA11"/>
    <w:multiLevelType w:val="hybridMultilevel"/>
    <w:lvl w:ilvl="0">
      <w:lvlJc w:val="left"/>
      <w:lvlText w:val="%1."/>
      <w:numFmt w:val="decimal"/>
      <w:start w:val="8"/>
    </w:lvl>
  </w:abstractNum>
  <w:abstractNum w:abstractNumId="74">
    <w:nsid w:val="1A27709E"/>
    <w:multiLevelType w:val="hybridMultilevel"/>
    <w:lvl w:ilvl="0">
      <w:lvlJc w:val="left"/>
      <w:lvlText w:val="%1."/>
      <w:numFmt w:val="decimal"/>
      <w:start w:val="9"/>
    </w:lvl>
  </w:abstractNum>
  <w:abstractNum w:abstractNumId="75">
    <w:nsid w:val="71EA1109"/>
    <w:multiLevelType w:val="hybridMultilevel"/>
    <w:lvl w:ilvl="0">
      <w:lvlJc w:val="left"/>
      <w:lvlText w:val="%1."/>
      <w:numFmt w:val="decimal"/>
      <w:start w:val="10"/>
    </w:lvl>
  </w:abstractNum>
  <w:abstractNum w:abstractNumId="76">
    <w:nsid w:val="100F59DC"/>
    <w:multiLevelType w:val="hybridMultilevel"/>
    <w:lvl w:ilvl="0">
      <w:lvlJc w:val="left"/>
      <w:lvlText w:val="%1."/>
      <w:numFmt w:val="decimal"/>
      <w:start w:val="11"/>
    </w:lvl>
  </w:abstractNum>
  <w:abstractNum w:abstractNumId="77">
    <w:nsid w:val="7FB7E0AA"/>
    <w:multiLevelType w:val="hybridMultilevel"/>
    <w:lvl w:ilvl="0">
      <w:lvlJc w:val="left"/>
      <w:lvlText w:val="%1."/>
      <w:numFmt w:val="decimal"/>
      <w:start w:val="12"/>
    </w:lvl>
  </w:abstractNum>
  <w:abstractNum w:abstractNumId="78">
    <w:nsid w:val="6EB5BD4"/>
    <w:multiLevelType w:val="hybridMultilevel"/>
    <w:lvl w:ilvl="0">
      <w:lvlJc w:val="left"/>
      <w:lvlText w:val="%1."/>
      <w:numFmt w:val="decimal"/>
      <w:start w:val="13"/>
    </w:lvl>
  </w:abstractNum>
  <w:abstractNum w:abstractNumId="79">
    <w:nsid w:val="6F6DD9AC"/>
    <w:multiLevelType w:val="hybridMultilevel"/>
    <w:lvl w:ilvl="0">
      <w:lvlJc w:val="left"/>
      <w:lvlText w:val="%1."/>
      <w:numFmt w:val="decimal"/>
      <w:start w:val="14"/>
    </w:lvl>
  </w:abstractNum>
  <w:abstractNum w:abstractNumId="80">
    <w:nsid w:val="94211F2"/>
    <w:multiLevelType w:val="hybridMultilevel"/>
    <w:lvl w:ilvl="0">
      <w:lvlJc w:val="left"/>
      <w:lvlText w:val="%1."/>
      <w:numFmt w:val="decimal"/>
      <w:start w:val="15"/>
    </w:lvl>
  </w:abstractNum>
  <w:abstractNum w:abstractNumId="81">
    <w:nsid w:val="885E1B"/>
    <w:multiLevelType w:val="hybridMultilevel"/>
    <w:lvl w:ilvl="0">
      <w:lvlJc w:val="left"/>
      <w:lvlText w:val="%1."/>
      <w:numFmt w:val="decimal"/>
      <w:start w:val="16"/>
    </w:lvl>
  </w:abstractNum>
  <w:abstractNum w:abstractNumId="82">
    <w:nsid w:val="76272110"/>
    <w:multiLevelType w:val="hybridMultilevel"/>
    <w:lvl w:ilvl="0">
      <w:lvlJc w:val="left"/>
      <w:lvlText w:val="%1."/>
      <w:numFmt w:val="decimal"/>
      <w:start w:val="17"/>
    </w:lvl>
  </w:abstractNum>
  <w:abstractNum w:abstractNumId="83">
    <w:nsid w:val="4C04A8AF"/>
    <w:multiLevelType w:val="hybridMultilevel"/>
    <w:lvl w:ilvl="0">
      <w:lvlJc w:val="left"/>
      <w:lvlText w:val="%1."/>
      <w:numFmt w:val="decimal"/>
      <w:start w:val="18"/>
    </w:lvl>
  </w:abstractNum>
  <w:abstractNum w:abstractNumId="84">
    <w:nsid w:val="1716703B"/>
    <w:multiLevelType w:val="hybridMultilevel"/>
    <w:lvl w:ilvl="0">
      <w:lvlJc w:val="left"/>
      <w:lvlText w:val="%1."/>
      <w:numFmt w:val="decimal"/>
      <w:start w:val="19"/>
    </w:lvl>
  </w:abstractNum>
  <w:abstractNum w:abstractNumId="85">
    <w:nsid w:val="14E17E33"/>
    <w:multiLevelType w:val="hybridMultilevel"/>
    <w:lvl w:ilvl="0">
      <w:lvlJc w:val="left"/>
      <w:lvlText w:val="%1."/>
      <w:numFmt w:val="decimal"/>
      <w:start w:val="20"/>
    </w:lvl>
  </w:abstractNum>
  <w:abstractNum w:abstractNumId="86">
    <w:nsid w:val="3222E7CD"/>
    <w:multiLevelType w:val="hybridMultilevel"/>
    <w:lvl w:ilvl="0">
      <w:lvlJc w:val="left"/>
      <w:lvlText w:val="%1."/>
      <w:numFmt w:val="decimal"/>
      <w:start w:val="21"/>
    </w:lvl>
  </w:abstractNum>
  <w:abstractNum w:abstractNumId="87">
    <w:nsid w:val="74DE0EE3"/>
    <w:multiLevelType w:val="hybridMultilevel"/>
    <w:lvl w:ilvl="0">
      <w:lvlJc w:val="left"/>
      <w:lvlText w:val="%1."/>
      <w:numFmt w:val="decimal"/>
      <w:start w:val="22"/>
    </w:lvl>
  </w:abstractNum>
  <w:abstractNum w:abstractNumId="88">
    <w:nsid w:val="68EBC550"/>
    <w:multiLevelType w:val="hybridMultilevel"/>
    <w:lvl w:ilvl="0">
      <w:lvlJc w:val="left"/>
      <w:lvlText w:val="%1."/>
      <w:numFmt w:val="decimal"/>
      <w:start w:val="23"/>
    </w:lvl>
  </w:abstractNum>
  <w:abstractNum w:abstractNumId="89">
    <w:nsid w:val="2DF6D648"/>
    <w:multiLevelType w:val="hybridMultilevel"/>
    <w:lvl w:ilvl="0">
      <w:lvlJc w:val="left"/>
      <w:lvlText w:val="%1."/>
      <w:numFmt w:val="decimal"/>
      <w:start w:val="25"/>
    </w:lvl>
  </w:abstractNum>
  <w:abstractNum w:abstractNumId="90">
    <w:nsid w:val="46B7D447"/>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2019-12-14T03:40:24Z</dcterms:created>
  <dcterms:modified xsi:type="dcterms:W3CDTF">2019-12-14T03:40:24Z</dcterms:modified>
</cp:coreProperties>
</file>