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zk2432159.htm"/>
      <w:bookmarkStart w:id="1" w:name="kszk2432159"/>
      <w:bookmarkStart w:id="2" w:name="zk2432159.htm"/>
      <w:bookmarkStart w:id="3" w:name="kszk2432159"/>
      <w:bookmarkEnd w:id="2"/>
      <w:bookmarkEnd w:id="3"/>
    </w:p>
    <w:p>
      <w:pPr>
        <w:pStyle w:val="TextBody"/>
        <w:bidi w:val="0"/>
        <w:spacing w:lineRule="auto" w:line="300" w:before="0" w:after="0"/>
        <w:jc w:val="center"/>
        <w:rPr>
          <w:b/>
        </w:rPr>
      </w:pPr>
      <w:r>
        <w:rPr>
          <w:b/>
        </w:rPr>
      </w:r>
    </w:p>
    <w:p>
      <w:pPr>
        <w:pStyle w:val="TextBody"/>
        <w:bidi w:val="0"/>
        <w:spacing w:lineRule="auto" w:line="300" w:before="0" w:after="0"/>
        <w:jc w:val="center"/>
        <w:rPr>
          <w:rFonts w:ascii="Times New Roman;Times;serif" w:hAnsi="Times New Roman;Times;serif"/>
          <w:b/>
          <w:color w:val="000000"/>
          <w:sz w:val="28"/>
        </w:rPr>
      </w:pPr>
      <w:r>
        <w:rPr>
          <w:rFonts w:ascii="Times New Roman;Times;serif" w:hAnsi="Times New Roman;Times;serif"/>
          <w:b/>
          <w:color w:val="000000"/>
          <w:sz w:val="28"/>
        </w:rPr>
        <w:t>FORM 6-K</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smallCaps/>
          <w:color w:val="000000"/>
          <w:sz w:val="28"/>
        </w:rPr>
      </w:pPr>
      <w:r>
        <w:rPr>
          <w:rFonts w:ascii="Times New Roman;Times;serif" w:hAnsi="Times New Roman;Times;serif"/>
          <w:b/>
          <w:smallCaps/>
          <w:color w:val="000000"/>
          <w:sz w:val="28"/>
        </w:rPr>
        <w:t>SECURITIES AND EXCHANGE COMMISSION</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W</w:t>
      </w:r>
      <w:r>
        <w:rPr>
          <w:rFonts w:ascii="Times New Roman;Times;serif" w:hAnsi="Times New Roman;Times;serif"/>
          <w:color w:val="000000"/>
          <w:sz w:val="20"/>
        </w:rPr>
        <w:t xml:space="preserve">ashington, D.C. </w:t>
      </w:r>
      <w:r>
        <w:rPr>
          <w:rFonts w:ascii="Times New Roman;Times;serif" w:hAnsi="Times New Roman;Times;serif"/>
          <w:smallCaps/>
          <w:color w:val="000000"/>
          <w:sz w:val="20"/>
        </w:rPr>
        <w:t>20549</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F</w:t>
      </w:r>
      <w:r>
        <w:rPr>
          <w:rFonts w:ascii="Times New Roman;Times;serif" w:hAnsi="Times New Roman;Times;serif"/>
          <w:color w:val="000000"/>
          <w:sz w:val="20"/>
        </w:rPr>
        <w:t>or the month October 2024 No. 1</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32"/>
        </w:rPr>
      </w:pPr>
      <w:r>
        <w:rPr>
          <w:rFonts w:ascii="Times New Roman;Times;serif" w:hAnsi="Times New Roman;Times;serif"/>
          <w:b/>
          <w:color w:val="000000"/>
          <w:sz w:val="32"/>
        </w:rPr>
        <w:t>TOWER SEMICONDUCTOR LTD.</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(Translation of registrant's name into English)</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Ramat Gavriel Industrial Park</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P.O. Box 619, Migdal Haemek, Israel 2310502</w:t>
      </w:r>
    </w:p>
    <w:p>
      <w:pPr>
        <w:pStyle w:val="TextBody"/>
        <w:bidi w:val="0"/>
        <w:spacing w:lineRule="auto" w:line="300" w:before="0" w:after="0"/>
        <w:jc w:val="center"/>
        <w:rPr>
          <w:color w:val="000000"/>
        </w:rPr>
      </w:pPr>
      <w:r>
        <w:rPr>
          <w:color w:val="000000"/>
        </w:rPr>
        <w:t>  </w:t>
      </w:r>
      <w:r>
        <w:rPr>
          <w:rFonts w:ascii="Times New Roman;Times;serif" w:hAnsi="Times New Roman;Times;serif"/>
          <w:color w:val="000000"/>
          <w:sz w:val="20"/>
        </w:rPr>
        <w:t>(Address of principal executive offices)</w:t>
      </w:r>
    </w:p>
    <w:p>
      <w:pPr>
        <w:pStyle w:val="TextBody"/>
        <w:bidi w:val="0"/>
        <w:spacing w:lineRule="auto" w:line="300" w:before="0" w:after="0"/>
        <w:jc w:val="left"/>
        <w:rPr/>
      </w:pPr>
      <w:r>
        <w:rPr/>
      </w:r>
    </w:p>
    <w:p>
      <w:pPr>
        <w:pStyle w:val="TextBody"/>
        <w:bidi w:val="0"/>
        <w:spacing w:lineRule="auto" w:line="300"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Indicate by check mark whether the registrant files or will file annual reports under cover Form 20-F or Form 40-F.</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Form 20-F ☒           Form 40-F ☐</w:t>
      </w:r>
    </w:p>
    <w:p>
      <w:pPr>
        <w:pStyle w:val="TextBody"/>
        <w:bidi w:val="0"/>
        <w:spacing w:lineRule="auto" w:line="300" w:before="0" w:after="0"/>
        <w:jc w:val="center"/>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by furnishing the information contained in this Form is also thereby furnishing the information to the Commission pursuant to Rule 12g3-2(b) under the Securities Exchange Act of 1934.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Yes ☐           No ☒</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ind w:left="1260" w:right="135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On October 21, 2024, the Registrant Announces Third Quarter </w:t>
      </w:r>
    </w:p>
    <w:p>
      <w:pPr>
        <w:pStyle w:val="TextBody"/>
        <w:bidi w:val="0"/>
        <w:spacing w:lineRule="auto" w:line="300" w:before="0" w:after="0"/>
        <w:ind w:left="1260" w:right="1350" w:hanging="0"/>
        <w:jc w:val="center"/>
        <w:rPr>
          <w:rFonts w:ascii="Times New Roman;Times;serif" w:hAnsi="Times New Roman;Times;serif"/>
          <w:b/>
          <w:color w:val="000000"/>
          <w:sz w:val="20"/>
        </w:rPr>
      </w:pPr>
      <w:r>
        <w:rPr>
          <w:rFonts w:ascii="Times New Roman;Times;serif" w:hAnsi="Times New Roman;Times;serif"/>
          <w:b/>
          <w:color w:val="000000"/>
          <w:sz w:val="20"/>
        </w:rPr>
        <w:t>2024 Financial Results and Conference Call</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color w:val="000000"/>
        </w:rPr>
      </w:pPr>
      <w:r>
        <w:rPr>
          <w:color w:val="000000"/>
        </w:rPr>
        <w:t>  </w:t>
      </w:r>
      <w:r>
        <w:rPr>
          <w:rFonts w:ascii="Times New Roman;Times;serif" w:hAnsi="Times New Roman;Times;serif"/>
          <w:b/>
          <w:color w:val="000000"/>
          <w:sz w:val="20"/>
        </w:rPr>
        <w:t>SIGNATURES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 w:name="ze5ed49a950e64ef3ab438326ae2a0a3f"/>
      <w:bookmarkStart w:id="5" w:name="ze5ed49a950e64ef3ab438326ae2a0a3f"/>
      <w:bookmarkEnd w:id="5"/>
    </w:p>
    <w:tbl>
      <w:tblPr>
        <w:tblW w:w="7224" w:type="dxa"/>
        <w:jc w:val="left"/>
        <w:tblInd w:w="0" w:type="dxa"/>
        <w:tblLayout w:type="fixed"/>
        <w:tblCellMar>
          <w:top w:w="0" w:type="dxa"/>
          <w:left w:w="0" w:type="dxa"/>
          <w:bottom w:w="0" w:type="dxa"/>
          <w:right w:w="0" w:type="dxa"/>
        </w:tblCellMar>
      </w:tblPr>
      <w:tblGrid>
        <w:gridCol w:w="3290"/>
        <w:gridCol w:w="497"/>
        <w:gridCol w:w="3362"/>
        <w:gridCol w:w="75"/>
      </w:tblGrid>
      <w:tr>
        <w:trPr/>
        <w:tc>
          <w:tcPr>
            <w:tcW w:w="3290" w:type="dxa"/>
            <w:tcBorders/>
            <w:vAlign w:val="center"/>
          </w:tcPr>
          <w:p>
            <w:pPr>
              <w:pStyle w:val="TableContents"/>
              <w:bidi w:val="0"/>
              <w:spacing w:lineRule="auto" w:line="300" w:before="0" w:after="0"/>
              <w:jc w:val="left"/>
              <w:rPr/>
            </w:pPr>
            <w:r>
              <w:rPr/>
              <w:t> </w:t>
            </w:r>
          </w:p>
        </w:tc>
        <w:tc>
          <w:tcPr>
            <w:tcW w:w="3859" w:type="dxa"/>
            <w:gridSpan w:val="2"/>
            <w:tcBorders/>
            <w:vAlign w:val="center"/>
          </w:tcPr>
          <w:p>
            <w:pPr>
              <w:pStyle w:val="TableContents"/>
              <w:bidi w:val="0"/>
              <w:spacing w:lineRule="auto" w:line="300" w:before="0" w:after="0"/>
              <w:jc w:val="left"/>
              <w:rPr>
                <w:b/>
              </w:rPr>
            </w:pPr>
            <w:r>
              <w:rPr>
                <w:b/>
              </w:rPr>
              <w:t>TOWER SEMICONDUCTOR LTD.</w:t>
            </w:r>
          </w:p>
        </w:tc>
        <w:tc>
          <w:tcPr>
            <w:tcW w:w="75" w:type="dxa"/>
            <w:tcBorders/>
            <w:vAlign w:val="center"/>
          </w:tcPr>
          <w:p>
            <w:pPr>
              <w:pStyle w:val="TableContents"/>
              <w:bidi w:val="0"/>
              <w:spacing w:lineRule="auto" w:line="300" w:before="0" w:after="0"/>
              <w:jc w:val="left"/>
              <w:rPr/>
            </w:pPr>
            <w:r>
              <w:rPr/>
              <w:t> </w:t>
            </w:r>
          </w:p>
        </w:tc>
      </w:tr>
      <w:tr>
        <w:trPr/>
        <w:tc>
          <w:tcPr>
            <w:tcW w:w="3290"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 </w:t>
            </w:r>
          </w:p>
        </w:tc>
        <w:tc>
          <w:tcPr>
            <w:tcW w:w="75" w:type="dxa"/>
            <w:tcBorders/>
            <w:vAlign w:val="center"/>
          </w:tcPr>
          <w:p>
            <w:pPr>
              <w:pStyle w:val="TableContents"/>
              <w:bidi w:val="0"/>
              <w:spacing w:lineRule="auto" w:line="300" w:before="0" w:after="0"/>
              <w:jc w:val="left"/>
              <w:rPr/>
            </w:pPr>
            <w:r>
              <w:rPr/>
              <w:t> </w:t>
            </w:r>
          </w:p>
        </w:tc>
      </w:tr>
      <w:tr>
        <w:trPr/>
        <w:tc>
          <w:tcPr>
            <w:tcW w:w="3290" w:type="dxa"/>
            <w:tcBorders/>
            <w:vAlign w:val="center"/>
          </w:tcPr>
          <w:p>
            <w:pPr>
              <w:pStyle w:val="TableContents"/>
              <w:bidi w:val="0"/>
              <w:spacing w:lineRule="auto" w:line="300" w:before="0" w:after="0"/>
              <w:jc w:val="left"/>
              <w:rPr/>
            </w:pPr>
            <w:r>
              <w:rPr/>
              <w:t xml:space="preserve">                 </w:t>
            </w:r>
            <w:r>
              <w:rPr/>
              <w:t>Date: October 21, 2024</w:t>
            </w:r>
          </w:p>
        </w:tc>
        <w:tc>
          <w:tcPr>
            <w:tcW w:w="497" w:type="dxa"/>
            <w:tcBorders/>
            <w:vAlign w:val="center"/>
          </w:tcPr>
          <w:p>
            <w:pPr>
              <w:pStyle w:val="TableContents"/>
              <w:bidi w:val="0"/>
              <w:spacing w:lineRule="auto" w:line="300" w:before="0" w:after="0"/>
              <w:jc w:val="left"/>
              <w:rPr/>
            </w:pPr>
            <w:r>
              <w:rPr/>
              <w:t>By:</w:t>
            </w:r>
          </w:p>
        </w:tc>
        <w:tc>
          <w:tcPr>
            <w:tcW w:w="3362" w:type="dxa"/>
            <w:tcBorders>
              <w:bottom w:val="single" w:sz="12" w:space="0" w:color="000000"/>
            </w:tcBorders>
            <w:tcMar>
              <w:bottom w:w="28" w:type="dxa"/>
            </w:tcMar>
            <w:vAlign w:val="center"/>
          </w:tcPr>
          <w:p>
            <w:pPr>
              <w:pStyle w:val="TableContents"/>
              <w:bidi w:val="0"/>
              <w:spacing w:lineRule="auto" w:line="300" w:before="0" w:after="0"/>
              <w:jc w:val="left"/>
              <w:rPr/>
            </w:pPr>
            <w:r>
              <w:rPr/>
              <w:t>/s/ Nati Somekh</w:t>
            </w:r>
          </w:p>
        </w:tc>
        <w:tc>
          <w:tcPr>
            <w:tcW w:w="75" w:type="dxa"/>
            <w:tcBorders/>
            <w:vAlign w:val="center"/>
          </w:tcPr>
          <w:p>
            <w:pPr>
              <w:pStyle w:val="TableContents"/>
              <w:bidi w:val="0"/>
              <w:spacing w:lineRule="auto" w:line="300" w:before="0" w:after="0"/>
              <w:jc w:val="left"/>
              <w:rPr/>
            </w:pPr>
            <w:r>
              <w:rPr/>
              <w:t> </w:t>
            </w:r>
          </w:p>
        </w:tc>
      </w:tr>
      <w:tr>
        <w:trPr/>
        <w:tc>
          <w:tcPr>
            <w:tcW w:w="3290"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Name: Nati Somekh</w:t>
            </w:r>
          </w:p>
        </w:tc>
        <w:tc>
          <w:tcPr>
            <w:tcW w:w="75" w:type="dxa"/>
            <w:tcBorders/>
            <w:vAlign w:val="center"/>
          </w:tcPr>
          <w:p>
            <w:pPr>
              <w:pStyle w:val="TableContents"/>
              <w:bidi w:val="0"/>
              <w:spacing w:lineRule="auto" w:line="300" w:before="0" w:after="0"/>
              <w:jc w:val="left"/>
              <w:rPr/>
            </w:pPr>
            <w:r>
              <w:rPr/>
              <w:t> </w:t>
            </w:r>
          </w:p>
        </w:tc>
      </w:tr>
      <w:tr>
        <w:trPr/>
        <w:tc>
          <w:tcPr>
            <w:tcW w:w="3290"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Title: Corporate Secretary</w:t>
            </w:r>
          </w:p>
        </w:tc>
        <w:tc>
          <w:tcPr>
            <w:tcW w:w="75" w:type="dxa"/>
            <w:tcBorders/>
            <w:vAlign w:val="center"/>
          </w:tcPr>
          <w:p>
            <w:pPr>
              <w:pStyle w:val="TableContents"/>
              <w:bidi w:val="0"/>
              <w:spacing w:lineRule="auto" w:line="300"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lineRule="auto" w:line="300" w:before="0" w:after="0"/>
        <w:jc w:val="left"/>
        <w:rPr>
          <w:color w:val="000000"/>
        </w:rPr>
      </w:pPr>
      <w:r>
        <w:rPr>
          <w:color w:val="000000"/>
        </w:rPr>
        <w:drawing>
          <wp:inline distT="0" distB="0" distL="0" distR="0">
            <wp:extent cx="93345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33450" cy="542925"/>
                    </a:xfrm>
                    <a:prstGeom prst="rect">
                      <a:avLst/>
                    </a:prstGeom>
                  </pic:spPr>
                </pic:pic>
              </a:graphicData>
            </a:graphic>
          </wp:inline>
        </w:drawing>
      </w:r>
    </w:p>
    <w:p>
      <w:pPr>
        <w:pStyle w:val="TextBody"/>
        <w:bidi w:val="0"/>
        <w:spacing w:lineRule="auto" w:line="300" w:before="0" w:after="0"/>
        <w:jc w:val="left"/>
        <w:rPr/>
      </w:pPr>
      <w:r>
        <w:rPr/>
      </w:r>
    </w:p>
    <w:p>
      <w:pPr>
        <w:pStyle w:val="TextBody"/>
        <w:bidi w:val="0"/>
        <w:spacing w:lineRule="auto" w:line="300" w:before="0" w:after="0"/>
        <w:ind w:left="1260" w:right="1350" w:hanging="0"/>
        <w:jc w:val="center"/>
        <w:rPr>
          <w:rFonts w:ascii="Times New Roman;Times;serif" w:hAnsi="Times New Roman;Times;serif"/>
          <w:b/>
          <w:color w:val="000000"/>
          <w:sz w:val="24"/>
        </w:rPr>
      </w:pPr>
      <w:r>
        <w:rPr>
          <w:rFonts w:ascii="Times New Roman;Times;serif" w:hAnsi="Times New Roman;Times;serif"/>
          <w:b/>
          <w:color w:val="000000"/>
          <w:sz w:val="24"/>
        </w:rPr>
        <w:t xml:space="preserve">Tower Semiconductor Announces Third Quarter 2024 Financial </w:t>
      </w:r>
    </w:p>
    <w:p>
      <w:pPr>
        <w:pStyle w:val="TextBody"/>
        <w:bidi w:val="0"/>
        <w:spacing w:lineRule="auto" w:line="300" w:before="0" w:after="0"/>
        <w:ind w:left="1260" w:right="1350" w:hanging="0"/>
        <w:jc w:val="center"/>
        <w:rPr>
          <w:rFonts w:ascii="Times New Roman;Times;serif" w:hAnsi="Times New Roman;Times;serif"/>
          <w:b/>
          <w:color w:val="000000"/>
          <w:sz w:val="24"/>
        </w:rPr>
      </w:pPr>
      <w:r>
        <w:rPr>
          <w:rFonts w:ascii="Times New Roman;Times;serif" w:hAnsi="Times New Roman;Times;serif"/>
          <w:b/>
          <w:color w:val="000000"/>
          <w:sz w:val="24"/>
        </w:rPr>
        <w:t>Results and Conference Call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b/>
          <w:color w:val="000000"/>
          <w:sz w:val="20"/>
        </w:rPr>
        <w:t>MIGDAL HAEMEK, Israel – October 21, 2024</w:t>
      </w:r>
      <w:r>
        <w:rPr>
          <w:rFonts w:ascii="Times New Roman;Times;serif" w:hAnsi="Times New Roman;Times;serif"/>
          <w:color w:val="000000"/>
          <w:sz w:val="20"/>
        </w:rPr>
        <w:t xml:space="preserve"> – </w:t>
      </w:r>
      <w:r>
        <w:rPr>
          <w:rFonts w:ascii="Times New Roman;Times;serif" w:hAnsi="Times New Roman;Times;serif"/>
          <w:color w:val="000000"/>
          <w:sz w:val="20"/>
          <w:u w:val="single"/>
        </w:rPr>
        <w:t>Tower Semiconductor</w:t>
      </w:r>
      <w:r>
        <w:rPr>
          <w:rFonts w:ascii="Times New Roman;Times;serif" w:hAnsi="Times New Roman;Times;serif"/>
          <w:color w:val="000000"/>
          <w:sz w:val="20"/>
        </w:rPr>
        <w:t xml:space="preserve"> (NASDAQ/ TASE: TSEM), the leading foundry of high value analog semiconductor solutions, will issue its third quarter 2024 earnings release on Wednesday, November 13, 2024. The Company will hold a conference call to discuss its third quarter 2024 financial results and fourth quarter 2024 guidance on Wednesday, November 13, 2024, at 10:00 a.m. Eastern Time (09:00 a.m. Central, 08:00 a.m. Mountain, 07:00 a.m. Pacific and 05:00 p.m. Israel time).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call will be webcast and available through the Investor Relations section of Tower Semiconductor’s website at </w:t>
      </w:r>
      <w:r>
        <w:rPr>
          <w:rFonts w:ascii="Times New Roman;Times;serif" w:hAnsi="Times New Roman;Times;serif"/>
          <w:color w:val="000000"/>
          <w:sz w:val="20"/>
          <w:u w:val="single"/>
        </w:rPr>
        <w:t>https://ir.towersemi.com/</w:t>
      </w:r>
      <w:r>
        <w:rPr>
          <w:rFonts w:ascii="Times New Roman;Times;serif" w:hAnsi="Times New Roman;Times;serif"/>
          <w:color w:val="000000"/>
          <w:sz w:val="20"/>
        </w:rPr>
        <w:t>, where the pre-registration form required for dial-in participation is also accessible. Upon completing the registration, participants will receive the dial-in details, a unique PIN, and a confirmation email with all necessary information. The teleconference will be available for replay for 90 days.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About Tower Semiconductor</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facilities in Israel (150mm and 200mm), two in the U.S. (200mm), two in Japan (200mm and 300mm) which it owns through its 51% holdings in TPSCo, shares a 300mm facility in Agrate, Italy, with ST as well as has access to a 300mm capacity corridor in Intel’s New Mexico factory. For more information, please visit: </w:t>
      </w:r>
      <w:r>
        <w:rPr>
          <w:rFonts w:ascii="Times New Roman;Times;serif" w:hAnsi="Times New Roman;Times;serif"/>
          <w:color w:val="000000"/>
          <w:sz w:val="20"/>
          <w:u w:val="single"/>
        </w:rPr>
        <w:t>www.towersemi.com</w:t>
      </w: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w:t>
      </w:r>
    </w:p>
    <w:p>
      <w:pPr>
        <w:pStyle w:val="TextBody"/>
        <w:bidi w:val="0"/>
        <w:spacing w:lineRule="auto" w:line="300" w:before="0" w:after="0"/>
        <w:jc w:val="left"/>
        <w:rPr>
          <w:b/>
        </w:rPr>
      </w:pPr>
      <w:r>
        <w:rPr>
          <w:b/>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Contact Information:</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Tower Semiconductor Investor Relations</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Noit Levy, SVP Investor Relations          </w:t>
      </w:r>
    </w:p>
    <w:p>
      <w:pPr>
        <w:pStyle w:val="TextBody"/>
        <w:bidi w:val="0"/>
        <w:spacing w:lineRule="auto" w:line="300"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noitle@towersemi.com | +972-74-7377556</w:t>
      </w:r>
    </w:p>
    <w:p>
      <w:pPr>
        <w:pStyle w:val="TextBody"/>
        <w:bidi w:val="0"/>
        <w:spacing w:lineRule="auto" w:line="300" w:before="0" w:after="0"/>
        <w:jc w:val="left"/>
        <w:rPr>
          <w:color w:val="000000"/>
        </w:rPr>
      </w:pPr>
      <w:r>
        <w:rPr>
          <w:color w:val="000000"/>
        </w:rPr>
        <w:t> </w:t>
      </w:r>
    </w:p>
    <w:p>
      <w:pPr>
        <w:pStyle w:val="HorizontalLine"/>
        <w:bidi w:val="0"/>
        <w:spacing w:lineRule="auto" w:line="300"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527</Words>
  <Characters>3117</Characters>
  <CharactersWithSpaces>3684</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