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TOWER SEMICONDUCTOR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15.00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M87915274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6,339,977.00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6,339,977.00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6,339,977.00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6,339,977.00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6,339,977.00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6,339,977.00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6,339,977.00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6,339,977.00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6,339,977.00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8"/>
        <w:gridCol w:w="8952"/>
        <w:gridCol w:w="155"/>
      </w:tblGrid>
      <w:tr>
        <w:trPr/>
        <w:tc>
          <w:tcPr>
            <w:tcW w:w="1098" w:type="dxa"/>
            <w:tcBorders/>
            <w:vAlign w:val="center"/>
          </w:tcPr>
          <w:p>
            <w:pPr>
              <w:pStyle w:val="TableContents"/>
              <w:bidi w:val="0"/>
              <w:spacing w:before="0" w:after="283"/>
              <w:jc w:val="left"/>
              <w:rPr/>
            </w:pPr>
            <w:r>
              <w:rPr/>
              <w:t>Item 1.</w:t>
            </w:r>
          </w:p>
        </w:tc>
        <w:tc>
          <w:tcPr>
            <w:tcW w:w="895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Name of issuer: </w:t>
            </w:r>
          </w:p>
          <w:p>
            <w:pPr>
              <w:pStyle w:val="TableContents"/>
              <w:bidi w:val="0"/>
              <w:spacing w:before="0" w:after="0"/>
              <w:jc w:val="left"/>
              <w:rPr/>
            </w:pPr>
            <w:r>
              <w:rPr/>
              <w:t>TOWER SEMICONDUCTOR LTD</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Ramat Gavriel Industrial Park, P.O. Box 619, Migdal Haemek, Israel 2310502</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2.</w:t>
            </w:r>
          </w:p>
        </w:tc>
        <w:tc>
          <w:tcPr>
            <w:tcW w:w="895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ordinary shares, par value NIS 15.00 per share (the "Shares"), of Tower Semiconductor Ltd. held by Point72 Associates, LLC, an investment fund it manages ("Point72 Associates"), and another investment fund it manages (together with Point72 Associates, the "Point72 Funds"); (ii) Point72 Capital Advisors, Inc. ("Point72 Capital Advisors Inc.") with respect to the Shares held by the Point72 Funds; and (iii) Steven A. Cohen ("Mr. Cohen") with respect to the Shares beneficially owned by Point72 Asset Management and Point72 Capital Advisors Inc. Cubist Systematic Strategies, LLC is an advisor under common control with Point72 Asset Management, and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(d)</w:t>
            </w:r>
          </w:p>
        </w:tc>
        <w:tc>
          <w:tcPr>
            <w:tcW w:w="895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15.00 per share</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(e)</w:t>
            </w:r>
          </w:p>
        </w:tc>
        <w:tc>
          <w:tcPr>
            <w:tcW w:w="8952" w:type="dxa"/>
            <w:tcBorders/>
            <w:vAlign w:val="center"/>
          </w:tcPr>
          <w:p>
            <w:pPr>
              <w:pStyle w:val="TableContents"/>
              <w:bidi w:val="0"/>
              <w:jc w:val="left"/>
              <w:rPr/>
            </w:pPr>
            <w:r>
              <w:rPr/>
              <w:t xml:space="preserve">CUSIP No.: </w:t>
            </w:r>
          </w:p>
          <w:p>
            <w:pPr>
              <w:pStyle w:val="TableContents"/>
              <w:bidi w:val="0"/>
              <w:spacing w:before="0" w:after="0"/>
              <w:jc w:val="left"/>
              <w:rPr/>
            </w:pPr>
            <w:r>
              <w:rPr/>
              <w:t>M87915274</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3.</w:t>
            </w:r>
          </w:p>
        </w:tc>
        <w:tc>
          <w:tcPr>
            <w:tcW w:w="895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(d)</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(e)</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(f)</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(g)</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(h)</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(j)</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(k)</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9107" w:type="dxa"/>
            <w:gridSpan w:val="2"/>
            <w:tcBorders/>
            <w:vAlign w:val="center"/>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4.</w:t>
            </w:r>
          </w:p>
        </w:tc>
        <w:tc>
          <w:tcPr>
            <w:tcW w:w="895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June 30, 2025. Point72 Asset Management, Point72 Capital Advisors Inc., and Mr. Cohen own directly no Shares. Pursuant to an investment management agreement, Point72 Asset Management maintains investment and voting power with respect to the securities held by the Point72 Funds.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June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June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June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June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5.</w:t>
            </w:r>
          </w:p>
        </w:tc>
        <w:tc>
          <w:tcPr>
            <w:tcW w:w="895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6.</w:t>
            </w:r>
          </w:p>
        </w:tc>
        <w:tc>
          <w:tcPr>
            <w:tcW w:w="895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7.</w:t>
            </w:r>
          </w:p>
        </w:tc>
        <w:tc>
          <w:tcPr>
            <w:tcW w:w="895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8.</w:t>
            </w:r>
          </w:p>
        </w:tc>
        <w:tc>
          <w:tcPr>
            <w:tcW w:w="895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9.</w:t>
            </w:r>
          </w:p>
        </w:tc>
        <w:tc>
          <w:tcPr>
            <w:tcW w:w="895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1590</Words>
  <Characters>8131</Characters>
  <CharactersWithSpaces>9666</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