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jc w:val="center"/>
              <w:ind w:left="33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0"/>
                <w:szCs w:val="20"/>
                <w:color w:val="auto"/>
              </w:rPr>
            </w:pPr>
          </w:p>
        </w:tc>
      </w:tr>
      <w:tr>
        <w:trPr>
          <w:trHeight w:val="466"/>
        </w:trPr>
        <w:tc>
          <w:tcPr>
            <w:tcW w:w="486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ISRAEL</w:t>
            </w:r>
          </w:p>
        </w:tc>
        <w:tc>
          <w:tcPr>
            <w:tcW w:w="2900" w:type="dxa"/>
            <w:vAlign w:val="bottom"/>
            <w:tcBorders>
              <w:bottom w:val="single" w:sz="8" w:color="auto"/>
            </w:tcBorders>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000-24790</w:t>
            </w:r>
          </w:p>
        </w:tc>
        <w:tc>
          <w:tcPr>
            <w:tcW w:w="3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1"/>
        </w:trPr>
        <w:tc>
          <w:tcPr>
            <w:tcW w:w="48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(Commission</w:t>
            </w:r>
          </w:p>
        </w:tc>
        <w:tc>
          <w:tcPr>
            <w:tcW w:w="3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8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9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File Number)</w:t>
            </w:r>
          </w:p>
        </w:tc>
        <w:tc>
          <w:tcPr>
            <w:tcW w:w="3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Ramat Gavriel Industrial Park, P.O. Box 619,</w:t>
            </w:r>
          </w:p>
        </w:tc>
        <w:tc>
          <w:tcPr>
            <w:tcW w:w="29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9"/>
        </w:trPr>
        <w:tc>
          <w:tcPr>
            <w:tcW w:w="486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Migdal Haemek, Israel</w:t>
            </w:r>
          </w:p>
        </w:tc>
        <w:tc>
          <w:tcPr>
            <w:tcW w:w="29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2310502</w:t>
            </w:r>
          </w:p>
        </w:tc>
      </w:tr>
      <w:tr>
        <w:trPr>
          <w:trHeight w:val="234"/>
        </w:trPr>
        <w:tc>
          <w:tcPr>
            <w:tcW w:w="48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00" w:type="dxa"/>
            <w:vAlign w:val="bottom"/>
          </w:tcPr>
          <w:p>
            <w:pPr>
              <w:spacing w:after="0"/>
              <w:rPr>
                <w:sz w:val="20"/>
                <w:szCs w:val="20"/>
                <w:color w:val="auto"/>
              </w:rPr>
            </w:pPr>
          </w:p>
        </w:tc>
        <w:tc>
          <w:tcPr>
            <w:tcW w:w="34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 Somekh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+972-4-650-6109</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39"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Specialized Disclosure Report on Form SD (“Form SD”) of Tower Semiconductor Ltd. for the year ended December 31, 2023 is presented to comply with Rule 13p-1 under the Securities Exchange Act of 1934 (the “Rule”). Unless the context indicates otherwise, “Tower,” “we,” “us” and “our” refers to Tower Semiconductor Ltd. and its consolidated subsidiaries as of December 31, 2023.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for whom conflict minerals are necessary for the functionality or production of products manufactured by the registrant or contracted by the registrant to be manufactured (such minerals are referred to as “necessary conflict minerals”). With respect to its necessary conflict minerals, the registrant must conduct in good faith a reasonable country of origin inquiry ("RCOI") designed to determine whether any of its necessary conflict minerals originated in the Democratic Republic of the Congo (“DRC”) or an adjoining country, collectively defined as the “Covered Countries”. If, based on such RCOI,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did or did not directly or indirectly finance or benefit armed groups in the Covered Countries. Products which do not contain, or are manufactured without the use of, necessary conflict minerals that directly or indirectly finance or benefit armed groups in the Covered Countries are considered “DRC conflict free”.</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163" w:lineRule="exact"/>
        <w:rPr>
          <w:sz w:val="20"/>
          <w:szCs w:val="20"/>
          <w:color w:val="auto"/>
        </w:rPr>
      </w:pPr>
    </w:p>
    <w:p>
      <w:pPr>
        <w:ind w:right="1100"/>
        <w:spacing w:after="0" w:line="297" w:lineRule="auto"/>
        <w:rPr>
          <w:sz w:val="20"/>
          <w:szCs w:val="20"/>
          <w:color w:val="auto"/>
        </w:rPr>
      </w:pPr>
      <w:r>
        <w:rPr>
          <w:rFonts w:ascii="Times New Roman" w:cs="Times New Roman" w:eastAsia="Times New Roman" w:hAnsi="Times New Roman"/>
          <w:sz w:val="18"/>
          <w:szCs w:val="18"/>
          <w:color w:val="auto"/>
        </w:rPr>
        <w:t>The content of any website referred to in this Form SD is included for general information only and is not incorporated by reference into this document.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the leading foundry of high-value analog semiconductor solutions, provides technology, development, and process platforms for our customers in growing markets such as consumer, industrial, automotive, mobile, infrastructure, medical and aerospace and defense. Our processes use chemical materials, chemical processes and other materials and equipment on silicon wafers, based on the product design by our customers. As a pure-play foundry, we do not offer products of our own. We currently offer the process technology geometries of 0.35, 0.50, 0.55, 0.60, 0.80-micron and above on 150-mm wafers and 0.35, 0.18, 0.16 and 0.13 -micron on 200-mm wafers and 65 nanometer on 300-mm wafers. We also provide design support and complementary technical services. Our customers and/or our customers’ customers use the wafers for their end products, which are sold and/or used in diverse markets, including consumer applications, personal computers, communications, handsets and smartphones, automotive, industrial, aerospace and medical devices.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operate six facilities ("fabs") in several geographic regions: two fabs (for 150mm and 200mm wafers) located in Migdal Haemek, Israel, one fab (for 200mm wafers) located in Newport Beach, California, one fab (for 200mm wafers) located in San Antonio, Texas, and two additional fabs (for 200mm and 300mm wafers) located in the Hokuriku region of Japan. We are focused on establishing leading market share in high-growth specialized markets by providing our customers with high-value, high quality, wafer foundry services. We use standard analog complementary metal oxide semiconductor (“CMOS”) process technology, as well as specialized specific technologies including CMOS image sensors, non-imaging sensors, including sensors on Gallium Nitride, micro-electromechanical systems (MEMS), wireless antenna switch Silicon-on-Insulator (SOI), mixed-signal, radio frequency CMOS (RFCMOS), bipolar CMOS (BiCMOS), and silicon-germanium BiCMOS (SiGe BiCMOS or SiGe), silicon photonics, high voltage CMOS, radio frequency identification (RFID) technologies and power management.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Overview of Tower’s Efforts to Identify Conflict Minerals in its Processes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comply with the Rule, we reviewed the wafers we processed in 2023 to determine whether conflict minerals were necessary for their functionality or production. Based on this review, we determined that tungsten and/or tantalum were used in the processing of most of the wafers we process and are contained in certain of the wafer we process.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Description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All of our wafers are processed in our own fabs. Tower does not purchase any tungsten or tantalum directly from smelters, refiners or mines, and is many steps away in the supply chain from the mining of the necessary conflict minerals in the wafers we process. Rather, the necessary conflict minerals are obtained from our direct suppliers, who obtain them from a variety of sources worldwide. As a result, we rely on our direct suppliers to assist with our RCOI and due diligence efforts, including the identification of smelters and refiners as the source of any necessary conflict minerals contained in the materials which our direct suppliers supply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indicated, Tower concluded that during 2023, it had processed wafers in which tungsten and/or tantalum were necessary for their functionality or production. As a result, we conducted in good faith an RCOI that was designed to reasonably determine whether any of our necessary conflict minerals originated in the Covered Countries or were from recycled or scrap sources.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As part of the RCOI, we conducted a supply chain survey of our direct suppliers of tungsten and tantalum (and of any material used in our processes that contains tungsten or tantalum) to obtain country of origin information using the Conflict Minerals Reporting Template (the "Template” or “CMRT), which is a standardized survey tool published by the Responsible Minerals Initiative (“RMI”). RMI operates the Responsible Mineral Assurance Process (“RMAP”), a program that identifies smelters and refiners that produce responsibly sourced materials by using third-party auditors to independently verify that these smelters and refiners have systems in place to responsibly source minerals in conformance with RMAP standards. The Template, which requests that our direct suppliers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among others,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and other information about RMI and RMAP is available on RMI’s website at </w:t>
      </w:r>
      <w:r>
        <w:rPr>
          <w:rFonts w:ascii="Times New Roman" w:cs="Times New Roman" w:eastAsia="Times New Roman" w:hAnsi="Times New Roman"/>
          <w:sz w:val="18"/>
          <w:szCs w:val="18"/>
          <w:u w:val="single" w:color="auto"/>
          <w:color w:val="auto"/>
        </w:rPr>
        <w:t>https://www.responsiblemineralsinitiative.org/</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ind w:right="100"/>
        <w:spacing w:after="0" w:line="274" w:lineRule="auto"/>
        <w:rPr>
          <w:sz w:val="20"/>
          <w:szCs w:val="20"/>
          <w:color w:val="auto"/>
        </w:rPr>
      </w:pPr>
      <w:r>
        <w:rPr>
          <w:rFonts w:ascii="Times New Roman" w:cs="Times New Roman" w:eastAsia="Times New Roman" w:hAnsi="Times New Roman"/>
          <w:sz w:val="18"/>
          <w:szCs w:val="18"/>
          <w:color w:val="auto"/>
        </w:rPr>
        <w:t>We received responses from all of our direct suppliers of tungsten and tantalum (and from all of our direct suppliers of any material used in our processes that contain tungsten or tantalum). We then confirmed whether or not each smelter or refiner they identified as providing conflict minerals was found to be conformant with RMAP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Based on Reasonable Country of Origin Inquiry</w:t>
      </w:r>
    </w:p>
    <w:p>
      <w:pPr>
        <w:spacing w:after="0" w:line="256" w:lineRule="exact"/>
        <w:rPr>
          <w:sz w:val="20"/>
          <w:szCs w:val="20"/>
          <w:color w:val="auto"/>
        </w:rPr>
      </w:pPr>
    </w:p>
    <w:p>
      <w:pPr>
        <w:jc w:val="both"/>
        <w:ind w:right="520"/>
        <w:spacing w:after="0" w:line="274" w:lineRule="auto"/>
        <w:rPr>
          <w:sz w:val="20"/>
          <w:szCs w:val="20"/>
          <w:color w:val="auto"/>
        </w:rPr>
      </w:pPr>
      <w:r>
        <w:rPr>
          <w:rFonts w:ascii="Times New Roman" w:cs="Times New Roman" w:eastAsia="Times New Roman" w:hAnsi="Times New Roman"/>
          <w:sz w:val="18"/>
          <w:szCs w:val="18"/>
          <w:color w:val="auto"/>
        </w:rPr>
        <w:t>As a result of our survey regarding 2023 activity, five out of our seven direct suppliers of tungsten or any material used in our processes that contain tungsten indicated that their supply chain includes smelters or refiners sourcing tungsten from the Covered Countries. In addition, each of the seven suppliers confirmed that all of the smelters or refiners they identified as suppliers of tungsten had been designated as RMAP conformant.</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Regarding tantalum, each of two direct suppliers of tantalum or any material used in our processes that contain tantalum indicated that their supply chain includes smelters or refiners sourcing tantalum from the Covered Countries. In addition, both suppliers confirmed that all of the smelters and refiners they identified as suppliers of tantalum had been designated as RMAP conformant.</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know or have reason to believe that a certain amount of the tungsten and tantalum used in the processing of certain of the wafers we process and/or contained in certain of the wafers we process originated or may have originated in a Covered Country, we conducted due diligence on the source and chain of custody of the tungsten and tantalum used in the processing of, and/or contained in, the wafers we process. Our due diligence was designed to conform to the Organization for Economic Cooperation and Development’s “Due Diligence Guidance for Responsible Supply Chains of Minerals from Conflict-Affected and High-Risk Areas", Third Edition (April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due diligence measures that we performed are discussed further in the conflict minerals report filed as Exhibit 1.01 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ind w:right="2860"/>
        <w:spacing w:after="0" w:line="297" w:lineRule="auto"/>
        <w:rPr>
          <w:sz w:val="20"/>
          <w:szCs w:val="20"/>
          <w:color w:val="auto"/>
        </w:rPr>
      </w:pPr>
      <w:r>
        <w:rPr>
          <w:rFonts w:ascii="Times New Roman" w:cs="Times New Roman" w:eastAsia="Times New Roman" w:hAnsi="Times New Roman"/>
          <w:sz w:val="18"/>
          <w:szCs w:val="18"/>
          <w:color w:val="auto"/>
        </w:rPr>
        <w:t xml:space="preserve">This Form SD and the conflict minerals report, filed as Exhibit 1.01 hereto, are publicly available on our website at </w:t>
      </w:r>
      <w:r>
        <w:rPr>
          <w:rFonts w:ascii="Times New Roman" w:cs="Times New Roman" w:eastAsia="Times New Roman" w:hAnsi="Times New Roman"/>
          <w:sz w:val="18"/>
          <w:szCs w:val="18"/>
          <w:u w:val="single" w:color="auto"/>
          <w:color w:val="auto"/>
        </w:rPr>
        <w:t>https://ir.towersemi.com/financial-information/sec-filings.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of Form SD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for the reporting period January 1, 2023 to December 31, 2023, as required by Items 1.01 and 1.02 of this Form SD</w:t>
      </w: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By: /s/ Nati Somekh</w:t>
            </w:r>
          </w:p>
        </w:tc>
        <w:tc>
          <w:tcPr>
            <w:tcW w:w="5140" w:type="dxa"/>
            <w:vAlign w:val="bottom"/>
          </w:tcPr>
          <w:p>
            <w:pPr>
              <w:ind w:left="414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 Somekh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47" w:right="4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2023 is presented to comply with Section 13(p) of the Securities Exchange Act of 1934 and Rule 13p-1 (the "Rule") and Form SD adopted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for whom conflict minerals are necessary for the functionality or production of products by the registrant or contracted by the registrant to be processed (such minerals are referred to as “necessary conflict minerals”). "Conflict minerals" are defined as gold as well as columbite-tantalite (coltan), cassiterite, wolframite, or their derivatives, which are limited to tin, tantalum and tungsten (collectively referred to as “3TG Minerals”).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its necessary conflict minerals, the registrant must conduct in good faith a reasonable country of origin inquiry designed to determine whether any of its necessary conflict minerals originated in the Democratic Republic of the Congo (“DRC”) or an adjoining country, collectively defined as the “Covered Countries”. If, based on such inquiry,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content of any website referred to in this conflict minerals report is included for general information only and is not incorporated by reference into this document.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Description of Conflict Minerals Diligence Program</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due diligence efforts by Tower Semiconductor Ltd. (unless the context indicates otherwise, “Tower,” “Company,” “we,” “us” and “our” refers to Tower Semiconductor Ltd. and its consolidated subsidiaries for 2023) have been designed to conform with the framework provided by the Organization for Economic Cooperation and Development’s ("OECD’s") “Due Diligence Guidance for Responsible Supply Chains of Minerals from Conflict-Affected And High-Risk Areas” (Third Edition, April 2016)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Consistent with the OECD Guidance, our due diligence in respect of 2023 consisted of a five-step process described below:</w:t>
      </w:r>
    </w:p>
    <w:p>
      <w:pPr>
        <w:spacing w:after="0" w:line="235" w:lineRule="exact"/>
        <w:rPr>
          <w:sz w:val="20"/>
          <w:szCs w:val="20"/>
          <w:color w:val="auto"/>
        </w:rPr>
      </w:pPr>
    </w:p>
    <w:p>
      <w:pPr>
        <w:ind w:left="880" w:hanging="575"/>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243"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Tower is dedicated to corporate social responsibility and has adopted several management systems to address the issue of conflict minerals used in the processing of, and/or contained in, the wafers it processes, including:</w:t>
      </w:r>
    </w:p>
    <w:p>
      <w:pPr>
        <w:spacing w:after="0" w:line="163" w:lineRule="exact"/>
        <w:rPr>
          <w:sz w:val="20"/>
          <w:szCs w:val="20"/>
          <w:color w:val="auto"/>
        </w:rPr>
      </w:pPr>
    </w:p>
    <w:p>
      <w:pPr>
        <w:ind w:left="880" w:right="140" w:hanging="575"/>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Company code of ethics requiring all employees, officers and directors to comply with all applicable laws, rules and regulations of the U.S., Israel and other countries (available at: </w:t>
      </w:r>
      <w:r>
        <w:rPr>
          <w:rFonts w:ascii="Times New Roman" w:cs="Times New Roman" w:eastAsia="Times New Roman" w:hAnsi="Times New Roman"/>
          <w:sz w:val="18"/>
          <w:szCs w:val="18"/>
          <w:u w:val="single" w:color="auto"/>
          <w:color w:val="auto"/>
        </w:rPr>
        <w:t>https://towersemi.com/about/corporate-social-responsibility-esg/social/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80" w:hanging="575"/>
        <w:spacing w:after="0" w:line="261"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since 2014 with the Responsible Business Alliance (RBA), which is a nonprofit comprised of electronics, retail, auto and toy companies committed to supporting the rights and well-being of workers and communities worldwide affected by global supply chains. RBA members commit and are held accountable to a common Code of Conduct and utilize a range of RBA training and assessment tools to support continuous improvement in the social, environmental and ethical responsibility of their supply chains,</w:t>
      </w:r>
    </w:p>
    <w:p>
      <w:pPr>
        <w:spacing w:after="0" w:line="179" w:lineRule="exact"/>
        <w:rPr>
          <w:rFonts w:ascii="Times New Roman" w:cs="Times New Roman" w:eastAsia="Times New Roman" w:hAnsi="Times New Roman"/>
          <w:sz w:val="18"/>
          <w:szCs w:val="18"/>
          <w:color w:val="auto"/>
        </w:rPr>
      </w:pPr>
    </w:p>
    <w:p>
      <w:pPr>
        <w:jc w:val="both"/>
        <w:ind w:left="880" w:hanging="575"/>
        <w:spacing w:after="0" w:line="266"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code of ethics for suppliers requiring suppliers to conduct their business in an ethical manner and act with integrity, including by ensuring that products supplied to Tower do not contain metals derived from minerals or their derivatives originating from conflict regions that directly or indirectly finance or benefit armed groups,</w:t>
      </w:r>
    </w:p>
    <w:p>
      <w:pPr>
        <w:spacing w:after="0" w:line="189" w:lineRule="exact"/>
        <w:rPr>
          <w:rFonts w:ascii="Times New Roman" w:cs="Times New Roman" w:eastAsia="Times New Roman" w:hAnsi="Times New Roman"/>
          <w:sz w:val="18"/>
          <w:szCs w:val="18"/>
          <w:color w:val="auto"/>
        </w:rPr>
      </w:pPr>
    </w:p>
    <w:p>
      <w:pPr>
        <w:ind w:left="880" w:hanging="575"/>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minerals policy as described below, and</w:t>
      </w:r>
    </w:p>
    <w:p>
      <w:pPr>
        <w:spacing w:after="0" w:line="238" w:lineRule="exact"/>
        <w:rPr>
          <w:rFonts w:ascii="Times New Roman" w:cs="Times New Roman" w:eastAsia="Times New Roman" w:hAnsi="Times New Roman"/>
          <w:sz w:val="18"/>
          <w:szCs w:val="18"/>
          <w:color w:val="auto"/>
        </w:rPr>
      </w:pPr>
    </w:p>
    <w:p>
      <w:pPr>
        <w:jc w:val="both"/>
        <w:ind w:left="880" w:hanging="575"/>
        <w:spacing w:after="0" w:line="261"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team of Company employees, consisting of senior operations, engineering, QA, regulatory compliance and legal personnel, that oversees implementation of the Company's conflict minerals compliance strategy (the “Conflict Minerals Oversight Team”). In addition, senior management of the Company is periodically briefed by the Company’s Corporate Compliance Officer about conflict minerals compliance efforts.</w:t>
      </w:r>
    </w:p>
    <w:p>
      <w:pPr>
        <w:spacing w:after="0" w:line="18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 xml:space="preserve">The code of ethics for suppliers and the conflict minerals policy are each available at: </w:t>
      </w:r>
      <w:r>
        <w:rPr>
          <w:rFonts w:ascii="Times New Roman" w:cs="Times New Roman" w:eastAsia="Times New Roman" w:hAnsi="Times New Roman"/>
          <w:sz w:val="18"/>
          <w:szCs w:val="18"/>
          <w:u w:val="single" w:color="auto"/>
          <w:color w:val="auto"/>
        </w:rPr>
        <w:t>https://towersemi.com/about/corporate-social-responsibility-esg/social-supply-chain/</w:t>
      </w:r>
      <w:r>
        <w:rPr>
          <w:rFonts w:ascii="Times New Roman" w:cs="Times New Roman" w:eastAsia="Times New Roman" w:hAnsi="Times New Roman"/>
          <w:sz w:val="18"/>
          <w:szCs w:val="18"/>
          <w:color w:val="auto"/>
        </w:rPr>
        <w:t>. Suppliers are required as part of the terms and conditions of their supply with the Company to comply with each such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policy states, in part, that the Company:</w:t>
      </w:r>
    </w:p>
    <w:p>
      <w:pPr>
        <w:spacing w:after="0" w:line="252" w:lineRule="exact"/>
        <w:rPr>
          <w:sz w:val="20"/>
          <w:szCs w:val="20"/>
          <w:color w:val="auto"/>
        </w:rPr>
      </w:pPr>
    </w:p>
    <w:p>
      <w:pPr>
        <w:ind w:left="580" w:hanging="27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Avoids the use of conflict minerals that directly or indirectly finance or benefit armed groups in the Covered Countries;</w:t>
      </w:r>
    </w:p>
    <w:p>
      <w:pPr>
        <w:spacing w:after="0" w:line="225" w:lineRule="exact"/>
        <w:rPr>
          <w:rFonts w:ascii="Times New Roman" w:cs="Times New Roman" w:eastAsia="Times New Roman" w:hAnsi="Times New Roman"/>
          <w:sz w:val="18"/>
          <w:szCs w:val="18"/>
          <w:color w:val="auto"/>
        </w:rPr>
      </w:pPr>
    </w:p>
    <w:p>
      <w:pPr>
        <w:ind w:left="580" w:right="260" w:hanging="275"/>
        <w:spacing w:after="0" w:line="26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80" w:right="80" w:hanging="27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Company's direct suppliers to provide it with annual declarations regarding their use of conflict minerals (utilizing a format described below);</w:t>
      </w:r>
    </w:p>
    <w:p>
      <w:pPr>
        <w:spacing w:after="0" w:line="161" w:lineRule="exact"/>
        <w:rPr>
          <w:rFonts w:ascii="Times New Roman" w:cs="Times New Roman" w:eastAsia="Times New Roman" w:hAnsi="Times New Roman"/>
          <w:sz w:val="18"/>
          <w:szCs w:val="18"/>
          <w:color w:val="auto"/>
        </w:rPr>
      </w:pPr>
    </w:p>
    <w:p>
      <w:pPr>
        <w:ind w:left="580" w:right="320" w:hanging="27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the right to take appropriate action to enforce its conflict minerals policy, including discontinuing purchases from suppliers that fail to comply; and</w:t>
      </w:r>
    </w:p>
    <w:p>
      <w:pPr>
        <w:spacing w:after="0" w:line="175" w:lineRule="exact"/>
        <w:rPr>
          <w:rFonts w:ascii="Times New Roman" w:cs="Times New Roman" w:eastAsia="Times New Roman" w:hAnsi="Times New Roman"/>
          <w:sz w:val="18"/>
          <w:szCs w:val="18"/>
          <w:color w:val="auto"/>
        </w:rPr>
      </w:pPr>
    </w:p>
    <w:p>
      <w:pPr>
        <w:ind w:left="580" w:right="180" w:hanging="27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committed to responsible sourcing of conflict minerals throughout its supply chain and to continued compliance with applicable SEC rules and regulations in this area.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conflict minerals policy also directs any questions about such policy to the Company's Corporate Compliance Officer at compliance.officer@towersemi.com.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described above and in order to provide transparency within our supply chain, we have adopted the Conflict Minerals Reporting Template (the "Template” or “CMRT”) to directly survey our suppliers. The CMRT is a standardized survey tool published by the Responsible Minerals Initiative (“RMI”). RMI operates the Responsible Mineral Assurance Process (“RMAP”), a program that identifies smelters and refiners that produce responsibly sourced materials by using third-party auditors to independently verify that these smelters and refiners have systems in place to responsibly source minerals in conformance with RMAP standards.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also include provisions in our terms and conditions attached to each purchase order we issue that require our suppliers of 3TG Minerals to (i) submit a completed CMRT in January of each year, which covers the previous calendar year, and (ii) supply only conflict-free materials to Tower. Suppliers are encouraged to use only refiners and smelters who are RMAP conformant, and, after receiving completed CMRTs from suppliers, we confirm that such refiners and smelters are in fact designated as RMAP conformant.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responses from suppliers are recorded and stored in an electronic database and are maintained for a minimum of five years.</w:t>
      </w:r>
    </w:p>
    <w:p>
      <w:pPr>
        <w:spacing w:after="0" w:line="235" w:lineRule="exact"/>
        <w:rPr>
          <w:sz w:val="20"/>
          <w:szCs w:val="20"/>
          <w:color w:val="auto"/>
        </w:rPr>
      </w:pPr>
    </w:p>
    <w:p>
      <w:pPr>
        <w:ind w:left="880" w:hanging="575"/>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and Assess Risk in the Supply Chain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both"/>
        <w:spacing w:after="0" w:line="271" w:lineRule="auto"/>
        <w:rPr>
          <w:sz w:val="20"/>
          <w:szCs w:val="20"/>
          <w:color w:val="auto"/>
        </w:rPr>
      </w:pPr>
      <w:r>
        <w:rPr>
          <w:rFonts w:ascii="Times New Roman" w:cs="Times New Roman" w:eastAsia="Times New Roman" w:hAnsi="Times New Roman"/>
          <w:sz w:val="18"/>
          <w:szCs w:val="18"/>
          <w:color w:val="auto"/>
        </w:rPr>
        <w:t>Because we do not purchase tungsten and tantalum directly from smelters, refiners or mines and are many steps removed in the supply chain from mining of such tungsten and tantalum, we focus our efforts on surveying our direct suppliers who were required to survey their own suppliers (i.e., our upstream suppliers) in order to receive the required information. As indicated above, we use the Template to conduct such a survey of each of our direct suppliers in order to identify and receive information regarding smelters and refiners of tungsten and tantalum in our supply chain.</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Following an annual distribution of the Template to our direct suppliers of tungsten and/or tantalum or any material used in our processes that contains tungsten and/or tantalum, we follow-up to receive responses with completed CMRT from all of our suppliers. Templates submitted by such direct suppliers are reviewed for reasonableness and for missing or incomplete data, and we contact such direct suppliers as necessary to obtain clarifications or additional information where needed. Thereafter, to ensure compliance, we compare the smelters or refiners identified by those suppliers in their submitted Templates with the list of facilities designated by RMI as RMAP conformant.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on our website, our ethics helpline is available to employees and others to report any violations of the law or violations of our codes of ethics.</w:t>
      </w:r>
    </w:p>
    <w:p>
      <w:pPr>
        <w:spacing w:after="0" w:line="235" w:lineRule="exact"/>
        <w:rPr>
          <w:sz w:val="20"/>
          <w:szCs w:val="20"/>
          <w:color w:val="auto"/>
        </w:rPr>
      </w:pPr>
    </w:p>
    <w:p>
      <w:pPr>
        <w:ind w:left="880" w:hanging="575"/>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and Implement a Strategy to Respond to Identified Risks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Per the Company’s conflict minerals policy, we expect suppliers to have in place due diligence policies and procedures that ensure that materials that it supplies to Tower containing 3TG Minerals are in fact "conflict-free", meaning that they do not directly or indirectly finance or benefit armed groups in the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the Conflict Minerals Oversight Team and Tower’s Corporate Compliance Officer are responsible for collecting and reviewing all relevant conflict minerals data and formulating a proposed corporate strategy to address any risks identified by such review. Senior management of the Company is periodically briefed by the Company’s Corporate Compliance Officer about conflict minerals compliance efforts.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taking these steps, we manage the risks associated with our supply chain by:</w:t>
      </w:r>
    </w:p>
    <w:p>
      <w:pPr>
        <w:spacing w:after="0" w:line="239"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suppliers to obtain current, accurate and complete information about their supply chains; and</w:t>
      </w:r>
    </w:p>
    <w:p>
      <w:pPr>
        <w:spacing w:after="0" w:line="238" w:lineRule="exact"/>
        <w:rPr>
          <w:rFonts w:ascii="Times New Roman" w:cs="Times New Roman" w:eastAsia="Times New Roman" w:hAnsi="Times New Roman"/>
          <w:sz w:val="18"/>
          <w:szCs w:val="18"/>
          <w:color w:val="auto"/>
        </w:rPr>
      </w:pPr>
    </w:p>
    <w:p>
      <w:pPr>
        <w:ind w:left="220" w:right="880" w:hanging="212"/>
        <w:spacing w:after="0" w:line="282"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suppliers to implement responsible sourcing policies and working with smelters and refiners that have obtained a “conflict-free” designation from a third-party auditor such as under RMAP.</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considered by the Company in such instances may include requiring a contracted supplier to find an alternative source for the necessary 3TG Minerals for use in products or components supplied to the Company, obtaining confirmation that the material provided to us is “conflict free”, or, if appropriate, in light of all relevant circumstances, seeking an alternate source of supply and suspending or terminating the Company’s contractual relationship with such supplier.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ind w:left="4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Carry Out Independent Third-Party Audit of Smelter/Refiner's Due Diligence Practices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Template provided to our suppliers requests information on the smelters and refiners used to provide the tungsten and tantalum in the wafers we process. We do not typically have a direct relationship with smelters and refiners of such minerals and are unable to perform or direct audits of these entities within our supply chain. Instead, in order to ensure compliance, we compare information regarding refiners and smelters provided by our suppliers in their Template with lists of refiners and smelters designated by RMI as RMAP conformant.</w:t>
      </w:r>
    </w:p>
    <w:p>
      <w:pPr>
        <w:spacing w:after="0" w:line="182" w:lineRule="exact"/>
        <w:rPr>
          <w:sz w:val="20"/>
          <w:szCs w:val="20"/>
          <w:color w:val="auto"/>
        </w:rPr>
      </w:pPr>
    </w:p>
    <w:p>
      <w:pPr>
        <w:ind w:left="840" w:hanging="427"/>
        <w:spacing w:after="0"/>
        <w:tabs>
          <w:tab w:leader="none" w:pos="8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Annually on Supply Chain Due Diligence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conflict minerals report is available on our website at </w:t>
      </w:r>
      <w:r>
        <w:rPr>
          <w:rFonts w:ascii="Times New Roman" w:cs="Times New Roman" w:eastAsia="Times New Roman" w:hAnsi="Times New Roman"/>
          <w:sz w:val="18"/>
          <w:szCs w:val="18"/>
          <w:u w:val="single" w:color="auto"/>
          <w:color w:val="auto"/>
        </w:rPr>
        <w:t>https://ir.towersemi.com/financial-information/sec-filings</w:t>
      </w:r>
      <w:r>
        <w:rPr>
          <w:rFonts w:ascii="Times New Roman" w:cs="Times New Roman" w:eastAsia="Times New Roman" w:hAnsi="Times New Roman"/>
          <w:sz w:val="18"/>
          <w:szCs w:val="18"/>
          <w:color w:val="auto"/>
        </w:rPr>
        <w:t xml:space="preserve"> and has also been filed with the SEC.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our Due Diligence Measures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Due Diligence Measures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following the OECD Guidance and usage of the Template represents reasonable and reliable ways to gather information on the source of conflict minerals in the products we process.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due diligence measures can provide only reasonable, not absolute, assurance regarding the source and chain of custody of the necessary conflict minerals in the products we process. Our due diligence processes are based on the data received from our direct suppliers of tungsten and/or tantalum or any material used in our processes that contains tungsten and/or tantalum, which in turn is based on information received by those suppliers seeking similar data within their supply chains to identify the original sources of the necessary conflict minerals. We also rely, to a large extent, on information collected through the RMAP and designations made by RMI as part of RMAP, which may not yield accurate and complete information or make accurate designations in all cases.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Supplier Chain Survey Responses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a result of our survey regarding 2023 activity, each of two direct suppliers of tantalum and/or any material used in our processes that contains tantalum indicated that their supply chain includes smelters or refiners sourcing from the Covered Countries, as did five of our seven direct suppliers of tungsten and/or any material used in our processes that contains tungsten. However, each of the smelters and refiners identified by such suppliers as sourcing tantalum or tungsten from Covered Countries has been designated as RMAP conformant.</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table below lists the facilities identified by our direct suppliers which, to the extent known, may have processed the tantalum and/or tungsten used in the wafers we process or in our processes in 2023. All of the below listed facilities have been designated as RMAP conformant.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Tantalum:</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56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Tanbre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&amp; Smelting</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NPM Silmet AS</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Telex Metals</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Block Metals, LLC</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KEMET de Mexico</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GmbH</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 Newton Inc.</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Japan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42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600" w:type="dxa"/>
            <w:vAlign w:val="bottom"/>
          </w:tcPr>
          <w:p>
            <w:pPr>
              <w:spacing w:after="0"/>
              <w:rPr>
                <w:sz w:val="24"/>
                <w:szCs w:val="24"/>
                <w:color w:val="auto"/>
              </w:rPr>
            </w:pPr>
          </w:p>
        </w:tc>
      </w:tr>
      <w:tr>
        <w:trPr>
          <w:trHeight w:val="243"/>
        </w:trPr>
        <w:tc>
          <w:tcPr>
            <w:tcW w:w="566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A.L.M.T. Corp.</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Huntsville</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New Metals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H.C. Starck Tungsten GmbH</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5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
        </w:trPr>
        <w:tc>
          <w:tcPr>
            <w:tcW w:w="5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Niagara Refining LLC</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bl>
    <w:p>
      <w:pPr>
        <w:spacing w:after="0" w:line="1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our suppliers provided us with information regarding the countries of origin of the tantalum and tungsten supplied by certain of the above smelters and refiners, a list of which is provided below. Our suppliers did not provide specific country of origin information for certain smelters and</w:t>
      </w:r>
    </w:p>
    <w:p>
      <w:pPr>
        <w:sectPr>
          <w:pgSz w:w="11900" w:h="16838" w:orient="portrait"/>
          <w:cols w:equalWidth="0" w:num="1">
            <w:col w:w="11240"/>
          </w:cols>
          <w:pgMar w:left="320" w:top="347" w:right="339" w:bottom="0" w:gutter="0" w:footer="0" w:header="0"/>
        </w:sectPr>
      </w:pPr>
    </w:p>
    <w:bookmarkStart w:id="11" w:name="page12"/>
    <w:bookmarkEnd w:id="11"/>
    <w:p>
      <w:pPr>
        <w:jc w:val="both"/>
        <w:spacing w:after="0" w:line="274" w:lineRule="auto"/>
        <w:rPr>
          <w:sz w:val="20"/>
          <w:szCs w:val="20"/>
          <w:color w:val="auto"/>
        </w:rPr>
      </w:pPr>
      <w:r>
        <w:rPr>
          <w:rFonts w:ascii="Times New Roman" w:cs="Times New Roman" w:eastAsia="Times New Roman" w:hAnsi="Times New Roman"/>
          <w:sz w:val="18"/>
          <w:szCs w:val="18"/>
          <w:color w:val="auto"/>
        </w:rPr>
        <w:t>refiners. Due to the incompleteness of this information, Tower is unable at this time to determine and describe in this report a complete list of specific countries of origin of such conflict minerals. Tower shall make commercially reasonable efforts to obtain the required information in order to make such determination.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Africa:</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Angola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Burundi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Democratic Republic of Congo (DRC)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Ethiopia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Mozambique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Namibia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Nigeria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Rwanda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Sierra Leone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Sudan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Tanzania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Zambia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Zimbabwe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Cambodia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Indonesia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Kazakhstan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Korea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Malaysia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Mongolia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Myanmar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Taiwan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Thailand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Vietnam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Belgium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Estonia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Hungary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Ireland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Luxembourg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Netherlands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Portugal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Slovakia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(UK)</w:t>
      </w:r>
    </w:p>
    <w:p>
      <w:pPr>
        <w:spacing w:after="0" w:line="39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North America:</w:t>
      </w:r>
    </w:p>
    <w:p>
      <w:pPr>
        <w:spacing w:after="0" w:line="23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Panama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 (USA)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America:</w:t>
      </w:r>
    </w:p>
    <w:p>
      <w:pPr>
        <w:spacing w:after="0" w:line="23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Argentina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Bolivia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Brazil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Ecuador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Guyana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Peru</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Suriname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Uruguay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Venezuela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Oceania:</w:t>
      </w:r>
    </w:p>
    <w:p>
      <w:pPr>
        <w:spacing w:after="0" w:line="23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Due Diligence Measures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calendar year ending December 31, 2023, we have engaged in the due diligence process described above. We will also continue to attempt to validate supplier responses using information collected through independent conflict-free smelter validation programs, such as that of RMAP, and will take measures as needed to address any potential risks that are identified through these due diligence efforts.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in “Item 3. Key Information-D. Risk Factors” of our Annual Report on Form 20-F.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5"/>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2024-05-30T11:44:21Z</dcterms:created>
  <dcterms:modified xsi:type="dcterms:W3CDTF">2024-05-30T11:44:21Z</dcterms:modified>
</cp:coreProperties>
</file>