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6"/>
          <w:szCs w:val="16"/>
          <w:b w:val="1"/>
          <w:bCs w:val="1"/>
          <w:color w:val="auto"/>
        </w:rPr>
        <w:t>As filed with the Securities and Exchange Commission on December ___, 2009</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Registration No. 333-163196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90"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99"/>
        <w:spacing w:after="0"/>
        <w:rPr>
          <w:sz w:val="20"/>
          <w:szCs w:val="20"/>
          <w:color w:val="auto"/>
        </w:rPr>
      </w:pPr>
      <w:r>
        <w:rPr>
          <w:rFonts w:ascii="Arial" w:cs="Arial" w:eastAsia="Arial" w:hAnsi="Arial"/>
          <w:sz w:val="22"/>
          <w:szCs w:val="22"/>
          <w:color w:val="auto"/>
        </w:rPr>
        <w:t>WASHINGTON, D.C. 20549</w:t>
      </w:r>
    </w:p>
    <w:p>
      <w:pPr>
        <w:spacing w:after="0" w:line="21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Amendment No.1</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to</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FORM F-3</w:t>
      </w:r>
    </w:p>
    <w:p>
      <w:pPr>
        <w:spacing w:after="0" w:line="1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REGISTRATION STATEMENT</w:t>
      </w:r>
    </w:p>
    <w:p>
      <w:pPr>
        <w:spacing w:after="0" w:line="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THE SECURITIES ACT OF 1933</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40"/>
          </w:cols>
          <w:pgMar w:left="240" w:top="229" w:right="519" w:bottom="1440" w:gutter="0" w:footer="0" w:header="0"/>
        </w:sectPr>
      </w:pPr>
    </w:p>
    <w:p>
      <w:pPr>
        <w:spacing w:after="0" w:line="232" w:lineRule="exact"/>
        <w:rPr>
          <w:sz w:val="24"/>
          <w:szCs w:val="24"/>
          <w:color w:val="auto"/>
        </w:rPr>
      </w:pPr>
    </w:p>
    <w:p>
      <w:pPr>
        <w:jc w:val="center"/>
        <w:ind w:left="20"/>
        <w:spacing w:after="0"/>
        <w:rPr>
          <w:sz w:val="20"/>
          <w:szCs w:val="20"/>
          <w:color w:val="auto"/>
        </w:rPr>
      </w:pPr>
      <w:r>
        <w:rPr>
          <w:rFonts w:ascii="Arial" w:cs="Arial" w:eastAsia="Arial" w:hAnsi="Arial"/>
          <w:sz w:val="18"/>
          <w:szCs w:val="18"/>
          <w:b w:val="1"/>
          <w:bCs w:val="1"/>
          <w:color w:val="auto"/>
        </w:rPr>
        <w:t>Israel</w:t>
      </w:r>
    </w:p>
    <w:p>
      <w:pPr>
        <w:spacing w:after="0" w:line="21" w:lineRule="exact"/>
        <w:rPr>
          <w:sz w:val="24"/>
          <w:szCs w:val="24"/>
          <w:color w:val="auto"/>
        </w:rPr>
      </w:pPr>
    </w:p>
    <w:p>
      <w:pPr>
        <w:jc w:val="center"/>
        <w:ind w:left="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280" w:space="720"/>
            <w:col w:w="4140"/>
          </w:cols>
          <w:pgMar w:left="240" w:top="229" w:right="519" w:bottom="1440" w:gutter="0" w:footer="0" w:header="0"/>
          <w:type w:val="continuous"/>
        </w:sectPr>
      </w:pPr>
    </w:p>
    <w:p>
      <w:pPr>
        <w:spacing w:after="0" w:line="6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address and telephone number of agent for service)</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Copies of all Correspondence to:</w:t>
      </w:r>
    </w:p>
    <w:p>
      <w:pPr>
        <w:spacing w:after="0" w:line="240" w:lineRule="exact"/>
        <w:rPr>
          <w:sz w:val="24"/>
          <w:szCs w:val="24"/>
          <w:color w:val="auto"/>
        </w:rPr>
      </w:pPr>
    </w:p>
    <w:tbl>
      <w:tblPr>
        <w:tblLayout w:type="fixed"/>
        <w:tblInd w:w="2000" w:type="dxa"/>
        <w:tblCellMar>
          <w:top w:w="0" w:type="dxa"/>
          <w:left w:w="0" w:type="dxa"/>
          <w:bottom w:w="0" w:type="dxa"/>
          <w:right w:w="0" w:type="dxa"/>
        </w:tblCellMar>
      </w:tblPr>
      <w:tr>
        <w:trPr>
          <w:trHeight w:val="228"/>
        </w:trPr>
        <w:tc>
          <w:tcPr>
            <w:tcW w:w="4000" w:type="dxa"/>
            <w:vAlign w:val="bottom"/>
          </w:tcPr>
          <w:p>
            <w:pPr>
              <w:jc w:val="center"/>
              <w:ind w:right="1692"/>
              <w:spacing w:after="0"/>
              <w:rPr>
                <w:sz w:val="20"/>
                <w:szCs w:val="20"/>
                <w:color w:val="auto"/>
              </w:rPr>
            </w:pPr>
            <w:r>
              <w:rPr>
                <w:rFonts w:ascii="Arial" w:cs="Arial" w:eastAsia="Arial" w:hAnsi="Arial"/>
                <w:sz w:val="18"/>
                <w:szCs w:val="18"/>
                <w:b w:val="1"/>
                <w:bCs w:val="1"/>
                <w:color w:val="auto"/>
                <w:w w:val="95"/>
              </w:rPr>
              <w:t>DAVID H. SCHAPIRO, ESQ.</w:t>
            </w:r>
          </w:p>
        </w:tc>
        <w:tc>
          <w:tcPr>
            <w:tcW w:w="3880" w:type="dxa"/>
            <w:vAlign w:val="bottom"/>
          </w:tcPr>
          <w:p>
            <w:pPr>
              <w:jc w:val="center"/>
              <w:ind w:left="1672"/>
              <w:spacing w:after="0"/>
              <w:rPr>
                <w:sz w:val="20"/>
                <w:szCs w:val="20"/>
                <w:color w:val="auto"/>
              </w:rPr>
            </w:pPr>
            <w:r>
              <w:rPr>
                <w:rFonts w:ascii="Arial" w:cs="Arial" w:eastAsia="Arial" w:hAnsi="Arial"/>
                <w:sz w:val="18"/>
                <w:szCs w:val="18"/>
                <w:b w:val="1"/>
                <w:bCs w:val="1"/>
                <w:color w:val="auto"/>
                <w:w w:val="95"/>
              </w:rPr>
              <w:t>SHELDON KRAUSE, ESQ.</w:t>
            </w:r>
          </w:p>
        </w:tc>
      </w:tr>
      <w:tr>
        <w:trPr>
          <w:trHeight w:val="423"/>
        </w:trPr>
        <w:tc>
          <w:tcPr>
            <w:tcW w:w="4000" w:type="dxa"/>
            <w:vAlign w:val="bottom"/>
          </w:tcPr>
          <w:p>
            <w:pPr>
              <w:jc w:val="center"/>
              <w:ind w:right="1692"/>
              <w:spacing w:after="0"/>
              <w:rPr>
                <w:sz w:val="20"/>
                <w:szCs w:val="20"/>
                <w:color w:val="auto"/>
              </w:rPr>
            </w:pPr>
            <w:r>
              <w:rPr>
                <w:rFonts w:ascii="Arial" w:cs="Arial" w:eastAsia="Arial" w:hAnsi="Arial"/>
                <w:sz w:val="18"/>
                <w:szCs w:val="18"/>
                <w:color w:val="auto"/>
                <w:w w:val="93"/>
              </w:rPr>
              <w:t>Yigal Arnon &amp; Co.</w:t>
            </w:r>
          </w:p>
        </w:tc>
        <w:tc>
          <w:tcPr>
            <w:tcW w:w="3880" w:type="dxa"/>
            <w:vAlign w:val="bottom"/>
          </w:tcPr>
          <w:p>
            <w:pPr>
              <w:jc w:val="center"/>
              <w:ind w:left="1672"/>
              <w:spacing w:after="0"/>
              <w:rPr>
                <w:sz w:val="20"/>
                <w:szCs w:val="20"/>
                <w:color w:val="auto"/>
              </w:rPr>
            </w:pPr>
            <w:r>
              <w:rPr>
                <w:rFonts w:ascii="Arial" w:cs="Arial" w:eastAsia="Arial" w:hAnsi="Arial"/>
                <w:sz w:val="18"/>
                <w:szCs w:val="18"/>
                <w:color w:val="auto"/>
                <w:w w:val="91"/>
              </w:rPr>
              <w:t>Eilenberg &amp; Krause LLP</w:t>
            </w:r>
          </w:p>
        </w:tc>
      </w:tr>
      <w:tr>
        <w:trPr>
          <w:trHeight w:val="219"/>
        </w:trPr>
        <w:tc>
          <w:tcPr>
            <w:tcW w:w="4000" w:type="dxa"/>
            <w:vAlign w:val="bottom"/>
          </w:tcPr>
          <w:p>
            <w:pPr>
              <w:jc w:val="center"/>
              <w:ind w:right="1692"/>
              <w:spacing w:after="0"/>
              <w:rPr>
                <w:sz w:val="20"/>
                <w:szCs w:val="20"/>
                <w:color w:val="auto"/>
              </w:rPr>
            </w:pPr>
            <w:r>
              <w:rPr>
                <w:rFonts w:ascii="Arial" w:cs="Arial" w:eastAsia="Arial" w:hAnsi="Arial"/>
                <w:sz w:val="18"/>
                <w:szCs w:val="18"/>
                <w:color w:val="auto"/>
                <w:w w:val="92"/>
              </w:rPr>
              <w:t>1 Azrieli Center</w:t>
            </w:r>
          </w:p>
        </w:tc>
        <w:tc>
          <w:tcPr>
            <w:tcW w:w="3880" w:type="dxa"/>
            <w:vAlign w:val="bottom"/>
          </w:tcPr>
          <w:p>
            <w:pPr>
              <w:jc w:val="center"/>
              <w:ind w:left="1672"/>
              <w:spacing w:after="0" w:line="219"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4"/>
                <w:szCs w:val="24"/>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4000" w:type="dxa"/>
            <w:vAlign w:val="bottom"/>
          </w:tcPr>
          <w:p>
            <w:pPr>
              <w:jc w:val="center"/>
              <w:ind w:right="1672"/>
              <w:spacing w:after="0"/>
              <w:rPr>
                <w:sz w:val="20"/>
                <w:szCs w:val="20"/>
                <w:color w:val="auto"/>
              </w:rPr>
            </w:pPr>
            <w:r>
              <w:rPr>
                <w:rFonts w:ascii="Arial" w:cs="Arial" w:eastAsia="Arial" w:hAnsi="Arial"/>
                <w:sz w:val="18"/>
                <w:szCs w:val="18"/>
                <w:color w:val="auto"/>
                <w:w w:val="90"/>
              </w:rPr>
              <w:t>Tel Aviv, 67021 Israel</w:t>
            </w:r>
          </w:p>
        </w:tc>
        <w:tc>
          <w:tcPr>
            <w:tcW w:w="3880" w:type="dxa"/>
            <w:vAlign w:val="bottom"/>
          </w:tcPr>
          <w:p>
            <w:pPr>
              <w:jc w:val="center"/>
              <w:ind w:left="1672"/>
              <w:spacing w:after="0"/>
              <w:rPr>
                <w:sz w:val="20"/>
                <w:szCs w:val="20"/>
                <w:color w:val="auto"/>
              </w:rPr>
            </w:pPr>
            <w:r>
              <w:rPr>
                <w:rFonts w:ascii="Arial" w:cs="Arial" w:eastAsia="Arial" w:hAnsi="Arial"/>
                <w:sz w:val="18"/>
                <w:szCs w:val="18"/>
                <w:color w:val="auto"/>
                <w:w w:val="92"/>
              </w:rPr>
              <w:t>New York, NY 10017</w:t>
            </w:r>
          </w:p>
        </w:tc>
      </w:tr>
      <w:tr>
        <w:trPr>
          <w:trHeight w:val="222"/>
        </w:trPr>
        <w:tc>
          <w:tcPr>
            <w:tcW w:w="4000" w:type="dxa"/>
            <w:vAlign w:val="bottom"/>
          </w:tcPr>
          <w:p>
            <w:pPr>
              <w:jc w:val="center"/>
              <w:ind w:right="1692"/>
              <w:spacing w:after="0"/>
              <w:rPr>
                <w:sz w:val="20"/>
                <w:szCs w:val="20"/>
                <w:color w:val="auto"/>
              </w:rPr>
            </w:pPr>
            <w:r>
              <w:rPr>
                <w:rFonts w:ascii="Arial" w:cs="Arial" w:eastAsia="Arial" w:hAnsi="Arial"/>
                <w:sz w:val="18"/>
                <w:szCs w:val="18"/>
                <w:color w:val="auto"/>
                <w:w w:val="89"/>
              </w:rPr>
              <w:t>Tel: 972-3-608-7856</w:t>
            </w:r>
          </w:p>
        </w:tc>
        <w:tc>
          <w:tcPr>
            <w:tcW w:w="3880" w:type="dxa"/>
            <w:vAlign w:val="bottom"/>
          </w:tcPr>
          <w:p>
            <w:pPr>
              <w:jc w:val="center"/>
              <w:ind w:left="1672"/>
              <w:spacing w:after="0"/>
              <w:rPr>
                <w:sz w:val="20"/>
                <w:szCs w:val="20"/>
                <w:color w:val="auto"/>
              </w:rPr>
            </w:pPr>
            <w:r>
              <w:rPr>
                <w:rFonts w:ascii="Arial" w:cs="Arial" w:eastAsia="Arial" w:hAnsi="Arial"/>
                <w:sz w:val="18"/>
                <w:szCs w:val="18"/>
                <w:color w:val="auto"/>
                <w:w w:val="89"/>
              </w:rPr>
              <w:t>Tel: 212-986-9700</w:t>
            </w:r>
          </w:p>
        </w:tc>
      </w:tr>
    </w:tbl>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the effective date of this registration statement.</w:t>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9"/>
          <w:szCs w:val="19"/>
          <w:color w:val="auto"/>
        </w:rPr>
        <w:t>o</w:t>
      </w:r>
    </w:p>
    <w:p>
      <w:pPr>
        <w:spacing w:after="0" w:line="281"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20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40"/>
          </w:cols>
          <w:pgMar w:left="240" w:top="229" w:right="519" w:bottom="1440" w:gutter="0" w:footer="0" w:header="0"/>
          <w:type w:val="continuous"/>
        </w:sectPr>
      </w:pPr>
    </w:p>
    <w:bookmarkStart w:id="1" w:name="page2"/>
    <w:bookmarkEnd w:id="1"/>
    <w:p>
      <w:pPr>
        <w:ind w:right="18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20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If this form is a registration statement pursuant to General Instruction I.C. or a post effective amendment thereto that shall become effective upon filing with the Commission pursuant to Rule 462(e) under the Securities Act, check the following box. </w:t>
      </w:r>
      <w:r>
        <w:rPr>
          <w:rFonts w:ascii="Arial" w:cs="Arial" w:eastAsia="Arial" w:hAnsi="Arial"/>
          <w:sz w:val="21"/>
          <w:szCs w:val="21"/>
          <w:color w:val="auto"/>
        </w:rPr>
        <w:t>o</w:t>
      </w:r>
    </w:p>
    <w:p>
      <w:pPr>
        <w:spacing w:after="0" w:line="20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Arial" w:cs="Arial" w:eastAsia="Arial" w:hAnsi="Arial"/>
          <w:sz w:val="21"/>
          <w:szCs w:val="21"/>
          <w:color w:val="auto"/>
        </w:rPr>
        <w:t>o</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color w:val="auto"/>
              </w:rPr>
              <w:t>Calculation of Registration Fee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Proposed</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Proposed</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maximum</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40" w:type="dxa"/>
            <w:vAlign w:val="bottom"/>
          </w:tcPr>
          <w:p>
            <w:pPr>
              <w:jc w:val="center"/>
              <w:ind w:left="250"/>
              <w:spacing w:after="0"/>
              <w:rPr>
                <w:sz w:val="20"/>
                <w:szCs w:val="20"/>
                <w:color w:val="auto"/>
              </w:rPr>
            </w:pPr>
            <w:r>
              <w:rPr>
                <w:rFonts w:ascii="Arial" w:cs="Arial" w:eastAsia="Arial" w:hAnsi="Arial"/>
                <w:sz w:val="18"/>
                <w:szCs w:val="18"/>
                <w:color w:val="auto"/>
                <w:w w:val="91"/>
              </w:rPr>
              <w:t>Title of each</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aggregate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40" w:type="dxa"/>
            <w:vAlign w:val="bottom"/>
          </w:tcPr>
          <w:p>
            <w:pPr>
              <w:jc w:val="center"/>
              <w:ind w:left="250"/>
              <w:spacing w:after="0"/>
              <w:rPr>
                <w:sz w:val="20"/>
                <w:szCs w:val="20"/>
                <w:color w:val="auto"/>
              </w:rPr>
            </w:pPr>
            <w:r>
              <w:rPr>
                <w:rFonts w:ascii="Arial" w:cs="Arial" w:eastAsia="Arial" w:hAnsi="Arial"/>
                <w:sz w:val="18"/>
                <w:szCs w:val="18"/>
                <w:color w:val="auto"/>
                <w:w w:val="88"/>
              </w:rPr>
              <w:t>class of securities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Amount to be</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offering price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offering</w:t>
            </w: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40" w:type="dxa"/>
            <w:vAlign w:val="bottom"/>
          </w:tcPr>
          <w:p>
            <w:pPr>
              <w:jc w:val="center"/>
              <w:ind w:left="250"/>
              <w:spacing w:after="0"/>
              <w:rPr>
                <w:sz w:val="20"/>
                <w:szCs w:val="20"/>
                <w:color w:val="auto"/>
              </w:rPr>
            </w:pPr>
            <w:r>
              <w:rPr>
                <w:rFonts w:ascii="Arial" w:cs="Arial" w:eastAsia="Arial" w:hAnsi="Arial"/>
                <w:sz w:val="18"/>
                <w:szCs w:val="18"/>
                <w:color w:val="auto"/>
                <w:w w:val="87"/>
              </w:rPr>
              <w:t>to be registered</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registered(1)</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per unit(2)</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price(1)(2)</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registration fee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Shares, par value NIS 1.00 per share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Capital Notes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Purchase Contracts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Units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$ 50,000,000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$ 3,565 (3)(4)</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2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580" w:right="60" w:hanging="572"/>
        <w:spacing w:after="0" w:line="254"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covers offers, sales and distributions of an indeterminate number or aggregate principal amount of the registered securities which the registrant may from time to time issue at indeterminate prices. The aggregate maximum offering price of all securities covered by this registration statement will not exceed $50,000,000 or if the registrant issues any debt securities at an original issuance discount, such greater amount as shall result in proceeds of $50,000,000 to the registrant. The securities covered by this registration statement may be sold separately or as units with other classes of the registered securities. The securities covered by this registration statement also include such indeterminate numbers of ordinary shares and amount of capital notes and debt securities as may be issued upon conversion of or exchange for capital notes, debt securities or purchase contracts that provide for conversion or exchange, upon exercise of warrants or pursuant to the anti-dilution provisions of any such securities.</w:t>
      </w:r>
    </w:p>
    <w:p>
      <w:pPr>
        <w:spacing w:after="0" w:line="225" w:lineRule="exact"/>
        <w:rPr>
          <w:rFonts w:ascii="Arial" w:cs="Arial" w:eastAsia="Arial" w:hAnsi="Arial"/>
          <w:sz w:val="18"/>
          <w:szCs w:val="18"/>
          <w:color w:val="auto"/>
        </w:rPr>
      </w:pPr>
    </w:p>
    <w:p>
      <w:pPr>
        <w:ind w:left="580" w:right="200" w:hanging="572"/>
        <w:spacing w:after="0" w:line="25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will determine the proposed maximum offering price per unit and the proposed maximum aggregate offering price per class from time to time in connection with the issuance of the registered securities. The proposed maximum aggregate offering price for each class is omitted pursuant to General Instruction II.C of Form F-3 under the Securities Act of 1933.</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457(o) under the Securities Act of 1933.</w:t>
      </w:r>
    </w:p>
    <w:p>
      <w:pPr>
        <w:spacing w:after="0" w:line="246"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$1,674.00 previously paid.</w:t>
      </w:r>
    </w:p>
    <w:p>
      <w:pPr>
        <w:spacing w:after="0" w:line="252" w:lineRule="exact"/>
        <w:rPr>
          <w:rFonts w:ascii="Arial" w:cs="Arial" w:eastAsia="Arial" w:hAnsi="Arial"/>
          <w:sz w:val="18"/>
          <w:szCs w:val="18"/>
          <w:color w:val="auto"/>
        </w:rPr>
      </w:pPr>
    </w:p>
    <w:p>
      <w:pPr>
        <w:ind w:left="580" w:right="700"/>
        <w:spacing w:after="0" w:line="301" w:lineRule="auto"/>
        <w:rPr>
          <w:rFonts w:ascii="Arial" w:cs="Arial" w:eastAsia="Arial" w:hAnsi="Arial"/>
          <w:sz w:val="18"/>
          <w:szCs w:val="18"/>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 w:name="page3"/>
    <w:bookmarkEnd w:id="2"/>
    <w:p>
      <w:pPr>
        <w:jc w:val="both"/>
        <w:ind w:right="100"/>
        <w:spacing w:after="0" w:line="262" w:lineRule="auto"/>
        <w:rPr>
          <w:sz w:val="20"/>
          <w:szCs w:val="20"/>
          <w:color w:val="auto"/>
        </w:rPr>
      </w:pPr>
      <w:r>
        <w:rPr>
          <w:rFonts w:ascii="Arial" w:cs="Arial" w:eastAsia="Arial" w:hAnsi="Arial"/>
          <w:sz w:val="18"/>
          <w:szCs w:val="18"/>
          <w:b w:val="1"/>
          <w:bCs w:val="1"/>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SUBJECT TO COMPLETION</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DATED DECEMBER 23, 2009</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169545</wp:posOffset>
            </wp:positionV>
            <wp:extent cx="2040890" cy="694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089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$50,000,000</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Ordinary Shares</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Capital Notes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Purchase Contracts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Units</w:t>
      </w:r>
    </w:p>
    <w:p>
      <w:pPr>
        <w:spacing w:after="0" w:line="246" w:lineRule="exact"/>
        <w:rPr>
          <w:sz w:val="20"/>
          <w:szCs w:val="20"/>
          <w:color w:val="auto"/>
        </w:rPr>
      </w:pPr>
    </w:p>
    <w:p>
      <w:pPr>
        <w:ind w:firstLine="395"/>
        <w:spacing w:after="0" w:line="270" w:lineRule="auto"/>
        <w:rPr>
          <w:sz w:val="20"/>
          <w:szCs w:val="20"/>
          <w:color w:val="auto"/>
        </w:rPr>
      </w:pPr>
      <w:r>
        <w:rPr>
          <w:rFonts w:ascii="Arial" w:cs="Arial" w:eastAsia="Arial" w:hAnsi="Arial"/>
          <w:sz w:val="18"/>
          <w:szCs w:val="18"/>
          <w:color w:val="auto"/>
        </w:rPr>
        <w:t>We may offer under this prospectus from time to time, at prices and on terms to be determined by market conditions at the time we make the offer, up to an aggregate of $50,000,000 of our:</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ordinary shares;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capital notes;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debt securities (including convertible debt securities);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purchase contracts;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warrants to purchase ordinary shares or debt securities;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combination of the above, separately or as units.</w:t>
      </w:r>
    </w:p>
    <w:p>
      <w:pPr>
        <w:spacing w:after="0" w:line="252"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This prospectus may not be used to sell our securities unless accompanied by a prospectus supplement. Before you invest in our securities, you should carefully read both this prospectus and the prospectus supplement related to the offering of the securities.</w:t>
      </w:r>
    </w:p>
    <w:p>
      <w:pPr>
        <w:spacing w:after="0" w:line="180"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Our ordinary shares are listed on the Nasdaq Global Market under the symbol “TSEM” and on the Tel Aviv Stock Exchange in Israel under the symbol “TSEM.” On December 22, 2009, the last reported sale price of our ordinary shares on the Nasdaq Global Market was $0.991 per share and on the Tel Aviv Stock Exchange was NIS 3.79 per share. We have not yet determined whether any of the other securities that may be offered by this prospectus will be listed on any exchange, inter-dealer quotation system or over-the-counter market. If we decide to seek listing of any such securities, a prospectus supplement relating to those securities will disclose the exchange, quotation system or market on which the securities will be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3" w:name="page4"/>
    <w:bookmarkEnd w:id="3"/>
    <w:p>
      <w:pPr>
        <w:ind w:firstLine="351"/>
        <w:spacing w:after="0" w:line="268" w:lineRule="auto"/>
        <w:rPr>
          <w:sz w:val="20"/>
          <w:szCs w:val="20"/>
          <w:color w:val="auto"/>
        </w:rPr>
      </w:pPr>
      <w:r>
        <w:rPr>
          <w:rFonts w:ascii="Arial" w:cs="Arial" w:eastAsia="Arial" w:hAnsi="Arial"/>
          <w:sz w:val="18"/>
          <w:szCs w:val="18"/>
          <w:color w:val="auto"/>
        </w:rPr>
        <w:t>If we sell securities through agents or underwriters, we will include their names and the fees, commissions and discounts they will receive, as well as the net proceeds to us, in the applicable prospectus supplement.</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on page 2.</w:t>
      </w:r>
    </w:p>
    <w:p>
      <w:pPr>
        <w:spacing w:after="0" w:line="252" w:lineRule="exact"/>
        <w:rPr>
          <w:sz w:val="20"/>
          <w:szCs w:val="20"/>
          <w:color w:val="auto"/>
        </w:rPr>
      </w:pPr>
    </w:p>
    <w:p>
      <w:pPr>
        <w:jc w:val="both"/>
        <w:ind w:right="50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8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 date of this prospectus is ________,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374"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6200" w:type="dxa"/>
            <w:vAlign w:val="bottom"/>
            <w:gridSpan w:val="21"/>
          </w:tcPr>
          <w:p>
            <w:pPr>
              <w:spacing w:after="0"/>
              <w:rPr>
                <w:sz w:val="20"/>
                <w:szCs w:val="20"/>
                <w:color w:val="auto"/>
              </w:rPr>
            </w:pPr>
            <w:r>
              <w:rPr>
                <w:rFonts w:ascii="Arial" w:cs="Arial" w:eastAsia="Arial" w:hAnsi="Arial"/>
                <w:sz w:val="18"/>
                <w:szCs w:val="18"/>
                <w:b w:val="1"/>
                <w:bCs w:val="1"/>
                <w:color w:val="auto"/>
              </w:rPr>
              <w:t>TABLE OF CONTENTS</w:t>
            </w:r>
          </w:p>
        </w:tc>
        <w:tc>
          <w:tcPr>
            <w:tcW w:w="5160" w:type="dxa"/>
            <w:vAlign w:val="bottom"/>
          </w:tcPr>
          <w:p>
            <w:pPr>
              <w:spacing w:after="0"/>
              <w:rPr>
                <w:sz w:val="19"/>
                <w:szCs w:val="19"/>
                <w:color w:val="auto"/>
              </w:rPr>
            </w:pPr>
          </w:p>
        </w:tc>
      </w:tr>
      <w:tr>
        <w:trPr>
          <w:trHeight w:val="475"/>
        </w:trPr>
        <w:tc>
          <w:tcPr>
            <w:tcW w:w="60" w:type="dxa"/>
            <w:vAlign w:val="bottom"/>
          </w:tcPr>
          <w:p>
            <w:pPr>
              <w:spacing w:after="0"/>
              <w:rPr>
                <w:sz w:val="24"/>
                <w:szCs w:val="24"/>
                <w:color w:val="auto"/>
              </w:rPr>
            </w:pPr>
          </w:p>
        </w:tc>
        <w:tc>
          <w:tcPr>
            <w:tcW w:w="61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60" w:type="dxa"/>
            <w:vAlign w:val="bottom"/>
          </w:tcPr>
          <w:p>
            <w:pPr>
              <w:spacing w:after="0"/>
              <w:rPr>
                <w:sz w:val="24"/>
                <w:szCs w:val="24"/>
                <w:color w:val="auto"/>
              </w:rPr>
            </w:pPr>
          </w:p>
        </w:tc>
        <w:tc>
          <w:tcPr>
            <w:tcW w:w="1480" w:type="dxa"/>
            <w:vAlign w:val="bottom"/>
            <w:tcBorders>
              <w:top w:val="single" w:sz="8" w:color="0000EE"/>
            </w:tcBorders>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4660" w:type="dxa"/>
            <w:vAlign w:val="bottom"/>
            <w:gridSpan w:val="11"/>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33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Note Concerning Forward-Looking Statements</w:t>
              </w:r>
            </w:hyperlink>
          </w:p>
        </w:tc>
        <w:tc>
          <w:tcPr>
            <w:tcW w:w="2820" w:type="dxa"/>
            <w:vAlign w:val="bottom"/>
            <w:gridSpan w:val="3"/>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60" w:type="dxa"/>
            <w:vAlign w:val="bottom"/>
          </w:tcPr>
          <w:p>
            <w:pPr>
              <w:spacing w:after="0"/>
              <w:rPr>
                <w:sz w:val="24"/>
                <w:szCs w:val="24"/>
                <w:color w:val="auto"/>
              </w:rPr>
            </w:pPr>
          </w:p>
        </w:tc>
        <w:tc>
          <w:tcPr>
            <w:tcW w:w="59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Where You Can Find More Information; Incorporation of Information by Reference</w:t>
              </w:r>
            </w:hyperlink>
          </w:p>
        </w:tc>
        <w:tc>
          <w:tcPr>
            <w:tcW w:w="240" w:type="dxa"/>
            <w:vAlign w:val="bottom"/>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60" w:type="dxa"/>
            <w:vAlign w:val="bottom"/>
          </w:tcPr>
          <w:p>
            <w:pPr>
              <w:spacing w:after="0"/>
              <w:rPr>
                <w:sz w:val="24"/>
                <w:szCs w:val="24"/>
                <w:color w:val="auto"/>
              </w:rPr>
            </w:pPr>
          </w:p>
        </w:tc>
        <w:tc>
          <w:tcPr>
            <w:tcW w:w="614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Ratio of Earnings to Fixed Charges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60" w:type="dxa"/>
            <w:vAlign w:val="bottom"/>
          </w:tcPr>
          <w:p>
            <w:pPr>
              <w:spacing w:after="0"/>
              <w:rPr>
                <w:sz w:val="24"/>
                <w:szCs w:val="24"/>
                <w:color w:val="auto"/>
              </w:rPr>
            </w:pPr>
          </w:p>
        </w:tc>
        <w:tc>
          <w:tcPr>
            <w:tcW w:w="1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12"/>
          </w:tcPr>
          <w:p>
            <w:pPr>
              <w:spacing w:after="0"/>
              <w:rPr>
                <w:sz w:val="24"/>
                <w:szCs w:val="24"/>
                <w:color w:val="auto"/>
              </w:rPr>
            </w:pPr>
          </w:p>
        </w:tc>
        <w:tc>
          <w:tcPr>
            <w:tcW w:w="3660" w:type="dxa"/>
            <w:vAlign w:val="bottom"/>
            <w:gridSpan w:val="4"/>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60" w:type="dxa"/>
            <w:vAlign w:val="bottom"/>
          </w:tcPr>
          <w:p>
            <w:pPr>
              <w:spacing w:after="0"/>
              <w:rPr>
                <w:sz w:val="24"/>
                <w:szCs w:val="24"/>
                <w:color w:val="auto"/>
              </w:rPr>
            </w:pPr>
          </w:p>
        </w:tc>
        <w:tc>
          <w:tcPr>
            <w:tcW w:w="22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Price Range of Ordinary Shares</w:t>
              </w:r>
            </w:hyperlink>
          </w:p>
        </w:tc>
        <w:tc>
          <w:tcPr>
            <w:tcW w:w="3900" w:type="dxa"/>
            <w:vAlign w:val="bottom"/>
            <w:gridSpan w:val="6"/>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60" w:type="dxa"/>
            <w:vAlign w:val="bottom"/>
          </w:tcPr>
          <w:p>
            <w:pPr>
              <w:spacing w:after="0"/>
              <w:rPr>
                <w:sz w:val="24"/>
                <w:szCs w:val="24"/>
                <w:color w:val="auto"/>
              </w:rPr>
            </w:pPr>
          </w:p>
        </w:tc>
        <w:tc>
          <w:tcPr>
            <w:tcW w:w="614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60" w:type="dxa"/>
            <w:vAlign w:val="bottom"/>
          </w:tcPr>
          <w:p>
            <w:pPr>
              <w:spacing w:after="0"/>
              <w:rPr>
                <w:sz w:val="24"/>
                <w:szCs w:val="24"/>
                <w:color w:val="auto"/>
              </w:rPr>
            </w:pPr>
          </w:p>
        </w:tc>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Dilution</w:t>
              </w:r>
            </w:hyperlink>
          </w:p>
        </w:tc>
        <w:tc>
          <w:tcPr>
            <w:tcW w:w="5000" w:type="dxa"/>
            <w:vAlign w:val="bottom"/>
            <w:gridSpan w:val="15"/>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614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Description of Share Capital</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0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Description of Capital Notes</w:t>
              </w:r>
            </w:hyperlink>
          </w:p>
        </w:tc>
        <w:tc>
          <w:tcPr>
            <w:tcW w:w="4120" w:type="dxa"/>
            <w:vAlign w:val="bottom"/>
            <w:gridSpan w:val="8"/>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60" w:type="dxa"/>
            <w:vAlign w:val="bottom"/>
          </w:tcPr>
          <w:p>
            <w:pPr>
              <w:spacing w:after="0"/>
              <w:rPr>
                <w:sz w:val="24"/>
                <w:szCs w:val="24"/>
                <w:color w:val="auto"/>
              </w:rPr>
            </w:pPr>
          </w:p>
        </w:tc>
        <w:tc>
          <w:tcPr>
            <w:tcW w:w="21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Description of Debt Securities</w:t>
              </w:r>
            </w:hyperlink>
          </w:p>
        </w:tc>
        <w:tc>
          <w:tcPr>
            <w:tcW w:w="4000" w:type="dxa"/>
            <w:vAlign w:val="bottom"/>
            <w:gridSpan w:val="7"/>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60" w:type="dxa"/>
            <w:vAlign w:val="bottom"/>
          </w:tcPr>
          <w:p>
            <w:pPr>
              <w:spacing w:after="0"/>
              <w:rPr>
                <w:sz w:val="24"/>
                <w:szCs w:val="24"/>
                <w:color w:val="auto"/>
              </w:rPr>
            </w:pPr>
          </w:p>
        </w:tc>
        <w:tc>
          <w:tcPr>
            <w:tcW w:w="614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Description of Purchase Contracts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60" w:type="dxa"/>
            <w:vAlign w:val="bottom"/>
          </w:tcPr>
          <w:p>
            <w:pPr>
              <w:spacing w:after="0"/>
              <w:rPr>
                <w:sz w:val="24"/>
                <w:szCs w:val="24"/>
                <w:color w:val="auto"/>
              </w:rPr>
            </w:pPr>
          </w:p>
        </w:tc>
        <w:tc>
          <w:tcPr>
            <w:tcW w:w="14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Description of Units</w:t>
              </w:r>
            </w:hyperlink>
          </w:p>
        </w:tc>
        <w:tc>
          <w:tcPr>
            <w:tcW w:w="960" w:type="dxa"/>
            <w:vAlign w:val="bottom"/>
            <w:tcBorders>
              <w:top w:val="single" w:sz="8" w:color="0000EE"/>
            </w:tcBorders>
            <w:gridSpan w:val="7"/>
          </w:tcPr>
          <w:p>
            <w:pPr>
              <w:spacing w:after="0"/>
              <w:rPr>
                <w:sz w:val="24"/>
                <w:szCs w:val="24"/>
                <w:color w:val="auto"/>
              </w:rPr>
            </w:pPr>
          </w:p>
        </w:tc>
        <w:tc>
          <w:tcPr>
            <w:tcW w:w="3740" w:type="dxa"/>
            <w:vAlign w:val="bottom"/>
            <w:gridSpan w:val="5"/>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60" w:type="dxa"/>
            <w:vAlign w:val="bottom"/>
          </w:tcPr>
          <w:p>
            <w:pPr>
              <w:spacing w:after="0"/>
              <w:rPr>
                <w:sz w:val="24"/>
                <w:szCs w:val="24"/>
                <w:color w:val="auto"/>
              </w:rPr>
            </w:pPr>
          </w:p>
        </w:tc>
        <w:tc>
          <w:tcPr>
            <w:tcW w:w="614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Description of Warrants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614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Foreign Exchange Controls and Other Limitations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0" w:type="dxa"/>
            <w:vAlign w:val="bottom"/>
          </w:tcPr>
          <w:p>
            <w:pPr>
              <w:spacing w:after="0"/>
              <w:rPr>
                <w:sz w:val="24"/>
                <w:szCs w:val="24"/>
                <w:color w:val="auto"/>
              </w:rPr>
            </w:pPr>
          </w:p>
        </w:tc>
        <w:tc>
          <w:tcPr>
            <w:tcW w:w="14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Plan of Distribution</w:t>
              </w:r>
            </w:hyperlink>
          </w:p>
        </w:tc>
        <w:tc>
          <w:tcPr>
            <w:tcW w:w="2120" w:type="dxa"/>
            <w:vAlign w:val="bottom"/>
            <w:tcBorders>
              <w:top w:val="single" w:sz="8" w:color="0000EE"/>
            </w:tcBorders>
            <w:gridSpan w:val="11"/>
          </w:tcPr>
          <w:p>
            <w:pPr>
              <w:spacing w:after="0"/>
              <w:rPr>
                <w:sz w:val="24"/>
                <w:szCs w:val="24"/>
                <w:color w:val="auto"/>
              </w:rPr>
            </w:pPr>
          </w:p>
        </w:tc>
        <w:tc>
          <w:tcPr>
            <w:tcW w:w="2620" w:type="dxa"/>
            <w:vAlign w:val="bottom"/>
            <w:gridSpan w:val="2"/>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0" w:type="dxa"/>
            <w:vAlign w:val="bottom"/>
          </w:tcPr>
          <w:p>
            <w:pPr>
              <w:spacing w:after="0"/>
              <w:rPr>
                <w:sz w:val="24"/>
                <w:szCs w:val="24"/>
                <w:color w:val="auto"/>
              </w:rPr>
            </w:pPr>
          </w:p>
        </w:tc>
        <w:tc>
          <w:tcPr>
            <w:tcW w:w="614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Dividend Policy</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20" w:type="dxa"/>
            <w:vAlign w:val="bottom"/>
            <w:gridSpan w:val="14"/>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3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Offering Expenses</w:t>
              </w:r>
            </w:hyperlink>
          </w:p>
        </w:tc>
        <w:tc>
          <w:tcPr>
            <w:tcW w:w="4820" w:type="dxa"/>
            <w:vAlign w:val="bottom"/>
            <w:gridSpan w:val="14"/>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0" w:type="dxa"/>
            <w:vAlign w:val="bottom"/>
          </w:tcPr>
          <w:p>
            <w:pPr>
              <w:spacing w:after="0"/>
              <w:rPr>
                <w:sz w:val="24"/>
                <w:szCs w:val="24"/>
                <w:color w:val="auto"/>
              </w:rPr>
            </w:pPr>
          </w:p>
        </w:tc>
        <w:tc>
          <w:tcPr>
            <w:tcW w:w="614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Matters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0" w:type="dxa"/>
            <w:vAlign w:val="bottom"/>
          </w:tcPr>
          <w:p>
            <w:pPr>
              <w:spacing w:after="0"/>
              <w:rPr>
                <w:sz w:val="24"/>
                <w:szCs w:val="24"/>
                <w:color w:val="auto"/>
              </w:rPr>
            </w:pPr>
          </w:p>
        </w:tc>
        <w:tc>
          <w:tcPr>
            <w:tcW w:w="58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Experts</w:t>
              </w:r>
            </w:hyperlink>
          </w:p>
        </w:tc>
        <w:tc>
          <w:tcPr>
            <w:tcW w:w="400" w:type="dxa"/>
            <w:vAlign w:val="bottom"/>
            <w:tcBorders>
              <w:top w:val="single" w:sz="8" w:color="0000EE"/>
            </w:tcBorders>
            <w:gridSpan w:val="2"/>
          </w:tcPr>
          <w:p>
            <w:pPr>
              <w:spacing w:after="0"/>
              <w:rPr>
                <w:sz w:val="24"/>
                <w:szCs w:val="24"/>
                <w:color w:val="auto"/>
              </w:rPr>
            </w:pPr>
          </w:p>
        </w:tc>
        <w:tc>
          <w:tcPr>
            <w:tcW w:w="5160" w:type="dxa"/>
            <w:vAlign w:val="bottom"/>
            <w:gridSpan w:val="17"/>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0" w:type="dxa"/>
            <w:vAlign w:val="bottom"/>
          </w:tcPr>
          <w:p>
            <w:pPr>
              <w:spacing w:after="0"/>
              <w:rPr>
                <w:sz w:val="24"/>
                <w:szCs w:val="24"/>
                <w:color w:val="auto"/>
              </w:rPr>
            </w:pPr>
          </w:p>
        </w:tc>
        <w:tc>
          <w:tcPr>
            <w:tcW w:w="61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Enforceability of Civil Liabilities and Agent for Service of Process in the United States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31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as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the relevant period and the actual or expected process technology mix for such period. Unless otherwise specifically stated, all references herein to “wafers” in the context of capacity in Fab 1 are to 150-mm wafers and in Fab 2 are to 200-mm wafers.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58"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This is a summary of our business and this offering. For a more complete understanding of our business and this offering, you should read the entire prospectus and the documents incorporated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a pure-play independent specialty wafer foundry dedicated to the manufacture of semiconductors. Typically, pure-play foundries do not offer products of their own, but focus on producing integrated circuits, or ICs, based on the design specifications of their customers. We manufacture semiconductors for our customers primarily based on third party designs and our own process technology and engineering support. We currently offer the manufacture of ICs with geometries ranging from 1.0 to 0.13-micron. We also provide design services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January 2001, we commenced construction of a state-of-the-art wafer fabrication facility, which we refer to as Fab 2, located in Migdal Haemek, Israel and adjacent to our first facility, Fab 1. In 2003, we completed the infrastructure of Fab 2 and commenced production at this Fab. Fab 2 is designed to operate in geometries of 0.18-micron and below, using advanced materials and advanced CMOS technology licensed from Freescale and Toshiba and other technologies that we developed and will develop independently or with development partners. Depending on the process technology and product mix, when fully ramped-up, we estimate that Fab 2 will be able to achieve capacity levels of approximately 40,000 wafers per month. We have not completed the full ramp-up of Fab 2. The timing of that decision and its implementation will depend upon several factors, including funding, cost and availability of equipment and market conditions.</w:t>
      </w:r>
    </w:p>
    <w:p>
      <w:pPr>
        <w:spacing w:after="0" w:line="20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September 2008, we acquired Jazz Technologies in a stock for stock transaction. Jazz is now an independent semiconductor foundry focused on specialty process technologies for the manufacture of analog and mixed-signal semiconductor devices. Jazz’s specialty process technologies include advanced analog, radio frequency, high voltage, bipolar and silicon germanium bipolar complementary metal oxide (“SiGe”) semiconductor processes, for the manufacture of analog and mixed-signal semiconductors. Jazz’s customers use the analog and mixed-signal semiconductor devices in products they design that are used in cellular phones, wireless local area networking devices, digital TVs, set-top boxes, gaming devices, switches, routers and broadband modems. Jazz operates one semiconductor fabrication facility in Newport Beach, California, in which it currently produces the majority of its products and in which all of Jazz’s process research and development is performed.</w:t>
      </w:r>
    </w:p>
    <w:p>
      <w:pPr>
        <w:spacing w:after="0" w:line="19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213"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Additional information about us and our operations may be found on our web site: www.towersemi.com. Information on our website is not incorporated by reference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2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This prospectus is part of a registration statement on Form F-3 that we filed with the Securities and Exchange Commission utilizing a “shelf” registration process. Under this process, we may sell any combination of the securities described in this prospectus in one or more offerings up to a total dollar amount of $50 million. This prospectus provides you with a general description of the securities we may offer. Each time we offer to sell securities under this prospectus, we will provide a prospectus supplement containing specific information about the terms of that offering. The prospectus supplement may also add, update or change information contained in this prospectus. To the extent that any information we provide in a prospectus supplement is inconsistent with information in this prospectus, the information in the prospectus supplement will modify or supersede this prospectus. You should read both this prospectus and any prospectus supplement together with the additional information described under the headings “Where You Can Find More Information; Incorporation of Information by Reference.”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and in the other reports that we file with the SEC and that we incorporate by reference into this prospectus before deciding to invest in our securities.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the date of this prospectus, but the information may change thereafter.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Affecting Our Business</w:t>
      </w:r>
    </w:p>
    <w:p>
      <w:pPr>
        <w:spacing w:after="0" w:line="252"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have a large amount of long-term debt and other liabilities which require a significant amount of financing and our business may be adversely affected if its sources of liquidity are unavailable or insufficient to fulfill its obligations.</w:t>
      </w:r>
    </w:p>
    <w:p>
      <w:pPr>
        <w:spacing w:after="0" w:line="207" w:lineRule="exact"/>
        <w:rPr>
          <w:sz w:val="20"/>
          <w:szCs w:val="20"/>
          <w:color w:val="auto"/>
        </w:rPr>
      </w:pPr>
    </w:p>
    <w:p>
      <w:pPr>
        <w:ind w:right="200" w:firstLine="348"/>
        <w:spacing w:after="0" w:line="318" w:lineRule="auto"/>
        <w:rPr>
          <w:sz w:val="20"/>
          <w:szCs w:val="20"/>
          <w:color w:val="auto"/>
        </w:rPr>
      </w:pPr>
      <w:r>
        <w:rPr>
          <w:rFonts w:ascii="Arial" w:cs="Arial" w:eastAsia="Arial" w:hAnsi="Arial"/>
          <w:sz w:val="15"/>
          <w:szCs w:val="15"/>
          <w:color w:val="auto"/>
        </w:rPr>
        <w:t>We have a large amount of long-term debt and other liabilities. As of September 30, 2009, Tower had (i) approximately $210 million of outstanding bank debt under its amended facility agreement with the banks, and (ii) approximately $138 million of debt in respect of outstanding convertible and non-convertible debentures, to be repaid during 2011 to 2016. As of September 30, 2009, Jazz had (i) approximately $24 million of outstanding bank debt under its bank loan agreement, of which approximately $4 million is presented as short term debt, and (ii) approximately $123 million of debt in respect of outstanding convertible notes to be repaid at the end of 2011. Tower has not guaranteed any of Jazz’s debt, including Jazz’s debt under its bank loan and Jazz’s debt to its note holders.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debt and liabilities could have significant negative consequences, including: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requiring the dedication of a substantial portion of our expected cash flow from operating activities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1160" w:right="1100" w:hanging="5080"/>
        <w:spacing w:after="0" w:line="552" w:lineRule="auto"/>
        <w:rPr>
          <w:sz w:val="20"/>
          <w:szCs w:val="20"/>
          <w:color w:val="auto"/>
        </w:rPr>
      </w:pPr>
      <w:r>
        <w:rPr>
          <w:rFonts w:ascii="Arial" w:cs="Arial" w:eastAsia="Arial" w:hAnsi="Arial"/>
          <w:sz w:val="18"/>
          <w:szCs w:val="18"/>
          <w:color w:val="auto"/>
        </w:rPr>
        <w:t>—placing us at a competitive disadvantage to less leveraged competitors and competitors that have better access to capital resources;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enforcement by the banks of their liens against Tower and Jazz’s respective assets, as applicable (in the event of default).</w:t>
      </w:r>
    </w:p>
    <w:p>
      <w:pPr>
        <w:spacing w:after="0" w:line="25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order to finance our long-term debt and other liabilities and obligations, we continue to explore measures to obtain funds from additional sources in addition to cash on hand and expected cash flow from our ongoing operations, including sales of new securities, opportunities for sale and lease-back of a portion of Tower’s real estate assets, sale of other assets, including Jazz’s holdings in HHNEC, intellectual property licensing, receipt of all or part of the $45 million pending grants from the Israeli Investment Center, and exploring alternatives to reduce our debt. However, there is no assurance that we will be able to obtain sufficient funding from the financing sources detailed above or other sources in a timely manner to allow us to fully or partially repay our long-term debt and other liabilities and obligations.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manage fluctuations in cash flow, our business, operating results and financial condition may be materially adversely affected.</w:t>
      </w:r>
    </w:p>
    <w:p>
      <w:pPr>
        <w:spacing w:after="0" w:line="281"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could lead us to suffer cash flow fluctuations include:</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level of revenues from our operating activities;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collection of receivables;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timing and size of capital expenditures;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debt service obligations under our short-term and long-term liabilities.</w:t>
      </w:r>
    </w:p>
    <w:p>
      <w:pPr>
        <w:spacing w:after="0" w:line="25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addition, we may need to devote a significant portion of our operating cash flow to be used to pay principal and interest on our indebtedness. The use of cash to finance our indebtedness could leave us with insufficient funds to adequately finance our operating activities and capital expenditures, which could adversely affect our business.</w:t>
      </w:r>
    </w:p>
    <w:p>
      <w:pPr>
        <w:spacing w:after="0" w:line="2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If Tower fails to comply with the repayment schedule under the amended facility agreement and is unsuccessful in negotiating a revised repayment schedule, or if it fails to meet any of the covenants and financial ratios stipulated in its amended facility agreement and Tower’s banks do not waive its noncompliance, Tower would likely be unable to fund its on-going operations.</w:t>
      </w:r>
    </w:p>
    <w:p>
      <w:pPr>
        <w:spacing w:after="0" w:line="21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Under Tower’s amended facility agreement with Bank Hapoalim B.M. and Bank Leumi Le-Israel B.M., in the event that Tower fails to comply with the repayment schedule and is unsuccessful in negotiating a revised repayment schedule, or fails to meet any of the covenants and financial ratios stipulated in the amended facility agreement and its banks do not waive its noncompliance, its banks may require it to immediately repay all loans made by them to Tower, plus penalties, and they would be entitled to exercise the remedies available to them under the amended facility agreement, including enforcement of their lien against Tower’s assets. There is no assurance that Tower would be able to generate the cash necessary to fund the scheduled payments from increased levels of cash from operations or from additional equity or debt financing or other funding sources (including, for example, funds from a sale and lease-back of a portion of Tower’s real estate assets and/or a sale of other assets). If we are not able to generate increased levels of revenue and cash from operations or raise sufficient funds in a timely manner, Tower would likely be unable to comply with the repayment schedule and Tower would likely fail to meet covenants and financial ratios under the amended facility agreement. This would have a material adverse effect on Tower and it would likely be unable to fund its on-going operations unless the banks agree to a revised repayment schedule or to waive Tower’s non-compliance.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We may incur additional indebtedness.</w:t>
      </w:r>
    </w:p>
    <w:p>
      <w:pPr>
        <w:spacing w:after="0" w:line="258" w:lineRule="exact"/>
        <w:rPr>
          <w:sz w:val="20"/>
          <w:szCs w:val="20"/>
          <w:color w:val="auto"/>
        </w:rPr>
      </w:pPr>
    </w:p>
    <w:p>
      <w:pPr>
        <w:ind w:right="240" w:firstLine="341"/>
        <w:spacing w:after="0" w:line="370" w:lineRule="auto"/>
        <w:rPr>
          <w:sz w:val="20"/>
          <w:szCs w:val="20"/>
          <w:color w:val="auto"/>
        </w:rPr>
      </w:pPr>
      <w:r>
        <w:rPr>
          <w:rFonts w:ascii="Arial" w:cs="Arial" w:eastAsia="Arial" w:hAnsi="Arial"/>
          <w:sz w:val="15"/>
          <w:szCs w:val="15"/>
          <w:color w:val="auto"/>
        </w:rPr>
        <w:t>Although Tower and Jazz are limited by the covenants in their respective loan facilities, Tower and/or Jazz could enter into certain transactions that would increase the amount of our outstanding indebtedness. Any additional indebtedness would increase the risks associated with servicing our indebtedness.</w:t>
      </w:r>
    </w:p>
    <w:p>
      <w:pPr>
        <w:spacing w:after="0" w:line="13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the Investment Center will not release to us the pending grants, we would be required to seek alternative financing sources to fund our long-term debt and other liabilities, which may not be available.</w:t>
      </w:r>
    </w:p>
    <w:p>
      <w:pPr>
        <w:spacing w:after="0" w:line="174"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connection with Fab 2, Tower received approval for grants and tax benefits from the Investment Center of the Israeli Ministry of Industry, Trade and Labor (Investment Center) under its Approved Enterprise Program. Under the terms of the approval, Tower was eligible to receive grants equal to 20% of up to $1.25 billion invested in Fab 2 plant and equipment, or an aggregate of up to $250 million. As of today, Tower received a cumulative amount of approximately $165 million in grants from the Investment Center in relation to Fab 2. Israeli law limits the ability of the Investment Center to extend the time for investments eligible for grants beyond a five year period, unless approved through an expansion plan. Tower has therefore been holding discussions with the Investment Center for approval of an expansion plan to commence as of January 1, 2006. Tower has invested from January 1, 2006 through September 30, 2009approximately $225 million in Fab 2 plant and equipment; hence as of September 30, 2009, $45 million of cash grants are pending. While in December 2005 the Industrial Bank of the Investment Center gave a positive recommendation for approval of the expansion plan, the governmental approval process has been protracted and as a result, in May 2008, Tower filed a petition with the Israeli High Court of Justice seeking an approval certificate from the Investment Center for the expansion plan. A hearing has been postponed to February 2010.</w:t>
      </w:r>
    </w:p>
    <w:p>
      <w:pPr>
        <w:spacing w:after="0" w:line="21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August 2008, the Investment Center Committee rejected our expansion plan request, hence, on November 2008, Tower filed an appeal on this decision to the Israeli Ministerial Appeal Committee, such committee has not yet made any decision to date.</w:t>
      </w:r>
    </w:p>
    <w:p>
      <w:pPr>
        <w:spacing w:after="0" w:line="213"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Currently, Tower cannot estimate when it will receive the pending grants or when it will receive approval of its expansion plan. If the Investment Center does not approve our expansion plan and/or find an alternative process to release the pending grants, Tower would likely be required to obtain financing from alternative sources in order to fulfill its debt service and other obligations, which financing may not be available.</w:t>
      </w:r>
    </w:p>
    <w:p>
      <w:pPr>
        <w:spacing w:after="0" w:line="18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may lead to erosion of sale prices; downward price pressure may seriously harm our business.</w:t>
      </w:r>
    </w:p>
    <w:p>
      <w:pPr>
        <w:spacing w:after="0" w:line="207"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 characteristic of a prolonged downturn in the semiconductor market, such as we are currently experiencing, may not allow us to operate at a profit, even at full utilization, and could seriously harm our financial results and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5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loss of a key customer, postponement of an order from a key customer or the rescheduling or cancellation of large orders;</w:t>
      </w:r>
    </w:p>
    <w:p>
      <w:pPr>
        <w:spacing w:after="0" w:line="252" w:lineRule="exact"/>
        <w:rPr>
          <w:sz w:val="20"/>
          <w:szCs w:val="20"/>
          <w:color w:val="auto"/>
        </w:rPr>
      </w:pPr>
    </w:p>
    <w:p>
      <w:pPr>
        <w:ind w:left="1160" w:right="380" w:hanging="567"/>
        <w:spacing w:after="0" w:line="268" w:lineRule="auto"/>
        <w:rPr>
          <w:sz w:val="20"/>
          <w:szCs w:val="20"/>
          <w:color w:val="auto"/>
        </w:rPr>
      </w:pPr>
      <w:r>
        <w:rPr>
          <w:rFonts w:ascii="Arial" w:cs="Arial" w:eastAsia="Arial" w:hAnsi="Arial"/>
          <w:sz w:val="18"/>
          <w:szCs w:val="18"/>
          <w:color w:val="auto"/>
        </w:rPr>
        <w:t>—The occurrence of accounts receivables write-offs,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for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Price erosion in the industry;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price index and currency rate fluctuations that were not hedged;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0" w:name="page11"/>
    <w:bookmarkEnd w:id="10"/>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New accounting rules affecting our results including the accounting treatment of our bank debt, warrants and debentures.</w:t>
      </w:r>
    </w:p>
    <w:p>
      <w:pPr>
        <w:spacing w:after="0" w:line="252"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Due to the factors noted above and other risks discussed in this section, many of which are beyond our control, investors should not rely on quarter-to-quarter comparisons to predict our future performance. Unfavorable changes in any of the above factors may seriously harm our company, including our operating results, financial condition and ability to maintain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the market price of our traded securities may significantly affect our reported GAAP financing expenses.</w:t>
      </w:r>
    </w:p>
    <w:p>
      <w:pPr>
        <w:spacing w:after="0" w:line="258"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Under prevailing accounting standards, we are required, in certain circumstances, to mark our liabilities, or an embedded feature that is part of a liability, to market, e.g. convertible debentures, warrants and options. An increase or a fluctuation in such securities’ market price or our share price may cause a significant increase or fluctuation in our reported GAAP financing expenses, net which may harm our ability to accurately forecast our reported GAAP financing expenses, net, our reported net profit or loss, net and our reported earnings or losses per share.</w:t>
      </w:r>
    </w:p>
    <w:p>
      <w:pPr>
        <w:spacing w:after="0" w:line="188"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20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If orders received from our customers differ adversely from our expectations with respect to the product, volume, price or other items, our operating results, financial condition and ability to maintain our operations may be adversely affected.</w:t>
      </w:r>
    </w:p>
    <w:p>
      <w:pPr>
        <w:spacing w:after="0" w:line="193"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b w:val="1"/>
          <w:bCs w:val="1"/>
          <w:color w:val="auto"/>
        </w:rPr>
        <w:t>We occasionally manufacture wafers based on forecasted demand, rather than actual orders from customers. If our forecasted demand exceeds actual demand, we may have obsolete inventory, which could have a negative impact on our results of operations.</w:t>
      </w:r>
    </w:p>
    <w:p>
      <w:pPr>
        <w:spacing w:after="0" w:line="162"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generally do not manufacture wafers unless we receive a customer purchase order. On occasion, we may produce wafers in excess of customer orders based on forecasted customer demand, because we may forecast future excess demand or because of future capacity constraints. If we manufacture more wafers than are actually ordered by customers, we may be left with excess inventory that may ultimately become obsolete and must be scrapped when it cannot be sold. Significant amounts of obsolete inventory could have a negative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our facilities must operate at high utilization rates in order to reduce our losses.</w:t>
      </w:r>
    </w:p>
    <w:p>
      <w:pPr>
        <w:spacing w:after="0" w:line="258"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in order to reduce our losses. We began construction of Fab 2 in 2001 and Fab 2 operations began in 2003. Our losses since 2003 are due primarily to significant depreciation and amortization expenses related mainly to Fab 2, as well as financing and operating expenses that have not yet been offset by a sufficient increase in the level of our revenues due to insufficient customer demand to fully utilize our fabs potential capacity. If we do not succeed in operating our facilities at high utilization rates, we will not be able to achieve net profits, which would adversely affect our business and company.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Our sales cycles are typically long and orders received may not meet our expectations, which may adversely affect our operating results.</w:t>
      </w:r>
    </w:p>
    <w:p>
      <w:pPr>
        <w:spacing w:after="0" w:line="28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we measure from first contact with a customer to first shipment of a product ordered by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dependent on the demand in our customers’ end markets.</w:t>
      </w:r>
    </w:p>
    <w:p>
      <w:pPr>
        <w:spacing w:after="0" w:line="258"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maintain our current customers and attract additional customers, our business may be adversely affected.</w:t>
      </w:r>
    </w:p>
    <w:p>
      <w:pPr>
        <w:spacing w:after="0" w:line="25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nine months ended September 30, 2009 approximately 34% of our business was generated by three significant customers that contributed 15%, 12% and 7% of our revenue, respectively. We expect to continue to receive a significant portion of our revenue from a limited number of customers for the foreseeable future. Loss or cancellation of business from, or decreases in the sales volume or sales prices to, our significant customers, or our failure to replace them with other customers, could seriously harm our financial results, revenue and business. Since the sales cycle for our services typically exceeds one year, if our customers order significantly fewer wafers than forecasted, we will have excess capacity that we may not be able to fill within a short period of time, resulting in lower utilization of our facilities. We may have to reduce prices in order to try to sell more wafers in order to utilize the excess capacity. In addition to the revenue loss that could result from unused capacity or lower sales prices, we might have difficulty adjusting our costs to reflect the lower revenue in a timely manner, which could harm our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relatively small number of products for a significant portion of our revenues.</w:t>
      </w:r>
    </w:p>
    <w:p>
      <w:pPr>
        <w:spacing w:after="0" w:line="258"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for the foreseeable future we will continue to be dependent upon a relatively limited number of products for a significant portion of our revenue due to the nature of our business. A decrease in the price of, or demand for, any of these products could negatively impact our financial results.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If Tower does not receive orders from its customers with whom it has signed long-term contracts, Tower may have excess capacity.</w:t>
      </w:r>
    </w:p>
    <w:p>
      <w:pPr>
        <w:spacing w:after="0" w:line="258"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Tower has committed a portion of its capacity for future orders to some customers with whom Tower has signed long-term contracts. If these customers do not place orders with Tower in accordance with their contractual loading and purchase commitments, and if Tower is unable to fill such unutilized capacity, Tower’s financial results may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be unable to attract new ones.</w:t>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evolving industry standards;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5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ability to maintain our current customer base and attract new customers is dependent in part on our ability to continuously develop and introduce to production advanced specialized manufacturing process technologies and purchase the appropriate equipment. If we are unable to successfully develop and introduce these processes to production in a timely manner or at all and we may not be able to purchase the appropriate equipment required for such processes, we may be unable to maintain our current customer base and may be unable to attract new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foundry business is highly competitive; our competitors may have competitive advantages over us.</w:t>
      </w:r>
    </w:p>
    <w:p>
      <w:pPr>
        <w:spacing w:after="0" w:line="25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semiconductor foundry industry is highly competitive. We compete with more than ten independent dedicated foundries, the majority of which are located in Asia-Pacific, including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In addition, many of our competitors may have one or more of the following competitive advantages over us: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do not compete effectively, our business and results of operations may be adversely affected.</w:t>
      </w:r>
    </w:p>
    <w:p>
      <w:pPr>
        <w:spacing w:after="0" w:line="246"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could be seriously harmed.</w:t>
      </w:r>
    </w:p>
    <w:p>
      <w:pPr>
        <w:spacing w:after="0" w:line="20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may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21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207"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To increase the production capability of our facilities and to maintain the quality of production in our facilities, we must procure additional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inflation and currency exchange and interest rate fluctuations may increase our cost of operations.</w:t>
      </w:r>
    </w:p>
    <w:p>
      <w:pPr>
        <w:spacing w:after="0" w:line="258"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22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Such dollar amount of operations will increase also if the US dollar devalues against the NIS. Outstanding principal and interest on some of our debentures is linked to the Israeli consumer price index (CPI) and therefore, our dollar costs will increase if inflation in Israel exceeds the devaluation of the NIS against the US dollar, or if the timing of such devaluation lags behind inflation in Israel.</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374" w:right="279" w:bottom="1440" w:gutter="0" w:footer="0" w:header="0"/>
        </w:sectPr>
      </w:pPr>
    </w:p>
    <w:bookmarkStart w:id="14" w:name="page15"/>
    <w:bookmarkEnd w:id="14"/>
    <w:p>
      <w:pPr>
        <w:ind w:right="20" w:firstLine="348"/>
        <w:spacing w:after="0" w:line="256" w:lineRule="auto"/>
        <w:rPr>
          <w:sz w:val="20"/>
          <w:szCs w:val="20"/>
          <w:color w:val="auto"/>
        </w:rPr>
      </w:pPr>
      <w:r>
        <w:rPr>
          <w:rFonts w:ascii="Arial" w:cs="Arial" w:eastAsia="Arial" w:hAnsi="Arial"/>
          <w:sz w:val="18"/>
          <w:szCs w:val="18"/>
          <w:color w:val="auto"/>
        </w:rPr>
        <w:t>Tower and Jazz’s borrowings under their respective credit facilities provide for interest based on a floating LIBOR rate, thereby exposing us to interest rate fluctuations. Furthermore, if Towers and/or Jazz’s banks incur increased costs in financing the applicable credit facility due to changes in law or the unavailability of foreign currency, they may exercise their right to increase the interest rate on the credit facility or require Tower and/or Jazz to bear such increased cost as provided for in the respective credit facility agreement.</w:t>
      </w:r>
    </w:p>
    <w:p>
      <w:pPr>
        <w:spacing w:after="0" w:line="22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Tower regularly engages in various hedging strategies to reduce its exposure to some, but not all, of these risks and intends to continue to do so in the future. However, despite any such hedging activity, Tower is likely to remain exposed to interest rate and exchange rate fluctuations and inflation, which may increase the cost of its operating and financing activities.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58"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depend on third party intellectual property in order for us to provide certain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vendors goes out of business, liquidates, merges with, or is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to defend our intellectual property rights could harm our business.</w:t>
      </w:r>
    </w:p>
    <w:p>
      <w:pPr>
        <w:spacing w:after="0" w:line="281"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We have been subject to such claims in the past which have been resolved through license agreements, the terms of which have not had a material effect on our business. From time to time we are a party to litigation matters incidental to the conduct of our business.</w:t>
      </w:r>
    </w:p>
    <w:p>
      <w:pPr>
        <w:spacing w:after="0" w:line="181"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4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5" w:name="page16"/>
    <w:bookmarkEnd w:id="15"/>
    <w:p>
      <w:pPr>
        <w:ind w:right="60" w:firstLine="341"/>
        <w:spacing w:after="0" w:line="255" w:lineRule="auto"/>
        <w:rPr>
          <w:sz w:val="20"/>
          <w:szCs w:val="20"/>
          <w:color w:val="auto"/>
        </w:rPr>
      </w:pPr>
      <w:r>
        <w:rPr>
          <w:rFonts w:ascii="Arial" w:cs="Arial" w:eastAsia="Arial" w:hAnsi="Arial"/>
          <w:sz w:val="18"/>
          <w:szCs w:val="18"/>
          <w:color w:val="auto"/>
        </w:rPr>
        <w:t>Any one or several of these alternatives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224"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As of September 30, 2009, Tower held 84 patents and Jazz held 176 patents.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5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business is subject to a variety of laws and governmental regulations in Israel and in the U.S. relating to the use, discharge and disposal of toxic or otherwise hazardous materials used in Tower’s production processes in Israel and in Jazz’s production processes in California.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5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potential losses that may be caused by fire, including business interruption insurance. If any of our fabs were to be damaged or cease operations as a result of a fire, or if our insurance proves to be inadequate, it may reduce our manufacturing capacity and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258"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if any, may have an adverse effect on our business and financial condition.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25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have made substantial revenue from customers located in Asia-Pacific and in Europe. Because of our international operations, we are vulnerable to the following risks:</w:t>
      </w:r>
    </w:p>
    <w:p>
      <w:pPr>
        <w:spacing w:after="0" w:line="213" w:lineRule="exact"/>
        <w:rPr>
          <w:sz w:val="20"/>
          <w:szCs w:val="20"/>
          <w:color w:val="auto"/>
        </w:rPr>
      </w:pPr>
    </w:p>
    <w:p>
      <w:pPr>
        <w:ind w:left="1160" w:right="58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revenue;</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burdens and costs of compliance with foreign government regulation, as well as compliance with a variety of foreign laws;</w:t>
      </w:r>
    </w:p>
    <w:p>
      <w:pPr>
        <w:spacing w:after="0" w:line="252" w:lineRule="exact"/>
        <w:rPr>
          <w:sz w:val="20"/>
          <w:szCs w:val="20"/>
          <w:color w:val="auto"/>
        </w:rPr>
      </w:pPr>
    </w:p>
    <w:p>
      <w:pPr>
        <w:ind w:left="1160" w:right="200" w:hanging="567"/>
        <w:spacing w:after="0" w:line="268" w:lineRule="auto"/>
        <w:rPr>
          <w:sz w:val="20"/>
          <w:szCs w:val="20"/>
          <w:color w:val="auto"/>
        </w:rPr>
      </w:pPr>
      <w:r>
        <w:rPr>
          <w:rFonts w:ascii="Arial" w:cs="Arial" w:eastAsia="Arial" w:hAnsi="Arial"/>
          <w:sz w:val="18"/>
          <w:szCs w:val="18"/>
          <w:color w:val="auto"/>
        </w:rPr>
        <w:t>—general geopolitical risks such as political and economic instability, international terrorism, potential hostilities and changes in diplomatic and trade relationships;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w:t>
      </w:r>
    </w:p>
    <w:p>
      <w:pPr>
        <w:spacing w:after="0" w:line="252" w:lineRule="exact"/>
        <w:rPr>
          <w:sz w:val="20"/>
          <w:szCs w:val="20"/>
          <w:color w:val="auto"/>
        </w:rPr>
      </w:pPr>
    </w:p>
    <w:p>
      <w:pPr>
        <w:ind w:left="1160" w:right="260" w:hanging="567"/>
        <w:spacing w:after="0" w:line="268" w:lineRule="auto"/>
        <w:rPr>
          <w:sz w:val="20"/>
          <w:szCs w:val="20"/>
          <w:color w:val="auto"/>
        </w:rPr>
      </w:pPr>
      <w:r>
        <w:rPr>
          <w:rFonts w:ascii="Arial" w:cs="Arial" w:eastAsia="Arial" w:hAnsi="Arial"/>
          <w:sz w:val="18"/>
          <w:szCs w:val="18"/>
          <w:color w:val="auto"/>
        </w:rPr>
        <w:t>—imposition of regulatory requirements, tariffs, import and export restrictions and other trade barriers and restrictions including the timing and availability of export licenses and permits;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laws and business practices favoring local companies;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difficulties in collecting accounts receivable;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difficulties and costs of staffing and managing foreign operations.</w:t>
      </w:r>
    </w:p>
    <w:p>
      <w:pPr>
        <w:spacing w:after="0" w:line="25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Israel, the United States and foreign countries may implement quotas, duties, taxes or other charges or restrictions upon the importation or exportation of our products, leading to a reduction in sales and profitability in that country. The geographical distance between Israel, the United States, Asia and Europe also creates a number of logistical and communication challenges. We cannot assure you that we will not experience any serious harm in connection with our international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58"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Our ability to retain existing personnel and attract new personnel is in part dependent on the compensation packages we offer. As demand for qualified personnel increases, we may be forced to increase the compensation levels and to adjust the cash, equity and other components of compensation we offer our personnel.</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17" w:name="page18"/>
    <w:bookmarkEnd w:id="17"/>
    <w:p>
      <w:pPr>
        <w:spacing w:after="0" w:line="275" w:lineRule="auto"/>
        <w:rPr>
          <w:sz w:val="20"/>
          <w:szCs w:val="20"/>
          <w:color w:val="auto"/>
        </w:rPr>
      </w:pPr>
      <w:r>
        <w:rPr>
          <w:rFonts w:ascii="Arial" w:cs="Arial" w:eastAsia="Arial" w:hAnsi="Arial"/>
          <w:sz w:val="18"/>
          <w:szCs w:val="18"/>
          <w:b w:val="1"/>
          <w:bCs w:val="1"/>
          <w:color w:val="auto"/>
        </w:rPr>
        <w:t>If Tower does not fully equip Fab 2 and complete the equipment installation, and ramp-up of production in Fab 2 to its full capacity, Tower will not fully utilize the substantial investment made in the construction of Fab 2.</w:t>
      </w:r>
    </w:p>
    <w:p>
      <w:pPr>
        <w:spacing w:after="0" w:line="20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Depending on the process technology and product mix, when fully ramped-up, it is estimated that Fab 2 will be able to achieve capacity levels of approximately 40,000 wafers per month. The full ramp-up of Fab 2 has not been completed to date. Tower’s determination as to the timing of the implementation of the ramp-up of Fab 2 and the increase in Fab 2‘s production levels is dependent on prevailing and forecasted market conditions and its ability to fund these increases. There can be no assurance as to the timing or Tower’s ability to achieve Fab 2 capacity levels of approximately 40,000 wafers per month. The ramp-up of Fab 2 is a substantial and complex project. If Tower cannot fund the further ramp-up of Fab 2 or otherwise successfully complete the ramp-up of Fab 2, it may be unable to meet its customers’ production demands and as a result may lose customers and may not attract new ones. In order to fully ramp-up Fab 2, Tower will need to continue to develop new process technologies in order to suit its customers’ needs. In addition, Tower has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add to its cost and result in Tower not fully utilizing the substantial investment made in the construction of Fab 2, which would adversely affect Tower’s future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Tower may borrow from its banks.</w:t>
      </w:r>
    </w:p>
    <w:p>
      <w:pPr>
        <w:spacing w:after="0" w:line="25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Pursuant to a directive published by the Israel Supervisor of Banks, effective March 31, 2004, Tower may be deemed part of a group of borrowers comprised of the Ofer Brothers Group, the Israel Corporation Ltd.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Tower’s banks exceed these limitations, this would limit the banks’ ability to lend additional money to Tower in the future and may require Tower to return some or all of our outstanding borrowings (which, under Tower’s amended facility agreement with its banks, were approximately $210 million in the aggregate as of September 30, 2009), which may have a material adverse effect on Tower’s business, financial condition and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may be required to repay grants to the Investment Center that it received in connection with Fab 1.</w:t>
      </w:r>
    </w:p>
    <w:p>
      <w:pPr>
        <w:spacing w:after="0" w:line="258"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Tower received grants and tax benefits for Fab 1 under the government of Israel Approved Enterprise program. During 2002, Tower agreed with the Investment Center that if it does not achieve Fab 1 revenues of $90 million for 2003 and $100 million for 2004 and maintains at Fab 1 at least 600 employees for 2003 and 625 employees for 2004, subject to prevailing market conditions, it will, if demanded by the Investment Center, be required to repay the Investment Center up to approximately $2.5 million. Since Tower’s actual level of Fab 1 revenues and employees for 2003 and 2004 were lower than the above mentioned levels, Tower may be required to repay the Investment Center up to approximately $2.5 million.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5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repayment of Tower’s outstanding debentures is subordinated to Tower’s indebtedness to its banks and obligations to secured creditors and Jazz’s repayment of its convertible notes is subordinated to Jazz’s secured indebtedness to its banks.</w:t>
      </w:r>
    </w:p>
    <w:p>
      <w:pPr>
        <w:spacing w:after="0" w:line="20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repayment of Tower’s outstanding debentures is subordinated to (i) the prior payment of approximately $210 million in the aggregate payable to Tower’s banks as of September 30, 2009 under Tower’s amended facility agreement, (ii) any obligations to the Investment Center of the Israeli Ministry of Industry, Trade and Labor related to approximately $165 million in grants received as of September 30, 2009 under the Investment Center’s “Approved Enterprise” program in relation to Fab 2, and (iii) a first ranking charge in favor of SanDisk Corporation, on approximately $10 million of equipment. Tower has not guaranteed any of Jazz’s debt, including Jazz’s debt under its bank loan and Jazz’s debt to its note holders. In addition repayment of Jazz’s convertible notes is subordinated to the prior payment of approximately $24 million payable in regard to Jazz’s secured bank loans as of September 30, 2009. As a result, upon any distribution to Tower or Jazz’s creditors, as applicable, in liquidation or reorganization or similar proceedings, these secured creditors will be entitled to be paid in full before any payment may be made with respect to Tower or Jazz’s outstanding debentures or note holders, as applicable. In any of these circumstances, Tower, or Jazz, as applicable, may not have sufficient assets remaining to pay amounts due on any or all of their respective debentures or notes then outstanding. In addition, neither Tower nor Jazz, as applicable, is permitted under the terms of their respective facility agreements to make a payment on account of their respective debentures or notes, as applicable, if on the date of such payment an “Event of Default” exists under the applicable facility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Tower’s stock price may be volatile in the future.</w:t>
      </w:r>
    </w:p>
    <w:p>
      <w:pPr>
        <w:spacing w:after="0" w:line="258" w:lineRule="exact"/>
        <w:rPr>
          <w:sz w:val="20"/>
          <w:szCs w:val="20"/>
          <w:color w:val="auto"/>
        </w:rPr>
      </w:pPr>
    </w:p>
    <w:p>
      <w:pPr>
        <w:ind w:right="46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Tower’s ordinary shares, regardless of Tower’s actual operating performance.</w:t>
      </w:r>
    </w:p>
    <w:p>
      <w:pPr>
        <w:spacing w:after="0" w:line="22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addition, it is possible that in some future periods Tower’s operating results may be below the expectations of public market analysts and investors. In this event, the price of Tower’s securities may underperform or fall.</w:t>
      </w:r>
    </w:p>
    <w:p>
      <w:pPr>
        <w:spacing w:after="0" w:line="20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Issuance of additional shares pursuant to Tower’s financing plans and arrangements and the terms of outstanding securities which are exercisable or convertible into shares may dilute the interest of Tower’s shareholders. Tower may also issue in the future additional shares and/or securities which are exercisable or convertible into shares.</w:t>
      </w:r>
    </w:p>
    <w:p>
      <w:pPr>
        <w:spacing w:after="0" w:line="186" w:lineRule="exact"/>
        <w:rPr>
          <w:sz w:val="20"/>
          <w:szCs w:val="20"/>
          <w:color w:val="auto"/>
        </w:rPr>
      </w:pPr>
    </w:p>
    <w:p>
      <w:pPr>
        <w:ind w:right="100" w:firstLine="350"/>
        <w:spacing w:after="0" w:line="277" w:lineRule="auto"/>
        <w:rPr>
          <w:sz w:val="20"/>
          <w:szCs w:val="20"/>
          <w:color w:val="auto"/>
        </w:rPr>
      </w:pPr>
      <w:r>
        <w:rPr>
          <w:rFonts w:ascii="Arial" w:cs="Arial" w:eastAsia="Arial" w:hAnsi="Arial"/>
          <w:sz w:val="18"/>
          <w:szCs w:val="18"/>
          <w:color w:val="auto"/>
        </w:rPr>
        <w:t>As of December 20, 2009, Tower had approximately 199.0 million ordinary shares outstanding and has outstanding securities convertible or exercisable into up to approximately 671.0 million additional ordinary shares as follows:</w:t>
      </w:r>
    </w:p>
    <w:p>
      <w:pPr>
        <w:spacing w:after="0" w:line="197" w:lineRule="exact"/>
        <w:rPr>
          <w:sz w:val="20"/>
          <w:szCs w:val="20"/>
          <w:color w:val="auto"/>
        </w:rPr>
      </w:pPr>
    </w:p>
    <w:p>
      <w:pPr>
        <w:ind w:left="1160" w:right="200" w:hanging="567"/>
        <w:spacing w:after="0" w:line="277" w:lineRule="auto"/>
        <w:rPr>
          <w:sz w:val="20"/>
          <w:szCs w:val="20"/>
          <w:color w:val="auto"/>
        </w:rPr>
      </w:pPr>
      <w:r>
        <w:rPr>
          <w:rFonts w:ascii="Arial" w:cs="Arial" w:eastAsia="Arial" w:hAnsi="Arial"/>
          <w:sz w:val="18"/>
          <w:szCs w:val="18"/>
          <w:color w:val="auto"/>
        </w:rPr>
        <w:t>—62.0 million shares issuable on the exercise of employees and directors share options at a weighted average exercise price of $0.98 expiring through 2016;</w:t>
      </w:r>
    </w:p>
    <w:p>
      <w:pPr>
        <w:spacing w:after="0" w:line="197" w:lineRule="exact"/>
        <w:rPr>
          <w:sz w:val="20"/>
          <w:szCs w:val="20"/>
          <w:color w:val="auto"/>
        </w:rPr>
      </w:pPr>
    </w:p>
    <w:p>
      <w:pPr>
        <w:ind w:left="1160" w:right="180" w:hanging="567"/>
        <w:spacing w:after="0" w:line="277" w:lineRule="auto"/>
        <w:rPr>
          <w:sz w:val="20"/>
          <w:szCs w:val="20"/>
          <w:color w:val="auto"/>
        </w:rPr>
      </w:pPr>
      <w:r>
        <w:rPr>
          <w:rFonts w:ascii="Arial" w:cs="Arial" w:eastAsia="Arial" w:hAnsi="Arial"/>
          <w:sz w:val="18"/>
          <w:szCs w:val="18"/>
          <w:color w:val="auto"/>
        </w:rPr>
        <w:t>—95.2 million shares issuable on the exercise of warrants, at exercise prices ranging from $0.74 to $6.17 per share, and expiring through June 2013;</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398.9 million shares issuable upon the conversion, for no additional consideration, of capital notes; and</w:t>
      </w:r>
    </w:p>
    <w:p>
      <w:pPr>
        <w:spacing w:after="0" w:line="252" w:lineRule="exact"/>
        <w:rPr>
          <w:sz w:val="20"/>
          <w:szCs w:val="20"/>
          <w:color w:val="auto"/>
        </w:rPr>
      </w:pPr>
    </w:p>
    <w:p>
      <w:pPr>
        <w:ind w:left="1160" w:right="20" w:hanging="567"/>
        <w:spacing w:after="0" w:line="335"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114.9 million shares issuable upon the conversion of convertible debentures, of which 9.6 million are issuable upon conversion at $1.10 per share through January 2012, 44.2 million are issuable upon conversion at $1.15 per share through December 2011, 30.8 million are issuable upon conversion at $1.06 per share through January 2013 and 30.3 million are issuable upon conversion at $4.07 per share through December 2011.</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ind w:right="80" w:firstLine="341"/>
        <w:spacing w:after="0" w:line="255" w:lineRule="auto"/>
        <w:rPr>
          <w:sz w:val="20"/>
          <w:szCs w:val="20"/>
          <w:color w:val="auto"/>
        </w:rPr>
      </w:pPr>
      <w:r>
        <w:rPr>
          <w:rFonts w:ascii="Arial" w:cs="Arial" w:eastAsia="Arial" w:hAnsi="Arial"/>
          <w:sz w:val="18"/>
          <w:szCs w:val="18"/>
          <w:color w:val="auto"/>
        </w:rPr>
        <w:t>Additionally we are obligated to issue additional shares or convertible securities to Tower’s banks in January 2011 in consideration for reduced interest payments agreed to by such banks and in September 2010 and September 2011 pursuant to the letter agreement signed in August 2009. Issuance of all or a portion of these shares may materially dilute the interests of current shareholders. In addition, we may undertake additional financings in the future and in connection therewith issue shares or securities convertible into, or exercisable for the purchase of, shares, which may materially dilute the holdings of our current shareholders.</w:t>
      </w:r>
    </w:p>
    <w:p>
      <w:pPr>
        <w:spacing w:after="0" w:line="224"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Issuance of shares upon conversion of our outstanding share options, warrants or other convertible securities or the issuance of exercise those securities, or similar equity-based instruments we may issue in the future, you may experience dilution in the net tangible book value of your ordinary shares.</w:t>
      </w:r>
    </w:p>
    <w:p>
      <w:pPr>
        <w:spacing w:after="0" w:line="160"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Market sales of large amounts of Tower’s shares eligible for future sale, or even the perception that such sales may occur, may depress the market price of Tower’s stock and may impair Tower’s ability to raise capital through the sale of our securities and limit the ability of Tower to find financing sources to fund Tower’s long-term debt and other liabilities.</w:t>
      </w:r>
    </w:p>
    <w:p>
      <w:pPr>
        <w:spacing w:after="0" w:line="186"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Market sales of large amounts of Tower’s shares eligible for future sale, or even the perception that such sales may occur, may lower the price of Tower’s ordinary shares. Of Tower’s approximately 199.0 million outstanding ordinary shares as of December 20, 2009, approximately 160.0 million are held by non-affiliates and are freely tradable under US securities laws</w:t>
      </w:r>
      <w:r>
        <w:rPr>
          <w:rFonts w:ascii="Arial" w:cs="Arial" w:eastAsia="Arial" w:hAnsi="Arial"/>
          <w:sz w:val="17"/>
          <w:szCs w:val="17"/>
          <w:i w:val="1"/>
          <w:iCs w:val="1"/>
          <w:color w:val="auto"/>
        </w:rPr>
        <w:t>.</w:t>
      </w:r>
      <w:r>
        <w:rPr>
          <w:rFonts w:ascii="Arial" w:cs="Arial" w:eastAsia="Arial" w:hAnsi="Arial"/>
          <w:sz w:val="17"/>
          <w:szCs w:val="17"/>
          <w:color w:val="auto"/>
        </w:rPr>
        <w:t xml:space="preserve"> The balance are held by affiliates of Tower. Some of these shares are or may be registered for resale and therefore are or could be freely tradable under US securities laws, and the balance would be eligible for sale subject to the volume and manner of sale limitations of Rule 144 promulgated under the US Securities Act of 1933. In addition as described above a substantial number of our ordinary shares are issuable under capital notes, options, warrants and convertible notes. These shares are or may be registered upon demand of the holders or may be sold subject to the volume and manner of sale requirements of Rule 144.</w:t>
      </w:r>
    </w:p>
    <w:p>
      <w:pPr>
        <w:spacing w:after="0" w:line="21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sales of large amounts of Tower’s ordinary shares (or the potential for those sales even if they do not actually occur) may depress the market price of our ordinary shares. This could impair Tower’s ability to raise capital through the sale of our securities and Tower would likely be required to obtain financing from alternative sources in order to fulfill its debt and obligations, which financing may not be available.</w:t>
      </w:r>
    </w:p>
    <w:p>
      <w:pPr>
        <w:spacing w:after="0" w:line="21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Tower’s principal shareholders collectively own a controlling interest in Tower and will be able to exercise their voting rights in ways which may be adverse to the interests of Tower’s other shareholders</w:t>
      </w:r>
    </w:p>
    <w:p>
      <w:pPr>
        <w:spacing w:after="0" w:line="174" w:lineRule="exact"/>
        <w:rPr>
          <w:sz w:val="20"/>
          <w:szCs w:val="20"/>
          <w:color w:val="auto"/>
        </w:rPr>
      </w:pPr>
    </w:p>
    <w:p>
      <w:pPr>
        <w:ind w:right="40" w:firstLine="350"/>
        <w:spacing w:after="0" w:line="253" w:lineRule="auto"/>
        <w:rPr>
          <w:sz w:val="20"/>
          <w:szCs w:val="20"/>
          <w:color w:val="auto"/>
        </w:rPr>
      </w:pPr>
      <w:r>
        <w:rPr>
          <w:rFonts w:ascii="Arial" w:cs="Arial" w:eastAsia="Arial" w:hAnsi="Arial"/>
          <w:sz w:val="18"/>
          <w:szCs w:val="18"/>
          <w:color w:val="auto"/>
        </w:rPr>
        <w:t>As of December 20, 2009, Tower’s major wafer partners and Israel Corp. collectively owned approximately 20% of Tower’s outstanding shares. In the event Israel Corp. were to convert its equity convertible capital notes, Tower’s major wafer partners and Israel Corp. would collectively own approximately 60% of Tower’s outstanding shares. Under Tower’s articles of association, two shareholders holding together 33% of its outstanding shares constitute a quorum for conducting a shareholders’ meeting. If Israel Corp. were to convert its equity convertible capital notes, Tower’s wafer partners and Israel Corp. would constitute a quorum for purposes of conducting a shareholders’ meeting. If only two large shareholders, owning collectively at least 33% of our shares, were to participate in one of Tower’s shareholders’ meetings, these shareholders would determine the outcome of such shareholders’ meeting without the benefit of the participation of the other shareholders. The interests of these shareholders may not be consistent with the interests of Tower’s other shareholders. As a result, these shareholders may exercise voting rights or otherwise influence corporate action in ways that are adverse to the interests of Tower’s other shareholders.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0" w:name="page21"/>
    <w:bookmarkEnd w:id="20"/>
    <w:p>
      <w:pPr>
        <w:ind w:right="160"/>
        <w:spacing w:after="0" w:line="262" w:lineRule="auto"/>
        <w:rPr>
          <w:sz w:val="20"/>
          <w:szCs w:val="20"/>
          <w:color w:val="auto"/>
        </w:rPr>
      </w:pPr>
      <w:r>
        <w:rPr>
          <w:rFonts w:ascii="Arial" w:cs="Arial" w:eastAsia="Arial" w:hAnsi="Arial"/>
          <w:sz w:val="18"/>
          <w:szCs w:val="18"/>
          <w:b w:val="1"/>
          <w:bCs w:val="1"/>
          <w:color w:val="auto"/>
        </w:rPr>
        <w:t>If Tower cannot meet NASDAQ’s continued listing requirements, it will face a delisting process of its ordinary shares, which may have an adverse impact on the liquidity and market price of Tower’s ordinary shares and may limit the ability of Tower to find financing sources to fund Tower’s long-term debt and other liabilities.</w:t>
      </w:r>
    </w:p>
    <w:p>
      <w:pPr>
        <w:spacing w:after="0" w:line="21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Tower’s ordinary shares are currently listed on the Tel Aviv Stock Exchange (TASE) and on NASDAQ Global Market. Under NASDAQ rules, shares can be delisted if the closing bid price of the stock over a 30 consecutive trading-day period is less than $1.00. If we were to fail to comply, we would be required to choose between: (i) delisting from the NASDAQ Global Market; (ii) transferring from the NASDAQ Global Market stock exchange to the NASDAQ Capital Market stock exchange, which would grant us with an additional 180 day period to re-gain compliance with the $1.00 minimum bid price; or (iii) taking other actions to avoid the de-listing of our shares, such as performing a reverse stock split of our shares. A delisting of Tower’s ordinary shares could negatively impact us by reducing our ordinary shares’ liquidity, market price, the number of investors willing to hold or acquire Tower’s ordinary shares and the sources available to finance our long-term debt and other obligations, which would likely require us to seek financing from alternative sources, which may not be available.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Tower’s share price falls below the share’s nominal value we may encounter difficulties raising funds by way of issuance of our ordinary shares</w:t>
      </w:r>
    </w:p>
    <w:p>
      <w:pPr>
        <w:spacing w:after="0" w:line="28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If Tower’s shares trade at a market price that is lower than the share’s nominal value of NIS 1.00 (approximately $0.26 at current exchange rates), it may be difficult to raise funds through the issuance of ordinary shares. The Israeli Companies Law does not allow a company to issue shares at a price lower than the share’s par value unless the company can offset the difference between the nominal value of the share and the market price by moving a portion of its current or accumulated profits (as defined by the Israeli Companies Law) to paid-in capital to make up for such difference. Due to us not having current or accumulated profits, we would most probably not be able to do this, and would, therefore, not be able to issue new ordinary shares at a price below NIS 1.00.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258"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Tower’s Fab-1 and Fab-2 manufacturing facilities and certain of its corporate and sales offices are located in Israel. Accordingly, political, economic and military conditions in Israel may directly affect our business.</w:t>
      </w:r>
    </w:p>
    <w:p>
      <w:pPr>
        <w:spacing w:after="0" w:line="213"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Since the establishment of the State of Israel in 1948, a number of armed conflicts have taken place between Israel and its Arab neighbors. In addition, Israel and companies doing business with Israel have, in the past, been the subject of an economic boycott. Although Israel has entered into various agreements with Egypt, Jordan and the Palestinian Authority, Israel has been and is subject to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make it more difficult for us to raise capital. Furthermore, Tower’s Fab-1 and Fab-2 manufacturing facilities are located exclusively in Israel. We could experience serious disruption of our manufacturing in Israel if acts associated with this conflict result in any serious damage to Tower’s manufacturing facilities. In addition, our business interruption insurance may not adequately compensate us for losses that may occur, and any losses or damages incurred by us could have a material adverse effect on our business.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Israeli personnel to perform military service.</w:t>
      </w:r>
    </w:p>
    <w:p>
      <w:pPr>
        <w:spacing w:after="0" w:line="25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the event of severe unrest or other conflict, Israeli individuals could be required to serve in the military for extended periods of time. In response to increases in terrorist activity, there have been periods of significant call-ups of Israeli military reservists, and it is possible that there will be additional call-ups in the future. Many male Israeli citizens, including most of Tower’s employees, are subject to compulsory military reserve service through middle age. Our operations in Israel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5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Israel has in the past experienced periods of recession in economic activity, resulting in low growth rates and high unemployment. Our operations in Israel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Israeli manufacturing facilities seven days a week is not renewed, our business will be adversely affected.</w:t>
      </w:r>
    </w:p>
    <w:p>
      <w:pPr>
        <w:spacing w:after="0" w:line="275"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We operate our Israeli manufacturing facilities seven days a week pursuant to an exemption from the law that requires businesses in Israel to be closed from sundown on Friday through sundown on Saturday. This exemption expires by its terms on December 31, 2010. If the exemption is not renewed and we are forced to close any or all of the Israeli facilities for this period each week, our financial results and business will be harmed.</w:t>
      </w:r>
    </w:p>
    <w:p>
      <w:pPr>
        <w:spacing w:after="0" w:line="192"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207" w:lineRule="exact"/>
        <w:rPr>
          <w:sz w:val="20"/>
          <w:szCs w:val="20"/>
          <w:color w:val="auto"/>
        </w:rPr>
      </w:pPr>
    </w:p>
    <w:p>
      <w:pPr>
        <w:ind w:right="40" w:firstLine="348"/>
        <w:spacing w:after="0" w:line="285"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any gain recognized by a US Holder on a disposition of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It may be difficult to enforce a US judgment against us, our officers, directors and advisors or to assert US securities law claims in Israel.</w:t>
      </w:r>
    </w:p>
    <w:p>
      <w:pPr>
        <w:spacing w:after="0" w:line="28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Tower is incorporated in Israel. Most of Tower’s executive officers and directors and our Israeli accountants and attorneys are nonresidents of the United States, and a majority of Tower’s assets (excluding its U.S. subsidiaries and their assets) and the assets of these persons are located outside the United States. Therefore, it may be difficult to enforce a judgment obtained in the United States, against Tower or any of these persons, in US or Israeli courts based on the civil liability provisions of the US Federal securities laws, except to the extent that such judgment could be enforced in the U.S. against Tower’s U.S. subsidiaries. Additionally, it may be difficult for you to enforce civil liabilities under US Federal securities laws in original actions instituted in Israel.</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258"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You should not unduly rely on forward-looking statements contained or incorporated by reference in this prospectus. Our actual results and performance may differ materially from those expressed in such forward-looking statements. Forward-looking statements that express our beliefs, plans, objectives, assumptions, future events or performance may involve estimates, assumptions, risks and uncertainties. Such risks and uncertainties are discussed in this prospectus under the heading “Risk Factors”, and in our other filings with the Securities and Exchange Commission, which are also filed with the Israel Securities Authority. You should read and interpret any forward-looking statements together with these documents. Forward-looking statements often, although not always, include words or phrases such as the following: “will likely result,” “are expected to,” “will continue,” “is anticipated,” “estimate,” “intends,” “plans,” “projection” and “outlook.”</w:t>
      </w:r>
    </w:p>
    <w:p>
      <w:pPr>
        <w:spacing w:after="0" w:line="199"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Any forward-looking statement speaks only as of the date on which that statement is made. We will not update, and expressly disclaim any obligation to update, any forward-looking statement to reflect events or circumstances that occur after the date on which such statement is made.</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BY REFERENCE</w:t>
      </w:r>
    </w:p>
    <w:p>
      <w:pPr>
        <w:spacing w:after="0" w:line="24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 xml:space="preserve">We have filed a registration statement on Form F-3 with the Securities and Exchange Commission in connection with this offering. In addition, we file reports with, and furnish information to, the Securities and Exchange Commission. You may read and copy the registration statement and any other documents we have filed at the Securities and Exchange Commission, including any exhibits and schedules, at the Securities and Exchange Commission’s public reference room at 100 F Street N.E., Washington, D.C. 20549. You may call the Securities and Exchange Commission at 1-800-SEC-0330 for further information on this public reference room. As a foreign private issuer, all documents which were filed after November 4, 2002 on the Securities and Exchange Commission’s EDGAR system are available for retrieval on the Securities and Exchange Commission’s website at www.sec.gov. These Securities and Exchange Commission filings are also available to the public on the Israel Securities Authority’s Magna website at </w:t>
      </w:r>
      <w:r>
        <w:rPr>
          <w:rFonts w:ascii="Arial" w:cs="Arial" w:eastAsia="Arial" w:hAnsi="Arial"/>
          <w:sz w:val="16"/>
          <w:szCs w:val="16"/>
          <w:u w:val="single" w:color="auto"/>
          <w:color w:val="auto"/>
        </w:rPr>
        <w:t>www.magna.isa.gov.il</w:t>
      </w:r>
      <w:r>
        <w:rPr>
          <w:rFonts w:ascii="Arial" w:cs="Arial" w:eastAsia="Arial" w:hAnsi="Arial"/>
          <w:sz w:val="16"/>
          <w:szCs w:val="16"/>
          <w:color w:val="auto"/>
        </w:rPr>
        <w:t xml:space="preserve"> and from commercial document retrieval services. We also generally make available on our own web site (www.towersemi.com) our quarterly and year-end financial statements as well as other information.</w:t>
      </w:r>
    </w:p>
    <w:p>
      <w:pPr>
        <w:spacing w:after="0" w:line="19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221"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The following documents filed with the Securities and Exchange Commission by our company are incorporated by reference in this registration statement:</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Annual report on Form 20-F for the year ended December 31, 2008, filed on June 30, 2009.</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May 2009 No. 3 (filed on May 18, 2009).</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2009 No. 8 (filed on August 18, 2009).</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2009 No. 4 (filed on November 13, 2009).</w:t>
      </w:r>
    </w:p>
    <w:p>
      <w:pPr>
        <w:spacing w:after="0" w:line="252" w:lineRule="exact"/>
        <w:rPr>
          <w:sz w:val="20"/>
          <w:szCs w:val="20"/>
          <w:color w:val="auto"/>
        </w:rPr>
      </w:pPr>
    </w:p>
    <w:p>
      <w:pPr>
        <w:ind w:left="1160" w:right="200" w:hanging="567"/>
        <w:spacing w:after="0" w:line="268" w:lineRule="auto"/>
        <w:rPr>
          <w:sz w:val="20"/>
          <w:szCs w:val="20"/>
          <w:color w:val="auto"/>
        </w:rPr>
      </w:pPr>
      <w:r>
        <w:rPr>
          <w:rFonts w:ascii="Arial" w:cs="Arial" w:eastAsia="Arial" w:hAnsi="Arial"/>
          <w:sz w:val="18"/>
          <w:szCs w:val="18"/>
          <w:color w:val="auto"/>
        </w:rPr>
        <w:t>—The description of the Company’s Ordinary Shares which is contained in its Registration Statement on Form 8-A declared effective on October 25, 1994.</w:t>
      </w:r>
    </w:p>
    <w:p>
      <w:pPr>
        <w:spacing w:after="0" w:line="207"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All subsequent annual reports filed by our company pursuant to the Securities Exchange Act of 1934 on Form 20-F prior to the termination of the offering shall be deemed to be incorporated by reference in this prospectus and to be a part hereof from the date of filing of such documents. We may also incorporate any Form 6-K subsequently submitted by us to the Commission (i) after the date of filing of the registration statement on Form F-3 containing this prospectus and prior to the effectiveness of such registration statement, or (ii) after the effectiveness of such registration statement and prior to the termination of the offering, by identifying in such Forms 6-K that they are being incorporated by reference herein, and any Forms 6-K so identified shall be deemed to be incorporated by reference in this prospectus and to be a part hereof from the date of filing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80" w:firstLine="348"/>
        <w:spacing w:after="0" w:line="306" w:lineRule="auto"/>
        <w:rPr>
          <w:sz w:val="20"/>
          <w:szCs w:val="20"/>
          <w:color w:val="auto"/>
        </w:rPr>
      </w:pPr>
      <w:r>
        <w:rPr>
          <w:rFonts w:ascii="Arial" w:cs="Arial" w:eastAsia="Arial" w:hAnsi="Arial"/>
          <w:sz w:val="16"/>
          <w:szCs w:val="16"/>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Arial" w:cs="Arial" w:eastAsia="Arial" w:hAnsi="Arial"/>
          <w:sz w:val="16"/>
          <w:szCs w:val="16"/>
          <w:u w:val="single" w:color="auto"/>
          <w:color w:val="auto"/>
        </w:rPr>
        <w:t>www.towersemi.com</w:t>
      </w:r>
      <w:r>
        <w:rPr>
          <w:rFonts w:ascii="Arial" w:cs="Arial" w:eastAsia="Arial" w:hAnsi="Arial"/>
          <w:sz w:val="16"/>
          <w:szCs w:val="16"/>
          <w:color w:val="auto"/>
        </w:rPr>
        <w:t>. Click on “Investor Relations” and then “Filings.”</w:t>
      </w:r>
    </w:p>
    <w:p>
      <w:pPr>
        <w:spacing w:after="0" w:line="188"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 xml:space="preserve">A copy of this prospectus, our memorandum of association and our articles of association, are available for inspection at our offices at Shaul Amor Street, Ramat Gavriel Industrial Park, Migdal Haemek, 23105 Israel and on the Israel Securities Authority’s Magna website, </w:t>
      </w:r>
      <w:r>
        <w:rPr>
          <w:rFonts w:ascii="Arial" w:cs="Arial" w:eastAsia="Arial" w:hAnsi="Arial"/>
          <w:sz w:val="16"/>
          <w:szCs w:val="16"/>
          <w:u w:val="single" w:color="auto"/>
          <w:color w:val="auto"/>
        </w:rPr>
        <w:t>www.magna.isa.gov.il</w:t>
      </w:r>
      <w:r>
        <w:rPr>
          <w:rFonts w:ascii="Arial" w:cs="Arial" w:eastAsia="Arial" w:hAnsi="Arial"/>
          <w:sz w:val="16"/>
          <w:szCs w:val="16"/>
          <w:color w:val="auto"/>
        </w:rPr>
        <w:t>.</w:t>
      </w:r>
    </w:p>
    <w:p>
      <w:pPr>
        <w:spacing w:after="0" w:line="166"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19"/>
                <w:szCs w:val="19"/>
                <w:color w:val="auto"/>
              </w:rPr>
            </w:pPr>
          </w:p>
        </w:tc>
        <w:tc>
          <w:tcPr>
            <w:tcW w:w="4380" w:type="dxa"/>
            <w:vAlign w:val="bottom"/>
            <w:gridSpan w:val="7"/>
          </w:tcPr>
          <w:p>
            <w:pPr>
              <w:ind w:left="660"/>
              <w:spacing w:after="0"/>
              <w:rPr>
                <w:sz w:val="20"/>
                <w:szCs w:val="20"/>
                <w:color w:val="auto"/>
              </w:rPr>
            </w:pPr>
            <w:r>
              <w:rPr>
                <w:rFonts w:ascii="Arial" w:cs="Arial" w:eastAsia="Arial" w:hAnsi="Arial"/>
                <w:sz w:val="18"/>
                <w:szCs w:val="18"/>
                <w:b w:val="1"/>
                <w:bCs w:val="1"/>
                <w:color w:val="auto"/>
              </w:rPr>
              <w:t>RATIO OF EARNINGS TO FIXED CHARGES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9"/>
        </w:trPr>
        <w:tc>
          <w:tcPr>
            <w:tcW w:w="9040" w:type="dxa"/>
            <w:vAlign w:val="bottom"/>
            <w:gridSpan w:val="11"/>
          </w:tcPr>
          <w:p>
            <w:pPr>
              <w:ind w:left="360"/>
              <w:spacing w:after="0"/>
              <w:rPr>
                <w:sz w:val="20"/>
                <w:szCs w:val="20"/>
                <w:color w:val="auto"/>
              </w:rPr>
            </w:pPr>
            <w:r>
              <w:rPr>
                <w:rFonts w:ascii="Arial" w:cs="Arial" w:eastAsia="Arial" w:hAnsi="Arial"/>
                <w:sz w:val="18"/>
                <w:szCs w:val="18"/>
                <w:color w:val="auto"/>
              </w:rPr>
              <w:t>Our ratio of earnings to fixed charges in accordance with US GAAP for the periods presented are as follows:</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3"/>
        </w:trPr>
        <w:tc>
          <w:tcPr>
            <w:tcW w:w="3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Nine months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32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90"/>
              </w:rPr>
              <w:t>Year Ended December 31,</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2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19"/>
                <w:szCs w:val="19"/>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____</w:t>
            </w:r>
            <w:r>
              <w:rPr>
                <w:rFonts w:ascii="Arial" w:cs="Arial" w:eastAsia="Arial" w:hAnsi="Arial"/>
                <w:sz w:val="12"/>
                <w:szCs w:val="12"/>
                <w:color w:val="auto"/>
              </w:rPr>
              <w:t>(1)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____</w:t>
            </w:r>
            <w:r>
              <w:rPr>
                <w:rFonts w:ascii="Arial" w:cs="Arial" w:eastAsia="Arial" w:hAnsi="Arial"/>
                <w:sz w:val="12"/>
                <w:szCs w:val="12"/>
                <w:color w:val="auto"/>
              </w:rPr>
              <w:t>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____</w:t>
            </w:r>
            <w:r>
              <w:rPr>
                <w:rFonts w:ascii="Arial" w:cs="Arial" w:eastAsia="Arial" w:hAnsi="Arial"/>
                <w:sz w:val="12"/>
                <w:szCs w:val="12"/>
                <w:color w:val="auto"/>
              </w:rPr>
              <w:t>(3)</w:t>
            </w:r>
          </w:p>
        </w:tc>
        <w:tc>
          <w:tcPr>
            <w:tcW w:w="26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____</w:t>
            </w:r>
            <w:r>
              <w:rPr>
                <w:rFonts w:ascii="Arial" w:cs="Arial" w:eastAsia="Arial" w:hAnsi="Arial"/>
                <w:sz w:val="12"/>
                <w:szCs w:val="12"/>
                <w:color w:val="auto"/>
              </w:rPr>
              <w:t>(4)</w:t>
            </w:r>
          </w:p>
        </w:tc>
        <w:tc>
          <w:tcPr>
            <w:tcW w:w="3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____</w:t>
            </w:r>
            <w:r>
              <w:rPr>
                <w:rFonts w:ascii="Arial" w:cs="Arial" w:eastAsia="Arial" w:hAnsi="Arial"/>
                <w:sz w:val="12"/>
                <w:szCs w:val="12"/>
                <w:color w:val="auto"/>
              </w:rPr>
              <w:t>(5)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____</w:t>
            </w:r>
            <w:r>
              <w:rPr>
                <w:rFonts w:ascii="Arial" w:cs="Arial" w:eastAsia="Arial" w:hAnsi="Arial"/>
                <w:sz w:val="12"/>
                <w:szCs w:val="12"/>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79"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Earnings as adjusted were inadequate to cover fixed charges by $96.2 million for the nine months ended September 30, 2009.</w:t>
      </w:r>
    </w:p>
    <w:p>
      <w:pPr>
        <w:spacing w:after="0" w:line="7" w:lineRule="exact"/>
        <w:rPr>
          <w:rFonts w:ascii="Arial" w:cs="Arial" w:eastAsia="Arial" w:hAnsi="Arial"/>
          <w:sz w:val="25"/>
          <w:szCs w:val="25"/>
          <w:color w:val="auto"/>
          <w:vertAlign w:val="superscript"/>
        </w:rPr>
      </w:pPr>
    </w:p>
    <w:p>
      <w:pPr>
        <w:ind w:left="580" w:hanging="572"/>
        <w:spacing w:after="0" w:line="181"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Earnings as adjusted were inadequate to cover fixed charges by $240.2 million in 2008.</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Earnings as adjusted were inadequate to cover fixed charges by $144.3 million in 2007.</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Earnings as adjusted were inadequate to cover fixed charges by $173.6 million in 2006.</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Earnings as adjusted were inadequate to cover fixed charges by $201.7 million in 2005.</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Earnings as adjusted were inadequate to cover fixed charges by $134.2 million in 2004.</w:t>
      </w:r>
    </w:p>
    <w:p>
      <w:pPr>
        <w:spacing w:after="0" w:line="237"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For the purpose of these computations, earnings have been calculated as the sum of (i) pretax income from continuing operations and (ii) amortization of capitalized interest offset by interest capitalized. Fixed charges consist of the sum of (i) interest expensed and capitalized, amortized premiums, discounts and capitalized expenses related to indebtedness and (ii) an estimate of the interest within rental expense (calculated based on a reasonable approximation of the interest factor).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our long-term debt, convertible debentures and capitalization as of September 30, 2009 on an actual basis. The financial data is derived from our unaudited interim financial statements as of September 30, 2009.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Actual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gridSpan w:val="2"/>
          </w:tcPr>
          <w:p>
            <w:pPr>
              <w:spacing w:after="0" w:line="138" w:lineRule="exact"/>
              <w:rPr>
                <w:sz w:val="20"/>
                <w:szCs w:val="20"/>
                <w:color w:val="auto"/>
              </w:rPr>
            </w:pPr>
            <w:r>
              <w:rPr>
                <w:rFonts w:ascii="Arial" w:cs="Arial" w:eastAsia="Arial" w:hAnsi="Arial"/>
                <w:sz w:val="14"/>
                <w:szCs w:val="14"/>
                <w:color w:val="auto"/>
              </w:rPr>
              <w:t>(US dollars in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600" w:type="dxa"/>
            <w:vAlign w:val="bottom"/>
            <w:gridSpan w:val="3"/>
          </w:tcPr>
          <w:p>
            <w:pPr>
              <w:ind w:left="360"/>
              <w:spacing w:after="0"/>
              <w:rPr>
                <w:sz w:val="20"/>
                <w:szCs w:val="20"/>
                <w:color w:val="auto"/>
              </w:rPr>
            </w:pPr>
            <w:r>
              <w:rPr>
                <w:rFonts w:ascii="Arial" w:cs="Arial" w:eastAsia="Arial" w:hAnsi="Arial"/>
                <w:sz w:val="14"/>
                <w:szCs w:val="14"/>
                <w:color w:val="auto"/>
              </w:rPr>
              <w:t>thousands)</w:t>
            </w:r>
          </w:p>
        </w:tc>
        <w:tc>
          <w:tcPr>
            <w:tcW w:w="0" w:type="dxa"/>
            <w:vAlign w:val="bottom"/>
          </w:tcPr>
          <w:p>
            <w:pPr>
              <w:spacing w:after="0"/>
              <w:rPr>
                <w:sz w:val="1"/>
                <w:szCs w:val="1"/>
                <w:color w:val="auto"/>
              </w:rPr>
            </w:pPr>
          </w:p>
        </w:tc>
      </w:tr>
      <w:tr>
        <w:trPr>
          <w:trHeight w:val="568"/>
        </w:trPr>
        <w:tc>
          <w:tcPr>
            <w:tcW w:w="20" w:type="dxa"/>
            <w:vAlign w:val="bottom"/>
            <w:vMerge w:val="restart"/>
          </w:tcPr>
          <w:p>
            <w:pPr>
              <w:spacing w:after="0"/>
              <w:rPr>
                <w:sz w:val="24"/>
                <w:szCs w:val="24"/>
                <w:color w:val="auto"/>
              </w:rPr>
            </w:pPr>
          </w:p>
        </w:tc>
        <w:tc>
          <w:tcPr>
            <w:tcW w:w="560" w:type="dxa"/>
            <w:vAlign w:val="bottom"/>
            <w:gridSpan w:val="2"/>
          </w:tcPr>
          <w:p>
            <w:pPr>
              <w:spacing w:after="0"/>
              <w:rPr>
                <w:sz w:val="24"/>
                <w:szCs w:val="24"/>
                <w:color w:val="auto"/>
              </w:rPr>
            </w:pPr>
          </w:p>
        </w:tc>
        <w:tc>
          <w:tcPr>
            <w:tcW w:w="16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 term bank loan</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Long-term bank loans</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184,687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Convertible debentures excluding current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maturities</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Long-term customers' advances</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12,412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Shareholders' equity (deficit):</w:t>
            </w: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Ordinary Shares, NIS 1.00 par value per share;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1,100,000,000 authorized shares, 188,240,247</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issued shares* and 186,940,247 outstanding</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682,275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notes</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311,472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Equity component of convertible debentures and</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0" w:type="dxa"/>
            <w:vAlign w:val="bottom"/>
            <w:gridSpan w:val="4"/>
          </w:tcPr>
          <w:p>
            <w:pPr>
              <w:ind w:left="40"/>
              <w:spacing w:after="0"/>
              <w:rPr>
                <w:sz w:val="20"/>
                <w:szCs w:val="20"/>
                <w:color w:val="auto"/>
              </w:rPr>
            </w:pPr>
            <w:r>
              <w:rPr>
                <w:rFonts w:ascii="Arial" w:cs="Arial" w:eastAsia="Arial" w:hAnsi="Arial"/>
                <w:sz w:val="18"/>
                <w:szCs w:val="18"/>
                <w:color w:val="auto"/>
              </w:rPr>
              <w:t>cumulative stock based compensation</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21,273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(977,153)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Treasury stock, 1,300,000 shares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73,655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2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7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Includes 1,300,000 treasury shares.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3"/>
          </w:tcPr>
          <w:p>
            <w:pPr>
              <w:ind w:left="160"/>
              <w:spacing w:after="0"/>
              <w:rPr>
                <w:sz w:val="20"/>
                <w:szCs w:val="20"/>
                <w:color w:val="auto"/>
              </w:rPr>
            </w:pPr>
            <w:r>
              <w:rPr>
                <w:rFonts w:ascii="Arial" w:cs="Arial" w:eastAsia="Arial" w:hAnsi="Arial"/>
                <w:sz w:val="18"/>
                <w:szCs w:val="18"/>
                <w:color w:val="auto"/>
                <w:w w:val="94"/>
              </w:rPr>
              <w:t>The information set forth on an actual basis in the foregoing table excludes the following securities as of December 20, 2009:</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160" w:right="160" w:hanging="571"/>
        <w:spacing w:after="0" w:line="268"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27.1 million ordinary shares issuable upon exercise of options granted to employees and directors at a weighted average exercise price of $1.14;</w:t>
      </w:r>
    </w:p>
    <w:p>
      <w:pPr>
        <w:spacing w:after="0" w:line="212" w:lineRule="exact"/>
        <w:rPr>
          <w:rFonts w:ascii="Arial" w:cs="Arial" w:eastAsia="Arial" w:hAnsi="Arial"/>
          <w:sz w:val="18"/>
          <w:szCs w:val="18"/>
          <w:color w:val="auto"/>
        </w:rPr>
      </w:pPr>
    </w:p>
    <w:p>
      <w:pPr>
        <w:ind w:left="1160" w:right="380" w:hanging="571"/>
        <w:spacing w:after="0" w:line="268"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23.4 million ordinary shares issuable upon exercise of options granted to our Chief Executive Officer at a weighted average exercise price of $1.15;</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11.5 million ordinary shares issuable upon exercise of options granted to our Chairman of the Board at an exercise price of $0.29;</w:t>
      </w:r>
    </w:p>
    <w:p>
      <w:pPr>
        <w:spacing w:after="0" w:line="275" w:lineRule="exact"/>
        <w:rPr>
          <w:rFonts w:ascii="Arial" w:cs="Arial" w:eastAsia="Arial" w:hAnsi="Arial"/>
          <w:sz w:val="16"/>
          <w:szCs w:val="16"/>
          <w:color w:val="auto"/>
        </w:rPr>
      </w:pPr>
    </w:p>
    <w:p>
      <w:pPr>
        <w:ind w:left="1160" w:right="460" w:hanging="571"/>
        <w:spacing w:after="0" w:line="268"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5.4 million ordinary shares issuable upon exercise of warrants issued to our banks and Israel Corp. with an exercise price of $2.04 per share exercisable until June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left="580" w:right="120" w:hanging="571"/>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0.9 million ordinary shares issuable upon exercise of warrants issued to our banks in connection with our credit facility with an exercise price of $6.17 per share exercisable until September 2011;</w:t>
      </w:r>
    </w:p>
    <w:p>
      <w:pPr>
        <w:spacing w:after="0" w:line="212" w:lineRule="exact"/>
        <w:rPr>
          <w:rFonts w:ascii="Arial" w:cs="Arial" w:eastAsia="Arial" w:hAnsi="Arial"/>
          <w:sz w:val="18"/>
          <w:szCs w:val="18"/>
          <w:color w:val="auto"/>
        </w:rPr>
      </w:pPr>
    </w:p>
    <w:p>
      <w:pPr>
        <w:ind w:left="580" w:right="120" w:hanging="571"/>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1.1 million ordinary shares issuable upon exercise of warrants issued to our banks in connection with our credit facility with an exercise price of $0.89 per share exercisable until September 2012;</w:t>
      </w:r>
    </w:p>
    <w:p>
      <w:pPr>
        <w:spacing w:after="0" w:line="212" w:lineRule="exact"/>
        <w:rPr>
          <w:rFonts w:ascii="Arial" w:cs="Arial" w:eastAsia="Arial" w:hAnsi="Arial"/>
          <w:sz w:val="18"/>
          <w:szCs w:val="18"/>
          <w:color w:val="auto"/>
        </w:rPr>
      </w:pPr>
    </w:p>
    <w:p>
      <w:pPr>
        <w:ind w:left="580" w:hanging="571"/>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30.8 million ordinary shares issuable upon conversion of our debentures convertible series E until January 2013, issued pursuant to our June 2007 public offering in Israel at conversion rate of approximately $1.1;</w:t>
      </w:r>
    </w:p>
    <w:p>
      <w:pPr>
        <w:spacing w:after="0" w:line="212" w:lineRule="exact"/>
        <w:rPr>
          <w:rFonts w:ascii="Arial" w:cs="Arial" w:eastAsia="Arial" w:hAnsi="Arial"/>
          <w:sz w:val="18"/>
          <w:szCs w:val="18"/>
          <w:color w:val="auto"/>
        </w:rPr>
      </w:pPr>
    </w:p>
    <w:p>
      <w:pPr>
        <w:ind w:left="580" w:right="100" w:hanging="571"/>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8.3 million ordinary shares issuable upon exercise of warrants we issued to our banks with an exercise price of $1.21 in connection with the July 2005 amendment to our facility agreement exercisable until June 2013;</w:t>
      </w:r>
    </w:p>
    <w:p>
      <w:pPr>
        <w:spacing w:after="0" w:line="212" w:lineRule="exact"/>
        <w:rPr>
          <w:rFonts w:ascii="Arial" w:cs="Arial" w:eastAsia="Arial" w:hAnsi="Arial"/>
          <w:sz w:val="18"/>
          <w:szCs w:val="18"/>
          <w:color w:val="auto"/>
        </w:rPr>
      </w:pPr>
    </w:p>
    <w:p>
      <w:pPr>
        <w:ind w:left="580" w:right="380" w:hanging="571"/>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9.6 million ordinary shares issuable upon conversion of our debentures convertible series B until December 2011, pursuant to the prospectus dated December 15, 2005 at conversion rate of $1.1;</w:t>
      </w:r>
    </w:p>
    <w:p>
      <w:pPr>
        <w:spacing w:after="0" w:line="212" w:lineRule="exact"/>
        <w:rPr>
          <w:rFonts w:ascii="Arial" w:cs="Arial" w:eastAsia="Arial" w:hAnsi="Arial"/>
          <w:sz w:val="18"/>
          <w:szCs w:val="18"/>
          <w:color w:val="auto"/>
        </w:rPr>
      </w:pPr>
    </w:p>
    <w:p>
      <w:pPr>
        <w:ind w:left="580" w:right="340" w:hanging="571"/>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398.9 million ordinary shares issuable upon conversion of the equity equivalent convertible capital notes we issued to our banks and to Israel Corp. ;</w:t>
      </w:r>
    </w:p>
    <w:p>
      <w:pPr>
        <w:spacing w:after="0" w:line="212" w:lineRule="exact"/>
        <w:rPr>
          <w:rFonts w:ascii="Arial" w:cs="Arial" w:eastAsia="Arial" w:hAnsi="Arial"/>
          <w:sz w:val="18"/>
          <w:szCs w:val="18"/>
          <w:color w:val="auto"/>
        </w:rPr>
      </w:pPr>
    </w:p>
    <w:p>
      <w:pPr>
        <w:ind w:left="580" w:right="320" w:hanging="571"/>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8 million ordinary shares issuable upon exercise of warrants series 6, with an exercise price of approximately $1.06 per share and exercisable until August 2011;</w:t>
      </w:r>
    </w:p>
    <w:p>
      <w:pPr>
        <w:spacing w:after="0" w:line="212" w:lineRule="exact"/>
        <w:rPr>
          <w:rFonts w:ascii="Arial" w:cs="Arial" w:eastAsia="Arial" w:hAnsi="Arial"/>
          <w:sz w:val="18"/>
          <w:szCs w:val="18"/>
          <w:color w:val="auto"/>
        </w:rPr>
      </w:pPr>
    </w:p>
    <w:p>
      <w:pPr>
        <w:ind w:left="580" w:right="400" w:hanging="571"/>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5.2 million ordinary shares issuable upon exercise of warrants series 5 sold in our private placements completed in November 2006, with an exercise price of approximately $2.5 per share and exercisable until December 2010;</w:t>
      </w:r>
    </w:p>
    <w:p>
      <w:pPr>
        <w:spacing w:after="0" w:line="212" w:lineRule="exact"/>
        <w:rPr>
          <w:rFonts w:ascii="Arial" w:cs="Arial" w:eastAsia="Arial" w:hAnsi="Arial"/>
          <w:sz w:val="18"/>
          <w:szCs w:val="18"/>
          <w:color w:val="auto"/>
        </w:rPr>
      </w:pPr>
    </w:p>
    <w:p>
      <w:pPr>
        <w:ind w:left="580" w:right="220" w:hanging="571"/>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44.2 million ordinary shares issuable upon conversion of our debentures convertible series C until December 2011, issued pursuant to our June 2006 public offering in Israel at conversion rate of approximately $1.15;</w:t>
      </w:r>
    </w:p>
    <w:p>
      <w:pPr>
        <w:spacing w:after="0" w:line="207" w:lineRule="exact"/>
        <w:rPr>
          <w:rFonts w:ascii="Arial" w:cs="Arial" w:eastAsia="Arial" w:hAnsi="Arial"/>
          <w:sz w:val="18"/>
          <w:szCs w:val="18"/>
          <w:color w:val="auto"/>
        </w:rPr>
      </w:pPr>
    </w:p>
    <w:p>
      <w:pPr>
        <w:ind w:left="580" w:right="340" w:hanging="571"/>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6.9 million ordinary shares issuable upon exercise of the warrants series I issued in our March 2007 private placement at exercise price of $0.74 exercisable until March 2012.</w:t>
      </w:r>
    </w:p>
    <w:p>
      <w:pPr>
        <w:spacing w:after="0" w:line="203" w:lineRule="exact"/>
        <w:rPr>
          <w:rFonts w:ascii="Arial" w:cs="Arial" w:eastAsia="Arial" w:hAnsi="Arial"/>
          <w:sz w:val="18"/>
          <w:szCs w:val="18"/>
          <w:color w:val="auto"/>
        </w:rPr>
      </w:pPr>
    </w:p>
    <w:p>
      <w:pPr>
        <w:ind w:left="580" w:right="320" w:hanging="571"/>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59.5 million ordinary shares issuable upon exercise of warrants, with an exercise price of approximately $2.78 per share and exercisable until March 2011; and</w:t>
      </w:r>
    </w:p>
    <w:p>
      <w:pPr>
        <w:spacing w:after="0" w:line="212" w:lineRule="exact"/>
        <w:rPr>
          <w:rFonts w:ascii="Arial" w:cs="Arial" w:eastAsia="Arial" w:hAnsi="Arial"/>
          <w:sz w:val="18"/>
          <w:szCs w:val="18"/>
          <w:color w:val="auto"/>
        </w:rPr>
      </w:pPr>
    </w:p>
    <w:p>
      <w:pPr>
        <w:ind w:left="580" w:hanging="571"/>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30.3 million ordinary shares issuable upon conversion of our debentures convertible until December 2011 at conversion rate of $4.07.</w:t>
      </w:r>
    </w:p>
    <w:p>
      <w:pPr>
        <w:spacing w:after="0" w:line="27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This information does not take into account potential dilutive issuances of securities pursuant to our credit facility agreement and warrants issuable to our banks since the number of shares issuable will depend upon future transactions in which we may engage and/or the market price of our shares and/or other conditions.</w:t>
      </w:r>
    </w:p>
    <w:p>
      <w:pPr>
        <w:spacing w:after="0" w:line="18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820"/>
          </w:cols>
          <w:pgMar w:left="820" w:top="374" w:right="2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PRICE RANGE OF ORDINARY SHARES</w:t>
      </w:r>
    </w:p>
    <w:p>
      <w:pPr>
        <w:spacing w:after="0" w:line="258"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Our ordinary shares are listed and traded on the Nasdaq Global Market under the symbol “TSEM”. In addition, in January 2001, our ordinary shares commenced trading on the Tel Aviv Stock Exchange (TASE) under the symbol “TSEM”.</w:t>
      </w:r>
    </w:p>
    <w:p>
      <w:pPr>
        <w:spacing w:after="0" w:line="213"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reported sales prices of the ordinary shares on the Nasdaq Global Market and Tel Aviv Stock Exchange: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2740" w:type="dxa"/>
            <w:vAlign w:val="bottom"/>
            <w:gridSpan w:val="4"/>
          </w:tcPr>
          <w:p>
            <w:pPr>
              <w:ind w:left="300"/>
              <w:spacing w:after="0"/>
              <w:rPr>
                <w:sz w:val="20"/>
                <w:szCs w:val="20"/>
                <w:color w:val="auto"/>
              </w:rPr>
            </w:pPr>
            <w:r>
              <w:rPr>
                <w:rFonts w:ascii="Arial" w:cs="Arial" w:eastAsia="Arial" w:hAnsi="Arial"/>
                <w:sz w:val="18"/>
                <w:szCs w:val="18"/>
                <w:b w:val="1"/>
                <w:bCs w:val="1"/>
                <w:color w:val="auto"/>
              </w:rPr>
              <w:t>NASDAQ Global Market</w:t>
            </w:r>
          </w:p>
        </w:tc>
        <w:tc>
          <w:tcPr>
            <w:tcW w:w="2600" w:type="dxa"/>
            <w:vAlign w:val="bottom"/>
            <w:gridSpan w:val="4"/>
          </w:tcPr>
          <w:p>
            <w:pPr>
              <w:ind w:left="300"/>
              <w:spacing w:after="0"/>
              <w:rPr>
                <w:sz w:val="20"/>
                <w:szCs w:val="20"/>
                <w:color w:val="auto"/>
              </w:rPr>
            </w:pPr>
            <w:r>
              <w:rPr>
                <w:rFonts w:ascii="Arial" w:cs="Arial" w:eastAsia="Arial" w:hAnsi="Arial"/>
                <w:sz w:val="18"/>
                <w:szCs w:val="18"/>
                <w:b w:val="1"/>
                <w:bCs w:val="1"/>
                <w:color w:val="auto"/>
              </w:rPr>
              <w:t>Tel Aviv Stock Exchange</w:t>
            </w:r>
          </w:p>
        </w:tc>
      </w:tr>
      <w:tr>
        <w:trPr>
          <w:trHeight w:val="223"/>
        </w:trPr>
        <w:tc>
          <w:tcPr>
            <w:tcW w:w="6080" w:type="dxa"/>
            <w:vAlign w:val="bottom"/>
          </w:tcPr>
          <w:p>
            <w:pPr>
              <w:spacing w:after="0"/>
              <w:rPr>
                <w:sz w:val="19"/>
                <w:szCs w:val="19"/>
                <w:color w:val="auto"/>
              </w:rPr>
            </w:pPr>
          </w:p>
        </w:tc>
        <w:tc>
          <w:tcPr>
            <w:tcW w:w="14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High ($)</w:t>
            </w:r>
          </w:p>
        </w:tc>
        <w:tc>
          <w:tcPr>
            <w:tcW w:w="11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Low ($)</w:t>
            </w:r>
          </w:p>
        </w:tc>
        <w:tc>
          <w:tcPr>
            <w:tcW w:w="20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High (NIS)</w:t>
            </w: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Low (NIS)</w:t>
            </w:r>
          </w:p>
        </w:tc>
        <w:tc>
          <w:tcPr>
            <w:tcW w:w="100" w:type="dxa"/>
            <w:vAlign w:val="bottom"/>
          </w:tcPr>
          <w:p>
            <w:pPr>
              <w:spacing w:after="0"/>
              <w:rPr>
                <w:sz w:val="19"/>
                <w:szCs w:val="19"/>
                <w:color w:val="auto"/>
              </w:rPr>
            </w:pPr>
          </w:p>
        </w:tc>
      </w:tr>
      <w:tr>
        <w:trPr>
          <w:trHeight w:val="216"/>
        </w:trPr>
        <w:tc>
          <w:tcPr>
            <w:tcW w:w="608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Period</w:t>
            </w: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580"/>
              <w:spacing w:after="0"/>
              <w:rPr>
                <w:sz w:val="20"/>
                <w:szCs w:val="20"/>
                <w:color w:val="auto"/>
              </w:rPr>
            </w:pPr>
            <w:r>
              <w:rPr>
                <w:rFonts w:ascii="Arial" w:cs="Arial" w:eastAsia="Arial" w:hAnsi="Arial"/>
                <w:sz w:val="18"/>
                <w:szCs w:val="18"/>
                <w:color w:val="auto"/>
              </w:rPr>
              <w:t>Third quarter 2009</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0.33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6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Second quarter 2009</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r>
      <w:tr>
        <w:trPr>
          <w:trHeight w:val="216"/>
        </w:trPr>
        <w:tc>
          <w:tcPr>
            <w:tcW w:w="6080" w:type="dxa"/>
            <w:vAlign w:val="bottom"/>
          </w:tcPr>
          <w:p>
            <w:pPr>
              <w:ind w:left="580"/>
              <w:spacing w:after="0"/>
              <w:rPr>
                <w:sz w:val="20"/>
                <w:szCs w:val="20"/>
                <w:color w:val="auto"/>
              </w:rPr>
            </w:pPr>
            <w:r>
              <w:rPr>
                <w:rFonts w:ascii="Arial" w:cs="Arial" w:eastAsia="Arial" w:hAnsi="Arial"/>
                <w:sz w:val="18"/>
                <w:szCs w:val="18"/>
                <w:color w:val="auto"/>
              </w:rPr>
              <w:t>First quarter 2009</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0.24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6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Fourth quarter 2008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r>
      <w:tr>
        <w:trPr>
          <w:trHeight w:val="216"/>
        </w:trPr>
        <w:tc>
          <w:tcPr>
            <w:tcW w:w="6080" w:type="dxa"/>
            <w:vAlign w:val="bottom"/>
          </w:tcPr>
          <w:p>
            <w:pPr>
              <w:ind w:left="580"/>
              <w:spacing w:after="0"/>
              <w:rPr>
                <w:sz w:val="20"/>
                <w:szCs w:val="20"/>
                <w:color w:val="auto"/>
              </w:rPr>
            </w:pPr>
            <w:r>
              <w:rPr>
                <w:rFonts w:ascii="Arial" w:cs="Arial" w:eastAsia="Arial" w:hAnsi="Arial"/>
                <w:sz w:val="18"/>
                <w:szCs w:val="18"/>
                <w:color w:val="auto"/>
              </w:rPr>
              <w:t>Third quarter 2008</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0.86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6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Second quarter 2008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6080" w:type="dxa"/>
            <w:vAlign w:val="bottom"/>
          </w:tcPr>
          <w:p>
            <w:pPr>
              <w:ind w:left="580"/>
              <w:spacing w:after="0"/>
              <w:rPr>
                <w:sz w:val="20"/>
                <w:szCs w:val="20"/>
                <w:color w:val="auto"/>
              </w:rPr>
            </w:pPr>
            <w:r>
              <w:rPr>
                <w:rFonts w:ascii="Arial" w:cs="Arial" w:eastAsia="Arial" w:hAnsi="Arial"/>
                <w:sz w:val="18"/>
                <w:szCs w:val="18"/>
                <w:color w:val="auto"/>
              </w:rPr>
              <w:t>First quarter 2008</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16"/>
        </w:trPr>
        <w:tc>
          <w:tcPr>
            <w:tcW w:w="6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Fourth quarter 2007</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r>
      <w:tr>
        <w:trPr>
          <w:trHeight w:val="216"/>
        </w:trPr>
        <w:tc>
          <w:tcPr>
            <w:tcW w:w="6080" w:type="dxa"/>
            <w:vAlign w:val="bottom"/>
          </w:tcPr>
          <w:p>
            <w:pPr>
              <w:ind w:left="580"/>
              <w:spacing w:after="0"/>
              <w:rPr>
                <w:sz w:val="20"/>
                <w:szCs w:val="20"/>
                <w:color w:val="auto"/>
              </w:rPr>
            </w:pPr>
            <w:r>
              <w:rPr>
                <w:rFonts w:ascii="Arial" w:cs="Arial" w:eastAsia="Arial" w:hAnsi="Arial"/>
                <w:sz w:val="18"/>
                <w:szCs w:val="18"/>
                <w:color w:val="auto"/>
              </w:rPr>
              <w:t>Third quarter 2007</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r>
      <w:tr>
        <w:trPr>
          <w:trHeight w:val="216"/>
        </w:trPr>
        <w:tc>
          <w:tcPr>
            <w:tcW w:w="6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Second quarter 2007</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r>
      <w:tr>
        <w:trPr>
          <w:trHeight w:val="230"/>
        </w:trPr>
        <w:tc>
          <w:tcPr>
            <w:tcW w:w="6080" w:type="dxa"/>
            <w:vAlign w:val="bottom"/>
          </w:tcPr>
          <w:p>
            <w:pPr>
              <w:ind w:left="580"/>
              <w:spacing w:after="0"/>
              <w:rPr>
                <w:sz w:val="20"/>
                <w:szCs w:val="20"/>
                <w:color w:val="auto"/>
              </w:rPr>
            </w:pPr>
            <w:r>
              <w:rPr>
                <w:rFonts w:ascii="Arial" w:cs="Arial" w:eastAsia="Arial" w:hAnsi="Arial"/>
                <w:sz w:val="18"/>
                <w:szCs w:val="18"/>
                <w:color w:val="auto"/>
              </w:rPr>
              <w:t>First quarter 2007</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-1654810</wp:posOffset>
            </wp:positionV>
            <wp:extent cx="368935" cy="1646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935" cy="1646555"/>
                    </a:xfrm>
                    <a:prstGeom prst="rect">
                      <a:avLst/>
                    </a:prstGeom>
                    <a:noFill/>
                  </pic:spPr>
                </pic:pic>
              </a:graphicData>
            </a:graphic>
          </wp:anchor>
        </w:drawing>
      </w:r>
    </w:p>
    <w:p>
      <w:pPr>
        <w:spacing w:after="0" w:line="16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On December 22, 2009, the last reported sale price of the ordinary shares was $0.991 on the Nasdaq Global Market and NIS 3.79 on the Tel Aviv Stock Exchange.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58"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Unless we state otherwise in a prospectus supplement, we will use the net proceeds from the sale of securities under this prospectus for general corporate purposes. From time to time, we may evaluate the possibility of acquiring businesses, products, equipment tools and technologies, and we may use a portion of the proceeds as consideration for acquisitions. Until we use net proceeds for these purposes, we may invest them in interest-bearing securities.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58"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net tangible book value per share of our equity securities before and after the offering;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amount of the increase in such net tangible book value per share attributable to the cash payments made by purchasers in the offering;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amount of the immediate dilution from the public offering price which will be absorbed by such purchasers.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5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authorized share capital consists of 1.1 billion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22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 The election of an external director also requires that either: (i) this majority include the affirmative vote of at least one-third of the shares held by non-controlling shareholders; or (ii) the total number of shares held by non-controlling shareholders that voted against the election of the nominee external director does not exceed one percent of the aggregate voting rights in the company.</w:t>
      </w:r>
    </w:p>
    <w:p>
      <w:pPr>
        <w:spacing w:after="0" w:line="199"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197"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in general, require the affirmative vote (at a meeting convened upon advance notice of no less than thirty five days) of shareholders present in person or by proxy and holding shares conferring, in the aggregate, at least a majority of the votes actually cast on such resolutions.</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Tower’s registration number at the Israeli Registrar of Companies is 52-004199-7.</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left="360"/>
        <w:spacing w:after="0"/>
        <w:rPr>
          <w:sz w:val="20"/>
          <w:szCs w:val="20"/>
          <w:color w:val="auto"/>
        </w:rPr>
      </w:pPr>
      <w:r>
        <w:rPr>
          <w:rFonts w:ascii="Arial" w:cs="Arial" w:eastAsia="Arial" w:hAnsi="Arial"/>
          <w:sz w:val="18"/>
          <w:szCs w:val="18"/>
          <w:color w:val="auto"/>
        </w:rPr>
        <w:t>The objective stated in our memorandum of association and our articles of association is to engage in any lawful activity.</w:t>
      </w:r>
    </w:p>
    <w:p>
      <w:pPr>
        <w:spacing w:after="0" w:line="25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9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We had 199.0 million ordinary shares outstanding as of December 20, 2009. The above number of outstanding ordinary shares does not include 1.3 million treasury shares held by us through a trustee.</w:t>
      </w:r>
    </w:p>
    <w:p>
      <w:pPr>
        <w:spacing w:after="0" w:line="20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NOTES</w:t>
      </w:r>
    </w:p>
    <w:p>
      <w:pPr>
        <w:spacing w:after="0" w:line="258"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may from time to time offer and sell under this prospectus capital notes, which we sometimes refer to as equity equivalent capital notes. When we offer to sell a particular series of capital notes, we will describe the specific terms of the series in a prospectus supplement. We will also indicate in the prospectus supplement whether the general terms and provisions described in this prospectus apply to a particular series of capital notes.</w:t>
      </w:r>
    </w:p>
    <w:p>
      <w:pPr>
        <w:spacing w:after="0" w:line="18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capital notes are instruments of equity and not debt. Unless otherwise specified in a prospectus supplement, (i) the face amounts of the capital notes will not bear interest nor will they be linked to any index, (ii) the face amounts of the capital notes will only payable by us out of distributions made upon the winding-up, liquidation or dissolution of our company on a pari passu and pro rata basis with the holders of our ordinary shares and (iii) we will have no right to prepay or redeem the equity equivalent capital notes. In addition, the holder may at any time, convert the face amount of the equity equivalent capital notes, in whole or in part, without payment of any additional consideration, into ordinary shares at a conversion price agreed with the holder. The equity equivalent capital notes have no maturity date and the right to convert into shares does not expire.</w:t>
      </w:r>
    </w:p>
    <w:p>
      <w:pPr>
        <w:spacing w:after="0" w:line="20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terms of any particular series of equity equivalent capital notes will be set forth in the purchase agreement with the purchasers and the governing capital note certificate, each of which will be incorporated by reference as an exhibit to the registration statement of which this prospectus forms a part. The foregoing summary of the equity equivalent capital notes is not complete. We encourage you to read the purchase agreement and capital note certificate, because they, and not this summary, will govern your rights as a holder of equity equivalent capital notes.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258"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This prospectus describes the general terms and provisions of the debt securities we may offer and sell by this prospectus. When we offer to sell a particular series of debt securities, we will describe the specific terms of the series in a prospectus supplement. We will also indicate in the prospectus supplement whether the general terms and provisions described in this prospectus apply to a particular series of debt securities.</w:t>
      </w:r>
    </w:p>
    <w:p>
      <w:pPr>
        <w:spacing w:after="0" w:line="155" w:lineRule="exact"/>
        <w:rPr>
          <w:sz w:val="20"/>
          <w:szCs w:val="20"/>
          <w:color w:val="auto"/>
        </w:rPr>
      </w:pPr>
    </w:p>
    <w:p>
      <w:pPr>
        <w:ind w:right="40" w:firstLine="357"/>
        <w:spacing w:after="0" w:line="273" w:lineRule="auto"/>
        <w:rPr>
          <w:sz w:val="20"/>
          <w:szCs w:val="20"/>
          <w:color w:val="auto"/>
        </w:rPr>
      </w:pPr>
      <w:r>
        <w:rPr>
          <w:rFonts w:ascii="Arial" w:cs="Arial" w:eastAsia="Arial" w:hAnsi="Arial"/>
          <w:sz w:val="17"/>
          <w:szCs w:val="17"/>
          <w:color w:val="auto"/>
        </w:rPr>
        <w:t>We may offer under this prospectus up to $50,000,000 in aggregate principal amount of debt securities, or if debt securities are issued at a discount, or in a foreign currency or composite currency, such principal amount as may be sold for an initial offering price of up to $50,000,000. We may offer debt securities in the form of either senior debt securities or subordinated debt securities. The senior debt securities and the subordinated debt securities are together referred to in this prospectus as the “debt securities.” Unless otherwise specified in a prospectus supplement, the senior debt securities will be our direct, unsecured obligations and will rank equally with all of our other unsecured and unsubordinated indebtedness. The subordinated debt securities generally will be entitled to payment only after payment of our senior debt.</w:t>
      </w:r>
    </w:p>
    <w:p>
      <w:pPr>
        <w:spacing w:after="0" w:line="21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debt securities will be issued under an indenture between us and a trustee, the form of which is filed as an exhibit to the registration statement of which this prospectus forms a part. We have summarized the general features of the debt securities to be governed by the indenture. The summary is not complete. The executed indenture will be incorporated by reference from a report on Form 6-K. We encourage you to read the indenture, because the indenture, and not this summary, will govern your rights as a holder of debt securities. Capitalized terms used in this summary will have the meanings specified in the indenture. References to “we,” “us” and “our” in this section, unless the context otherwise requires or as otherwise expressly stated, refer to Tower Semiconductor Ltd., excluding its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58"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or a committee thereof, and set forth or determined in the manner provided in an officers’ certificate or by a supplemental indenture. The particular terms of each series of debt securities will be described in a prospectus supplement relating to such series, including any pricing supplement.</w:t>
      </w:r>
    </w:p>
    <w:p>
      <w:pPr>
        <w:spacing w:after="0" w:line="22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may issue an unlimited amount of debt securities under the indenture, and the debt securities may be in one or more series with the same or various maturities, at par, at a premium or at a discount. Except as set forth in any prospectus supplement, we will also have the right to “reopen” a previous series of debt securities by issuing additional debt securities of such series without the consent of the holders of debt securities of the series being reopened or any other series. Any additional debt securities of the series being reopened will have the same ranking, interest rate, maturity and other terms as the previously issued debt securities of that series. These additional debt securities, together with the previously issued debt securities of that series, will constitute a single series of debt securities under the terms of the applicable indenture.</w:t>
      </w:r>
    </w:p>
    <w:p>
      <w:pPr>
        <w:spacing w:after="0" w:line="20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will set forth in a prospectus supplement, including any pricing supplement, relating to any series of debt securities being offered, the aggregate principal amount and other terms of the debt securities, which will include some or all of the following:</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title;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limit on the amount that may be issued;</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whether or not we will issue the series of debt securities in global form, and, if so, the terms and the name of the depository;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maturity date;</w:t>
      </w:r>
    </w:p>
    <w:p>
      <w:pPr>
        <w:spacing w:after="0" w:line="252" w:lineRule="exact"/>
        <w:rPr>
          <w:sz w:val="20"/>
          <w:szCs w:val="20"/>
          <w:color w:val="auto"/>
        </w:rPr>
      </w:pPr>
    </w:p>
    <w:p>
      <w:pPr>
        <w:ind w:left="1160" w:right="50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whether or not the debt securities will be secured or unsecured, and the terms of any securities;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classification as senior or subordinated debt securities;</w:t>
      </w:r>
    </w:p>
    <w:p>
      <w:pPr>
        <w:spacing w:after="0" w:line="252" w:lineRule="exact"/>
        <w:rPr>
          <w:sz w:val="20"/>
          <w:szCs w:val="20"/>
          <w:color w:val="auto"/>
        </w:rPr>
      </w:pPr>
    </w:p>
    <w:p>
      <w:pPr>
        <w:ind w:left="1160" w:right="56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case of subordinated debt securities, the degree, if any, to which the subordinated debt securities of the series will be senior to or be subordinated to other indebtedness of our in right of payment, whether the other indebtedness is outstanding or not;</w:t>
      </w:r>
    </w:p>
    <w:p>
      <w:pPr>
        <w:spacing w:after="0" w:line="166" w:lineRule="exact"/>
        <w:rPr>
          <w:sz w:val="20"/>
          <w:szCs w:val="20"/>
          <w:color w:val="auto"/>
        </w:rPr>
      </w:pPr>
    </w:p>
    <w:p>
      <w:pPr>
        <w:ind w:left="1160" w:right="60" w:hanging="567"/>
        <w:spacing w:after="0" w:line="256" w:lineRule="auto"/>
        <w:rPr>
          <w:sz w:val="20"/>
          <w:szCs w:val="20"/>
          <w:color w:val="auto"/>
        </w:rPr>
      </w:pPr>
      <w:r>
        <w:rPr>
          <w:rFonts w:ascii="Arial" w:cs="Arial" w:eastAsia="Arial" w:hAnsi="Arial"/>
          <w:sz w:val="18"/>
          <w:szCs w:val="18"/>
          <w:color w:val="auto"/>
        </w:rPr>
        <w:t>—the terms on which any series of debt securities may be convertible into or exchangeable for our common stock or other of our securities, including (a) provisions as to whether conversion or exchange is mandatory, at the option of the holder or at our option and (b) provisions pursuant to which the number of shares of common stock or other securities of ours that the holders of the series of debt securities receive would be subject to adjustment;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place where payments will be payable;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right, if any, to defer payment of interest and the maximum length of any such deferral period;</w:t>
      </w:r>
    </w:p>
    <w:p>
      <w:pPr>
        <w:spacing w:after="0" w:line="252" w:lineRule="exact"/>
        <w:rPr>
          <w:sz w:val="20"/>
          <w:szCs w:val="20"/>
          <w:color w:val="auto"/>
        </w:rPr>
      </w:pPr>
    </w:p>
    <w:p>
      <w:pPr>
        <w:ind w:left="1160" w:right="760" w:hanging="567"/>
        <w:spacing w:after="0" w:line="268" w:lineRule="auto"/>
        <w:rPr>
          <w:sz w:val="20"/>
          <w:szCs w:val="20"/>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21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whether the indenture will restrict our ability to pay dividends, or will require us to maintain any asset ratios or reserves;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whether we will be restricted from incurring any additional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listing of a series of debt securities on a securities exchange or market;</w:t>
      </w:r>
    </w:p>
    <w:p>
      <w:pPr>
        <w:spacing w:after="0" w:line="252" w:lineRule="exact"/>
        <w:rPr>
          <w:sz w:val="20"/>
          <w:szCs w:val="20"/>
          <w:color w:val="auto"/>
        </w:rPr>
      </w:pPr>
    </w:p>
    <w:p>
      <w:pPr>
        <w:ind w:left="1160" w:right="240" w:hanging="567"/>
        <w:spacing w:after="0" w:line="268" w:lineRule="auto"/>
        <w:rPr>
          <w:sz w:val="20"/>
          <w:szCs w:val="20"/>
          <w:color w:val="auto"/>
        </w:rPr>
      </w:pPr>
      <w:r>
        <w:rPr>
          <w:rFonts w:ascii="Arial" w:cs="Arial" w:eastAsia="Arial" w:hAnsi="Arial"/>
          <w:sz w:val="18"/>
          <w:szCs w:val="18"/>
          <w:color w:val="auto"/>
        </w:rPr>
        <w:t>—the denominations in which we will issue the series of debt securities, if other than denominations of $1,000 and any integral multiple thereof; and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other specific terms, preferences, rights or limitations of, or restrictions on, the debt securities.</w:t>
      </w:r>
    </w:p>
    <w:p>
      <w:pPr>
        <w:spacing w:after="0" w:line="25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provide information on the applicable United States and Israeli income tax considerations and other special considerations applicable to any of these debt securities in the applicable prospectus supplement.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374" w:right="279" w:bottom="1440" w:gutter="0" w:footer="0" w:header="0"/>
        </w:sectPr>
      </w:pPr>
    </w:p>
    <w:bookmarkStart w:id="32" w:name="page33"/>
    <w:bookmarkEnd w:id="32"/>
    <w:p>
      <w:pPr>
        <w:ind w:right="100" w:firstLine="351"/>
        <w:spacing w:after="0" w:line="298"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5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debt security will be represented by either one or more global securities registered in the name of The Depositary Trust Company, as Depositary, or a nominee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w:t>
      </w:r>
    </w:p>
    <w:p>
      <w:pPr>
        <w:spacing w:after="0" w:line="188" w:lineRule="exact"/>
        <w:rPr>
          <w:sz w:val="20"/>
          <w:szCs w:val="20"/>
          <w:color w:val="auto"/>
        </w:rPr>
      </w:pPr>
    </w:p>
    <w:p>
      <w:pPr>
        <w:ind w:right="40" w:firstLine="345"/>
        <w:spacing w:after="0" w:line="259" w:lineRule="auto"/>
        <w:rPr>
          <w:sz w:val="20"/>
          <w:szCs w:val="20"/>
          <w:color w:val="auto"/>
        </w:rPr>
      </w:pPr>
      <w:r>
        <w:rPr>
          <w:rFonts w:ascii="Arial" w:cs="Arial" w:eastAsia="Arial" w:hAnsi="Arial"/>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221" w:lineRule="exact"/>
        <w:rPr>
          <w:sz w:val="20"/>
          <w:szCs w:val="20"/>
          <w:color w:val="auto"/>
        </w:rPr>
      </w:pPr>
    </w:p>
    <w:p>
      <w:pPr>
        <w:ind w:right="160" w:firstLine="345"/>
        <w:spacing w:after="0" w:line="259"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and any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58"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undergo a change in control or in the event of a highly leveraged transaction (whether or not such transaction results in a change in control) which could adversely affect holders of debt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5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213" w:lineRule="exact"/>
        <w:rPr>
          <w:sz w:val="20"/>
          <w:szCs w:val="20"/>
          <w:color w:val="auto"/>
        </w:rPr>
      </w:pPr>
    </w:p>
    <w:p>
      <w:pPr>
        <w:ind w:left="1160" w:right="120" w:hanging="567"/>
        <w:spacing w:after="0" w:line="268" w:lineRule="auto"/>
        <w:rPr>
          <w:sz w:val="20"/>
          <w:szCs w:val="20"/>
          <w:color w:val="auto"/>
        </w:rPr>
      </w:pPr>
      <w:r>
        <w:rPr>
          <w:rFonts w:ascii="Arial" w:cs="Arial" w:eastAsia="Arial" w:hAnsi="Arial"/>
          <w:sz w:val="18"/>
          <w:szCs w:val="18"/>
          <w:color w:val="auto"/>
        </w:rPr>
        <w:t>—we are the surviving corporation or the successor person (if other than us) expressly assumes our obligations on the debt securities and under the indenture;</w:t>
      </w:r>
    </w:p>
    <w:p>
      <w:pPr>
        <w:spacing w:after="0" w:line="21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certain other conditions are met, including any additional conditions described in the applicable prospectus supplement.</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Events of Default</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52" w:lineRule="exact"/>
        <w:rPr>
          <w:sz w:val="20"/>
          <w:szCs w:val="20"/>
          <w:color w:val="auto"/>
        </w:rPr>
      </w:pPr>
    </w:p>
    <w:p>
      <w:pPr>
        <w:ind w:left="1160" w:right="20" w:hanging="567"/>
        <w:spacing w:after="0" w:line="259" w:lineRule="auto"/>
        <w:rPr>
          <w:sz w:val="20"/>
          <w:szCs w:val="20"/>
          <w:color w:val="auto"/>
        </w:rPr>
      </w:pPr>
      <w:r>
        <w:rPr>
          <w:rFonts w:ascii="Arial" w:cs="Arial" w:eastAsia="Arial" w:hAnsi="Arial"/>
          <w:sz w:val="18"/>
          <w:szCs w:val="18"/>
          <w:color w:val="auto"/>
        </w:rPr>
        <w:t>—default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default in the payment of principal of or premium on any debt security of that series when due and payable;</w:t>
      </w:r>
    </w:p>
    <w:p>
      <w:pPr>
        <w:spacing w:after="0" w:line="252" w:lineRule="exact"/>
        <w:rPr>
          <w:sz w:val="20"/>
          <w:szCs w:val="20"/>
          <w:color w:val="auto"/>
        </w:rPr>
      </w:pPr>
    </w:p>
    <w:p>
      <w:pPr>
        <w:jc w:val="both"/>
        <w:ind w:left="1160" w:right="20" w:hanging="567"/>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90 days after we receive written notice from the trustee or we and the trustee receive written notice from the holders of not less than a majority in principal amount of the outstanding debt securities of that series as provided in the indenture;</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certain events of bankruptcy, insolvency or reorganization of our company;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other event of default provided with respect to debt securities of that series that is described in the applicable prospectus supplement.</w:t>
      </w:r>
    </w:p>
    <w:p>
      <w:pPr>
        <w:spacing w:after="0" w:line="252"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20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indenture provides that the trustee will be under no obligation to exercise any of its rights or powers under the indenture at the request of any holder of outstanding debt securities,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ind w:right="340" w:firstLine="351"/>
        <w:spacing w:after="0" w:line="26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that holder has previously given to the trustee written notice of a continuing event of default with respect to debt securities of that series; and</w:t>
      </w:r>
    </w:p>
    <w:p>
      <w:pPr>
        <w:spacing w:after="0" w:line="252" w:lineRule="exact"/>
        <w:rPr>
          <w:sz w:val="20"/>
          <w:szCs w:val="20"/>
          <w:color w:val="auto"/>
        </w:rPr>
      </w:pPr>
    </w:p>
    <w:p>
      <w:pPr>
        <w:ind w:left="1160" w:right="440" w:hanging="567"/>
        <w:spacing w:after="0" w:line="256" w:lineRule="auto"/>
        <w:rPr>
          <w:sz w:val="20"/>
          <w:szCs w:val="20"/>
          <w:color w:val="auto"/>
        </w:rPr>
      </w:pPr>
      <w:r>
        <w:rPr>
          <w:rFonts w:ascii="Arial" w:cs="Arial" w:eastAsia="Arial" w:hAnsi="Arial"/>
          <w:sz w:val="18"/>
          <w:szCs w:val="18"/>
          <w:color w:val="auto"/>
        </w:rPr>
        <w:t>—the holders of at least a majority in principal amount of the outstanding debt securities of that series have made written request, and offered reasonable indemnity, to the trustee to institute the proceeding as trustee, and the trustee has not received from the holders of a majority in principal amount of the outstanding debt securities of that series a direction inconsistent with that request and has failed to institute the proceeding within 60 days.</w:t>
      </w:r>
    </w:p>
    <w:p>
      <w:pPr>
        <w:spacing w:after="0" w:line="22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Notwithstanding the foregoing, the holder of any debt security will have an absolute and unconditional right to receive payment of the principal of, and any premium and interest on, that debt security on or after the due dates expressed in that debt security and to institute suit for the enforcement of payment.</w:t>
      </w:r>
    </w:p>
    <w:p>
      <w:pPr>
        <w:spacing w:after="0" w:line="16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58"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 the amount of debt securities whose holders must consent to an amendment or waiver;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reduce the rate of or extend the time for payment of interest (including default interest) on any debt security;</w:t>
      </w:r>
    </w:p>
    <w:p>
      <w:pPr>
        <w:spacing w:after="0" w:line="25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 the principal amount of discount securities payable upon acceleration of maturity;</w:t>
      </w:r>
    </w:p>
    <w:p>
      <w:pPr>
        <w:spacing w:after="0" w:line="252" w:lineRule="exact"/>
        <w:rPr>
          <w:sz w:val="20"/>
          <w:szCs w:val="20"/>
          <w:color w:val="auto"/>
        </w:rPr>
      </w:pPr>
    </w:p>
    <w:p>
      <w:pPr>
        <w:ind w:left="1160" w:hanging="567"/>
        <w:spacing w:after="0" w:line="259" w:lineRule="auto"/>
        <w:rPr>
          <w:sz w:val="20"/>
          <w:szCs w:val="20"/>
          <w:color w:val="auto"/>
        </w:rPr>
      </w:pPr>
      <w:r>
        <w:rPr>
          <w:rFonts w:ascii="Arial" w:cs="Arial" w:eastAsia="Arial" w:hAnsi="Arial"/>
          <w:sz w:val="18"/>
          <w:szCs w:val="18"/>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347" w:right="299" w:bottom="1440" w:gutter="0" w:footer="0" w:header="0"/>
        </w:sectPr>
      </w:pPr>
    </w:p>
    <w:bookmarkStart w:id="35" w:name="page36"/>
    <w:bookmarkEnd w:id="35"/>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make the principal of, or premium or interest on, any debt security payable in currency other than that stated in the debt security;</w:t>
      </w:r>
    </w:p>
    <w:p>
      <w:pPr>
        <w:spacing w:after="0" w:line="252" w:lineRule="exact"/>
        <w:rPr>
          <w:sz w:val="20"/>
          <w:szCs w:val="20"/>
          <w:color w:val="auto"/>
        </w:rPr>
      </w:pPr>
    </w:p>
    <w:p>
      <w:pPr>
        <w:ind w:left="1160" w:hanging="567"/>
        <w:spacing w:after="0" w:line="259" w:lineRule="auto"/>
        <w:rPr>
          <w:sz w:val="20"/>
          <w:szCs w:val="20"/>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waive a redemption payment with respect to any debt security.</w:t>
      </w:r>
    </w:p>
    <w:p>
      <w:pPr>
        <w:spacing w:after="0" w:line="25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premium or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of the debt securities of such series and its consequences, including any related payment default that resulted from the acceleration.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Discharging Our Obligations</w:t>
      </w:r>
    </w:p>
    <w:p>
      <w:pPr>
        <w:spacing w:after="0" w:line="25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choose to either discharge our obligations on the debt securities of any series in a legal defeasance, or to release ourselves from our covenant restrictions on the debt securities of any series in a covenant defeasance. We may do so at any time after we deposit with the trustee sufficient cash or government securities to pay the principal, interest, any premium and any other sums due to the stated maturity date or a redemption date of the debt securities of the series. If we choose the legal defeasance option, the holders of the debt securities of the series will not be entitled to the benefits of the indenture except for registration of transfer and exchange of debt securities, replacement of lost, stolen, destroyed or mutilated debt securities, conversion or exchange of debt securities, sinking fund payments and receipt of principal and interest on the original stated due dates or specified redemption dates.</w:t>
      </w:r>
    </w:p>
    <w:p>
      <w:pPr>
        <w:spacing w:after="0" w:line="20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may discharge our obligations under the indenture or release ourselves from covenant restrictions only if, in addition to making the deposit with the trustee, we meet some specific requirements. Among other things:</w:t>
      </w:r>
    </w:p>
    <w:p>
      <w:pPr>
        <w:spacing w:after="0" w:line="213" w:lineRule="exact"/>
        <w:rPr>
          <w:sz w:val="20"/>
          <w:szCs w:val="20"/>
          <w:color w:val="auto"/>
        </w:rPr>
      </w:pPr>
    </w:p>
    <w:p>
      <w:pPr>
        <w:ind w:left="1160" w:right="80" w:hanging="567"/>
        <w:spacing w:after="0" w:line="259" w:lineRule="auto"/>
        <w:rPr>
          <w:sz w:val="20"/>
          <w:szCs w:val="20"/>
          <w:color w:val="auto"/>
        </w:rPr>
      </w:pPr>
      <w:r>
        <w:rPr>
          <w:rFonts w:ascii="Arial" w:cs="Arial" w:eastAsia="Arial" w:hAnsi="Arial"/>
          <w:sz w:val="18"/>
          <w:szCs w:val="18"/>
          <w:color w:val="auto"/>
        </w:rPr>
        <w:t>—we must deliver an opinion of our legal counsel that the discharge will not result in holders having to recognize taxable income or loss or subject them to different tax treatment. In the case of legal defeasance, this opinion must be based on either an IRS letter ruling or change in federal tax law;</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we may not have a default on the debt securities discharged on the date of deposit;</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discharge may not violate any of our agreements;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discharge may not result in our becoming an investment company in violation of the Investment Company Act of 1940.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Governing Law</w:t>
      </w:r>
    </w:p>
    <w:p>
      <w:pPr>
        <w:spacing w:after="0" w:line="25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without regard to conflict of law principles that would result in the application of any law other than the laws of the State of New York.</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PURCHASE CONTRACTS</w:t>
      </w:r>
    </w:p>
    <w:p>
      <w:pPr>
        <w:spacing w:after="0" w:line="258"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We may issue purchase contracts for the purchase or sale of debt or equity securities (including capital notes) issued by us or securities of third parties, a basket of such securities, an index or indices of such securities or any combination of the above as specified in the applicable prospectus supplement.</w:t>
      </w:r>
    </w:p>
    <w:p>
      <w:pPr>
        <w:spacing w:after="0" w:line="16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20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indenture.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58"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applicable prospectus supplement will describe:</w:t>
      </w:r>
    </w:p>
    <w:p>
      <w:pPr>
        <w:spacing w:after="0" w:line="252" w:lineRule="exact"/>
        <w:rPr>
          <w:sz w:val="20"/>
          <w:szCs w:val="20"/>
          <w:color w:val="auto"/>
        </w:rPr>
      </w:pPr>
    </w:p>
    <w:p>
      <w:pPr>
        <w:ind w:left="1160" w:hanging="567"/>
        <w:spacing w:after="0" w:line="268" w:lineRule="auto"/>
        <w:rPr>
          <w:sz w:val="20"/>
          <w:szCs w:val="20"/>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212" w:lineRule="exact"/>
        <w:rPr>
          <w:sz w:val="20"/>
          <w:szCs w:val="20"/>
          <w:color w:val="auto"/>
        </w:rPr>
      </w:pPr>
    </w:p>
    <w:p>
      <w:pPr>
        <w:ind w:left="1160" w:right="200" w:hanging="567"/>
        <w:spacing w:after="0" w:line="268" w:lineRule="auto"/>
        <w:rPr>
          <w:sz w:val="20"/>
          <w:szCs w:val="20"/>
          <w:color w:val="auto"/>
        </w:rPr>
      </w:pPr>
      <w:r>
        <w:rPr>
          <w:rFonts w:ascii="Arial" w:cs="Arial" w:eastAsia="Arial" w:hAnsi="Arial"/>
          <w:sz w:val="18"/>
          <w:szCs w:val="18"/>
          <w:color w:val="auto"/>
        </w:rPr>
        <w:t>—any material provisions relating to the issuance, payment, settlement, transfer or exchange of the units or of the securities comprising the units; and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material provisions of the governing unit agreement that differ from those described above.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7" w:name="page38"/>
    <w:bookmarkEnd w:id="37"/>
    <w:p>
      <w:pPr>
        <w:jc w:val="center"/>
        <w:ind w:right="-179"/>
        <w:spacing w:after="0"/>
        <w:rPr>
          <w:sz w:val="20"/>
          <w:szCs w:val="20"/>
          <w:color w:val="auto"/>
        </w:rPr>
      </w:pPr>
      <w:r>
        <w:rPr>
          <w:rFonts w:ascii="Arial" w:cs="Arial" w:eastAsia="Arial" w:hAnsi="Arial"/>
          <w:sz w:val="18"/>
          <w:szCs w:val="18"/>
          <w:b w:val="1"/>
          <w:bCs w:val="1"/>
          <w:color w:val="auto"/>
        </w:rPr>
        <w:t>DESCRIPTION OF WARRANTS</w:t>
      </w:r>
    </w:p>
    <w:p>
      <w:pPr>
        <w:spacing w:after="0" w:line="25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warrants to purchase debt or equity securities (including capital notes) or securities of third parties or other rights, including rights to receive payment in cash or securities based on the value, rate or price of one or more specified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the prospectus is being delivered:</w:t>
      </w:r>
    </w:p>
    <w:p>
      <w:pPr>
        <w:spacing w:after="0" w:line="2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title of such warrants;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aggregate number of such warrants;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price or prices at which such warrants will be issued;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currency or currencies, in which the price of such warrants will be payable;</w:t>
      </w:r>
    </w:p>
    <w:p>
      <w:pPr>
        <w:spacing w:after="0" w:line="252" w:lineRule="exact"/>
        <w:rPr>
          <w:sz w:val="20"/>
          <w:szCs w:val="20"/>
          <w:color w:val="auto"/>
        </w:rPr>
      </w:pPr>
    </w:p>
    <w:p>
      <w:pPr>
        <w:ind w:left="1160" w:right="8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date on which the right to exercise such warrants shall commence and the date on which such right shall expire;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applicable, the minimum or maximum amount of such warrants which may be exercised at any one time;</w:t>
      </w:r>
    </w:p>
    <w:p>
      <w:pPr>
        <w:spacing w:after="0" w:line="252" w:lineRule="exact"/>
        <w:rPr>
          <w:sz w:val="20"/>
          <w:szCs w:val="20"/>
          <w:color w:val="auto"/>
        </w:rPr>
      </w:pPr>
    </w:p>
    <w:p>
      <w:pPr>
        <w:ind w:left="1160" w:right="40" w:hanging="567"/>
        <w:spacing w:after="0" w:line="268" w:lineRule="auto"/>
        <w:rPr>
          <w:sz w:val="20"/>
          <w:szCs w:val="20"/>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if applicable, the date on and after which such warrants and the related securities will be separately transferable;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information with respect to book-entry procedures, if any;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material Israeli and U.S. federal income tax consequences;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anti-dilution provisions of the warrants;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other terms of such warrants, including terms, procedures and limitations relating to the exchange and exercise of such warrants.</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25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w:t>
      </w:r>
    </w:p>
    <w:p>
      <w:pPr>
        <w:spacing w:after="0" w:line="19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 under this prospectus in offerings: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through one or more underwriters or dealers;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through other agents;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directly to investors.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price the securities we sell under this prospectus: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at a fixed public offering price or prices, which we may change from time to time;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at market prices prevailing at the times of sale;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at prices calculated by a formula based on prevailing market prices;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at negotiated prices;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a combination of any of the above pricing methods.</w:t>
      </w:r>
    </w:p>
    <w:p>
      <w:pPr>
        <w:spacing w:after="0" w:line="25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we use underwriters for an offering, they will acquire securities for their own account and may resell them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and except as otherwise set forth in the applicable prospectus supplement, the underwriters will be obligated to purchase all the securities of the series offered by the prospectus supplement. The public offering price and any discounts or concessions allowed or re-allowed or paid to dealers may change from time to time. Only underwriters named in a prospectus supplement are underwriters of the securities offered by that prospectus supplement.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right="560" w:firstLine="348"/>
        <w:spacing w:after="0" w:line="259" w:lineRule="auto"/>
        <w:rPr>
          <w:sz w:val="20"/>
          <w:szCs w:val="20"/>
          <w:color w:val="auto"/>
        </w:rPr>
      </w:pPr>
      <w:r>
        <w:rPr>
          <w:rFonts w:ascii="Arial" w:cs="Arial" w:eastAsia="Arial" w:hAnsi="Arial"/>
          <w:sz w:val="18"/>
          <w:szCs w:val="18"/>
          <w:color w:val="auto"/>
        </w:rPr>
        <w:t>We may grant to the underwriters options to purchase additional securities to cover over-allotments, if any, at the public offering price with additional underwriting discounts or commissions. If we grant any over-allotment option, the terms of any over-allotment option will be set forth in the prospectus supplement relating to those securities.</w:t>
      </w:r>
    </w:p>
    <w:p>
      <w:pPr>
        <w:spacing w:after="0" w:line="22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also sell securities directly or through agents. We will name any agent involved in an offering and we will describe any commissions we will pay the agent in the prospectus supplement. Unless the prospectus supplement states otherwise, our agents will act on a best-efforts basis.</w:t>
      </w:r>
    </w:p>
    <w:p>
      <w:pPr>
        <w:spacing w:after="0" w:line="166"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of these contracts and the commissions we must pay for solicitation of these contracts in the prospectus supplement.</w:t>
      </w:r>
    </w:p>
    <w:p>
      <w:pPr>
        <w:spacing w:after="0" w:line="188"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may provide agents and underwriters with indemnification against certain civil liabilities, including liabilities under the Securities Act of 1933, or contribution with respect to payments that the agents or underwriters may make with respect to such liabilities. Underwriters or agents may engage in transactions with us, or perform services for us, in the ordinary course of business. We may also use underwriters or agents with whom we have a material relationship. We will describe the nature of any such relationship in the prospectus supplement.</w:t>
      </w:r>
    </w:p>
    <w:p>
      <w:pPr>
        <w:spacing w:after="0" w:line="224" w:lineRule="exact"/>
        <w:rPr>
          <w:sz w:val="20"/>
          <w:szCs w:val="20"/>
          <w:color w:val="auto"/>
        </w:rPr>
      </w:pPr>
    </w:p>
    <w:p>
      <w:pPr>
        <w:ind w:right="20" w:firstLine="385"/>
        <w:spacing w:after="0" w:line="291" w:lineRule="auto"/>
        <w:rPr>
          <w:sz w:val="20"/>
          <w:szCs w:val="20"/>
          <w:color w:val="auto"/>
        </w:rPr>
      </w:pPr>
      <w:r>
        <w:rPr>
          <w:rFonts w:ascii="Arial" w:cs="Arial" w:eastAsia="Arial" w:hAnsi="Arial"/>
          <w:sz w:val="16"/>
          <w:szCs w:val="16"/>
          <w:color w:val="auto"/>
        </w:rPr>
        <w:t>An underwriter may engage in overallotment, stabilizing transactions, short covering transactions and penalty bids in accordance with Regulation M under the Securities Exchange Act of 1934.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 to reclaim a selling concession from a dealer when the securities originally sold by the dealer are purchased in a covering transaction to cover short positions. These activities may cause the price of our securities to be higher than it would otherwise be on the open market. The underwriter may discontinue any of these activities at any time.</w:t>
      </w:r>
    </w:p>
    <w:p>
      <w:pPr>
        <w:spacing w:after="0" w:line="20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securities we offer, other than ordinary shares, will be new issues of securities, with no established trading market. Underwriters may make a market in these securities, but will not be obligated to do so and may discontinue market making at any time without notice. We cannot guarantee the liquidity of the trading markets for any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1998, we have not declared or paid cash dividends on any of our shares and we have no current intention of paying any cash dividends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facility agreement that we entered into with our banks, as amended, prohibits the payment of dividends.</w:t>
      </w:r>
    </w:p>
    <w:p>
      <w:pPr>
        <w:spacing w:after="0" w:line="246"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Companies Law also restricts our ability to declare dividends. In general, we can only distribute dividends from profits (as defined in the Companies Law), provided that there is no reasonable suspicion that the dividend distribution will prevent us from meeting our existing and future expected obligations as they come due.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OFFERING EXPENSES</w:t>
      </w:r>
    </w:p>
    <w:p>
      <w:pPr>
        <w:spacing w:after="0" w:line="25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following is a statement of expenses in connection with the distribution of the securities registered. All amounts shown are estimates except the SEC registration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fees</w:t>
            </w:r>
          </w:p>
        </w:tc>
        <w:tc>
          <w:tcPr>
            <w:tcW w:w="4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4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Printing expenses</w:t>
            </w:r>
          </w:p>
        </w:tc>
        <w:tc>
          <w:tcPr>
            <w:tcW w:w="4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4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58"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validity of the securities offered in this prospectus will be passed upon for us by Yigal Arnon &amp; Co., our Israeli counsel, and by Eilenberg &amp; Krause LLP, our U.S. counsel. Any underwriters will be advised with respect to other issues relating to any offering by their own legal counsel.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8" w:lineRule="exact"/>
        <w:rPr>
          <w:sz w:val="20"/>
          <w:szCs w:val="20"/>
          <w:color w:val="auto"/>
        </w:rPr>
      </w:pPr>
    </w:p>
    <w:p>
      <w:pPr>
        <w:ind w:right="480" w:firstLine="348"/>
        <w:spacing w:after="0" w:line="298" w:lineRule="auto"/>
        <w:rPr>
          <w:sz w:val="20"/>
          <w:szCs w:val="20"/>
          <w:color w:val="auto"/>
        </w:rPr>
      </w:pPr>
      <w:r>
        <w:rPr>
          <w:rFonts w:ascii="Arial" w:cs="Arial" w:eastAsia="Arial" w:hAnsi="Arial"/>
          <w:sz w:val="16"/>
          <w:szCs w:val="16"/>
          <w:color w:val="auto"/>
        </w:rPr>
        <w:t>The financial statements, incorporated in this Prospectus by reference from the Company’s Annual Report on Form 20-F and the effectiveness of the Company’s internal control over financial reporting have been audited by Brightman Almagor Zohar &amp; Co., a member of Deloitte Touche Tohmatsu,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24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assets are located outside the United States. For further information regarding enforceability of civil liabilities against us and other persons, see “Risk Factors– It may be difficult to enforce a US judgment against us, our officers, directors and advisors or to assert US securities law claims in Israel.”</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2" w:name="page43"/>
    <w:bookmarkEnd w:id="42"/>
    <w:p>
      <w:pPr>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rely only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these securities in any state where the offer is not permitted. You should not assume that the information in this prospectus or any accompanying prospectus supplement is accurate as of any date other than the date on the front of the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128270</wp:posOffset>
            </wp:positionV>
            <wp:extent cx="2040890" cy="694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4089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$50,000,000</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Ordinary Shares</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Capital Notes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Purchase Contracts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Units</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PROSPECTUS</w:t>
      </w:r>
    </w:p>
    <w:p>
      <w:pPr>
        <w:spacing w:after="0" w:line="25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___________, 2009</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347" w:right="299" w:bottom="1440" w:gutter="0" w:footer="0" w:header="0"/>
        </w:sectPr>
      </w:pPr>
    </w:p>
    <w:bookmarkStart w:id="43" w:name="page44"/>
    <w:bookmarkEnd w:id="43"/>
    <w:p>
      <w:pPr>
        <w:ind w:left="328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Israeli Companies Law-1999, or the Companies Law, provides that a company may include in its articles of association provisions allowing it to:</w:t>
      </w:r>
    </w:p>
    <w:p>
      <w:pPr>
        <w:spacing w:after="0" w:line="275" w:lineRule="exact"/>
        <w:rPr>
          <w:sz w:val="20"/>
          <w:szCs w:val="20"/>
          <w:color w:val="auto"/>
        </w:rPr>
      </w:pPr>
    </w:p>
    <w:p>
      <w:pPr>
        <w:ind w:left="580" w:right="20" w:hanging="572"/>
        <w:spacing w:after="0" w:line="259"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his/her responsibility for damages caused by the breach of his/her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580" w:right="300" w:hanging="572"/>
        <w:spacing w:after="0" w:line="268"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his/her capacity as an office holder of the company with respect to the following:</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breach of his/her duty of care to the company or any other person;</w:t>
      </w:r>
    </w:p>
    <w:p>
      <w:pPr>
        <w:spacing w:after="0" w:line="252" w:lineRule="exact"/>
        <w:rPr>
          <w:rFonts w:ascii="Arial" w:cs="Arial" w:eastAsia="Arial" w:hAnsi="Arial"/>
          <w:sz w:val="18"/>
          <w:szCs w:val="18"/>
          <w:color w:val="auto"/>
        </w:rPr>
      </w:pPr>
    </w:p>
    <w:p>
      <w:pPr>
        <w:ind w:left="1160" w:right="240" w:hanging="571"/>
        <w:spacing w:after="0" w:line="268"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breach of his/her fiduciary duty to the company to the extent he/she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him/her in favor of other persons.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160" w:right="80" w:hanging="571"/>
        <w:spacing w:after="0" w:line="259"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 holder in his or her capacity as an office holder of the company;</w:t>
      </w:r>
    </w:p>
    <w:p>
      <w:pPr>
        <w:spacing w:after="0" w:line="221" w:lineRule="exact"/>
        <w:rPr>
          <w:rFonts w:ascii="Arial" w:cs="Arial" w:eastAsia="Arial" w:hAnsi="Arial"/>
          <w:sz w:val="18"/>
          <w:szCs w:val="18"/>
          <w:color w:val="auto"/>
        </w:rPr>
      </w:pPr>
    </w:p>
    <w:p>
      <w:pPr>
        <w:ind w:left="1160" w:hanging="571"/>
        <w:spacing w:after="0" w:line="298" w:lineRule="auto"/>
        <w:tabs>
          <w:tab w:leader="none" w:pos="11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he/she was convicted, in each case by reason of acts or omissions of such office holder in his or her capacity as an office holder; and</w:t>
      </w:r>
    </w:p>
    <w:p>
      <w:pPr>
        <w:spacing w:after="0" w:line="193" w:lineRule="exact"/>
        <w:rPr>
          <w:rFonts w:ascii="Arial" w:cs="Arial" w:eastAsia="Arial" w:hAnsi="Arial"/>
          <w:sz w:val="16"/>
          <w:szCs w:val="16"/>
          <w:color w:val="auto"/>
        </w:rPr>
      </w:pPr>
    </w:p>
    <w:p>
      <w:pPr>
        <w:ind w:left="1160" w:hanging="571"/>
        <w:spacing w:after="0" w:line="291" w:lineRule="auto"/>
        <w:tabs>
          <w:tab w:leader="none" w:pos="11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 holder in his or her capacity as an office holder of the company.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 w:name="page45"/>
    <w:bookmarkEnd w:id="44"/>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213" w:lineRule="exact"/>
        <w:rPr>
          <w:sz w:val="20"/>
          <w:szCs w:val="20"/>
          <w:color w:val="auto"/>
        </w:rPr>
      </w:pPr>
    </w:p>
    <w:p>
      <w:pPr>
        <w:ind w:left="1160" w:right="140" w:hanging="571"/>
        <w:spacing w:after="0" w:line="306"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5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25" w:lineRule="exact"/>
        <w:rPr>
          <w:sz w:val="20"/>
          <w:szCs w:val="20"/>
          <w:color w:val="auto"/>
        </w:rPr>
      </w:pPr>
    </w:p>
    <w:p>
      <w:pPr>
        <w:ind w:left="1160" w:hanging="571"/>
        <w:spacing w:after="0"/>
        <w:tabs>
          <w:tab w:leader="none" w:pos="116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a breach of his/her fiduciary duty, except to the extent described above;</w:t>
      </w:r>
    </w:p>
    <w:p>
      <w:pPr>
        <w:spacing w:after="0" w:line="236" w:lineRule="exact"/>
        <w:rPr>
          <w:rFonts w:ascii="Arial" w:cs="Arial" w:eastAsia="Arial" w:hAnsi="Arial"/>
          <w:sz w:val="27"/>
          <w:szCs w:val="27"/>
          <w:color w:val="auto"/>
          <w:vertAlign w:val="superscript"/>
        </w:rPr>
      </w:pPr>
    </w:p>
    <w:p>
      <w:pPr>
        <w:ind w:left="1160" w:right="480" w:hanging="571"/>
        <w:spacing w:after="0" w:line="203" w:lineRule="auto"/>
        <w:tabs>
          <w:tab w:leader="none" w:pos="116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a breach of his/her duty of care, if such breach was done intentionally, recklessly or with disregard of the circumstances of the breach or its consequences, except if such breach is done only with negligence;</w:t>
      </w:r>
    </w:p>
    <w:p>
      <w:pPr>
        <w:spacing w:after="0" w:line="149" w:lineRule="exact"/>
        <w:rPr>
          <w:rFonts w:ascii="Arial" w:cs="Arial" w:eastAsia="Arial" w:hAnsi="Arial"/>
          <w:sz w:val="27"/>
          <w:szCs w:val="27"/>
          <w:color w:val="auto"/>
          <w:vertAlign w:val="superscript"/>
        </w:rPr>
      </w:pPr>
    </w:p>
    <w:p>
      <w:pPr>
        <w:ind w:left="1160" w:hanging="571"/>
        <w:spacing w:after="0"/>
        <w:tabs>
          <w:tab w:leader="none" w:pos="116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an act or omission done with the intent to unlawfully realize personal gain; or</w:t>
      </w:r>
    </w:p>
    <w:p>
      <w:pPr>
        <w:spacing w:after="0" w:line="148" w:lineRule="exact"/>
        <w:rPr>
          <w:rFonts w:ascii="Arial" w:cs="Arial" w:eastAsia="Arial" w:hAnsi="Arial"/>
          <w:sz w:val="27"/>
          <w:szCs w:val="27"/>
          <w:color w:val="auto"/>
          <w:vertAlign w:val="superscript"/>
        </w:rPr>
      </w:pPr>
    </w:p>
    <w:p>
      <w:pPr>
        <w:ind w:left="1160" w:hanging="571"/>
        <w:spacing w:after="0"/>
        <w:tabs>
          <w:tab w:leader="none" w:pos="116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a fine or monetary settlement imposed upon him/her.</w:t>
      </w:r>
    </w:p>
    <w:p>
      <w:pPr>
        <w:spacing w:after="0" w:line="237"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22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22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9. Exhibits.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Arial" w:cs="Arial" w:eastAsia="Arial" w:hAnsi="Arial"/>
                <w:sz w:val="18"/>
                <w:szCs w:val="18"/>
                <w:color w:val="auto"/>
              </w:rPr>
              <w:t>No.</w:t>
            </w:r>
          </w:p>
        </w:tc>
        <w:tc>
          <w:tcPr>
            <w:tcW w:w="99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478"/>
        </w:trPr>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Underwriting agreement.*</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Articles of Association of the Registrant, approved by shareholders on November 14, 2000, as amended (incorporated by reference to Exhibit</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3.1 of the Registrant's Registration Statement on Form F-1, File No. 333-126909, "Form F-1 No. 333-126909").</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0"/>
              </w:rPr>
              <w:t>Amendment to Articles of Association of the Registrant (incorporated by reference to exhibit 4.2 to the Registration Statement on Form S-8</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No. 333-117565 ("Form S-8 No. 333-117565").</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3.3</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Amendment to the Articles of Association of the Registrant (approved by shareholders on September 28, 2006) (incorporated by reference to</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Exhibit 4.2 of the Registrant’s Registration Statement on Form S-8, File No. 333-138837 (the “2006 Form S-8”).</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3.4</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Amendment to Articles of Association of Registrant (approved by shareholders on September 24, 2008) (incorporated by reference to Exhibit</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3.4 of the Registrant’s Registration Statement on Form S-8, File No. 333-153710 (the “2008 Form S-8”).</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securities purchase agreement.*</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capital note certificate.*</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4.3</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Form of indenture relating to debt securities (incorporated by reference to Exhibit 4.3 of the Registrant's Registration Statement on Form F-3,</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File No. 333-148747).</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4.4</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debt securities.*</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4.5</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purchase contract agreement (including form of purchase contract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4.6</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unit agreement (including form of unit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4.7</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warrant agreement (including form of warrant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5.1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Yigal Arnon &amp; Co., Israeli counsel to the registrant, re legality.**</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5.2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Eilenberg &amp; Krause LLP, U.S. counsel to the registrant, re legality.**</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12.1</w:t>
            </w:r>
          </w:p>
        </w:tc>
        <w:tc>
          <w:tcPr>
            <w:tcW w:w="9960" w:type="dxa"/>
            <w:vAlign w:val="bottom"/>
            <w:gridSpan w:val="2"/>
          </w:tcPr>
          <w:p>
            <w:pPr>
              <w:spacing w:after="0"/>
              <w:rPr>
                <w:sz w:val="20"/>
                <w:szCs w:val="20"/>
                <w:color w:val="auto"/>
              </w:rPr>
            </w:pPr>
            <w:r>
              <w:rPr>
                <w:rFonts w:ascii="Arial" w:cs="Arial" w:eastAsia="Arial" w:hAnsi="Arial"/>
                <w:sz w:val="18"/>
                <w:szCs w:val="18"/>
                <w:color w:val="auto"/>
              </w:rPr>
              <w:t>Statement of Computation of Ratio of Earnings to Fixed Charges.****</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23.1</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Yigal Arnon &amp; Co., included in Exhibit 5.1.**</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23.2</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Eilenberg &amp; Krause LLP, included in Exhibit 5.2.**</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23.3</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Brightman Almagor &amp; Co., independent registered public accounting firm.**</w:t>
            </w:r>
          </w:p>
        </w:tc>
      </w:tr>
      <w:tr>
        <w:trPr>
          <w:trHeight w:val="461"/>
        </w:trPr>
        <w:tc>
          <w:tcPr>
            <w:tcW w:w="1380" w:type="dxa"/>
            <w:vAlign w:val="bottom"/>
            <w:gridSpan w:val="2"/>
          </w:tcPr>
          <w:p>
            <w:pPr>
              <w:spacing w:after="0"/>
              <w:rPr>
                <w:sz w:val="20"/>
                <w:szCs w:val="20"/>
                <w:color w:val="auto"/>
              </w:rPr>
            </w:pPr>
            <w:r>
              <w:rPr>
                <w:rFonts w:ascii="Arial" w:cs="Arial" w:eastAsia="Arial" w:hAnsi="Arial"/>
                <w:sz w:val="18"/>
                <w:szCs w:val="18"/>
                <w:color w:val="auto"/>
              </w:rPr>
              <w:t>24.1</w:t>
            </w:r>
          </w:p>
        </w:tc>
        <w:tc>
          <w:tcPr>
            <w:tcW w:w="996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Signatures page.****</w:t>
            </w:r>
          </w:p>
        </w:tc>
      </w:tr>
      <w:tr>
        <w:trPr>
          <w:trHeight w:val="457"/>
        </w:trPr>
        <w:tc>
          <w:tcPr>
            <w:tcW w:w="1380" w:type="dxa"/>
            <w:vAlign w:val="bottom"/>
            <w:gridSpan w:val="2"/>
          </w:tcPr>
          <w:p>
            <w:pPr>
              <w:spacing w:after="0"/>
              <w:rPr>
                <w:sz w:val="20"/>
                <w:szCs w:val="20"/>
                <w:color w:val="auto"/>
              </w:rPr>
            </w:pPr>
            <w:r>
              <w:rPr>
                <w:rFonts w:ascii="Arial" w:cs="Arial" w:eastAsia="Arial" w:hAnsi="Arial"/>
                <w:sz w:val="18"/>
                <w:szCs w:val="18"/>
                <w:color w:val="auto"/>
              </w:rPr>
              <w:t>25.1</w:t>
            </w:r>
          </w:p>
        </w:tc>
        <w:tc>
          <w:tcPr>
            <w:tcW w:w="9960" w:type="dxa"/>
            <w:vAlign w:val="bottom"/>
            <w:gridSpan w:val="2"/>
          </w:tcPr>
          <w:p>
            <w:pPr>
              <w:spacing w:after="0"/>
              <w:rPr>
                <w:sz w:val="20"/>
                <w:szCs w:val="20"/>
                <w:color w:val="auto"/>
              </w:rPr>
            </w:pPr>
            <w:r>
              <w:rPr>
                <w:rFonts w:ascii="Arial" w:cs="Arial" w:eastAsia="Arial" w:hAnsi="Arial"/>
                <w:sz w:val="18"/>
                <w:szCs w:val="18"/>
                <w:color w:val="auto"/>
              </w:rPr>
              <w:t>Statement of Eligibility of Trustee for Indenture under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3800" w:firstLine="8"/>
        <w:spacing w:after="0" w:line="532" w:lineRule="auto"/>
        <w:tabs>
          <w:tab w:leader="none" w:pos="1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on Form 6-K and incorporated herein by reference. ** Filed herewith.</w:t>
      </w:r>
    </w:p>
    <w:p>
      <w:pPr>
        <w:spacing w:after="0" w:line="1"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incorporated by reference from a subsequent filing in accordance with Section 305(b)(2) of the Trust Indenture Act of 1939.</w:t>
      </w:r>
    </w:p>
    <w:p>
      <w:pPr>
        <w:spacing w:after="0" w:line="246" w:lineRule="exact"/>
        <w:rPr>
          <w:rFonts w:ascii="Arial" w:cs="Arial" w:eastAsia="Arial" w:hAnsi="Arial"/>
          <w:sz w:val="18"/>
          <w:szCs w:val="18"/>
          <w:color w:val="auto"/>
        </w:rPr>
      </w:pPr>
    </w:p>
    <w:p>
      <w:pPr>
        <w:ind w:left="420" w:hanging="412"/>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10. Undertakings.</w:t>
      </w:r>
    </w:p>
    <w:p>
      <w:pPr>
        <w:spacing w:after="0" w:line="258" w:lineRule="exact"/>
        <w:rPr>
          <w:sz w:val="20"/>
          <w:szCs w:val="20"/>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1320" w:hanging="556"/>
        <w:spacing w:after="0"/>
        <w:tabs>
          <w:tab w:leader="none" w:pos="13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840" w:hanging="508"/>
        <w:spacing w:after="0"/>
        <w:tabs>
          <w:tab w:leader="none" w:pos="184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60" w:right="60" w:firstLine="172"/>
        <w:spacing w:after="0" w:line="290" w:lineRule="auto"/>
        <w:tabs>
          <w:tab w:leader="none" w:pos="1898" w:val="left"/>
        </w:tabs>
        <w:numPr>
          <w:ilvl w:val="2"/>
          <w:numId w:val="3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1160" w:right="260" w:firstLine="172"/>
        <w:spacing w:after="0" w:line="268" w:lineRule="auto"/>
        <w:tabs>
          <w:tab w:leader="none" w:pos="1947" w:val="left"/>
        </w:tabs>
        <w:numPr>
          <w:ilvl w:val="2"/>
          <w:numId w:val="3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29" w:lineRule="exact"/>
        <w:rPr>
          <w:sz w:val="20"/>
          <w:szCs w:val="20"/>
          <w:color w:val="auto"/>
        </w:rPr>
      </w:pPr>
    </w:p>
    <w:p>
      <w:pPr>
        <w:ind w:left="1160" w:right="220" w:firstLine="351"/>
        <w:spacing w:after="0" w:line="25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paragraphs (a)(1)(i), (a)(1)(ii) and (a)(1)(iii) of this section do not apply if the registration statement is on Form S-3 or</w:t>
      </w:r>
      <w:r>
        <w:rPr>
          <w:rFonts w:ascii="Arial" w:cs="Arial" w:eastAsia="Arial" w:hAnsi="Arial"/>
          <w:sz w:val="18"/>
          <w:szCs w:val="18"/>
          <w:i w:val="1"/>
          <w:iCs w:val="1"/>
          <w:color w:val="auto"/>
        </w:rPr>
        <w:t xml:space="preserve"> </w:t>
      </w:r>
      <w:r>
        <w:rPr>
          <w:rFonts w:ascii="Arial" w:cs="Arial" w:eastAsia="Arial" w:hAnsi="Arial"/>
          <w:sz w:val="18"/>
          <w:szCs w:val="18"/>
          <w:color w:val="auto"/>
        </w:rPr>
        <w:t>Form F-3 and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224" w:lineRule="exact"/>
        <w:rPr>
          <w:sz w:val="20"/>
          <w:szCs w:val="20"/>
          <w:color w:val="auto"/>
        </w:rPr>
      </w:pPr>
    </w:p>
    <w:p>
      <w:pPr>
        <w:jc w:val="both"/>
        <w:ind w:left="580" w:right="180" w:firstLine="184"/>
        <w:spacing w:after="0" w:line="259" w:lineRule="auto"/>
        <w:tabs>
          <w:tab w:leader="none" w:pos="13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80" w:right="640" w:firstLine="184"/>
        <w:spacing w:after="0" w:line="268" w:lineRule="auto"/>
        <w:tabs>
          <w:tab w:leader="none" w:pos="13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80" w:firstLine="184"/>
        <w:spacing w:after="0" w:line="288" w:lineRule="auto"/>
        <w:tabs>
          <w:tab w:leader="none" w:pos="130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as amended,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as amended, or Rule 3-19 of Regulation S-K if such financial statements and information are contained in periodic reports filed with or furnished to the SEC by the Registrant pursuant to Section 13 or Section 15(d) of the Securities Exchange Act of 1934, as amended, that are incorporated by reference in this Form F-3.</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ind w:left="740" w:hanging="55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60" w:hanging="508"/>
        <w:spacing w:after="0"/>
        <w:tabs>
          <w:tab w:leader="none" w:pos="12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40" w:firstLine="179"/>
        <w:spacing w:after="0" w:line="268" w:lineRule="auto"/>
        <w:tabs>
          <w:tab w:leader="none" w:pos="1910" w:val="left"/>
        </w:tabs>
        <w:numPr>
          <w:ilvl w:val="3"/>
          <w:numId w:val="3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140" w:right="60" w:firstLine="179"/>
        <w:spacing w:after="0" w:line="286" w:lineRule="auto"/>
        <w:tabs>
          <w:tab w:leader="none" w:pos="1901" w:val="left"/>
        </w:tabs>
        <w:numPr>
          <w:ilvl w:val="3"/>
          <w:numId w:val="39"/>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580" w:right="20" w:firstLine="172"/>
        <w:spacing w:after="0" w:line="290" w:lineRule="auto"/>
        <w:tabs>
          <w:tab w:leader="none" w:pos="1321" w:val="left"/>
        </w:tabs>
        <w:numPr>
          <w:ilvl w:val="2"/>
          <w:numId w:val="39"/>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right="40" w:firstLine="184"/>
        <w:spacing w:after="0" w:line="255" w:lineRule="auto"/>
        <w:tabs>
          <w:tab w:leader="none" w:pos="7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780" w:hanging="204"/>
        <w:spacing w:after="0"/>
        <w:tabs>
          <w:tab w:leader="none" w:pos="7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580" w:right="480" w:hanging="4"/>
        <w:spacing w:after="0" w:line="268" w:lineRule="auto"/>
        <w:tabs>
          <w:tab w:leader="none" w:pos="83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0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800"/>
          </w:cols>
          <w:pgMar w:left="820" w:top="374" w:right="279" w:bottom="1440" w:gutter="0" w:footer="0" w:header="0"/>
        </w:sectPr>
      </w:pPr>
    </w:p>
    <w:bookmarkStart w:id="48" w:name="page49"/>
    <w:bookmarkEnd w:id="48"/>
    <w:p>
      <w:pPr>
        <w:ind w:left="1152" w:right="80" w:hanging="4"/>
        <w:spacing w:after="0" w:line="268" w:lineRule="auto"/>
        <w:tabs>
          <w:tab w:leader="none" w:pos="1459"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452" w:hanging="304"/>
        <w:spacing w:after="0"/>
        <w:tabs>
          <w:tab w:leader="none" w:pos="1452"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8" w:right="100" w:firstLine="184"/>
        <w:spacing w:after="0" w:line="255" w:lineRule="auto"/>
        <w:tabs>
          <w:tab w:leader="none" w:pos="7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23" w:lineRule="exact"/>
        <w:rPr>
          <w:rFonts w:ascii="Arial" w:cs="Arial" w:eastAsia="Arial" w:hAnsi="Arial"/>
          <w:sz w:val="18"/>
          <w:szCs w:val="18"/>
          <w:color w:val="auto"/>
        </w:rPr>
      </w:pPr>
    </w:p>
    <w:p>
      <w:pPr>
        <w:ind w:left="-8" w:right="160" w:firstLine="184"/>
        <w:spacing w:after="0" w:line="312" w:lineRule="auto"/>
        <w:tabs>
          <w:tab w:leader="none" w:pos="714" w:val="left"/>
        </w:tabs>
        <w:numPr>
          <w:ilvl w:val="1"/>
          <w:numId w:val="41"/>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6" w:lineRule="exact"/>
        <w:rPr>
          <w:rFonts w:ascii="Arial" w:cs="Arial" w:eastAsia="Arial" w:hAnsi="Arial"/>
          <w:sz w:val="15"/>
          <w:szCs w:val="15"/>
          <w:color w:val="auto"/>
        </w:rPr>
      </w:pPr>
    </w:p>
    <w:p>
      <w:pPr>
        <w:ind w:left="732" w:hanging="556"/>
        <w:spacing w:after="0"/>
        <w:tabs>
          <w:tab w:leader="none" w:pos="73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ind w:left="1152" w:firstLine="172"/>
        <w:spacing w:after="0" w:line="256" w:lineRule="auto"/>
        <w:tabs>
          <w:tab w:leader="none" w:pos="1844" w:val="left"/>
        </w:tabs>
        <w:numPr>
          <w:ilvl w:val="3"/>
          <w:numId w:val="4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left="1152" w:right="140" w:firstLine="172"/>
        <w:spacing w:after="0" w:line="259" w:lineRule="auto"/>
        <w:tabs>
          <w:tab w:leader="none" w:pos="1893" w:val="left"/>
        </w:tabs>
        <w:numPr>
          <w:ilvl w:val="3"/>
          <w:numId w:val="4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712" w:hanging="536"/>
        <w:spacing w:after="0"/>
        <w:tabs>
          <w:tab w:leader="none" w:pos="712"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38" w:lineRule="exact"/>
        <w:rPr>
          <w:rFonts w:ascii="Arial" w:cs="Arial" w:eastAsia="Arial" w:hAnsi="Arial"/>
          <w:sz w:val="16"/>
          <w:szCs w:val="16"/>
          <w:color w:val="auto"/>
        </w:rPr>
      </w:pPr>
    </w:p>
    <w:p>
      <w:pPr>
        <w:ind w:left="-8" w:right="180" w:firstLine="8"/>
        <w:spacing w:after="0" w:line="261" w:lineRule="auto"/>
        <w:tabs>
          <w:tab w:leader="none" w:pos="2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 Section 310 of the Trust Indenture Act in accordance with the rules and regulations prescribed by the SEC under Section 305(b)(2) of the Trust Indenture Act.</w:t>
      </w:r>
    </w:p>
    <w:p>
      <w:pPr>
        <w:spacing w:after="0" w:line="18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72"/>
          </w:cols>
          <w:pgMar w:left="248" w:top="374" w:right="27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Amendment No.1 to Registration Statement on Form F-3 to be signed on its behalf by the undersigned, thereunto duly authorized, in the City of Migdal Haemek, Israel, on December 23, 2009.</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r>
        <w:rPr>
          <w:rFonts w:ascii="Arial" w:cs="Arial" w:eastAsia="Arial" w:hAnsi="Arial"/>
          <w:sz w:val="18"/>
          <w:szCs w:val="18"/>
          <w:color w:val="auto"/>
        </w:rPr>
        <w:t>.</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4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37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TITLE</w:t>
            </w:r>
          </w:p>
        </w:tc>
        <w:tc>
          <w:tcPr>
            <w:tcW w:w="45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DATE</w:t>
            </w:r>
          </w:p>
        </w:tc>
      </w:tr>
      <w:tr>
        <w:trPr>
          <w:trHeight w:val="445"/>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620"/>
              <w:spacing w:after="0"/>
              <w:rPr>
                <w:sz w:val="20"/>
                <w:szCs w:val="20"/>
                <w:color w:val="auto"/>
              </w:rPr>
            </w:pPr>
            <w:r>
              <w:rPr>
                <w:rFonts w:ascii="Arial" w:cs="Arial" w:eastAsia="Arial" w:hAnsi="Arial"/>
                <w:sz w:val="18"/>
                <w:szCs w:val="18"/>
                <w:color w:val="auto"/>
              </w:rPr>
              <w:t>Chairman of the Board</w:t>
            </w:r>
          </w:p>
        </w:tc>
        <w:tc>
          <w:tcPr>
            <w:tcW w:w="4520" w:type="dxa"/>
            <w:vAlign w:val="bottom"/>
          </w:tcPr>
          <w:p>
            <w:pPr>
              <w:ind w:left="1940"/>
              <w:spacing w:after="0"/>
              <w:rPr>
                <w:sz w:val="20"/>
                <w:szCs w:val="20"/>
                <w:color w:val="auto"/>
              </w:rPr>
            </w:pPr>
            <w:r>
              <w:rPr>
                <w:rFonts w:ascii="Arial" w:cs="Arial" w:eastAsia="Arial" w:hAnsi="Arial"/>
                <w:sz w:val="18"/>
                <w:szCs w:val="18"/>
                <w:color w:val="auto"/>
              </w:rPr>
              <w:t>December 23, 2009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Amir Elstein</w:t>
            </w:r>
          </w:p>
        </w:tc>
        <w:tc>
          <w:tcPr>
            <w:tcW w:w="37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45"/>
        </w:trPr>
        <w:tc>
          <w:tcPr>
            <w:tcW w:w="3160" w:type="dxa"/>
            <w:vAlign w:val="bottom"/>
          </w:tcPr>
          <w:p>
            <w:pPr>
              <w:spacing w:after="0"/>
              <w:rPr>
                <w:sz w:val="20"/>
                <w:szCs w:val="20"/>
                <w:color w:val="auto"/>
              </w:rPr>
            </w:pPr>
            <w:r>
              <w:rPr>
                <w:rFonts w:ascii="Arial" w:cs="Arial" w:eastAsia="Arial" w:hAnsi="Arial"/>
                <w:sz w:val="18"/>
                <w:szCs w:val="18"/>
                <w:color w:val="auto"/>
              </w:rPr>
              <w:t>/s/ Russell C. Ellwanger</w:t>
            </w:r>
          </w:p>
        </w:tc>
        <w:tc>
          <w:tcPr>
            <w:tcW w:w="3740" w:type="dxa"/>
            <w:vAlign w:val="bottom"/>
          </w:tcPr>
          <w:p>
            <w:pPr>
              <w:ind w:left="620"/>
              <w:spacing w:after="0"/>
              <w:rPr>
                <w:sz w:val="20"/>
                <w:szCs w:val="20"/>
                <w:color w:val="auto"/>
              </w:rPr>
            </w:pPr>
            <w:r>
              <w:rPr>
                <w:rFonts w:ascii="Arial" w:cs="Arial" w:eastAsia="Arial" w:hAnsi="Arial"/>
                <w:sz w:val="18"/>
                <w:szCs w:val="18"/>
                <w:color w:val="auto"/>
              </w:rPr>
              <w:t>Chairman of the Board</w:t>
            </w:r>
          </w:p>
        </w:tc>
        <w:tc>
          <w:tcPr>
            <w:tcW w:w="4520" w:type="dxa"/>
            <w:vAlign w:val="bottom"/>
          </w:tcPr>
          <w:p>
            <w:pPr>
              <w:ind w:left="1940"/>
              <w:spacing w:after="0"/>
              <w:rPr>
                <w:sz w:val="20"/>
                <w:szCs w:val="20"/>
                <w:color w:val="auto"/>
              </w:rPr>
            </w:pPr>
            <w:r>
              <w:rPr>
                <w:rFonts w:ascii="Arial" w:cs="Arial" w:eastAsia="Arial" w:hAnsi="Arial"/>
                <w:sz w:val="18"/>
                <w:szCs w:val="18"/>
                <w:color w:val="auto"/>
              </w:rPr>
              <w:t>December 23, 2009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Russell C. Ellwanger</w:t>
            </w:r>
          </w:p>
        </w:tc>
        <w:tc>
          <w:tcPr>
            <w:tcW w:w="37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51"/>
        </w:trPr>
        <w:tc>
          <w:tcPr>
            <w:tcW w:w="3160" w:type="dxa"/>
            <w:vAlign w:val="bottom"/>
          </w:tcPr>
          <w:p>
            <w:pPr>
              <w:spacing w:after="0"/>
              <w:rPr>
                <w:sz w:val="20"/>
                <w:szCs w:val="20"/>
                <w:color w:val="auto"/>
              </w:rPr>
            </w:pPr>
            <w:r>
              <w:rPr>
                <w:rFonts w:ascii="Arial" w:cs="Arial" w:eastAsia="Arial" w:hAnsi="Arial"/>
                <w:sz w:val="18"/>
                <w:szCs w:val="18"/>
                <w:color w:val="auto"/>
              </w:rPr>
              <w:t>/s/ Oren Shirazi</w:t>
            </w:r>
          </w:p>
        </w:tc>
        <w:tc>
          <w:tcPr>
            <w:tcW w:w="3740" w:type="dxa"/>
            <w:vAlign w:val="bottom"/>
          </w:tcPr>
          <w:p>
            <w:pPr>
              <w:spacing w:after="0"/>
              <w:rPr>
                <w:sz w:val="24"/>
                <w:szCs w:val="24"/>
                <w:color w:val="auto"/>
              </w:rPr>
            </w:pPr>
          </w:p>
        </w:tc>
        <w:tc>
          <w:tcPr>
            <w:tcW w:w="4520" w:type="dxa"/>
            <w:vAlign w:val="bottom"/>
          </w:tcPr>
          <w:p>
            <w:pPr>
              <w:ind w:left="1940"/>
              <w:spacing w:after="0"/>
              <w:rPr>
                <w:sz w:val="20"/>
                <w:szCs w:val="20"/>
                <w:color w:val="auto"/>
              </w:rPr>
            </w:pPr>
            <w:r>
              <w:rPr>
                <w:rFonts w:ascii="Arial" w:cs="Arial" w:eastAsia="Arial" w:hAnsi="Arial"/>
                <w:sz w:val="18"/>
                <w:szCs w:val="18"/>
                <w:color w:val="auto"/>
              </w:rPr>
              <w:t>December 23, 2009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620"/>
              <w:spacing w:after="0"/>
              <w:rPr>
                <w:sz w:val="20"/>
                <w:szCs w:val="20"/>
                <w:color w:val="auto"/>
              </w:rPr>
            </w:pPr>
            <w:r>
              <w:rPr>
                <w:rFonts w:ascii="Arial" w:cs="Arial" w:eastAsia="Arial" w:hAnsi="Arial"/>
                <w:sz w:val="18"/>
                <w:szCs w:val="18"/>
                <w:color w:val="auto"/>
              </w:rPr>
              <w:t>Chief Financial Officer (Principal</w:t>
            </w:r>
          </w:p>
        </w:tc>
        <w:tc>
          <w:tcPr>
            <w:tcW w:w="452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Oren Shirazi</w:t>
            </w:r>
          </w:p>
        </w:tc>
        <w:tc>
          <w:tcPr>
            <w:tcW w:w="3740" w:type="dxa"/>
            <w:vAlign w:val="bottom"/>
          </w:tcPr>
          <w:p>
            <w:pPr>
              <w:ind w:left="620"/>
              <w:spacing w:after="0"/>
              <w:rPr>
                <w:sz w:val="20"/>
                <w:szCs w:val="20"/>
                <w:color w:val="auto"/>
              </w:rPr>
            </w:pPr>
            <w:r>
              <w:rPr>
                <w:rFonts w:ascii="Arial" w:cs="Arial" w:eastAsia="Arial" w:hAnsi="Arial"/>
                <w:sz w:val="18"/>
                <w:szCs w:val="18"/>
                <w:color w:val="auto"/>
              </w:rPr>
              <w:t>Financial Officer and Principal</w:t>
            </w:r>
          </w:p>
        </w:tc>
        <w:tc>
          <w:tcPr>
            <w:tcW w:w="4520" w:type="dxa"/>
            <w:vAlign w:val="bottom"/>
          </w:tcPr>
          <w:p>
            <w:pPr>
              <w:spacing w:after="0"/>
              <w:rPr>
                <w:sz w:val="18"/>
                <w:szCs w:val="18"/>
                <w:color w:val="auto"/>
              </w:rPr>
            </w:pPr>
          </w:p>
        </w:tc>
      </w:tr>
      <w:tr>
        <w:trPr>
          <w:trHeight w:val="222"/>
        </w:trPr>
        <w:tc>
          <w:tcPr>
            <w:tcW w:w="3160" w:type="dxa"/>
            <w:vAlign w:val="bottom"/>
          </w:tcPr>
          <w:p>
            <w:pPr>
              <w:spacing w:after="0"/>
              <w:rPr>
                <w:sz w:val="19"/>
                <w:szCs w:val="19"/>
                <w:color w:val="auto"/>
              </w:rPr>
            </w:pPr>
          </w:p>
        </w:tc>
        <w:tc>
          <w:tcPr>
            <w:tcW w:w="3740" w:type="dxa"/>
            <w:vAlign w:val="bottom"/>
          </w:tcPr>
          <w:p>
            <w:pPr>
              <w:ind w:left="620"/>
              <w:spacing w:after="0"/>
              <w:rPr>
                <w:sz w:val="20"/>
                <w:szCs w:val="20"/>
                <w:color w:val="auto"/>
              </w:rPr>
            </w:pPr>
            <w:r>
              <w:rPr>
                <w:rFonts w:ascii="Arial" w:cs="Arial" w:eastAsia="Arial" w:hAnsi="Arial"/>
                <w:sz w:val="18"/>
                <w:szCs w:val="18"/>
                <w:color w:val="auto"/>
              </w:rPr>
              <w:t>Accounting Officer)</w:t>
            </w:r>
          </w:p>
        </w:tc>
        <w:tc>
          <w:tcPr>
            <w:tcW w:w="4520" w:type="dxa"/>
            <w:vAlign w:val="bottom"/>
          </w:tcPr>
          <w:p>
            <w:pPr>
              <w:spacing w:after="0"/>
              <w:rPr>
                <w:sz w:val="19"/>
                <w:szCs w:val="19"/>
                <w:color w:val="auto"/>
              </w:rPr>
            </w:pPr>
          </w:p>
        </w:tc>
      </w:tr>
      <w:tr>
        <w:trPr>
          <w:trHeight w:val="669"/>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620"/>
              <w:spacing w:after="0"/>
              <w:rPr>
                <w:sz w:val="20"/>
                <w:szCs w:val="20"/>
                <w:color w:val="auto"/>
              </w:rPr>
            </w:pPr>
            <w:r>
              <w:rPr>
                <w:rFonts w:ascii="Arial" w:cs="Arial" w:eastAsia="Arial" w:hAnsi="Arial"/>
                <w:sz w:val="18"/>
                <w:szCs w:val="18"/>
                <w:color w:val="auto"/>
              </w:rPr>
              <w:t>Director</w:t>
            </w:r>
          </w:p>
        </w:tc>
        <w:tc>
          <w:tcPr>
            <w:tcW w:w="4520" w:type="dxa"/>
            <w:vAlign w:val="bottom"/>
          </w:tcPr>
          <w:p>
            <w:pPr>
              <w:ind w:left="1940"/>
              <w:spacing w:after="0"/>
              <w:rPr>
                <w:sz w:val="20"/>
                <w:szCs w:val="20"/>
                <w:color w:val="auto"/>
              </w:rPr>
            </w:pPr>
            <w:r>
              <w:rPr>
                <w:rFonts w:ascii="Arial" w:cs="Arial" w:eastAsia="Arial" w:hAnsi="Arial"/>
                <w:sz w:val="18"/>
                <w:szCs w:val="18"/>
                <w:color w:val="auto"/>
              </w:rPr>
              <w:t>December 23, 2009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Ilan Flato</w:t>
            </w:r>
          </w:p>
        </w:tc>
        <w:tc>
          <w:tcPr>
            <w:tcW w:w="37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spacing w:after="0"/>
              <w:rPr>
                <w:sz w:val="24"/>
                <w:szCs w:val="24"/>
                <w:color w:val="auto"/>
              </w:rPr>
            </w:pPr>
          </w:p>
        </w:tc>
        <w:tc>
          <w:tcPr>
            <w:tcW w:w="4520" w:type="dxa"/>
            <w:vAlign w:val="bottom"/>
          </w:tcPr>
          <w:p>
            <w:pPr>
              <w:ind w:left="1940"/>
              <w:spacing w:after="0"/>
              <w:rPr>
                <w:sz w:val="20"/>
                <w:szCs w:val="20"/>
                <w:color w:val="auto"/>
              </w:rPr>
            </w:pPr>
            <w:r>
              <w:rPr>
                <w:rFonts w:ascii="Arial" w:cs="Arial" w:eastAsia="Arial" w:hAnsi="Arial"/>
                <w:sz w:val="18"/>
                <w:szCs w:val="18"/>
                <w:color w:val="auto"/>
              </w:rPr>
              <w:t>December 23, 2009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620"/>
              <w:spacing w:after="0"/>
              <w:rPr>
                <w:sz w:val="20"/>
                <w:szCs w:val="20"/>
                <w:color w:val="auto"/>
              </w:rPr>
            </w:pPr>
            <w:r>
              <w:rPr>
                <w:rFonts w:ascii="Arial" w:cs="Arial" w:eastAsia="Arial" w:hAnsi="Arial"/>
                <w:sz w:val="18"/>
                <w:szCs w:val="18"/>
                <w:color w:val="auto"/>
              </w:rPr>
              <w:t>Director</w:t>
            </w:r>
          </w:p>
        </w:tc>
        <w:tc>
          <w:tcPr>
            <w:tcW w:w="4520" w:type="dxa"/>
            <w:vAlign w:val="bottom"/>
          </w:tcPr>
          <w:p>
            <w:pPr>
              <w:spacing w:after="0"/>
              <w:rPr>
                <w:sz w:val="18"/>
                <w:szCs w:val="18"/>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Nir Gilad</w:t>
            </w:r>
          </w:p>
        </w:tc>
        <w:tc>
          <w:tcPr>
            <w:tcW w:w="37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620"/>
              <w:spacing w:after="0"/>
              <w:rPr>
                <w:sz w:val="20"/>
                <w:szCs w:val="20"/>
                <w:color w:val="auto"/>
              </w:rPr>
            </w:pPr>
            <w:r>
              <w:rPr>
                <w:rFonts w:ascii="Arial" w:cs="Arial" w:eastAsia="Arial" w:hAnsi="Arial"/>
                <w:sz w:val="18"/>
                <w:szCs w:val="18"/>
                <w:color w:val="auto"/>
              </w:rPr>
              <w:t>Director</w:t>
            </w:r>
          </w:p>
        </w:tc>
        <w:tc>
          <w:tcPr>
            <w:tcW w:w="4520" w:type="dxa"/>
            <w:vAlign w:val="bottom"/>
          </w:tcPr>
          <w:p>
            <w:pPr>
              <w:ind w:left="1940"/>
              <w:spacing w:after="0"/>
              <w:rPr>
                <w:sz w:val="20"/>
                <w:szCs w:val="20"/>
                <w:color w:val="auto"/>
              </w:rPr>
            </w:pPr>
            <w:r>
              <w:rPr>
                <w:rFonts w:ascii="Arial" w:cs="Arial" w:eastAsia="Arial" w:hAnsi="Arial"/>
                <w:sz w:val="18"/>
                <w:szCs w:val="18"/>
                <w:color w:val="auto"/>
              </w:rPr>
              <w:t>December 23, 2009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Dana Gross</w:t>
            </w:r>
          </w:p>
        </w:tc>
        <w:tc>
          <w:tcPr>
            <w:tcW w:w="37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461"/>
        </w:trPr>
        <w:tc>
          <w:tcPr>
            <w:tcW w:w="3160" w:type="dxa"/>
            <w:vAlign w:val="bottom"/>
          </w:tcPr>
          <w:p>
            <w:pPr>
              <w:spacing w:after="0"/>
              <w:rPr>
                <w:sz w:val="24"/>
                <w:szCs w:val="24"/>
                <w:color w:val="auto"/>
              </w:rPr>
            </w:pPr>
          </w:p>
        </w:tc>
        <w:tc>
          <w:tcPr>
            <w:tcW w:w="3740" w:type="dxa"/>
            <w:vAlign w:val="bottom"/>
          </w:tcPr>
          <w:p>
            <w:pPr>
              <w:ind w:left="2460"/>
              <w:spacing w:after="0"/>
              <w:rPr>
                <w:sz w:val="20"/>
                <w:szCs w:val="20"/>
                <w:color w:val="auto"/>
              </w:rPr>
            </w:pPr>
            <w:r>
              <w:rPr>
                <w:rFonts w:ascii="Arial" w:cs="Arial" w:eastAsia="Arial" w:hAnsi="Arial"/>
                <w:sz w:val="18"/>
                <w:szCs w:val="18"/>
                <w:color w:val="auto"/>
              </w:rPr>
              <w:t>45</w:t>
            </w:r>
          </w:p>
        </w:tc>
        <w:tc>
          <w:tcPr>
            <w:tcW w:w="4520" w:type="dxa"/>
            <w:vAlign w:val="bottom"/>
          </w:tcPr>
          <w:p>
            <w:pPr>
              <w:spacing w:after="0"/>
              <w:rPr>
                <w:sz w:val="24"/>
                <w:szCs w:val="24"/>
                <w:color w:val="auto"/>
              </w:rPr>
            </w:pPr>
          </w:p>
        </w:tc>
      </w:tr>
      <w:tr>
        <w:trPr>
          <w:trHeight w:val="132"/>
        </w:trPr>
        <w:tc>
          <w:tcPr>
            <w:tcW w:w="316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c>
          <w:tcPr>
            <w:tcW w:w="45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7"/>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30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TITLE</w:t>
            </w:r>
          </w:p>
        </w:tc>
        <w:tc>
          <w:tcPr>
            <w:tcW w:w="522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DATE</w:t>
            </w:r>
          </w:p>
        </w:tc>
      </w:tr>
      <w:tr>
        <w:trPr>
          <w:trHeight w:val="451"/>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5220" w:type="dxa"/>
            <w:vAlign w:val="bottom"/>
          </w:tcPr>
          <w:p>
            <w:pPr>
              <w:ind w:left="2640"/>
              <w:spacing w:after="0"/>
              <w:rPr>
                <w:sz w:val="20"/>
                <w:szCs w:val="20"/>
                <w:color w:val="auto"/>
              </w:rPr>
            </w:pPr>
            <w:r>
              <w:rPr>
                <w:rFonts w:ascii="Arial" w:cs="Arial" w:eastAsia="Arial" w:hAnsi="Arial"/>
                <w:sz w:val="18"/>
                <w:szCs w:val="18"/>
                <w:color w:val="auto"/>
              </w:rPr>
              <w:t>December 23, 2009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ind w:left="620"/>
              <w:spacing w:after="0"/>
              <w:rPr>
                <w:sz w:val="20"/>
                <w:szCs w:val="20"/>
                <w:color w:val="auto"/>
              </w:rPr>
            </w:pPr>
            <w:r>
              <w:rPr>
                <w:rFonts w:ascii="Arial" w:cs="Arial" w:eastAsia="Arial" w:hAnsi="Arial"/>
                <w:sz w:val="18"/>
                <w:szCs w:val="18"/>
                <w:color w:val="auto"/>
              </w:rPr>
              <w:t>Director</w:t>
            </w:r>
          </w:p>
        </w:tc>
        <w:tc>
          <w:tcPr>
            <w:tcW w:w="5220" w:type="dxa"/>
            <w:vAlign w:val="bottom"/>
          </w:tcPr>
          <w:p>
            <w:pPr>
              <w:spacing w:after="0"/>
              <w:rPr>
                <w:sz w:val="18"/>
                <w:szCs w:val="18"/>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Rami Guzman</w:t>
            </w:r>
          </w:p>
        </w:tc>
        <w:tc>
          <w:tcPr>
            <w:tcW w:w="304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ind w:left="6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2640"/>
              <w:spacing w:after="0"/>
              <w:rPr>
                <w:sz w:val="20"/>
                <w:szCs w:val="20"/>
                <w:color w:val="auto"/>
              </w:rPr>
            </w:pPr>
            <w:r>
              <w:rPr>
                <w:rFonts w:ascii="Arial" w:cs="Arial" w:eastAsia="Arial" w:hAnsi="Arial"/>
                <w:sz w:val="18"/>
                <w:szCs w:val="18"/>
                <w:color w:val="auto"/>
              </w:rPr>
              <w:t>December 23, 2009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Kalman Kaufman</w:t>
            </w:r>
          </w:p>
        </w:tc>
        <w:tc>
          <w:tcPr>
            <w:tcW w:w="304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ind w:left="6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2640"/>
              <w:spacing w:after="0"/>
              <w:rPr>
                <w:sz w:val="20"/>
                <w:szCs w:val="20"/>
                <w:color w:val="auto"/>
              </w:rPr>
            </w:pPr>
            <w:r>
              <w:rPr>
                <w:rFonts w:ascii="Arial" w:cs="Arial" w:eastAsia="Arial" w:hAnsi="Arial"/>
                <w:sz w:val="18"/>
                <w:szCs w:val="18"/>
                <w:color w:val="auto"/>
              </w:rPr>
              <w:t>December 23, 2009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Alex Kornhauser</w:t>
            </w:r>
          </w:p>
        </w:tc>
        <w:tc>
          <w:tcPr>
            <w:tcW w:w="304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453"/>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ind w:left="620"/>
              <w:spacing w:after="0"/>
              <w:rPr>
                <w:sz w:val="20"/>
                <w:szCs w:val="20"/>
                <w:color w:val="auto"/>
              </w:rPr>
            </w:pPr>
            <w:r>
              <w:rPr>
                <w:rFonts w:ascii="Arial" w:cs="Arial" w:eastAsia="Arial" w:hAnsi="Arial"/>
                <w:sz w:val="18"/>
                <w:szCs w:val="18"/>
                <w:color w:val="auto"/>
              </w:rPr>
              <w:t>Director</w:t>
            </w:r>
          </w:p>
        </w:tc>
        <w:tc>
          <w:tcPr>
            <w:tcW w:w="5220" w:type="dxa"/>
            <w:vAlign w:val="bottom"/>
          </w:tcPr>
          <w:p>
            <w:pPr>
              <w:ind w:left="2640"/>
              <w:spacing w:after="0"/>
              <w:rPr>
                <w:sz w:val="20"/>
                <w:szCs w:val="20"/>
                <w:color w:val="auto"/>
              </w:rPr>
            </w:pPr>
            <w:r>
              <w:rPr>
                <w:rFonts w:ascii="Arial" w:cs="Arial" w:eastAsia="Arial" w:hAnsi="Arial"/>
                <w:sz w:val="18"/>
                <w:szCs w:val="18"/>
                <w:color w:val="auto"/>
              </w:rPr>
              <w:t>December 23, 2009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Ron Moskovitz</w:t>
            </w:r>
          </w:p>
        </w:tc>
        <w:tc>
          <w:tcPr>
            <w:tcW w:w="304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447"/>
        </w:trPr>
        <w:tc>
          <w:tcPr>
            <w:tcW w:w="3160" w:type="dxa"/>
            <w:vAlign w:val="bottom"/>
          </w:tcPr>
          <w:p>
            <w:pPr>
              <w:spacing w:after="0"/>
              <w:rPr>
                <w:sz w:val="20"/>
                <w:szCs w:val="20"/>
                <w:color w:val="auto"/>
              </w:rPr>
            </w:pPr>
            <w:r>
              <w:rPr>
                <w:rFonts w:ascii="Arial" w:cs="Arial" w:eastAsia="Arial" w:hAnsi="Arial"/>
                <w:sz w:val="18"/>
                <w:szCs w:val="18"/>
                <w:color w:val="auto"/>
              </w:rPr>
              <w:t>* By: /s/ Russell C. Ellwanger</w:t>
            </w:r>
          </w:p>
        </w:tc>
        <w:tc>
          <w:tcPr>
            <w:tcW w:w="3040" w:type="dxa"/>
            <w:vAlign w:val="bottom"/>
          </w:tcPr>
          <w:p>
            <w:pPr>
              <w:spacing w:after="0"/>
              <w:rPr>
                <w:sz w:val="24"/>
                <w:szCs w:val="24"/>
                <w:color w:val="auto"/>
              </w:rPr>
            </w:pPr>
          </w:p>
        </w:tc>
        <w:tc>
          <w:tcPr>
            <w:tcW w:w="5220" w:type="dxa"/>
            <w:vAlign w:val="bottom"/>
          </w:tcPr>
          <w:p>
            <w:pPr>
              <w:ind w:left="2640"/>
              <w:spacing w:after="0"/>
              <w:rPr>
                <w:sz w:val="20"/>
                <w:szCs w:val="20"/>
                <w:color w:val="auto"/>
              </w:rPr>
            </w:pPr>
            <w:r>
              <w:rPr>
                <w:rFonts w:ascii="Arial" w:cs="Arial" w:eastAsia="Arial" w:hAnsi="Arial"/>
                <w:sz w:val="18"/>
                <w:szCs w:val="18"/>
                <w:color w:val="auto"/>
              </w:rPr>
              <w:t>December 23, 2009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FF00FF"/>
              </w:rPr>
              <w:t>——————————————</w:t>
            </w:r>
          </w:p>
        </w:tc>
        <w:tc>
          <w:tcPr>
            <w:tcW w:w="304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3160" w:type="dxa"/>
            <w:vAlign w:val="bottom"/>
          </w:tcPr>
          <w:p>
            <w:pPr>
              <w:ind w:left="460"/>
              <w:spacing w:after="0"/>
              <w:rPr>
                <w:sz w:val="20"/>
                <w:szCs w:val="20"/>
                <w:color w:val="auto"/>
              </w:rPr>
            </w:pPr>
            <w:r>
              <w:rPr>
                <w:rFonts w:ascii="Arial" w:cs="Arial" w:eastAsia="Arial" w:hAnsi="Arial"/>
                <w:sz w:val="18"/>
                <w:szCs w:val="18"/>
                <w:color w:val="auto"/>
              </w:rPr>
              <w:t>Russell C. Ellwanger</w:t>
            </w:r>
          </w:p>
        </w:tc>
        <w:tc>
          <w:tcPr>
            <w:tcW w:w="304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30"/>
        </w:trPr>
        <w:tc>
          <w:tcPr>
            <w:tcW w:w="3160" w:type="dxa"/>
            <w:vAlign w:val="bottom"/>
          </w:tcPr>
          <w:p>
            <w:pPr>
              <w:ind w:left="460"/>
              <w:spacing w:after="0"/>
              <w:rPr>
                <w:sz w:val="20"/>
                <w:szCs w:val="20"/>
                <w:color w:val="auto"/>
              </w:rPr>
            </w:pPr>
            <w:r>
              <w:rPr>
                <w:rFonts w:ascii="Arial" w:cs="Arial" w:eastAsia="Arial" w:hAnsi="Arial"/>
                <w:sz w:val="18"/>
                <w:szCs w:val="18"/>
                <w:color w:val="auto"/>
              </w:rPr>
              <w:t>Attorney-in-fact</w:t>
            </w:r>
          </w:p>
        </w:tc>
        <w:tc>
          <w:tcPr>
            <w:tcW w:w="3040" w:type="dxa"/>
            <w:vAlign w:val="bottom"/>
          </w:tcPr>
          <w:p>
            <w:pPr>
              <w:spacing w:after="0"/>
              <w:rPr>
                <w:sz w:val="20"/>
                <w:szCs w:val="20"/>
                <w:color w:val="auto"/>
              </w:rPr>
            </w:pPr>
          </w:p>
        </w:tc>
        <w:tc>
          <w:tcPr>
            <w:tcW w:w="5220" w:type="dxa"/>
            <w:vAlign w:val="bottom"/>
          </w:tcPr>
          <w:p>
            <w:pPr>
              <w:spacing w:after="0"/>
              <w:rPr>
                <w:sz w:val="20"/>
                <w:szCs w:val="20"/>
                <w:color w:val="auto"/>
              </w:rPr>
            </w:pPr>
          </w:p>
        </w:tc>
      </w:tr>
      <w:tr>
        <w:trPr>
          <w:trHeight w:val="445"/>
        </w:trPr>
        <w:tc>
          <w:tcPr>
            <w:tcW w:w="6200" w:type="dxa"/>
            <w:vAlign w:val="bottom"/>
            <w:gridSpan w:val="2"/>
          </w:tcPr>
          <w:p>
            <w:pPr>
              <w:spacing w:after="0"/>
              <w:rPr>
                <w:sz w:val="20"/>
                <w:szCs w:val="20"/>
                <w:color w:val="auto"/>
              </w:rPr>
            </w:pPr>
            <w:r>
              <w:rPr>
                <w:rFonts w:ascii="Arial" w:cs="Arial" w:eastAsia="Arial" w:hAnsi="Arial"/>
                <w:sz w:val="18"/>
                <w:szCs w:val="18"/>
                <w:color w:val="auto"/>
              </w:rPr>
              <w:t>AUTHORIZED REPRESENTATIVE IN THE UNITED STATES</w:t>
            </w:r>
          </w:p>
        </w:tc>
        <w:tc>
          <w:tcPr>
            <w:tcW w:w="5220" w:type="dxa"/>
            <w:vAlign w:val="bottom"/>
          </w:tcPr>
          <w:p>
            <w:pPr>
              <w:ind w:left="2640"/>
              <w:spacing w:after="0"/>
              <w:rPr>
                <w:sz w:val="20"/>
                <w:szCs w:val="20"/>
                <w:color w:val="auto"/>
              </w:rPr>
            </w:pPr>
            <w:r>
              <w:rPr>
                <w:rFonts w:ascii="Arial" w:cs="Arial" w:eastAsia="Arial" w:hAnsi="Arial"/>
                <w:sz w:val="18"/>
                <w:szCs w:val="18"/>
                <w:color w:val="auto"/>
              </w:rPr>
              <w:t>December 23, 2009</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Tower Semiconductor USA, Inc.</w:t>
            </w:r>
          </w:p>
        </w:tc>
        <w:tc>
          <w:tcPr>
            <w:tcW w:w="3040" w:type="dxa"/>
            <w:vAlign w:val="bottom"/>
          </w:tcPr>
          <w:p>
            <w:pPr>
              <w:spacing w:after="0"/>
              <w:rPr>
                <w:sz w:val="20"/>
                <w:szCs w:val="20"/>
                <w:color w:val="auto"/>
              </w:rPr>
            </w:pPr>
          </w:p>
        </w:tc>
        <w:tc>
          <w:tcPr>
            <w:tcW w:w="52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By: /s/ Russell C. Ellwanger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FF"/>
        </w:rPr>
        <w: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 of the Board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40" w:type="dxa"/>
            <w:vAlign w:val="bottom"/>
          </w:tcPr>
          <w:p>
            <w:pPr>
              <w:ind w:left="2840"/>
              <w:spacing w:after="0"/>
              <w:rPr>
                <w:sz w:val="20"/>
                <w:szCs w:val="20"/>
                <w:color w:val="auto"/>
              </w:rPr>
            </w:pPr>
            <w:r>
              <w:rPr>
                <w:rFonts w:ascii="Arial" w:cs="Arial" w:eastAsia="Arial" w:hAnsi="Arial"/>
                <w:sz w:val="18"/>
                <w:szCs w:val="18"/>
                <w:b w:val="1"/>
                <w:bCs w:val="1"/>
                <w:color w:val="auto"/>
              </w:rPr>
              <w:t>EXHIBIT INDEX</w:t>
            </w:r>
          </w:p>
        </w:tc>
      </w:tr>
      <w:tr>
        <w:trPr>
          <w:trHeight w:val="421"/>
        </w:trPr>
        <w:tc>
          <w:tcPr>
            <w:tcW w:w="1380" w:type="dxa"/>
            <w:vAlign w:val="bottom"/>
            <w:gridSpan w:val="2"/>
          </w:tcPr>
          <w:p>
            <w:pPr>
              <w:spacing w:after="0"/>
              <w:rPr>
                <w:sz w:val="20"/>
                <w:szCs w:val="20"/>
                <w:color w:val="auto"/>
              </w:rPr>
            </w:pPr>
            <w:r>
              <w:rPr>
                <w:rFonts w:ascii="Arial" w:cs="Arial" w:eastAsia="Arial" w:hAnsi="Arial"/>
                <w:sz w:val="18"/>
                <w:szCs w:val="18"/>
                <w:color w:val="auto"/>
              </w:rPr>
              <w:t>No.</w:t>
            </w:r>
          </w:p>
        </w:tc>
        <w:tc>
          <w:tcPr>
            <w:tcW w:w="99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478"/>
        </w:trPr>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Underwriting agreement.*</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Articles of Association of the Registrant, approved by shareholders on November 14, 2000, as amended (incorporated by reference to Exhibit</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3.1 of the Registrant’s Registration Statement on Form F-1, File No. 333-126909, “Form F-1No. 333-126909”).</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0"/>
              </w:rPr>
              <w:t>Amendment to Articles of Association of the Registrant (incorporated by reference to exhibit 4.2 to the Registration Statement on Form S-8</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No. 333-117565 (“Form S-8 No. 333-117565”).</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3.3</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Amendment to the Articles of Association of the Registrant (approved by shareholders on September 28, 2006) (incorporated by reference to</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Exhibit 4.2 of the Registrant’s Registration Statement on Form S-8, File No. 333-138837 (the “2006 Form S-8”).</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3.4</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Amendment to Articles of Association of Registrant (approved by shareholders on September 24, 2008) (incorporated by reference to Exhibit</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3.4 of the Registrant’s Registration Statement on Form S-8, File No. 333-153710 (the “2008 Form S-8”).</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securities purchase agreement.*</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capital note certificate.*</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4.3</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Form of indenture relating to debt securities (incorporated by reference to Exhibit 4.3 of the Registrant's Registration Statement on Form F-3,</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File No. 333-148747).</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4.4</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debt securities.*</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4.5</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purchase contract agreement (including form of purchase contract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4.6</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unit agreement (including form of unit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4.7</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warrant agreement (including form of warrant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5.1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Yigal Arnon &amp; Co., Israeli counsel to the registrant, re legality. **</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5.2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Eilenberg &amp; Krause LLP, U.S. counsel to the registrant, re legality. **</w:t>
            </w:r>
          </w:p>
        </w:tc>
      </w:tr>
      <w:tr>
        <w:trPr>
          <w:trHeight w:val="461"/>
        </w:trPr>
        <w:tc>
          <w:tcPr>
            <w:tcW w:w="1380" w:type="dxa"/>
            <w:vAlign w:val="bottom"/>
            <w:gridSpan w:val="2"/>
          </w:tcPr>
          <w:p>
            <w:pPr>
              <w:spacing w:after="0"/>
              <w:rPr>
                <w:sz w:val="20"/>
                <w:szCs w:val="20"/>
                <w:color w:val="auto"/>
              </w:rPr>
            </w:pPr>
            <w:r>
              <w:rPr>
                <w:rFonts w:ascii="Arial" w:cs="Arial" w:eastAsia="Arial" w:hAnsi="Arial"/>
                <w:sz w:val="18"/>
                <w:szCs w:val="18"/>
                <w:color w:val="auto"/>
              </w:rPr>
              <w:t>12.1</w:t>
            </w:r>
          </w:p>
        </w:tc>
        <w:tc>
          <w:tcPr>
            <w:tcW w:w="9960" w:type="dxa"/>
            <w:vAlign w:val="bottom"/>
            <w:gridSpan w:val="2"/>
          </w:tcPr>
          <w:p>
            <w:pPr>
              <w:spacing w:after="0"/>
              <w:rPr>
                <w:sz w:val="20"/>
                <w:szCs w:val="20"/>
                <w:color w:val="auto"/>
              </w:rPr>
            </w:pPr>
            <w:r>
              <w:rPr>
                <w:rFonts w:ascii="Arial" w:cs="Arial" w:eastAsia="Arial" w:hAnsi="Arial"/>
                <w:sz w:val="18"/>
                <w:szCs w:val="18"/>
                <w:color w:val="auto"/>
              </w:rPr>
              <w:t>Statement of Computation of Ratio of Earnings to Fixed Charges. ****</w:t>
            </w:r>
          </w:p>
        </w:tc>
      </w:tr>
      <w:tr>
        <w:trPr>
          <w:trHeight w:val="457"/>
        </w:trPr>
        <w:tc>
          <w:tcPr>
            <w:tcW w:w="1380" w:type="dxa"/>
            <w:vAlign w:val="bottom"/>
            <w:gridSpan w:val="2"/>
          </w:tcPr>
          <w:p>
            <w:pPr>
              <w:spacing w:after="0"/>
              <w:rPr>
                <w:sz w:val="20"/>
                <w:szCs w:val="20"/>
                <w:color w:val="auto"/>
              </w:rPr>
            </w:pPr>
            <w:r>
              <w:rPr>
                <w:rFonts w:ascii="Arial" w:cs="Arial" w:eastAsia="Arial" w:hAnsi="Arial"/>
                <w:sz w:val="18"/>
                <w:szCs w:val="18"/>
                <w:color w:val="auto"/>
              </w:rPr>
              <w:t>23.1</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Yigal Arnon &amp; Co., included in Exhibit 5.1.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23.2</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Eilenberg &amp; Krause LLP, included in Exhibit 5.2.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23.3</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Brightman Almagor &amp; Co., independent registered public accounting firm. **</w:t>
            </w:r>
          </w:p>
        </w:tc>
      </w:tr>
      <w:tr>
        <w:trPr>
          <w:trHeight w:val="461"/>
        </w:trPr>
        <w:tc>
          <w:tcPr>
            <w:tcW w:w="1380" w:type="dxa"/>
            <w:vAlign w:val="bottom"/>
            <w:gridSpan w:val="2"/>
          </w:tcPr>
          <w:p>
            <w:pPr>
              <w:spacing w:after="0"/>
              <w:rPr>
                <w:sz w:val="20"/>
                <w:szCs w:val="20"/>
                <w:color w:val="auto"/>
              </w:rPr>
            </w:pPr>
            <w:r>
              <w:rPr>
                <w:rFonts w:ascii="Arial" w:cs="Arial" w:eastAsia="Arial" w:hAnsi="Arial"/>
                <w:sz w:val="18"/>
                <w:szCs w:val="18"/>
                <w:color w:val="auto"/>
              </w:rPr>
              <w:t>24.1</w:t>
            </w:r>
          </w:p>
        </w:tc>
        <w:tc>
          <w:tcPr>
            <w:tcW w:w="996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Signatures page. ****</w:t>
            </w:r>
          </w:p>
        </w:tc>
      </w:tr>
      <w:tr>
        <w:trPr>
          <w:trHeight w:val="457"/>
        </w:trPr>
        <w:tc>
          <w:tcPr>
            <w:tcW w:w="1380" w:type="dxa"/>
            <w:vAlign w:val="bottom"/>
            <w:gridSpan w:val="2"/>
          </w:tcPr>
          <w:p>
            <w:pPr>
              <w:spacing w:after="0"/>
              <w:rPr>
                <w:sz w:val="20"/>
                <w:szCs w:val="20"/>
                <w:color w:val="auto"/>
              </w:rPr>
            </w:pPr>
            <w:r>
              <w:rPr>
                <w:rFonts w:ascii="Arial" w:cs="Arial" w:eastAsia="Arial" w:hAnsi="Arial"/>
                <w:sz w:val="18"/>
                <w:szCs w:val="18"/>
                <w:color w:val="auto"/>
              </w:rPr>
              <w:t>25.1</w:t>
            </w:r>
          </w:p>
        </w:tc>
        <w:tc>
          <w:tcPr>
            <w:tcW w:w="9960" w:type="dxa"/>
            <w:vAlign w:val="bottom"/>
            <w:gridSpan w:val="2"/>
          </w:tcPr>
          <w:p>
            <w:pPr>
              <w:spacing w:after="0"/>
              <w:rPr>
                <w:sz w:val="20"/>
                <w:szCs w:val="20"/>
                <w:color w:val="auto"/>
              </w:rPr>
            </w:pPr>
            <w:r>
              <w:rPr>
                <w:rFonts w:ascii="Arial" w:cs="Arial" w:eastAsia="Arial" w:hAnsi="Arial"/>
                <w:sz w:val="18"/>
                <w:szCs w:val="18"/>
                <w:color w:val="auto"/>
              </w:rPr>
              <w:t>Statement of Eligibility of Trustee for Indenture under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3800" w:firstLine="8"/>
        <w:spacing w:after="0" w:line="532" w:lineRule="auto"/>
        <w:tabs>
          <w:tab w:leader="none" w:pos="1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on Form 6-K and incorporated herein by reference. ** Filed with this registration statement.</w:t>
      </w:r>
    </w:p>
    <w:p>
      <w:pPr>
        <w:spacing w:after="0"/>
        <w:rPr>
          <w:rFonts w:ascii="Arial" w:cs="Arial" w:eastAsia="Arial" w:hAnsi="Arial"/>
          <w:sz w:val="18"/>
          <w:szCs w:val="18"/>
          <w:color w:val="auto"/>
        </w:rPr>
      </w:pPr>
      <w:r>
        <w:rPr>
          <w:rFonts w:ascii="Arial" w:cs="Arial" w:eastAsia="Arial" w:hAnsi="Arial"/>
          <w:sz w:val="18"/>
          <w:szCs w:val="18"/>
          <w:color w:val="auto"/>
        </w:rPr>
        <w:t>*** To be incorporated by reference from a subsequent filing in accordance with Section 305(b)(2) of the Trust Indenture Act of 1939.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1805305</wp:posOffset>
            </wp:positionV>
            <wp:extent cx="725043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YIGAL ARNON &amp; CO.</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ADVOCATES AND NOTARY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1 Azrieli Center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 Aviv 67021</w:t>
      </w:r>
    </w:p>
    <w:p>
      <w:pPr>
        <w:spacing w:after="0" w:line="233"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December 23</w:t>
      </w:r>
      <w:r>
        <w:rPr>
          <w:rFonts w:ascii="Arial" w:cs="Arial" w:eastAsia="Arial" w:hAnsi="Arial"/>
          <w:sz w:val="19"/>
          <w:szCs w:val="19"/>
          <w:color w:val="auto"/>
        </w:rPr>
        <w:t>, 2009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6" w:lineRule="exact"/>
        <w:rPr>
          <w:sz w:val="20"/>
          <w:szCs w:val="20"/>
          <w:color w:val="auto"/>
        </w:rPr>
      </w:pPr>
    </w:p>
    <w:p>
      <w:pPr>
        <w:jc w:val="both"/>
        <w:ind w:firstLine="593"/>
        <w:spacing w:after="0" w:line="284" w:lineRule="auto"/>
        <w:rPr>
          <w:sz w:val="20"/>
          <w:szCs w:val="20"/>
          <w:color w:val="auto"/>
        </w:rPr>
      </w:pPr>
      <w:r>
        <w:rPr>
          <w:rFonts w:ascii="Arial" w:cs="Arial" w:eastAsia="Arial" w:hAnsi="Arial"/>
          <w:sz w:val="16"/>
          <w:szCs w:val="16"/>
          <w:color w:val="auto"/>
        </w:rPr>
        <w:t>We have acted as Israeli counsel to Tower Semiconductor Ltd., a company limited by shares organized under the laws of the State of Israel (the "Company"), in connection with the Registration Statement on Form F-3 (the "Registration Statement"), to be filed by the Company on or about the date hereof with the Securities and Exchange Commission (the "Commission") under the Securities Act of 1933, as amended (the "Act"). The Registration Statement relates to the proposed offer and sale by the Company from time to time, as set forth in the prospectus contained in the Registration Statement (the “Prospectus”) and as shall be set forth in one or more supplements to the Prospectus (each, a “Prospectus Supplement”), of up to $50,000,000 aggregate amount of any or all of the following securities (the “Securities”): (i) ordinary shares, par value NIS 1.00 per share, of the Company (the "Ordinary Shares");</w:t>
      </w:r>
    </w:p>
    <w:p>
      <w:pPr>
        <w:spacing w:after="0" w:line="5" w:lineRule="exact"/>
        <w:rPr>
          <w:sz w:val="20"/>
          <w:szCs w:val="20"/>
          <w:color w:val="auto"/>
        </w:rPr>
      </w:pPr>
    </w:p>
    <w:p>
      <w:pPr>
        <w:jc w:val="both"/>
        <w:ind w:firstLine="8"/>
        <w:spacing w:after="0" w:line="253" w:lineRule="auto"/>
        <w:tabs>
          <w:tab w:leader="none" w:pos="276"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capital notes (the “Capital Notes”), (iii) unsecured debt securities, which may be senior ("Senior Debt Securities") or subordinated ("Subordinated Debt Securities" and, collectively with the Senior Debt Securities, the "Debt Securities"); (iii) purchase contracts obligating holders to purchase Securities (as hereinafter defined) at a future date or dates ("Purchase Contracts"); (iv) warrants to purchase Ordinary Shares, Capital Notes, Debt Securities and Purchase Contracts of the Company (the "Warrants"); and (v) units comprised of one or more of the Ordinary Shares, Capital Notes, Debt Securities, Purchase Contracts and Warrants in any combination (the "Units").</w:t>
      </w:r>
    </w:p>
    <w:p>
      <w:pPr>
        <w:spacing w:after="0" w:line="22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Each series of Debt Securities will be issued under an indenture, substantially in the form of the exhibit to the Registration Statement (the ” Indenture”) between the Company and a trustee named in the applicable Prospectus Supplement (each, a “Trustee”). The Purchase Contracts will be issued pursuant to a purchase contract agreement (the “Purchase Contract Agreement”) between the Company and a purchase contract agent (the “Purchase Contract Agent”). The Warrants will be issued under a warrant agreement (the “Warrant Agreement”) between the Company and a warrant agent (the “Warrant Agent”). The Units will be issued under a unit agreement (the “Unit Agreement”) between the Company and a unit agent (the “Unit Agent”).</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connection herewith, we have examined and relied without investigation as to matters of fact upon the Registration Statement and the exhibits thereto, including the form of Indenture, and such certificates, statements and results of inquiries of public officials and officers and representatives of the Company and originals or copies, certified or otherwise identified to our satisfaction, of such other documents, corporate records, certificates and instruments as we have deemed necessary or appropriate to enable us to render the opinions expressed herein. We have assumed the genuineness of all signatures on all documents examined by us, the legal competence and capacity of natural persons, the authenticity of documents submitted to us as originals, and the conformity with authentic original documents of all documents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490855</wp:posOffset>
            </wp:positionV>
            <wp:extent cx="72504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ind w:right="100" w:firstLine="348"/>
        <w:spacing w:after="0" w:line="290" w:lineRule="auto"/>
        <w:rPr>
          <w:sz w:val="20"/>
          <w:szCs w:val="20"/>
          <w:color w:val="auto"/>
        </w:rPr>
      </w:pPr>
      <w:r>
        <w:rPr>
          <w:rFonts w:ascii="Arial" w:cs="Arial" w:eastAsia="Arial" w:hAnsi="Arial"/>
          <w:sz w:val="16"/>
          <w:szCs w:val="16"/>
          <w:color w:val="auto"/>
        </w:rPr>
        <w:t>We also have assumed that: (1) at the time of execution, authentication, issuance and delivery of each series of Debt Securities, the related Indenture will be the valid and legally binding obligation of the applicable Trustee, enforceable against such party in accordance with its terms; (2) at the time of execution, issuance and delivery of the Purchase Contracts, the Purchase Contract Agreement will be the valid and legally binding obligation of the Purchase Contract Agent, enforceable against such party in accordance with its terms; (3) at the time of execution, issuance and delivery of any Warrants, the related Warrant Agreement will be the valid and legally binding obligation of the Warrant Agent, enforceable against such party in accordance with its terms; and (4) at the time of the execution, issuance and delivery of the Units, the related Unit Agreement will be the valid and legally binding obligation of the Unit Agent, enforceable against such party in accordance with its terms.</w:t>
      </w:r>
    </w:p>
    <w:p>
      <w:pPr>
        <w:spacing w:after="0" w:line="199" w:lineRule="exact"/>
        <w:rPr>
          <w:sz w:val="20"/>
          <w:szCs w:val="20"/>
          <w:color w:val="auto"/>
        </w:rPr>
      </w:pPr>
    </w:p>
    <w:p>
      <w:pPr>
        <w:ind w:right="40" w:firstLine="348"/>
        <w:spacing w:after="0" w:line="302" w:lineRule="auto"/>
        <w:rPr>
          <w:sz w:val="20"/>
          <w:szCs w:val="20"/>
          <w:color w:val="auto"/>
        </w:rPr>
      </w:pPr>
      <w:r>
        <w:rPr>
          <w:rFonts w:ascii="Arial" w:cs="Arial" w:eastAsia="Arial" w:hAnsi="Arial"/>
          <w:sz w:val="15"/>
          <w:szCs w:val="15"/>
          <w:color w:val="auto"/>
        </w:rPr>
        <w:t>We have assumed further that: (1) at the time of execution, issuance and delivery of the Capital Notes, the Capital Notes will have been duly authorized, executed and delivered by the Company; (2) at the time of execution, authentication, issuance and delivery of each series of Debt Securities, the related Indenture will have been duly authorized, executed and delivered by the Company and the applicable Trustee; (3) at the time of execution, issuance and delivery of the Purchase Contracts, the Purchase Contract Agreement will have been duly authorized, executed and delivered by the Company and the Purchase Contract Agent;</w:t>
      </w:r>
    </w:p>
    <w:p>
      <w:pPr>
        <w:spacing w:after="0" w:line="3" w:lineRule="exact"/>
        <w:rPr>
          <w:sz w:val="20"/>
          <w:szCs w:val="20"/>
          <w:color w:val="auto"/>
        </w:rPr>
      </w:pPr>
    </w:p>
    <w:p>
      <w:pPr>
        <w:ind w:right="80" w:firstLine="8"/>
        <w:spacing w:after="0" w:line="315" w:lineRule="auto"/>
        <w:tabs>
          <w:tab w:leader="none" w:pos="249" w:val="left"/>
        </w:tabs>
        <w:numPr>
          <w:ilvl w:val="0"/>
          <w:numId w:val="45"/>
        </w:numPr>
        <w:rPr>
          <w:rFonts w:ascii="Arial" w:cs="Arial" w:eastAsia="Arial" w:hAnsi="Arial"/>
          <w:sz w:val="15"/>
          <w:szCs w:val="15"/>
          <w:color w:val="auto"/>
        </w:rPr>
      </w:pPr>
      <w:r>
        <w:rPr>
          <w:rFonts w:ascii="Arial" w:cs="Arial" w:eastAsia="Arial" w:hAnsi="Arial"/>
          <w:sz w:val="15"/>
          <w:szCs w:val="15"/>
          <w:color w:val="auto"/>
        </w:rPr>
        <w:t>at the time of execution, issuance and delivery of any Warrants, the related Warrant Agreement will have been duly authorized, executed and delivered by the Company and the Warrant Agent; (5) at the time of execution, issuance and delivery of the Units, the Unit Agreement will have been duly authorized, executed and delivered by the Company and the Unit Agent; and (6) at the time of the issuance and sale of any of the Securities, the terms of the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18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Based upon the foregoing, in reliance thereon and subject to the assumptions, comments, qualifications, limitations and exceptions stated herein and the effectiveness of the Registration Statement under the Act, we are of the opinion that:</w:t>
      </w:r>
    </w:p>
    <w:p>
      <w:pPr>
        <w:spacing w:after="0" w:line="213" w:lineRule="exact"/>
        <w:rPr>
          <w:sz w:val="20"/>
          <w:szCs w:val="20"/>
          <w:color w:val="auto"/>
        </w:rPr>
      </w:pPr>
    </w:p>
    <w:p>
      <w:pPr>
        <w:ind w:left="660" w:hanging="47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validly existing under the laws of the State of Israel.</w:t>
      </w:r>
    </w:p>
    <w:p>
      <w:pPr>
        <w:spacing w:after="0" w:line="252" w:lineRule="exact"/>
        <w:rPr>
          <w:rFonts w:ascii="Arial" w:cs="Arial" w:eastAsia="Arial" w:hAnsi="Arial"/>
          <w:sz w:val="18"/>
          <w:szCs w:val="18"/>
          <w:color w:val="auto"/>
        </w:rPr>
      </w:pPr>
    </w:p>
    <w:p>
      <w:pPr>
        <w:ind w:firstLine="184"/>
        <w:spacing w:after="0" w:line="256" w:lineRule="auto"/>
        <w:tabs>
          <w:tab w:leader="none" w:pos="6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the Ordinary Shares, assuming the taking of all necessary corporate action to authorize and approve the issuance of any Ordinary Shares, the terms of the offering thereof and related matters, upon payment of the consideration therefor provided for in the applicable definitive purchase, underwriting or similar agreement approved by the board of directors and otherwise in accordance with the provisions of the applicable convertible Securities, if any, such Ordinary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4" w:name="page55"/>
    <w:bookmarkEnd w:id="54"/>
    <w:p>
      <w:pPr>
        <w:jc w:val="both"/>
        <w:ind w:left="-184" w:right="440" w:firstLine="184"/>
        <w:spacing w:after="0" w:line="298" w:lineRule="auto"/>
        <w:tabs>
          <w:tab w:leader="none" w:pos="4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 respect to the Capital Notes, assuming the (a) taking of all necessary corporate action to authorize and approve the issuance and terms of any Capital Notes, the terms of the offering thereof and related matters and (b) due execution, issuance and delivery of such Capital Notes upon payment of the consideration therefor provided for in the applicable definitive purchase, underwriting or similar agreement approved by the board of directors, such Capital Notes will constitute valid and legally binding obligations of the Company, enforceable against the Company in accordance with their terms.</w:t>
      </w:r>
    </w:p>
    <w:p>
      <w:pPr>
        <w:spacing w:after="0" w:line="193" w:lineRule="exact"/>
        <w:rPr>
          <w:rFonts w:ascii="Arial" w:cs="Arial" w:eastAsia="Arial" w:hAnsi="Arial"/>
          <w:sz w:val="16"/>
          <w:szCs w:val="16"/>
          <w:color w:val="auto"/>
        </w:rPr>
      </w:pPr>
    </w:p>
    <w:p>
      <w:pPr>
        <w:ind w:left="-184" w:firstLine="184"/>
        <w:spacing w:after="0" w:line="255" w:lineRule="auto"/>
        <w:tabs>
          <w:tab w:leader="none" w:pos="4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the Debt Securities, assuming the (a) taking of all necessary corporate action to authorize and approve the issuance and terms of any Debt Securities, the terms of the offering thereof and related matters and (b) due execution, authentication, issuance and delivery of such Debt Securities upon payment of the consideration therefor provided for in the applicable definitive purchase, underwriting or similar agreement approved by the board of directors and otherwise in accordance with the provisions of the applicable Indenture, such Debt Securities will constitute valid and legally binding obligations of the Company, enforceable against the Company in accordance with their terms.</w:t>
      </w:r>
    </w:p>
    <w:p>
      <w:pPr>
        <w:spacing w:after="0" w:line="223" w:lineRule="exact"/>
        <w:rPr>
          <w:rFonts w:ascii="Arial" w:cs="Arial" w:eastAsia="Arial" w:hAnsi="Arial"/>
          <w:sz w:val="18"/>
          <w:szCs w:val="18"/>
          <w:color w:val="auto"/>
        </w:rPr>
      </w:pPr>
    </w:p>
    <w:p>
      <w:pPr>
        <w:ind w:left="-184" w:right="80" w:firstLine="184"/>
        <w:spacing w:after="0" w:line="294" w:lineRule="auto"/>
        <w:tabs>
          <w:tab w:leader="none" w:pos="4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 respect to the Purchase Contracts, assuming the (a) taking of all necessary corporate action to authorize and approve the issuance and terms of any Purchase Contracts, the terms of the offering thereof and related matters and (b) due execution, authentication, issuance and delivery of such Purchase Contracts upon payment of the consideration therefor provided for in the applicable definitive purchase, underwriting or similar agreement approved by the board of directors and otherwise in accordance with the provisions of the applicable Purchase Contract Agreement, such Purchase Contracts will constitute valid and legally binding obligations of the Company, enforceable against the Company in accordance with their terms.</w:t>
      </w:r>
    </w:p>
    <w:p>
      <w:pPr>
        <w:spacing w:after="0" w:line="196" w:lineRule="exact"/>
        <w:rPr>
          <w:rFonts w:ascii="Arial" w:cs="Arial" w:eastAsia="Arial" w:hAnsi="Arial"/>
          <w:sz w:val="16"/>
          <w:szCs w:val="16"/>
          <w:color w:val="auto"/>
        </w:rPr>
      </w:pPr>
    </w:p>
    <w:p>
      <w:pPr>
        <w:ind w:left="-184" w:right="100" w:firstLine="184"/>
        <w:spacing w:after="0" w:line="255" w:lineRule="auto"/>
        <w:tabs>
          <w:tab w:leader="none" w:pos="4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the Warrants, assuming the (a) taking of all necessary corporate action to authorize and approve the issuance and terms of any Warrants, the terms of the offering thereof and related matters and (b) due execution, authentication, issuance and delivery of such Warrants upon payment of the consideration therefor provided for in the applicable definitive purchase, underwriting or similar agreement approved by the board of directors and otherwise in accordance with the provisions of the applicable Warrant Agreement, such Warrants will constitute valid and legally binding obligations of the Company, enforceable against the Company in accordance with their terms.</w:t>
      </w:r>
    </w:p>
    <w:p>
      <w:pPr>
        <w:spacing w:after="0" w:line="223" w:lineRule="exact"/>
        <w:rPr>
          <w:rFonts w:ascii="Arial" w:cs="Arial" w:eastAsia="Arial" w:hAnsi="Arial"/>
          <w:sz w:val="18"/>
          <w:szCs w:val="18"/>
          <w:color w:val="auto"/>
        </w:rPr>
      </w:pPr>
    </w:p>
    <w:p>
      <w:pPr>
        <w:ind w:left="-184" w:right="60" w:firstLine="184"/>
        <w:spacing w:after="0" w:line="290" w:lineRule="auto"/>
        <w:tabs>
          <w:tab w:leader="none" w:pos="4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the issuance and the terms of the Units, the related Unit Agreement and any Securities which are components of the Units, the terms of the offering thereof and related matters and (b) due execution, countersignature (where applicable), authentication, issuance and delivery of the Units and the Securities that are components of such Units in each case upon the payment of the consideration therefor provided for in the applicable definitive purchase, underwriting or similar agreement approved by the board of directors, and otherwise in accordance with the provisions of the applicable (i) Capital Notes, in the case of Capital Notes, (ii) Indenture, in the case of Debt Securities, (iii) Purchase Contract Agreement, in the case of Purchase Contracts and (iv) Warrant Agreement, in the case of Warrants, such Units will be validly issued and will entitle the holders thereof to the rights specified in the Unit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490220</wp:posOffset>
            </wp:positionV>
            <wp:extent cx="72504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36"/>
          </w:cols>
          <w:pgMar w:left="424" w:top="590" w:right="239" w:bottom="1440" w:gutter="0" w:footer="0" w:header="0"/>
        </w:sectPr>
      </w:pPr>
    </w:p>
    <w:bookmarkStart w:id="55" w:name="page56"/>
    <w:bookmarkEnd w:id="55"/>
    <w:p>
      <w:pPr>
        <w:ind w:right="40" w:firstLine="184"/>
        <w:spacing w:after="0" w:line="256" w:lineRule="auto"/>
        <w:tabs>
          <w:tab w:leader="none" w:pos="6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 the laws of Israel, the designation of the law of the State of New York to apply to the Indentures, the Warrant Agreement, the Purchase Contract Agreement, and the Unit Agreement will be binding upon the Company and, if properly brought to the attention of the court or administrative body in accordance with the laws of Israel, would be enforceable in any judicial or administrative proceeding in Israel subject to the existence of special circumstances or considerations, and subject generally to the discretion of the Israeli court ruling on the matter.</w:t>
      </w:r>
    </w:p>
    <w:p>
      <w:pPr>
        <w:spacing w:after="0" w:line="22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addition to the assumptions, comments, qualifications, limitations and exceptions set forth above, the opinions set forth herein are further limited by, subject to and based upon the following assumptions, comments, qualifications, limitations and exceptions:</w:t>
      </w:r>
    </w:p>
    <w:p>
      <w:pPr>
        <w:spacing w:after="0" w:line="213" w:lineRule="exact"/>
        <w:rPr>
          <w:sz w:val="20"/>
          <w:szCs w:val="20"/>
          <w:color w:val="auto"/>
        </w:rPr>
      </w:pPr>
    </w:p>
    <w:p>
      <w:pPr>
        <w:ind w:left="580" w:right="60" w:firstLine="360"/>
        <w:spacing w:after="0" w:line="289" w:lineRule="auto"/>
        <w:tabs>
          <w:tab w:leader="none" w:pos="117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are members of the Israel Bar and we express no opinion as to any matter relating to the laws of any jurisdiction other than the laws of Israel and have not, for the purpose of giving this opinion, made any investigation of the laws of any other jurisdiction than Israel.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 This opinion is expressly limited to the matters set forth above, and we render no opinion, whether by implication or otherwise, as to any other matters.</w:t>
      </w:r>
    </w:p>
    <w:p>
      <w:pPr>
        <w:spacing w:after="0" w:line="199" w:lineRule="exact"/>
        <w:rPr>
          <w:rFonts w:ascii="Arial" w:cs="Arial" w:eastAsia="Arial" w:hAnsi="Arial"/>
          <w:sz w:val="16"/>
          <w:szCs w:val="16"/>
          <w:color w:val="auto"/>
        </w:rPr>
      </w:pPr>
    </w:p>
    <w:p>
      <w:pPr>
        <w:ind w:left="580" w:right="40" w:firstLine="360"/>
        <w:spacing w:after="0" w:line="255"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 have informed us that you intend to issue the Securities from time to time on a delayed or continuous basis, and this opinion is limited to the laws, including the rules and regulations, as in effect on the date hereof. We understand that prior to issuing any Securities you will afford us an opportunity to review the operative documents pursuant to which such Securities are to be issued (including the applicable prospectus supplement) and will file such supplement or amendment to this opinion (if any) as we may reasonably consider necessary or appropriate by reason of the terms of such Securities.</w:t>
      </w:r>
    </w:p>
    <w:p>
      <w:pPr>
        <w:spacing w:after="0" w:line="218" w:lineRule="exact"/>
        <w:rPr>
          <w:sz w:val="20"/>
          <w:szCs w:val="20"/>
          <w:color w:val="auto"/>
        </w:rPr>
      </w:pPr>
    </w:p>
    <w:p>
      <w:pPr>
        <w:ind w:firstLine="412"/>
        <w:spacing w:after="0" w:line="277" w:lineRule="auto"/>
        <w:rPr>
          <w:sz w:val="20"/>
          <w:szCs w:val="20"/>
          <w:color w:val="auto"/>
        </w:rPr>
      </w:pPr>
      <w:r>
        <w:rPr>
          <w:rFonts w:ascii="Arial" w:cs="Arial" w:eastAsia="Arial" w:hAnsi="Arial"/>
          <w:sz w:val="18"/>
          <w:szCs w:val="18"/>
          <w:color w:val="auto"/>
        </w:rPr>
        <w:t>Eilenberg &amp; Krause LLP may rely upon this opinion for the purpose of rendering their opinion dated December 23, 2009, with respect to certain matters concerning the Securities.</w:t>
      </w:r>
    </w:p>
    <w:p>
      <w:pPr>
        <w:spacing w:after="0" w:line="20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hereby consent to the filing of this opinion as Exhibit 5 to the Registration Statement and to the use of our name under the caption “Legal Matters” in the Prospectus. We also consent to your filing copies of this opinion as an exhibit to the Registration Statement with agencies of such states as you deem necessary in the course of complying with the laws of such states regarding the offering and sale of the Securities. In giving such consent, we do not thereby concede that we are within the category of persons whose consent is required under Section 7 of the Act or the Rules and Regulations of the Commission thereunder.</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Yigal Arnon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5432425</wp:posOffset>
            </wp:positionV>
            <wp:extent cx="726757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ILENBERG</w:t>
      </w:r>
      <w:r>
        <w:rPr>
          <w:rFonts w:ascii="Arial" w:cs="Arial" w:eastAsia="Arial" w:hAnsi="Arial"/>
          <w:sz w:val="18"/>
          <w:szCs w:val="18"/>
          <w:b w:val="1"/>
          <w:bCs w:val="1"/>
          <w:color w:val="auto"/>
        </w:rPr>
        <w:t xml:space="preserve"> &amp; K</w:t>
      </w:r>
      <w:r>
        <w:rPr>
          <w:rFonts w:ascii="Arial" w:cs="Arial" w:eastAsia="Arial" w:hAnsi="Arial"/>
          <w:sz w:val="12"/>
          <w:szCs w:val="12"/>
          <w:b w:val="1"/>
          <w:bCs w:val="1"/>
          <w:color w:val="auto"/>
        </w:rPr>
        <w:t>RAUSE</w:t>
      </w:r>
      <w:r>
        <w:rPr>
          <w:rFonts w:ascii="Arial" w:cs="Arial" w:eastAsia="Arial" w:hAnsi="Arial"/>
          <w:sz w:val="18"/>
          <w:szCs w:val="18"/>
          <w:b w:val="1"/>
          <w:bCs w:val="1"/>
          <w:color w:val="auto"/>
        </w:rPr>
        <w:t xml:space="preserve"> LLP</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EAST 44TH STREET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TELEPHONE: (212) 986-9700</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FACSIMILE: (212) 986-2399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December 23, 2009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46" w:lineRule="exact"/>
        <w:rPr>
          <w:sz w:val="20"/>
          <w:szCs w:val="20"/>
          <w:color w:val="auto"/>
        </w:rPr>
      </w:pPr>
    </w:p>
    <w:p>
      <w:pPr>
        <w:jc w:val="both"/>
        <w:ind w:firstLine="452"/>
        <w:spacing w:after="0" w:line="284" w:lineRule="auto"/>
        <w:rPr>
          <w:sz w:val="20"/>
          <w:szCs w:val="20"/>
          <w:color w:val="auto"/>
        </w:rPr>
      </w:pPr>
      <w:r>
        <w:rPr>
          <w:rFonts w:ascii="Arial" w:cs="Arial" w:eastAsia="Arial" w:hAnsi="Arial"/>
          <w:sz w:val="16"/>
          <w:szCs w:val="16"/>
          <w:color w:val="auto"/>
        </w:rPr>
        <w:t>We have acted as United States counsel to Tower Semiconductor Ltd., a company limited by shares organized under the laws of the State of Israel (the "Company"), in connection with the Registration Statement on Form F-3 (the "Registration Statement"), to be filed by the Company on or about the date hereof with the Securities and Exchange Commission (the "Commission") under the Securities Act of 1933, as amended (the "Act"). The Registration Statement relates to the proposed offer and sale by the Company from time to time, as set forth in the prospectus contained in the Registration Statement (the “Prospectus”) and as shall be set forth in one or more supplements to the Prospectus (each, a “Prospectus Supplement”), of up to $50,000,000 aggregate amount of any or all of the following securities (the “Securities”): (i) ordinary shares, par value NIS 1.00 per share, of the Company (the "Ordinary Shares");</w:t>
      </w:r>
    </w:p>
    <w:p>
      <w:pPr>
        <w:spacing w:after="0" w:line="5" w:lineRule="exact"/>
        <w:rPr>
          <w:sz w:val="20"/>
          <w:szCs w:val="20"/>
          <w:color w:val="auto"/>
        </w:rPr>
      </w:pPr>
    </w:p>
    <w:p>
      <w:pPr>
        <w:jc w:val="both"/>
        <w:ind w:firstLine="8"/>
        <w:spacing w:after="0" w:line="253" w:lineRule="auto"/>
        <w:tabs>
          <w:tab w:leader="none" w:pos="2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capital notes (the “Capital Notes”), (iii) unsecured debt securities, which may be senior ("Senior Debt Securities") or subordinated ("Subordinated Debt Securities" and, collectively with the Senior Debt Securities, the "Debt Securities"); (iii) purchase contracts obligating holders to purchase Securities (as hereinafter defined) at a future date or dates ("Purchase Contracts"); (iv) warrants to purchase Ordinary Shares, Capital Notes, Debt Securities and Purchase Contracts of the Company (the "Warrants"); and (v) units comprised of one or more of the Ordinary Shares, Capital Notes, Debt Securities, Purchase Contracts and Warrants in any combination (the "Units").</w:t>
      </w:r>
    </w:p>
    <w:p>
      <w:pPr>
        <w:spacing w:after="0" w:line="22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Each series of Debt Securities will be issued under an indenture, substantially in the form of the exhibit to the Registration Statement (the ” Indenture”) between the Company and a trustee named in the applicable Prospectus Supplement (each, a “Trustee”). The Purchase Contracts will be issued pursuant to a purchase contract agreement (the “Purchase Contract Agreement”) between the Company and a purchase contract agent (the “Purchase Contract Agent”). The Warrants will be issued under a warrant agreement (the “Warrant Agreement”) between the Company and a warrant agent (the “Warrant Agent”). The Units will be issued under a unit agreement (the “Unit Agreement”) between the Company and a unit agent (the “Unit Agent”).</w:t>
      </w:r>
    </w:p>
    <w:p>
      <w:pPr>
        <w:spacing w:after="0" w:line="164"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In connection herewith, we have examined and relied without investigation as to matters of fact upon the Registration Statement and the exhibits thereto, including the form of Indenture, and such certificates, statements and results of inquiries of public officials and officers and representatives of the Company and originals or copies, certified or otherwise identified to our satisfaction, of such other documents, corporate records, certificates and instruments as we have deemed necessary or appropriate to enable us to render the opinions expressed herein. We have also relied, with the permission of Yigal Arnon &amp; Co., upon the legal opinion letter of Yigal Arnon &amp; Co. to the Company dated December 23, 2009 with respect to certain matters concerning the Company and the Securities. We have assumed the genuineness of all signatures on all documents examined by us, the legal competence and capacity of natural persons, the authenticity of documents submitted to us as originals, and the conformity with authentic original documents of all documents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04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ind w:right="120" w:firstLine="348"/>
        <w:spacing w:after="0" w:line="290" w:lineRule="auto"/>
        <w:rPr>
          <w:sz w:val="20"/>
          <w:szCs w:val="20"/>
          <w:color w:val="auto"/>
        </w:rPr>
      </w:pPr>
      <w:r>
        <w:rPr>
          <w:rFonts w:ascii="Arial" w:cs="Arial" w:eastAsia="Arial" w:hAnsi="Arial"/>
          <w:sz w:val="16"/>
          <w:szCs w:val="16"/>
          <w:color w:val="auto"/>
        </w:rPr>
        <w:t>We also have assumed that: (1) at the time of execution, authentication, issuance and delivery of each series of Debt Securities, the related Indenture will be the valid and legally binding obligation of the applicable Trustee, enforceable against such party in accordance with its terms; (2) at the time of execution, issuance and delivery of the Purchase Contracts, the Purchase Contract Agreement will be the valid and legally binding obligation of the Purchase Contract Agent, enforceable against such party in accordance with its terms; (3) at the time of execution, issuance and delivery of any Warrants, the related Warrant Agreement will be the valid and legally binding obligation of the Warrant Agent, enforceable against such party in accordance with its terms; and (4) at the time of the execution, issuance and delivery of the Units, the related Unit Agreement will be the valid and legally binding obligation of the Unit Agent, enforceable against such party in accordance with its terms.</w:t>
      </w:r>
    </w:p>
    <w:p>
      <w:pPr>
        <w:spacing w:after="0" w:line="199" w:lineRule="exact"/>
        <w:rPr>
          <w:sz w:val="20"/>
          <w:szCs w:val="20"/>
          <w:color w:val="auto"/>
        </w:rPr>
      </w:pPr>
    </w:p>
    <w:p>
      <w:pPr>
        <w:ind w:right="60" w:firstLine="348"/>
        <w:spacing w:after="0" w:line="302" w:lineRule="auto"/>
        <w:rPr>
          <w:sz w:val="20"/>
          <w:szCs w:val="20"/>
          <w:color w:val="auto"/>
        </w:rPr>
      </w:pPr>
      <w:r>
        <w:rPr>
          <w:rFonts w:ascii="Arial" w:cs="Arial" w:eastAsia="Arial" w:hAnsi="Arial"/>
          <w:sz w:val="15"/>
          <w:szCs w:val="15"/>
          <w:color w:val="auto"/>
        </w:rPr>
        <w:t>We have assumed further that: (1) at the time of execution, issuance and delivery of the Capital Notes, the Capital Notes will have been duly authorized, executed and delivered by the Company; (2) at the time of execution, authentication, issuance and delivery of each series of Debt Securities, the related Indenture will have been duly authorized, executed and delivered by the Company and the applicable Trustee; (3) at the time of execution, issuance and delivery of the Purchase Contracts, the Purchase Contract Agreement will have been duly authorized, executed and delivered by the Company and the Purchase Contract Agent;</w:t>
      </w:r>
    </w:p>
    <w:p>
      <w:pPr>
        <w:spacing w:after="0" w:line="3" w:lineRule="exact"/>
        <w:rPr>
          <w:sz w:val="20"/>
          <w:szCs w:val="20"/>
          <w:color w:val="auto"/>
        </w:rPr>
      </w:pPr>
    </w:p>
    <w:p>
      <w:pPr>
        <w:ind w:right="100" w:firstLine="8"/>
        <w:spacing w:after="0" w:line="315" w:lineRule="auto"/>
        <w:tabs>
          <w:tab w:leader="none" w:pos="249" w:val="left"/>
        </w:tabs>
        <w:numPr>
          <w:ilvl w:val="0"/>
          <w:numId w:val="51"/>
        </w:numPr>
        <w:rPr>
          <w:rFonts w:ascii="Arial" w:cs="Arial" w:eastAsia="Arial" w:hAnsi="Arial"/>
          <w:sz w:val="15"/>
          <w:szCs w:val="15"/>
          <w:color w:val="auto"/>
        </w:rPr>
      </w:pPr>
      <w:r>
        <w:rPr>
          <w:rFonts w:ascii="Arial" w:cs="Arial" w:eastAsia="Arial" w:hAnsi="Arial"/>
          <w:sz w:val="15"/>
          <w:szCs w:val="15"/>
          <w:color w:val="auto"/>
        </w:rPr>
        <w:t>at the time of execution, issuance and delivery of any Warrants, the related Warrant Agreement will have been duly authorized, executed and delivered by the Company and the Warrant Agent; (5) at the time of execution, issuance and delivery of the Units, the Unit Agreement will have been duly authorized, executed and delivered by the Company and the Unit Agent; and (6) at the time of the issuance and sale of any of the Securities, the terms of the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18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Based upon the foregoing, in reliance thereon and subject to the assumptions, comments, qualifications, limitations and exceptions stated herein and the effectiveness of the Registration Statement under the Act, we are of the opinion that:</w:t>
      </w:r>
    </w:p>
    <w:p>
      <w:pPr>
        <w:spacing w:after="0" w:line="213" w:lineRule="exact"/>
        <w:rPr>
          <w:sz w:val="20"/>
          <w:szCs w:val="20"/>
          <w:color w:val="auto"/>
        </w:rPr>
      </w:pPr>
    </w:p>
    <w:p>
      <w:pPr>
        <w:jc w:val="both"/>
        <w:ind w:right="440" w:firstLine="184"/>
        <w:spacing w:after="0" w:line="298" w:lineRule="auto"/>
        <w:tabs>
          <w:tab w:leader="none" w:pos="658" w:val="left"/>
        </w:tabs>
        <w:numPr>
          <w:ilvl w:val="0"/>
          <w:numId w:val="52"/>
        </w:numPr>
        <w:rPr>
          <w:rFonts w:ascii="Arial" w:cs="Arial" w:eastAsia="Arial" w:hAnsi="Arial"/>
          <w:sz w:val="16"/>
          <w:szCs w:val="16"/>
          <w:color w:val="auto"/>
        </w:rPr>
      </w:pPr>
      <w:r>
        <w:rPr>
          <w:rFonts w:ascii="Arial" w:cs="Arial" w:eastAsia="Arial" w:hAnsi="Arial"/>
          <w:sz w:val="16"/>
          <w:szCs w:val="16"/>
          <w:color w:val="auto"/>
        </w:rPr>
        <w:t>With respect to the Capital Notes, assuming the (a) taking of all necessary corporate action to authorize and approve the issuance and terms of any Capital Notes, the terms of the offering thereof and related matters and (b) due execution, issuance and delivery of such Capital Notes upon payment of the consideration therefor provided for in the applicable definitive purchase, underwriting or similar agreement approved by the board of directors, such Capital Notes will constitute valid and legally binding obligations of the Company, enforceable against the Company in accordance with their terms.</w:t>
      </w:r>
    </w:p>
    <w:p>
      <w:pPr>
        <w:spacing w:after="0" w:line="193" w:lineRule="exact"/>
        <w:rPr>
          <w:rFonts w:ascii="Arial" w:cs="Arial" w:eastAsia="Arial" w:hAnsi="Arial"/>
          <w:sz w:val="16"/>
          <w:szCs w:val="16"/>
          <w:color w:val="auto"/>
        </w:rPr>
      </w:pPr>
    </w:p>
    <w:p>
      <w:pPr>
        <w:ind w:firstLine="184"/>
        <w:spacing w:after="0" w:line="255" w:lineRule="auto"/>
        <w:tabs>
          <w:tab w:leader="none" w:pos="6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the Debt Securities, assuming the (a) taking of all necessary corporate action to authorize and approve the issuance and terms of any Debt Securities, the terms of the offering thereof and related matters and (b) due execution, authentication, issuance and delivery of such Debt Securities upon payment of the consideration therefor provided for in the applicable definitive purchase, underwriting or similar agreement approved by the board of directors and otherwise in accordance with the provisions of the applicable Indenture, such Debt Securities will constitute valid and legally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505460</wp:posOffset>
            </wp:positionV>
            <wp:extent cx="72504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58" w:name="page59"/>
    <w:bookmarkEnd w:id="58"/>
    <w:p>
      <w:pPr>
        <w:ind w:right="60" w:firstLine="184"/>
        <w:spacing w:after="0" w:line="294" w:lineRule="auto"/>
        <w:tabs>
          <w:tab w:leader="none" w:pos="658"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 respect to the Purchase Contracts, assuming the (a) taking of all necessary corporate action to authorize and approve the issuance and terms of any Purchase Contracts, the terms of the offering thereof and related matters and (b) due execution, authentication, issuance and delivery of such Purchase Contracts upon payment of the consideration therefor provided for in the applicable definitive purchase, underwriting or similar agreement approved by the board of directors and otherwise in accordance with the provisions of the applicable Purchase Contract Agreement, such Purchase Contracts will constitute valid and legally binding obligations of the Company, enforceable against the Company in accordance with their terms.</w:t>
      </w:r>
    </w:p>
    <w:p>
      <w:pPr>
        <w:spacing w:after="0" w:line="196" w:lineRule="exact"/>
        <w:rPr>
          <w:rFonts w:ascii="Arial" w:cs="Arial" w:eastAsia="Arial" w:hAnsi="Arial"/>
          <w:sz w:val="16"/>
          <w:szCs w:val="16"/>
          <w:color w:val="auto"/>
        </w:rPr>
      </w:pPr>
    </w:p>
    <w:p>
      <w:pPr>
        <w:ind w:right="80" w:firstLine="184"/>
        <w:spacing w:after="0" w:line="255" w:lineRule="auto"/>
        <w:tabs>
          <w:tab w:leader="none" w:pos="6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Warrants, assuming the (a) taking of all necessary corporate action to authorize and approve the issuance and terms of any Warrants, the terms of the offering thereof and related matters and (b) due execution, authentication, issuance and delivery of such Warrants upon payment of the consideration therefor provided for in the applicable definitive purchase, underwriting or similar agreement approved by the board of directors and otherwise in accordance with the provisions of the applicable Warrant Agreement, such Warrants will constitute valid and legally binding obligations of the Company, enforceable against the Company in accordance with their terms.</w:t>
      </w:r>
    </w:p>
    <w:p>
      <w:pPr>
        <w:spacing w:after="0" w:line="223" w:lineRule="exact"/>
        <w:rPr>
          <w:rFonts w:ascii="Arial" w:cs="Arial" w:eastAsia="Arial" w:hAnsi="Arial"/>
          <w:sz w:val="18"/>
          <w:szCs w:val="18"/>
          <w:color w:val="auto"/>
        </w:rPr>
      </w:pPr>
    </w:p>
    <w:p>
      <w:pPr>
        <w:ind w:right="40" w:firstLine="184"/>
        <w:spacing w:after="0" w:line="290" w:lineRule="auto"/>
        <w:tabs>
          <w:tab w:leader="none" w:pos="658"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the issuance and the terms of the Units, the related Unit Agreement and any Securities which are components of the Units, the terms of the offering thereof and related matters and (b) due execution, countersignature (where applicable), authentication, issuance and delivery of the Units and the Securities that are components of such Units in each case upon the payment of the consideration therefor provided for in the applicable definitive purchase, underwriting or similar agreement approved by the board of directors, and otherwise in accordance with the provisions of the applicable (i) Capital Notes, in the case of Capital Notes, (ii) Indenture, in the case of Debt Securities, (iii) Purchase Contract Agreement, in the case of Purchase Contracts and (iv) Warrant Agreement, in the case of Warrants, such Units will be validly issued and will entitle the holders thereof to the rights specified in the Unit Agreements.</w:t>
      </w:r>
    </w:p>
    <w:p>
      <w:pPr>
        <w:spacing w:after="0" w:line="199"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addition to the assumptions, comments, qualifications, limitations and exceptions set forth above, the opinions set forth herein are further limited by, subject to and based upon the following assumptions, comments, qualifications, limitations and exceptions:</w:t>
      </w:r>
    </w:p>
    <w:p>
      <w:pPr>
        <w:spacing w:after="0" w:line="213" w:lineRule="exact"/>
        <w:rPr>
          <w:sz w:val="20"/>
          <w:szCs w:val="20"/>
          <w:color w:val="auto"/>
        </w:rPr>
      </w:pPr>
    </w:p>
    <w:p>
      <w:pPr>
        <w:ind w:left="580" w:firstLine="360"/>
        <w:spacing w:after="0" w:line="291" w:lineRule="auto"/>
        <w:tabs>
          <w:tab w:leader="none" w:pos="117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opinions herein reflect only the application of applicable laws of the State of New York and the federal laws of the United States of America.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504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9" w:name="page60"/>
    <w:bookmarkEnd w:id="59"/>
    <w:p>
      <w:pPr>
        <w:ind w:left="-360" w:firstLine="360"/>
        <w:spacing w:after="0" w:line="290" w:lineRule="auto"/>
        <w:tabs>
          <w:tab w:leader="none" w:pos="2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opinions herein are subject to and may be limited by (i) applicable bankruptcy, insolvency, reorganization, receivership, moratorium and other similar laws affecting or relating to the rights and remedies of creditors generally including, without limitation, laws relative to fraudulent conveyances, preference and equitable subordination, (ii) general principles or equity (regardless of whether considered in a proceeding in equity or at law), (iii) an implied covenant of good faith and fair dealing, (iv) requirements that a claim with respect to any Securities denominated other than in United States dollars (or a judgment denominated other than in United States dollars with respect to such a claim) be converted into United States dollars at a rate of exchange prevailing on a date determined pursuant to applicable law, and (v) governmental authority to limit, delay or prohibit the making of payments outside the United States or in foreign currency or composite currency.</w:t>
      </w:r>
    </w:p>
    <w:p>
      <w:pPr>
        <w:spacing w:after="0" w:line="199" w:lineRule="exact"/>
        <w:rPr>
          <w:rFonts w:ascii="Arial" w:cs="Arial" w:eastAsia="Arial" w:hAnsi="Arial"/>
          <w:sz w:val="16"/>
          <w:szCs w:val="16"/>
          <w:color w:val="auto"/>
        </w:rPr>
      </w:pPr>
    </w:p>
    <w:p>
      <w:pPr>
        <w:ind w:left="-360" w:right="40" w:firstLine="360"/>
        <w:spacing w:after="0" w:line="289" w:lineRule="auto"/>
        <w:tabs>
          <w:tab w:leader="none" w:pos="23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opinions are further subject to the effect of generally applicable rules of law arising from statutes, judicial and administrative decisions, and the rules and regulations of governmental authorities that: (i) limit or affect the enforcement of provisions of a contract that purport to require waiver of the obligations of good faith, fair dealing, diligence and reasonableness;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recklessness, willful misconduct or unlawful conduct; (iv) may, where less than all of the contract may be unenforceable, limit the enforceability of the balance of the contract to circumstances in which the unenforceable portion is not an essential part of the agreed exchange and (v) govern and afford judicial discretion regarding the determination of damages and entitlement to attorneys’ fees.</w:t>
      </w:r>
    </w:p>
    <w:p>
      <w:pPr>
        <w:spacing w:after="0" w:line="199" w:lineRule="exact"/>
        <w:rPr>
          <w:rFonts w:ascii="Arial" w:cs="Arial" w:eastAsia="Arial" w:hAnsi="Arial"/>
          <w:sz w:val="16"/>
          <w:szCs w:val="16"/>
          <w:color w:val="auto"/>
        </w:rPr>
      </w:pPr>
    </w:p>
    <w:p>
      <w:pPr>
        <w:ind w:left="-360" w:right="300" w:firstLine="360"/>
        <w:spacing w:after="0" w:line="291" w:lineRule="auto"/>
        <w:tabs>
          <w:tab w:leader="none" w:pos="2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express no opinion as to the enforceability of any provision in any Capital Note, Indenture, Purchase Contract Agreement, Warrant Agreement, Unit Agreement or other agreement purporting or attempting to (A) confer exclusive jurisdiction and/or venue upon certain courts or otherwise waive the defenses of forum non conveniens or improper venue, (B) confer subject matter jurisdiction on a court not having independent grounds therefor, (C) modify or waive the requirements for effective service of process for any action that may be brought, (D) waive the right of the Company or any other person to a trial by jury, (E) provide that remedies are cumulative or that decisions by a party are conclusive, or (F) modify or waive the rights to notice, legal defenses, statutes of limitations or other benefits that cannot be waived under applicable law.</w:t>
      </w:r>
    </w:p>
    <w:p>
      <w:pPr>
        <w:spacing w:after="0" w:line="201" w:lineRule="exact"/>
        <w:rPr>
          <w:rFonts w:ascii="Arial" w:cs="Arial" w:eastAsia="Arial" w:hAnsi="Arial"/>
          <w:sz w:val="16"/>
          <w:szCs w:val="16"/>
          <w:color w:val="auto"/>
        </w:rPr>
      </w:pPr>
    </w:p>
    <w:p>
      <w:pPr>
        <w:ind w:left="-360" w:right="100" w:firstLine="360"/>
        <w:spacing w:after="0" w:line="259" w:lineRule="auto"/>
        <w:tabs>
          <w:tab w:leader="none" w:pos="2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express no opinion as to the enforceability of any rights to indemnification or contribution provided for in any Capital Note, Indenture, Purchase Contract Agreement, Warrant Agreement, Unit Agreement or other agreement which are violative of public policy underlying any law, rule or regulation (including any federal or state securities law, rule or regulation) or the legality of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521335</wp:posOffset>
            </wp:positionV>
            <wp:extent cx="725043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400"/>
          </w:cols>
          <w:pgMar w:left="1180" w:top="617" w:right="319" w:bottom="1440" w:gutter="0" w:footer="0" w:header="0"/>
        </w:sectPr>
      </w:pPr>
    </w:p>
    <w:bookmarkStart w:id="60" w:name="page61"/>
    <w:bookmarkEnd w:id="60"/>
    <w:p>
      <w:pPr>
        <w:ind w:left="580" w:right="40" w:firstLine="360"/>
        <w:spacing w:after="0" w:line="255" w:lineRule="auto"/>
        <w:tabs>
          <w:tab w:leader="none" w:pos="11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You have informed us that you intend to issue the Securities from time to time on a delayed or continuous basis, and this opinion is limited to the laws, including the rules and regulations, as in effect on the date hereof. We understand that prior to issuing any Securities you will afford us an opportunity to review the operative documents pursuant to which such Securities are to be issued (including the applicable prospectus supplement) and will file such supplement or amendment to this opinion (if any) as we may reasonably consider necessary or appropriate by reason of the terms of such Securities.</w:t>
      </w:r>
    </w:p>
    <w:p>
      <w:pPr>
        <w:spacing w:after="0" w:line="22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hereby consent to the filing of this opinion as Exhibit 5 to the Registration Statement and to the use of our name under the caption “Legal Matters” in the Prospectus. We also consent to your filing copies of this opinion as an exhibit to the Registration Statement with agencies of such states as you deem necessary in the course of complying with the laws of such states regarding the offering and sale of the Securities. In giving such consent, we do not thereby concede that we are within the category of persons whose consent is required under Section 7 of the Act or the Rules and Regulations of the Commission thereunder.</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Eilenberg &amp; Krause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8228330</wp:posOffset>
            </wp:positionV>
            <wp:extent cx="725043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380"/>
          </w:cols>
          <w:pgMar w:left="240" w:top="617" w:right="2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u w:val="single" w:color="auto"/>
          <w:color w:val="auto"/>
        </w:rPr>
        <w:t>Exhibit 23.3</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9" w:lineRule="exact"/>
        <w:rPr>
          <w:sz w:val="20"/>
          <w:szCs w:val="20"/>
          <w:color w:val="auto"/>
        </w:rPr>
      </w:pPr>
    </w:p>
    <w:p>
      <w:pPr>
        <w:ind w:right="100" w:firstLine="537"/>
        <w:spacing w:after="0" w:line="259" w:lineRule="auto"/>
        <w:rPr>
          <w:sz w:val="20"/>
          <w:szCs w:val="20"/>
          <w:color w:val="auto"/>
        </w:rPr>
      </w:pPr>
      <w:r>
        <w:rPr>
          <w:rFonts w:ascii="Arial" w:cs="Arial" w:eastAsia="Arial" w:hAnsi="Arial"/>
          <w:sz w:val="18"/>
          <w:szCs w:val="18"/>
          <w:color w:val="auto"/>
        </w:rPr>
        <w:t>We consent to the incorporation by reference in this Amendment No.1 to Registration Statement on Form F-3 of our reports dated February 23, 2009 relating to the financial statements of Tower Semiconductor Ltd, (the "Company") and the effectiveness of the Company’s internal control over financial reporting, appearing in the Annual Report on Form 20-F of the Company for the year ended December 31, 2008, and to the reference to us under the heading "Experts" in the Prospectus, which is part of this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Brightman </w:t>
      </w:r>
      <w:r>
        <w:rPr>
          <w:rFonts w:ascii="Arial" w:cs="Arial" w:eastAsia="Arial" w:hAnsi="Arial"/>
          <w:sz w:val="21"/>
          <w:szCs w:val="21"/>
          <w:color w:val="auto"/>
        </w:rPr>
        <w:t>Almagor Zohar &amp; Co.</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 member of Deloitte Touche Tohmatsu</w:t>
      </w:r>
    </w:p>
    <w:p>
      <w:pPr>
        <w:spacing w:after="0"/>
        <w:rPr>
          <w:sz w:val="20"/>
          <w:szCs w:val="20"/>
          <w:color w:val="auto"/>
        </w:rPr>
      </w:pPr>
      <w:r>
        <w:rPr>
          <w:rFonts w:ascii="Arial" w:cs="Arial" w:eastAsia="Arial" w:hAnsi="Arial"/>
          <w:sz w:val="18"/>
          <w:szCs w:val="18"/>
          <w:color w:val="auto"/>
        </w:rPr>
        <w:t>December 23,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250430" cy="45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emdash "/>
      <w:numFmt w:val="bullet"/>
      <w:start w:val="1"/>
    </w:lvl>
  </w:abstractNum>
  <w:abstractNum w:abstractNumId="2">
    <w:nsid w:val="3A95F874"/>
    <w:multiLevelType w:val="hybridMultilevel"/>
    <w:lvl w:ilvl="0">
      <w:lvlJc w:val="left"/>
      <w:lvlText w:val="\emdash "/>
      <w:numFmt w:val="bullet"/>
      <w:start w:val="1"/>
    </w:lvl>
  </w:abstractNum>
  <w:abstractNum w:abstractNumId="3">
    <w:nsid w:val="8138641"/>
    <w:multiLevelType w:val="hybridMultilevel"/>
    <w:lvl w:ilvl="0">
      <w:lvlJc w:val="left"/>
      <w:lvlText w:val="\emdash "/>
      <w:numFmt w:val="bullet"/>
      <w:start w:val="1"/>
    </w:lvl>
  </w:abstractNum>
  <w:abstractNum w:abstractNumId="4">
    <w:nsid w:val="1E7FF521"/>
    <w:multiLevelType w:val="hybridMultilevel"/>
    <w:lvl w:ilvl="0">
      <w:lvlJc w:val="left"/>
      <w:lvlText w:val="\emdash "/>
      <w:numFmt w:val="bullet"/>
      <w:start w:val="1"/>
    </w:lvl>
  </w:abstractNum>
  <w:abstractNum w:abstractNumId="5">
    <w:nsid w:val="7C3DBD3D"/>
    <w:multiLevelType w:val="hybridMultilevel"/>
    <w:lvl w:ilvl="0">
      <w:lvlJc w:val="left"/>
      <w:lvlText w:val="\emdash "/>
      <w:numFmt w:val="bullet"/>
      <w:start w:val="1"/>
    </w:lvl>
  </w:abstractNum>
  <w:abstractNum w:abstractNumId="6">
    <w:nsid w:val="737B8DDC"/>
    <w:multiLevelType w:val="hybridMultilevel"/>
    <w:lvl w:ilvl="0">
      <w:lvlJc w:val="left"/>
      <w:lvlText w:val="\emdash "/>
      <w:numFmt w:val="bullet"/>
      <w:start w:val="1"/>
    </w:lvl>
  </w:abstractNum>
  <w:abstractNum w:abstractNumId="7">
    <w:nsid w:val="6CEAF087"/>
    <w:multiLevelType w:val="hybridMultilevel"/>
    <w:lvl w:ilvl="0">
      <w:lvlJc w:val="left"/>
      <w:lvlText w:val="\emdash "/>
      <w:numFmt w:val="bullet"/>
      <w:start w:val="1"/>
    </w:lvl>
  </w:abstractNum>
  <w:abstractNum w:abstractNumId="8">
    <w:nsid w:val="22221A70"/>
    <w:multiLevelType w:val="hybridMultilevel"/>
    <w:lvl w:ilvl="0">
      <w:lvlJc w:val="left"/>
      <w:lvlText w:val="\emdash "/>
      <w:numFmt w:val="bullet"/>
      <w:start w:val="1"/>
    </w:lvl>
  </w:abstractNum>
  <w:abstractNum w:abstractNumId="9">
    <w:nsid w:val="4516DDE9"/>
    <w:multiLevelType w:val="hybridMultilevel"/>
    <w:lvl w:ilvl="0">
      <w:lvlJc w:val="left"/>
      <w:lvlText w:val="\emdash "/>
      <w:numFmt w:val="bullet"/>
      <w:start w:val="1"/>
    </w:lvl>
  </w:abstractNum>
  <w:abstractNum w:abstractNumId="10">
    <w:nsid w:val="3006C83E"/>
    <w:multiLevelType w:val="hybridMultilevel"/>
    <w:lvl w:ilvl="0">
      <w:lvlJc w:val="left"/>
      <w:lvlText w:val="\emdash "/>
      <w:numFmt w:val="bullet"/>
      <w:start w:val="1"/>
    </w:lvl>
  </w:abstractNum>
  <w:abstractNum w:abstractNumId="11">
    <w:nsid w:val="614FD4A1"/>
    <w:multiLevelType w:val="hybridMultilevel"/>
    <w:lvl w:ilvl="0">
      <w:lvlJc w:val="left"/>
      <w:lvlText w:val="\emdash "/>
      <w:numFmt w:val="bullet"/>
      <w:start w:val="1"/>
    </w:lvl>
  </w:abstractNum>
  <w:abstractNum w:abstractNumId="12">
    <w:nsid w:val="419AC241"/>
    <w:multiLevelType w:val="hybridMultilevel"/>
    <w:lvl w:ilvl="0">
      <w:lvlJc w:val="left"/>
      <w:lvlText w:val="\emdash "/>
      <w:numFmt w:val="bullet"/>
      <w:start w:val="1"/>
    </w:lvl>
  </w:abstractNum>
  <w:abstractNum w:abstractNumId="13">
    <w:nsid w:val="5577F8E1"/>
    <w:multiLevelType w:val="hybridMultilevel"/>
    <w:lvl w:ilvl="0">
      <w:lvlJc w:val="left"/>
      <w:lvlText w:val="\emdash "/>
      <w:numFmt w:val="bullet"/>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lowerRoman"/>
      <w:start w:val="1"/>
    </w:lvl>
  </w:abstractNum>
  <w:abstractNum w:abstractNumId="16">
    <w:nsid w:val="3804823E"/>
    <w:multiLevelType w:val="hybridMultilevel"/>
    <w:lvl w:ilvl="0">
      <w:lvlJc w:val="left"/>
      <w:lvlText w:val="(%1)"/>
      <w:numFmt w:val="lowerRoman"/>
      <w:start w:val="5"/>
    </w:lvl>
  </w:abstractNum>
  <w:abstractNum w:abstractNumId="17">
    <w:nsid w:val="77465F01"/>
    <w:multiLevelType w:val="hybridMultilevel"/>
    <w:lvl w:ilvl="0">
      <w:lvlJc w:val="left"/>
      <w:lvlText w:val="\emdash "/>
      <w:numFmt w:val="bullet"/>
      <w:start w:val="1"/>
    </w:lvl>
  </w:abstractNum>
  <w:abstractNum w:abstractNumId="18">
    <w:nsid w:val="7724C67E"/>
    <w:multiLevelType w:val="hybridMultilevel"/>
    <w:lvl w:ilvl="0">
      <w:lvlJc w:val="left"/>
      <w:lvlText w:val="\emdash "/>
      <w:numFmt w:val="bullet"/>
      <w:start w:val="1"/>
    </w:lvl>
  </w:abstractNum>
  <w:abstractNum w:abstractNumId="19">
    <w:nsid w:val="5C482A97"/>
    <w:multiLevelType w:val="hybridMultilevel"/>
    <w:lvl w:ilvl="0">
      <w:lvlJc w:val="left"/>
      <w:lvlText w:val="\emdash "/>
      <w:numFmt w:val="bullet"/>
      <w:start w:val="1"/>
    </w:lvl>
  </w:abstractNum>
  <w:abstractNum w:abstractNumId="20">
    <w:nsid w:val="2463B9EA"/>
    <w:multiLevelType w:val="hybridMultilevel"/>
    <w:lvl w:ilvl="0">
      <w:lvlJc w:val="left"/>
      <w:lvlText w:val="\emdash "/>
      <w:numFmt w:val="bullet"/>
      <w:start w:val="1"/>
    </w:lvl>
  </w:abstractNum>
  <w:abstractNum w:abstractNumId="21">
    <w:nsid w:val="5E884ADC"/>
    <w:multiLevelType w:val="hybridMultilevel"/>
    <w:lvl w:ilvl="0">
      <w:lvlJc w:val="left"/>
      <w:lvlText w:val="\emdash "/>
      <w:numFmt w:val="bullet"/>
      <w:start w:val="1"/>
    </w:lvl>
  </w:abstractNum>
  <w:abstractNum w:abstractNumId="22">
    <w:nsid w:val="51EAD36B"/>
    <w:multiLevelType w:val="hybridMultilevel"/>
    <w:lvl w:ilvl="0">
      <w:lvlJc w:val="left"/>
      <w:lvlText w:val="\emdash "/>
      <w:numFmt w:val="bullet"/>
      <w:start w:val="1"/>
    </w:lvl>
  </w:abstractNum>
  <w:abstractNum w:abstractNumId="23">
    <w:nsid w:val="2D517796"/>
    <w:multiLevelType w:val="hybridMultilevel"/>
    <w:lvl w:ilvl="0">
      <w:lvlJc w:val="left"/>
      <w:lvlText w:val="\emdash "/>
      <w:numFmt w:val="bullet"/>
      <w:start w:val="1"/>
    </w:lvl>
  </w:abstractNum>
  <w:abstractNum w:abstractNumId="24">
    <w:nsid w:val="580BD78F"/>
    <w:multiLevelType w:val="hybridMultilevel"/>
    <w:lvl w:ilvl="0">
      <w:lvlJc w:val="left"/>
      <w:lvlText w:val="\emdash "/>
      <w:numFmt w:val="bullet"/>
      <w:start w:val="1"/>
    </w:lvl>
  </w:abstractNum>
  <w:abstractNum w:abstractNumId="25">
    <w:nsid w:val="153EA438"/>
    <w:multiLevelType w:val="hybridMultilevel"/>
    <w:lvl w:ilvl="0">
      <w:lvlJc w:val="left"/>
      <w:lvlText w:val="\emdash "/>
      <w:numFmt w:val="bullet"/>
      <w:start w:val="1"/>
    </w:lvl>
  </w:abstractNum>
  <w:abstractNum w:abstractNumId="26">
    <w:nsid w:val="3855585C"/>
    <w:multiLevelType w:val="hybridMultilevel"/>
    <w:lvl w:ilvl="0">
      <w:lvlJc w:val="left"/>
      <w:lvlText w:val="\emdash "/>
      <w:numFmt w:val="bullet"/>
      <w:start w:val="1"/>
    </w:lvl>
  </w:abstractNum>
  <w:abstractNum w:abstractNumId="27">
    <w:nsid w:val="70A64E2A"/>
    <w:multiLevelType w:val="hybridMultilevel"/>
    <w:lvl w:ilvl="0">
      <w:lvlJc w:val="left"/>
      <w:lvlText w:val="\emdash "/>
      <w:numFmt w:val="bullet"/>
      <w:start w:val="1"/>
    </w:lvl>
  </w:abstractNum>
  <w:abstractNum w:abstractNumId="28">
    <w:nsid w:val="6A2342EC"/>
    <w:multiLevelType w:val="hybridMultilevel"/>
    <w:lvl w:ilvl="0">
      <w:lvlJc w:val="left"/>
      <w:lvlText w:val="\emdash "/>
      <w:numFmt w:val="bullet"/>
      <w:start w:val="1"/>
    </w:lvl>
  </w:abstractNum>
  <w:abstractNum w:abstractNumId="29">
    <w:nsid w:val="2A487CB0"/>
    <w:multiLevelType w:val="hybridMultilevel"/>
    <w:lvl w:ilvl="0">
      <w:lvlJc w:val="left"/>
      <w:lvlText w:val="\emdash "/>
      <w:numFmt w:val="bullet"/>
      <w:start w:val="1"/>
    </w:lvl>
  </w:abstractNum>
  <w:abstractNum w:abstractNumId="30">
    <w:nsid w:val="1D4ED43B"/>
    <w:multiLevelType w:val="hybridMultilevel"/>
    <w:lvl w:ilvl="0">
      <w:lvlJc w:val="left"/>
      <w:lvlText w:val="%1."/>
      <w:numFmt w:val="decimal"/>
      <w:start w:val="1"/>
    </w:lvl>
    <w:lvl w:ilvl="1">
      <w:lvlJc w:val="left"/>
      <w:lvlText w:val="(%2)"/>
      <w:numFmt w:val="lowerLetter"/>
      <w:start w:val="1"/>
    </w:lvl>
  </w:abstractNum>
  <w:abstractNum w:abstractNumId="31">
    <w:nsid w:val="725A06FB"/>
    <w:multiLevelType w:val="hybridMultilevel"/>
    <w:lvl w:ilvl="0">
      <w:lvlJc w:val="left"/>
      <w:lvlText w:val="%1."/>
      <w:numFmt w:val="lowerRoman"/>
      <w:start w:val="1"/>
    </w:lvl>
  </w:abstractNum>
  <w:abstractNum w:abstractNumId="32">
    <w:nsid w:val="2CD89A32"/>
    <w:multiLevelType w:val="hybridMultilevel"/>
    <w:lvl w:ilvl="0">
      <w:lvlJc w:val="left"/>
      <w:lvlText w:val="š"/>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
    <w:nsid w:val="6DE91B18"/>
    <w:multiLevelType w:val="hybridMultilevel"/>
    <w:lvl w:ilvl="0">
      <w:lvlJc w:val="left"/>
      <w:lvlText w:val="(%1)"/>
      <w:numFmt w:val="decimal"/>
      <w:start w:val="2"/>
    </w:lvl>
  </w:abstractNum>
  <w:abstractNum w:abstractNumId="38">
    <w:nsid w:val="38437FDB"/>
    <w:multiLevelType w:val="hybridMultilevel"/>
    <w:lvl w:ilvl="0">
      <w:lvlJc w:val="left"/>
      <w:lvlText w:val="(%1)"/>
      <w:numFmt w:val="decimal"/>
      <w:start w:val="5"/>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39">
    <w:nsid w:val="7644A45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40">
    <w:nsid w:val="32FFF90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41">
    <w:nsid w:val="684A481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lowerRoman"/>
      <w:start w:val="2"/>
    </w:lvl>
  </w:abstractNum>
  <w:abstractNum w:abstractNumId="44">
    <w:nsid w:val="3DC240FB"/>
    <w:multiLevelType w:val="hybridMultilevel"/>
    <w:lvl w:ilvl="0">
      <w:lvlJc w:val="left"/>
      <w:lvlText w:val="(%1)"/>
      <w:numFmt w:val="decimal"/>
      <w:start w:val="4"/>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3"/>
    </w:lvl>
  </w:abstractNum>
  <w:abstractNum w:abstractNumId="47">
    <w:nsid w:val="75C6C33A"/>
    <w:multiLevelType w:val="hybridMultilevel"/>
    <w:lvl w:ilvl="0">
      <w:lvlJc w:val="left"/>
      <w:lvlText w:val="%1."/>
      <w:numFmt w:val="decimal"/>
      <w:start w:val="8"/>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Roman"/>
      <w:start w:val="2"/>
    </w:lvl>
  </w:abstractNum>
  <w:abstractNum w:abstractNumId="50">
    <w:nsid w:val="520EEDD1"/>
    <w:multiLevelType w:val="hybridMultilevel"/>
    <w:lvl w:ilvl="0">
      <w:lvlJc w:val="left"/>
      <w:lvlText w:val="(%1)"/>
      <w:numFmt w:val="decimal"/>
      <w:start w:val="4"/>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3"/>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lowerLetter"/>
      <w:start w:val="2"/>
    </w:lvl>
  </w:abstractNum>
  <w:abstractNum w:abstractNumId="55">
    <w:nsid w:val="275AC794"/>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2019-12-10T12:17:01Z</dcterms:created>
  <dcterms:modified xsi:type="dcterms:W3CDTF">2019-12-10T12:17:01Z</dcterms:modified>
</cp:coreProperties>
</file>