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5)*</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20" w:hanging="386"/>
        <w:spacing w:after="0"/>
        <w:tabs>
          <w:tab w:leader="none" w:pos="102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13d-1(b)</w:t>
      </w:r>
    </w:p>
    <w:p>
      <w:pPr>
        <w:spacing w:after="0" w:line="21" w:lineRule="exact"/>
        <w:rPr>
          <w:rFonts w:ascii="MS PGothic" w:cs="MS PGothic" w:eastAsia="MS PGothic" w:hAnsi="MS PGothic"/>
          <w:sz w:val="20"/>
          <w:szCs w:val="20"/>
          <w:color w:val="auto"/>
        </w:rPr>
      </w:pPr>
    </w:p>
    <w:p>
      <w:pPr>
        <w:ind w:left="1020" w:hanging="387"/>
        <w:spacing w:after="0" w:line="238" w:lineRule="auto"/>
        <w:tabs>
          <w:tab w:leader="none" w:pos="102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13d-1(c)</w:t>
      </w:r>
    </w:p>
    <w:p>
      <w:pPr>
        <w:ind w:left="1020" w:hanging="386"/>
        <w:spacing w:after="0"/>
        <w:tabs>
          <w:tab w:leader="none" w:pos="102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454" w:right="33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7"/>
              </w:rPr>
              <w:t>Senvest Management,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4,110,121</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4,110,121</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4,110,121</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3.76%</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OO, IA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68"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Richard Mashaal</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5"/>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Canada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4,110,121</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4,110,121</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4,110,121</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3.76%</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68"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20"/>
                <w:szCs w:val="20"/>
                <w:b w:val="1"/>
                <w:bCs w:val="1"/>
                <w:color w:val="auto"/>
                <w:w w:val="98"/>
              </w:rPr>
              <w:t>Name of Issuer.</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9760" w:type="dxa"/>
            <w:vAlign w:val="bottom"/>
            <w:gridSpan w:val="7"/>
          </w:tcPr>
          <w:p>
            <w:pPr>
              <w:ind w:left="420"/>
              <w:spacing w:after="0" w:line="212" w:lineRule="exact"/>
              <w:rPr>
                <w:sz w:val="20"/>
                <w:szCs w:val="20"/>
                <w:color w:val="auto"/>
              </w:rPr>
            </w:pPr>
            <w:r>
              <w:rPr>
                <w:rFonts w:ascii="Times New Roman" w:cs="Times New Roman" w:eastAsia="Times New Roman" w:hAnsi="Times New Roman"/>
                <w:sz w:val="20"/>
                <w:szCs w:val="20"/>
                <w:color w:val="auto"/>
              </w:rPr>
              <w:t>Tower Semiconductor Ltd. (the "Issuer")</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Ramat Gavriel Industrial Park</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P.O. Box 619, Migdal Haemek, Israel 2310502</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This statement is filed by Senvest Management, LLC and Richard Mashaal.</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4"/>
                <w:szCs w:val="24"/>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w w:val="99"/>
              </w:rPr>
              <w:t>The reported securities are held in the accounts of Senvest Master Fund, LP and Senvest Technology Partners Master</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9760" w:type="dxa"/>
            <w:vAlign w:val="bottom"/>
            <w:gridSpan w:val="7"/>
          </w:tcPr>
          <w:p>
            <w:pPr>
              <w:ind w:left="420"/>
              <w:spacing w:after="0" w:line="212" w:lineRule="exact"/>
              <w:rPr>
                <w:sz w:val="20"/>
                <w:szCs w:val="20"/>
                <w:color w:val="auto"/>
              </w:rPr>
            </w:pPr>
            <w:r>
              <w:rPr>
                <w:rFonts w:ascii="Times New Roman" w:cs="Times New Roman" w:eastAsia="Times New Roman" w:hAnsi="Times New Roman"/>
                <w:sz w:val="20"/>
                <w:szCs w:val="20"/>
                <w:color w:val="auto"/>
              </w:rPr>
              <w:t>Fund, LP (collectively, the "Investment Vehicles").</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Senvest Management, LLC may be deemed to beneficially own the securities held by the Investment Vehicles by</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virtue of Senvest Management, LLC's position as investment manager of each of the Investment Vehicles. Mr.</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w w:val="98"/>
              </w:rPr>
              <w:t>Mashaal may be deemed to beneficially own the securities held by the Investment Vehicles by virtue of Mr. Mashaal's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status as the managing member of Senvest Management, LLC. None of the foregoing should be construed in and of</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itself as an admission by any Reporting Person as to beneficial ownership of the securities reported herein.</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w:t>
            </w: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Senvest Management, LLC</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9760" w:type="dxa"/>
            <w:vAlign w:val="bottom"/>
            <w:gridSpan w:val="7"/>
          </w:tcPr>
          <w:p>
            <w:pPr>
              <w:ind w:left="420"/>
              <w:spacing w:after="0" w:line="276" w:lineRule="exact"/>
              <w:rPr>
                <w:sz w:val="20"/>
                <w:szCs w:val="20"/>
                <w:color w:val="auto"/>
              </w:rPr>
            </w:pPr>
            <w:r>
              <w:rPr>
                <w:rFonts w:ascii="Times New Roman" w:cs="Times New Roman" w:eastAsia="Times New Roman" w:hAnsi="Times New Roman"/>
                <w:sz w:val="20"/>
                <w:szCs w:val="20"/>
                <w:color w:val="auto"/>
              </w:rPr>
              <w:t>540 Madison Avenue, 32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20"/>
                <w:szCs w:val="20"/>
                <w:color w:val="auto"/>
              </w:rPr>
              <w:t xml:space="preserve"> Floor</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New York, New York 10022</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4"/>
                <w:szCs w:val="24"/>
                <w:color w:val="auto"/>
              </w:rPr>
            </w:pP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6"/>
              </w:rPr>
              <w:t>Richard Mashaal</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c/o Senvest Management, LLC</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9760" w:type="dxa"/>
            <w:vAlign w:val="bottom"/>
            <w:gridSpan w:val="7"/>
          </w:tcPr>
          <w:p>
            <w:pPr>
              <w:ind w:left="420"/>
              <w:spacing w:after="0" w:line="276" w:lineRule="exact"/>
              <w:rPr>
                <w:sz w:val="20"/>
                <w:szCs w:val="20"/>
                <w:color w:val="auto"/>
              </w:rPr>
            </w:pPr>
            <w:r>
              <w:rPr>
                <w:rFonts w:ascii="Times New Roman" w:cs="Times New Roman" w:eastAsia="Times New Roman" w:hAnsi="Times New Roman"/>
                <w:sz w:val="20"/>
                <w:szCs w:val="20"/>
                <w:color w:val="auto"/>
              </w:rPr>
              <w:t>540 Madison Avenue, 32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20"/>
                <w:szCs w:val="20"/>
                <w:color w:val="auto"/>
              </w:rPr>
              <w:t xml:space="preserve"> Floor</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New York, New York 10022</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b w:val="1"/>
                <w:bCs w:val="1"/>
                <w:color w:val="auto"/>
              </w:rPr>
              <w:t>Place of Organization.</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Senvest Management, LLC – Delaware</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Richard Mashaal – Canada</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Ordinary Shares, par value NIS 15.00 per share</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M87915274</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60" w:type="dxa"/>
            <w:vAlign w:val="bottom"/>
            <w:gridSpan w:val="7"/>
          </w:tcPr>
          <w:p>
            <w:pPr>
              <w:ind w:left="420"/>
              <w:spacing w:after="0"/>
              <w:rPr>
                <w:sz w:val="20"/>
                <w:szCs w:val="20"/>
                <w:color w:val="auto"/>
              </w:rPr>
            </w:pPr>
            <w:r>
              <w:rPr>
                <w:rFonts w:ascii="Times New Roman" w:cs="Times New Roman" w:eastAsia="Times New Roman" w:hAnsi="Times New Roman"/>
                <w:sz w:val="20"/>
                <w:szCs w:val="20"/>
                <w:b w:val="1"/>
                <w:bCs w:val="1"/>
                <w:color w:val="auto"/>
              </w:rPr>
              <w:t>If this Statement is Filed Pursuant to §§ 240.13d-1(b) or 240.13d-2(b), or (c), check whether the Person Filing</w:t>
            </w: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rPr>
              <w:t>is a:</w:t>
            </w:r>
          </w:p>
        </w:tc>
        <w:tc>
          <w:tcPr>
            <w:tcW w:w="760" w:type="dxa"/>
            <w:vAlign w:val="bottom"/>
            <w:vMerge w:val="restart"/>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w:t>
            </w:r>
          </w:p>
        </w:tc>
        <w:tc>
          <w:tcPr>
            <w:tcW w:w="760" w:type="dxa"/>
            <w:vAlign w:val="bottom"/>
            <w:vMerge w:val="continue"/>
          </w:tcPr>
          <w:p>
            <w:pPr>
              <w:spacing w:after="0"/>
              <w:rPr>
                <w:sz w:val="24"/>
                <w:szCs w:val="24"/>
                <w:color w:val="auto"/>
              </w:rPr>
            </w:pPr>
          </w:p>
        </w:tc>
        <w:tc>
          <w:tcPr>
            <w:tcW w:w="80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Broker or dealer registered under section 15 of the Act (15 U.S.C. 78o);</w:t>
            </w:r>
          </w:p>
        </w:tc>
        <w:tc>
          <w:tcPr>
            <w:tcW w:w="0" w:type="dxa"/>
            <w:vAlign w:val="bottom"/>
          </w:tcPr>
          <w:p>
            <w:pPr>
              <w:spacing w:after="0"/>
              <w:rPr>
                <w:sz w:val="1"/>
                <w:szCs w:val="1"/>
                <w:color w:val="auto"/>
              </w:rPr>
            </w:pPr>
          </w:p>
        </w:tc>
      </w:tr>
      <w:tr>
        <w:trPr>
          <w:trHeight w:val="445"/>
        </w:trPr>
        <w:tc>
          <w:tcPr>
            <w:tcW w:w="126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w:t>
            </w:r>
          </w:p>
        </w:tc>
        <w:tc>
          <w:tcPr>
            <w:tcW w:w="76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80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Bank as defined in section 3(a)(6) of the Act (15 U.S.C. 78c);</w:t>
            </w:r>
          </w:p>
        </w:tc>
        <w:tc>
          <w:tcPr>
            <w:tcW w:w="0" w:type="dxa"/>
            <w:vAlign w:val="bottom"/>
          </w:tcPr>
          <w:p>
            <w:pPr>
              <w:spacing w:after="0"/>
              <w:rPr>
                <w:sz w:val="1"/>
                <w:szCs w:val="1"/>
                <w:color w:val="auto"/>
              </w:rPr>
            </w:pPr>
          </w:p>
        </w:tc>
      </w:tr>
      <w:tr>
        <w:trPr>
          <w:trHeight w:val="445"/>
        </w:trPr>
        <w:tc>
          <w:tcPr>
            <w:tcW w:w="126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w:t>
            </w:r>
          </w:p>
        </w:tc>
        <w:tc>
          <w:tcPr>
            <w:tcW w:w="76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80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Insurance company as defined in section 3(a)(19) of the Act (15 U.S.C. 78c);</w:t>
            </w:r>
          </w:p>
        </w:tc>
        <w:tc>
          <w:tcPr>
            <w:tcW w:w="0" w:type="dxa"/>
            <w:vAlign w:val="bottom"/>
          </w:tcPr>
          <w:p>
            <w:pPr>
              <w:spacing w:after="0"/>
              <w:rPr>
                <w:sz w:val="1"/>
                <w:szCs w:val="1"/>
                <w:color w:val="auto"/>
              </w:rPr>
            </w:pPr>
          </w:p>
        </w:tc>
      </w:tr>
      <w:tr>
        <w:trPr>
          <w:trHeight w:val="383"/>
        </w:trPr>
        <w:tc>
          <w:tcPr>
            <w:tcW w:w="126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w:t>
            </w:r>
          </w:p>
        </w:tc>
        <w:tc>
          <w:tcPr>
            <w:tcW w:w="76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80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 (15 U.S.C.</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80a-8);</w:t>
            </w:r>
          </w:p>
        </w:tc>
        <w:tc>
          <w:tcPr>
            <w:tcW w:w="0" w:type="dxa"/>
            <w:vAlign w:val="bottom"/>
          </w:tcPr>
          <w:p>
            <w:pPr>
              <w:spacing w:after="0"/>
              <w:rPr>
                <w:sz w:val="1"/>
                <w:szCs w:val="1"/>
                <w:color w:val="auto"/>
              </w:rPr>
            </w:pPr>
          </w:p>
        </w:tc>
      </w:tr>
    </w:tbl>
    <w:p>
      <w:pPr>
        <w:sectPr>
          <w:pgSz w:w="11900" w:h="16838" w:orient="portrait"/>
          <w:cols w:equalWidth="0" w:num="1">
            <w:col w:w="11240"/>
          </w:cols>
          <w:pgMar w:left="320" w:top="468"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468" w:right="339" w:bottom="1440" w:gutter="0" w:footer="0" w:header="0"/>
        </w:sectPr>
      </w:pP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(e)</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An investment adviser in accordance with § 240.13d-1(b)(1)(ii)(E);</w:t>
            </w:r>
          </w:p>
        </w:tc>
      </w:tr>
      <w:tr>
        <w:trPr>
          <w:trHeight w:val="446"/>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 240.13d-1(b)(1)(ii)(F);</w:t>
            </w:r>
          </w:p>
        </w:tc>
      </w:tr>
      <w:tr>
        <w:trPr>
          <w:trHeight w:val="445"/>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(g)</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§240.13d-1(b)(1)(ii)(G);</w:t>
            </w:r>
          </w:p>
        </w:tc>
      </w:tr>
      <w:tr>
        <w:trPr>
          <w:trHeight w:val="383"/>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(h)</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 (12</w:t>
            </w:r>
          </w:p>
        </w:tc>
      </w:tr>
      <w:tr>
        <w:trPr>
          <w:trHeight w:val="258"/>
        </w:trPr>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U.S.C.1813);</w:t>
            </w:r>
          </w:p>
        </w:tc>
      </w:tr>
      <w:tr>
        <w:trPr>
          <w:trHeight w:val="417"/>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A church plan that is excluded from the definition of an investment company under section 3(c)(14)</w:t>
            </w:r>
          </w:p>
        </w:tc>
      </w:tr>
      <w:tr>
        <w:trPr>
          <w:trHeight w:val="258"/>
        </w:trPr>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of the Investment Company Act of 1940 (15 U.S.C. 80a-3);</w:t>
            </w:r>
          </w:p>
        </w:tc>
      </w:tr>
      <w:tr>
        <w:trPr>
          <w:trHeight w:val="479"/>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(j)</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 non-U.S. institution in accordance with §240.13d-1(b)(1)(ii)(J);</w:t>
            </w:r>
          </w:p>
        </w:tc>
      </w:tr>
      <w:tr>
        <w:trPr>
          <w:trHeight w:val="445"/>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(k)</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Group, in accordance with §240.13d-1(b)(1)(ii)(K).</w:t>
            </w:r>
          </w:p>
        </w:tc>
      </w:tr>
      <w:tr>
        <w:trPr>
          <w:trHeight w:val="397"/>
        </w:trPr>
        <w:tc>
          <w:tcPr>
            <w:tcW w:w="1140" w:type="dxa"/>
            <w:vAlign w:val="bottom"/>
          </w:tcPr>
          <w:p>
            <w:pPr>
              <w:spacing w:after="0"/>
              <w:rPr>
                <w:sz w:val="24"/>
                <w:szCs w:val="24"/>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w:t>
            </w:r>
          </w:p>
        </w:tc>
      </w:tr>
      <w:tr>
        <w:trPr>
          <w:trHeight w:val="252"/>
        </w:trPr>
        <w:tc>
          <w:tcPr>
            <w:tcW w:w="1140" w:type="dxa"/>
            <w:vAlign w:val="bottom"/>
          </w:tcPr>
          <w:p>
            <w:pPr>
              <w:spacing w:after="0"/>
              <w:rPr>
                <w:sz w:val="21"/>
                <w:szCs w:val="21"/>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specify the type of institution:</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1820" w:type="dxa"/>
            <w:vAlign w:val="bottom"/>
            <w:gridSpan w:val="2"/>
          </w:tcPr>
          <w:p>
            <w:pPr>
              <w:ind w:left="540"/>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2000" w:type="dxa"/>
            <w:vAlign w:val="bottom"/>
          </w:tcPr>
          <w:p>
            <w:pPr>
              <w:spacing w:after="0"/>
              <w:rPr>
                <w:sz w:val="24"/>
                <w:szCs w:val="24"/>
                <w:color w:val="auto"/>
              </w:rPr>
            </w:pPr>
          </w:p>
        </w:tc>
        <w:tc>
          <w:tcPr>
            <w:tcW w:w="5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29"/>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w:t>
            </w:r>
          </w:p>
        </w:tc>
      </w:tr>
      <w:tr>
        <w:trPr>
          <w:trHeight w:val="229"/>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Person hereto and is incorporated herein by reference for each such Reporting Person. The percentages set forth in</w:t>
            </w:r>
          </w:p>
        </w:tc>
      </w:tr>
      <w:tr>
        <w:trPr>
          <w:trHeight w:val="230"/>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this Schedule 13G/A are calculated based upon an aggregate of 109,193,286 Ordinary Shares outstanding as of May</w:t>
            </w:r>
          </w:p>
        </w:tc>
      </w:tr>
      <w:tr>
        <w:trPr>
          <w:trHeight w:val="229"/>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w w:val="99"/>
              </w:rPr>
              <w:t>31, 2022, as reported in Exhibit 99.1 attached to the Issuer's Report of Foreign Private Issuer on Form 6-K filed with</w:t>
            </w:r>
          </w:p>
        </w:tc>
      </w:tr>
      <w:tr>
        <w:trPr>
          <w:trHeight w:val="258"/>
        </w:trPr>
        <w:tc>
          <w:tcPr>
            <w:tcW w:w="1140" w:type="dxa"/>
            <w:vAlign w:val="bottom"/>
          </w:tcPr>
          <w:p>
            <w:pPr>
              <w:spacing w:after="0"/>
              <w:rPr>
                <w:sz w:val="22"/>
                <w:szCs w:val="22"/>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the Securities and Exchange Commission on June 9, 2022.</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5.</w:t>
            </w: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b w:val="1"/>
                <w:bCs w:val="1"/>
                <w:color w:val="auto"/>
              </w:rPr>
              <w:t>Ownership of Five Percent or Less of a Class.</w:t>
            </w:r>
          </w:p>
        </w:tc>
      </w:tr>
      <w:tr>
        <w:trPr>
          <w:trHeight w:val="229"/>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persons have ceased to be the</w:t>
            </w:r>
          </w:p>
        </w:tc>
      </w:tr>
      <w:tr>
        <w:trPr>
          <w:trHeight w:val="258"/>
        </w:trPr>
        <w:tc>
          <w:tcPr>
            <w:tcW w:w="1140" w:type="dxa"/>
            <w:vAlign w:val="bottom"/>
          </w:tcPr>
          <w:p>
            <w:pPr>
              <w:spacing w:after="0"/>
              <w:rPr>
                <w:sz w:val="22"/>
                <w:szCs w:val="22"/>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 xml:space="preserve">beneficial owner of more than five percent of the class of securities, check the following: </w:t>
            </w:r>
            <w:r>
              <w:rPr>
                <w:rFonts w:ascii="Arial" w:cs="Arial" w:eastAsia="Arial" w:hAnsi="Arial"/>
                <w:sz w:val="20"/>
                <w:szCs w:val="20"/>
                <w:b w:val="1"/>
                <w:bCs w:val="1"/>
                <w:color w:val="auto"/>
              </w:rPr>
              <w:t>ý</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b w:val="1"/>
                <w:bCs w:val="1"/>
                <w:color w:val="auto"/>
              </w:rPr>
              <w:t>Ownership of More Than Five Percent on Behalf of Another Person.</w:t>
            </w:r>
          </w:p>
        </w:tc>
      </w:tr>
      <w:tr>
        <w:trPr>
          <w:trHeight w:val="229"/>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The Investment Vehicles have the right to receive and the power to direct the receipt of dividends from, and the</w:t>
            </w:r>
          </w:p>
        </w:tc>
      </w:tr>
      <w:tr>
        <w:trPr>
          <w:trHeight w:val="258"/>
        </w:trPr>
        <w:tc>
          <w:tcPr>
            <w:tcW w:w="1140" w:type="dxa"/>
            <w:vAlign w:val="bottom"/>
          </w:tcPr>
          <w:p>
            <w:pPr>
              <w:spacing w:after="0"/>
              <w:rPr>
                <w:sz w:val="22"/>
                <w:szCs w:val="22"/>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proceeds from the sale of the Ordinary Shares.</w:t>
            </w:r>
          </w:p>
        </w:tc>
      </w:tr>
      <w:tr>
        <w:trPr>
          <w:trHeight w:val="426"/>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7.</w:t>
            </w: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b w:val="1"/>
                <w:bCs w:val="1"/>
                <w:color w:val="auto"/>
              </w:rPr>
              <w:t>Identification and Classification of the Subsidiary Which Acquired the Security Being Reported on by the</w:t>
            </w:r>
          </w:p>
        </w:tc>
      </w:tr>
      <w:tr>
        <w:trPr>
          <w:trHeight w:val="233"/>
        </w:trPr>
        <w:tc>
          <w:tcPr>
            <w:tcW w:w="1140" w:type="dxa"/>
            <w:vAlign w:val="bottom"/>
          </w:tcPr>
          <w:p>
            <w:pPr>
              <w:spacing w:after="0"/>
              <w:rPr>
                <w:sz w:val="20"/>
                <w:szCs w:val="20"/>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b w:val="1"/>
                <w:bCs w:val="1"/>
                <w:color w:val="auto"/>
              </w:rPr>
              <w:t>Parent Holding Company or Control Person.</w:t>
            </w:r>
          </w:p>
        </w:tc>
      </w:tr>
      <w:tr>
        <w:trPr>
          <w:trHeight w:val="258"/>
        </w:trPr>
        <w:tc>
          <w:tcPr>
            <w:tcW w:w="1140" w:type="dxa"/>
            <w:vAlign w:val="bottom"/>
          </w:tcPr>
          <w:p>
            <w:pPr>
              <w:spacing w:after="0"/>
              <w:rPr>
                <w:sz w:val="22"/>
                <w:szCs w:val="22"/>
                <w:color w:val="auto"/>
              </w:rPr>
            </w:pPr>
          </w:p>
        </w:tc>
        <w:tc>
          <w:tcPr>
            <w:tcW w:w="18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Not applicable.</w:t>
            </w:r>
          </w:p>
        </w:tc>
        <w:tc>
          <w:tcPr>
            <w:tcW w:w="200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w:t>
            </w: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b w:val="1"/>
                <w:bCs w:val="1"/>
                <w:color w:val="auto"/>
              </w:rPr>
              <w:t>Identification and Classification of Members of the Group.</w:t>
            </w:r>
          </w:p>
        </w:tc>
      </w:tr>
      <w:tr>
        <w:trPr>
          <w:trHeight w:val="258"/>
        </w:trPr>
        <w:tc>
          <w:tcPr>
            <w:tcW w:w="1140" w:type="dxa"/>
            <w:vAlign w:val="bottom"/>
          </w:tcPr>
          <w:p>
            <w:pPr>
              <w:spacing w:after="0"/>
              <w:rPr>
                <w:sz w:val="22"/>
                <w:szCs w:val="22"/>
                <w:color w:val="auto"/>
              </w:rPr>
            </w:pPr>
          </w:p>
        </w:tc>
        <w:tc>
          <w:tcPr>
            <w:tcW w:w="18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Not applicable.</w:t>
            </w:r>
          </w:p>
        </w:tc>
        <w:tc>
          <w:tcPr>
            <w:tcW w:w="200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9.</w:t>
            </w: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b w:val="1"/>
                <w:bCs w:val="1"/>
                <w:color w:val="auto"/>
              </w:rPr>
              <w:t>Notice of Dissolution of Group.</w:t>
            </w:r>
          </w:p>
        </w:tc>
      </w:tr>
      <w:tr>
        <w:trPr>
          <w:trHeight w:val="258"/>
        </w:trPr>
        <w:tc>
          <w:tcPr>
            <w:tcW w:w="1140" w:type="dxa"/>
            <w:vAlign w:val="bottom"/>
          </w:tcPr>
          <w:p>
            <w:pPr>
              <w:spacing w:after="0"/>
              <w:rPr>
                <w:sz w:val="22"/>
                <w:szCs w:val="22"/>
                <w:color w:val="auto"/>
              </w:rPr>
            </w:pPr>
          </w:p>
        </w:tc>
        <w:tc>
          <w:tcPr>
            <w:tcW w:w="18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Not applicable.</w:t>
            </w:r>
          </w:p>
        </w:tc>
        <w:tc>
          <w:tcPr>
            <w:tcW w:w="200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340" w:type="dxa"/>
            <w:vAlign w:val="bottom"/>
          </w:tcPr>
          <w:p>
            <w:pPr>
              <w:spacing w:after="0"/>
              <w:rPr>
                <w:sz w:val="22"/>
                <w:szCs w:val="22"/>
                <w:color w:val="auto"/>
              </w:rPr>
            </w:pPr>
          </w:p>
        </w:tc>
      </w:tr>
    </w:tbl>
    <w:p>
      <w:pPr>
        <w:sectPr>
          <w:pgSz w:w="11900" w:h="16838" w:orient="portrait"/>
          <w:cols w:equalWidth="0" w:num="1">
            <w:col w:w="11240"/>
          </w:cols>
          <w:pgMar w:left="320" w:top="468"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w:t>
      </w:r>
    </w:p>
    <w:p>
      <w:pPr>
        <w:jc w:val="right"/>
        <w:ind w:right="100"/>
        <w:spacing w:after="0"/>
        <w:rPr>
          <w:sz w:val="20"/>
          <w:szCs w:val="20"/>
          <w:color w:val="auto"/>
        </w:rPr>
      </w:pPr>
      <w:r>
        <w:rPr>
          <w:rFonts w:ascii="Times New Roman" w:cs="Times New Roman" w:eastAsia="Times New Roman" w:hAnsi="Times New Roman"/>
          <w:sz w:val="20"/>
          <w:szCs w:val="20"/>
          <w:color w:val="auto"/>
        </w:rPr>
        <w:t>referred to above were not acquired and are not held for the purpose of or with the effect of changing or influencing the</w:t>
      </w:r>
    </w:p>
    <w:p>
      <w:pPr>
        <w:ind w:left="1700"/>
        <w:spacing w:after="0"/>
        <w:rPr>
          <w:sz w:val="20"/>
          <w:szCs w:val="20"/>
          <w:color w:val="auto"/>
        </w:rPr>
      </w:pPr>
      <w:r>
        <w:rPr>
          <w:rFonts w:ascii="Times New Roman" w:cs="Times New Roman" w:eastAsia="Times New Roman" w:hAnsi="Times New Roman"/>
          <w:sz w:val="20"/>
          <w:szCs w:val="20"/>
          <w:color w:val="auto"/>
        </w:rPr>
        <w:t>control of the issuer of the securities and were not acquired and are not held in connection with or as a participant in</w:t>
      </w:r>
    </w:p>
    <w:p>
      <w:pPr>
        <w:ind w:left="1700"/>
        <w:spacing w:after="0"/>
        <w:rPr>
          <w:sz w:val="20"/>
          <w:szCs w:val="20"/>
          <w:color w:val="auto"/>
        </w:rPr>
      </w:pPr>
      <w:r>
        <w:rPr>
          <w:rFonts w:ascii="Times New Roman" w:cs="Times New Roman" w:eastAsia="Times New Roman" w:hAnsi="Times New Roman"/>
          <w:sz w:val="20"/>
          <w:szCs w:val="20"/>
          <w:color w:val="auto"/>
        </w:rPr>
        <w:t>any transaction having that purpose or effect.</w:t>
      </w:r>
    </w:p>
    <w:p>
      <w:pPr>
        <w:sectPr>
          <w:pgSz w:w="11900" w:h="16838" w:orient="portrait"/>
          <w:cols w:equalWidth="0" w:num="1">
            <w:col w:w="11240"/>
          </w:cols>
          <w:pgMar w:left="320" w:top="468"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2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10, 2023</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SENVEST MANAGEMENT, LLC</w:t>
      </w:r>
    </w:p>
    <w:p>
      <w:pPr>
        <w:spacing w:after="0" w:line="207"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/s/ Bobby Trahanas</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00" w:type="dxa"/>
            <w:vAlign w:val="bottom"/>
            <w:vMerge w:val="continue"/>
          </w:tcPr>
          <w:p>
            <w:pPr>
              <w:spacing w:after="0"/>
              <w:rPr>
                <w:sz w:val="17"/>
                <w:szCs w:val="17"/>
                <w:color w:val="auto"/>
              </w:rPr>
            </w:pPr>
          </w:p>
        </w:tc>
        <w:tc>
          <w:tcPr>
            <w:tcW w:w="48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Bobby Trahanas</w:t>
            </w: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Chief Compliance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13970</wp:posOffset>
            </wp:positionV>
            <wp:extent cx="3634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RICHARD MASHAAL</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ý"/>
      <w:numFmt w:val="bullet"/>
      <w:start w:val="1"/>
    </w:lvl>
    <w:lvl w:ilvl="1">
      <w:lvlJc w:val="left"/>
      <w:lvlText w:val="☐"/>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2023-02-10T15:44:02Z</dcterms:created>
  <dcterms:modified xsi:type="dcterms:W3CDTF">2023-02-10T15:44:02Z</dcterms:modified>
</cp:coreProperties>
</file>