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 the month January 2016 No. 5</w:t>
      </w:r>
    </w:p>
    <w:p>
      <w:pPr>
        <w:spacing w:after="0" w:line="207"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480"/>
        <w:spacing w:after="0"/>
        <w:tabs>
          <w:tab w:leader="none" w:pos="60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00"/>
        <w:spacing w:after="0"/>
        <w:tabs>
          <w:tab w:leader="none" w:pos="60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20"/>
          </w:cols>
          <w:pgMar w:left="240" w:top="306" w:right="10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On January 25, 2016 the Registrant Announces Fourth Quarter and Fiscal Year 2015 Financial Results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421640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499"/>
          </w:cols>
          <w:pgMar w:left="960" w:top="490" w:right="1440"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January 25, 2016</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80"/>
          </w:cols>
          <w:pgMar w:left="240" w:top="513" w:right="8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2186940" cy="943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86940" cy="94361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TowerJazz Announces Fourth Quarter and Fiscal Year 2015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Results Conference Call</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MIGDAL HAEMEK, Israel – January 25, 2016 </w:t>
      </w:r>
      <w:r>
        <w:rPr>
          <w:rFonts w:ascii="Arial" w:cs="Arial" w:eastAsia="Arial" w:hAnsi="Arial"/>
          <w:sz w:val="18"/>
          <w:szCs w:val="18"/>
          <w:color w:val="auto"/>
        </w:rPr>
        <w:t>– TowerJazz (NASDAQ/ TASE: TSEM), the global specialty foundry leader, will issue its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and fiscal year 2015 earnings release on Wednesday, February 24, 2016. The Company will hold a conference call to discuss its fourth quarter and fiscal year 2015 financial results and first quarter 2016 guidance on Wednesday, February 24, 2016, at 10:00 a.m. Eastern Time (09:00 a.m. Central, 08:00 a.m. Mountain, 07:00 a.m. Pacific and 05:00 p.m. Israel time).</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This call will be webcasted and can be accessed through the Investor Relations section on TowerJazz’s website at </w:t>
      </w:r>
      <w:r>
        <w:rPr>
          <w:rFonts w:ascii="Arial" w:cs="Arial" w:eastAsia="Arial" w:hAnsi="Arial"/>
          <w:sz w:val="18"/>
          <w:szCs w:val="18"/>
          <w:u w:val="single" w:color="auto"/>
          <w:color w:val="auto"/>
        </w:rPr>
        <w:t>http://ir.towerjazz.com/</w:t>
      </w:r>
      <w:r>
        <w:rPr>
          <w:rFonts w:ascii="Arial" w:cs="Arial" w:eastAsia="Arial" w:hAnsi="Arial"/>
          <w:sz w:val="18"/>
          <w:szCs w:val="18"/>
          <w:color w:val="auto"/>
        </w:rPr>
        <w:t xml:space="preserve"> or by calling the following numbers: U.S. Toll Free: 1-888-668-9141 | Israel: 03-918-0609 | International: +972-3-918-0609.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teleconference will be available for replay for 90 days.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Tower Semiconductor Ltd. (NASDAQ: TSEM, TASE: TSEM) and its fully owned U.S. subsidiary Jazz Semiconductor, Inc. operate collectively under the brand name TowerJazz, the global specialty foundry leader. TowerJazz manufactures integrated circuits, offering a broad range of customizable process technologies including: SiGe, BiCMOS, mixed-signal/CMOS, RF CMOS, CMOS image sensor, integrated power management (BCD and 700V), and MEMS. TowerJazz also provides a world-class design enablement platform for a quick and accurate design cycle as well as Transfer Optimization and development Process Services (TOPS) to IDMs and fabless companies that need to expand capacity.</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To provide multi-fab sourcing and extended capacity for its customers, TowerJazz operates two manufacturing facilities in Israel (150mm and 200mm), one in the U.S. (200mm) and three additional facilities in Japan (two 200mm and one 300mm) through </w:t>
      </w:r>
      <w:r>
        <w:rPr>
          <w:rFonts w:ascii="Arial" w:cs="Arial" w:eastAsia="Arial" w:hAnsi="Arial"/>
          <w:sz w:val="17"/>
          <w:szCs w:val="17"/>
          <w:b w:val="1"/>
          <w:bCs w:val="1"/>
          <w:color w:val="auto"/>
        </w:rPr>
        <w:t>TowerJazz Panasonic Semiconductor Co. (TPSCo),</w:t>
      </w:r>
      <w:r>
        <w:rPr>
          <w:rFonts w:ascii="Arial" w:cs="Arial" w:eastAsia="Arial" w:hAnsi="Arial"/>
          <w:sz w:val="17"/>
          <w:szCs w:val="17"/>
          <w:color w:val="auto"/>
        </w:rPr>
        <w:t xml:space="preserve"> established with Panasonic Corporation of which TowerJazz has the majority holding. Through TPSCo, TowerJazz provides leading edge 45nm CMOS, 65nm RF CMOS and 65nm 1.12um pixel technologies. For more information, please visit </w:t>
      </w:r>
      <w:r>
        <w:rPr>
          <w:rFonts w:ascii="Arial" w:cs="Arial" w:eastAsia="Arial" w:hAnsi="Arial"/>
          <w:sz w:val="17"/>
          <w:szCs w:val="17"/>
          <w:u w:val="single" w:color="auto"/>
          <w:color w:val="auto"/>
        </w:rPr>
        <w:t>www.towerjazz.com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www.tpsemico.com</w:t>
      </w:r>
      <w:r>
        <w:rPr>
          <w:rFonts w:ascii="Arial" w:cs="Arial" w:eastAsia="Arial" w:hAnsi="Arial"/>
          <w:sz w:val="17"/>
          <w:szCs w:val="17"/>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0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460" w:type="dxa"/>
            <w:vAlign w:val="bottom"/>
          </w:tcPr>
          <w:p>
            <w:pPr>
              <w:spacing w:after="0"/>
              <w:rPr>
                <w:sz w:val="20"/>
                <w:szCs w:val="20"/>
                <w:color w:val="auto"/>
              </w:rPr>
            </w:pPr>
          </w:p>
        </w:tc>
      </w:tr>
      <w:tr>
        <w:trPr>
          <w:trHeight w:val="418"/>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Contact Information:</w:t>
            </w:r>
          </w:p>
        </w:tc>
        <w:tc>
          <w:tcPr>
            <w:tcW w:w="1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TowerJazz Investor Relations</w:t>
            </w:r>
          </w:p>
        </w:tc>
        <w:tc>
          <w:tcPr>
            <w:tcW w:w="18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GK Investor Relations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18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Tel: 1 646 201 9246 (US) / +972 8 926 7464 (Israel)</w:t>
            </w:r>
          </w:p>
        </w:tc>
      </w:tr>
      <w:tr>
        <w:trPr>
          <w:trHeight w:val="190"/>
        </w:trPr>
        <w:tc>
          <w:tcPr>
            <w:tcW w:w="386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186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kenny@gkir.com</w:t>
            </w:r>
          </w:p>
        </w:tc>
      </w:tr>
      <w:tr>
        <w:trPr>
          <w:trHeight w:val="139"/>
        </w:trPr>
        <w:tc>
          <w:tcPr>
            <w:tcW w:w="1820" w:type="dxa"/>
            <w:vAlign w:val="bottom"/>
            <w:tcBorders>
              <w:top w:val="single" w:sz="8" w:color="auto"/>
            </w:tcBorders>
          </w:tcPr>
          <w:p>
            <w:pPr>
              <w:spacing w:after="0"/>
              <w:rPr>
                <w:sz w:val="12"/>
                <w:szCs w:val="12"/>
                <w:color w:val="auto"/>
              </w:rPr>
            </w:pPr>
          </w:p>
        </w:tc>
        <w:tc>
          <w:tcPr>
            <w:tcW w:w="20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460" w:type="dxa"/>
            <w:vAlign w:val="bottom"/>
          </w:tcPr>
          <w:p>
            <w:pPr>
              <w:spacing w:after="0"/>
              <w:rPr>
                <w:sz w:val="12"/>
                <w:szCs w:val="12"/>
                <w:color w:val="auto"/>
              </w:rPr>
            </w:pPr>
          </w:p>
        </w:tc>
      </w:tr>
      <w:tr>
        <w:trPr>
          <w:trHeight w:val="71"/>
        </w:trPr>
        <w:tc>
          <w:tcPr>
            <w:tcW w:w="1820" w:type="dxa"/>
            <w:vAlign w:val="bottom"/>
            <w:shd w:val="clear" w:color="auto" w:fill="808080"/>
          </w:tcPr>
          <w:p>
            <w:pPr>
              <w:spacing w:after="0"/>
              <w:rPr>
                <w:sz w:val="6"/>
                <w:szCs w:val="6"/>
                <w:color w:val="auto"/>
              </w:rPr>
            </w:pPr>
          </w:p>
        </w:tc>
        <w:tc>
          <w:tcPr>
            <w:tcW w:w="2040" w:type="dxa"/>
            <w:vAlign w:val="bottom"/>
            <w:shd w:val="clear" w:color="auto" w:fill="808080"/>
          </w:tcPr>
          <w:p>
            <w:pPr>
              <w:spacing w:after="0"/>
              <w:rPr>
                <w:sz w:val="6"/>
                <w:szCs w:val="6"/>
                <w:color w:val="auto"/>
              </w:rPr>
            </w:pPr>
          </w:p>
        </w:tc>
        <w:tc>
          <w:tcPr>
            <w:tcW w:w="1860" w:type="dxa"/>
            <w:vAlign w:val="bottom"/>
            <w:shd w:val="clear" w:color="auto" w:fill="808080"/>
          </w:tcPr>
          <w:p>
            <w:pPr>
              <w:spacing w:after="0"/>
              <w:rPr>
                <w:sz w:val="6"/>
                <w:szCs w:val="6"/>
                <w:color w:val="auto"/>
              </w:rPr>
            </w:pPr>
          </w:p>
        </w:tc>
        <w:tc>
          <w:tcPr>
            <w:tcW w:w="1240" w:type="dxa"/>
            <w:vAlign w:val="bottom"/>
            <w:shd w:val="clear" w:color="auto" w:fill="808080"/>
          </w:tcPr>
          <w:p>
            <w:pPr>
              <w:spacing w:after="0"/>
              <w:rPr>
                <w:sz w:val="6"/>
                <w:szCs w:val="6"/>
                <w:color w:val="auto"/>
              </w:rPr>
            </w:pPr>
          </w:p>
        </w:tc>
        <w:tc>
          <w:tcPr>
            <w:tcW w:w="446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2019-12-06T05:21:55Z</dcterms:created>
  <dcterms:modified xsi:type="dcterms:W3CDTF">2019-12-06T05:21:55Z</dcterms:modified>
</cp:coreProperties>
</file>