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8)*</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Tower Semiconductor Ltd.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Ordinary Shares, par value NIS 15.00 per share</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M87915274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February 8, 2024</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39"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39"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w:t>
      </w:r>
      <w:r>
        <w:rPr>
          <w:rFonts w:ascii="Times New Roman" w:cs="Times New Roman" w:eastAsia="Times New Roman" w:hAnsi="Times New Roman"/>
          <w:sz w:val="18"/>
          <w:szCs w:val="18"/>
          <w:i w:val="1"/>
          <w:iCs w:val="1"/>
          <w:color w:val="auto"/>
        </w:rPr>
        <w:t>Securities Exchange Act</w:t>
      </w:r>
      <w:r>
        <w:rPr>
          <w:rFonts w:ascii="Times New Roman" w:cs="Times New Roman" w:eastAsia="Times New Roman" w:hAnsi="Times New Roman"/>
          <w:sz w:val="18"/>
          <w:szCs w:val="18"/>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176530</wp:posOffset>
            </wp:positionV>
            <wp:extent cx="71361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6"/>
        </w:trPr>
        <w:tc>
          <w:tcPr>
            <w:tcW w:w="4100" w:type="dxa"/>
            <w:vAlign w:val="bottom"/>
            <w:tcBorders>
              <w:bottom w:val="single" w:sz="8" w:color="auto"/>
            </w:tcBorders>
          </w:tcPr>
          <w:p>
            <w:pPr>
              <w:spacing w:after="0"/>
              <w:rPr>
                <w:sz w:val="2"/>
                <w:szCs w:val="2"/>
                <w:color w:val="auto"/>
              </w:rPr>
            </w:pPr>
          </w:p>
        </w:tc>
        <w:tc>
          <w:tcPr>
            <w:tcW w:w="398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M87915274</w:t>
            </w:r>
          </w:p>
        </w:tc>
        <w:tc>
          <w:tcPr>
            <w:tcW w:w="3980" w:type="dxa"/>
            <w:vAlign w:val="bottom"/>
            <w:vMerge w:val="continue"/>
          </w:tcPr>
          <w:p>
            <w:pPr>
              <w:spacing w:after="0"/>
              <w:rPr>
                <w:sz w:val="20"/>
                <w:szCs w:val="20"/>
                <w:color w:val="auto"/>
              </w:rPr>
            </w:pPr>
          </w:p>
        </w:tc>
        <w:tc>
          <w:tcPr>
            <w:tcW w:w="31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6137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137910"/>
                    </a:xfrm>
                    <a:prstGeom prst="rect">
                      <a:avLst/>
                    </a:prstGeom>
                    <a:noFill/>
                  </pic:spPr>
                </pic:pic>
              </a:graphicData>
            </a:graphic>
          </wp:anchor>
        </w:drawing>
      </w:r>
    </w:p>
    <w:p>
      <w:pPr>
        <w:spacing w:after="0" w:line="177" w:lineRule="exact"/>
        <w:rPr>
          <w:sz w:val="20"/>
          <w:szCs w:val="20"/>
          <w:color w:val="auto"/>
        </w:rPr>
      </w:pPr>
    </w:p>
    <w:p>
      <w:pPr>
        <w:ind w:left="1980" w:hanging="1056"/>
        <w:spacing w:after="0"/>
        <w:tabs>
          <w:tab w:leader="none" w:pos="1980" w:val="left"/>
        </w:tabs>
        <w:numPr>
          <w:ilvl w:val="0"/>
          <w:numId w:val="4"/>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color w:val="auto"/>
        </w:rPr>
        <w:t>NAME OF REPORTING PERSONS</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Phoenix Holdings Ltd.</w:t>
      </w:r>
    </w:p>
    <w:p>
      <w:pPr>
        <w:spacing w:after="0" w:line="72" w:lineRule="exact"/>
        <w:rPr>
          <w:sz w:val="20"/>
          <w:szCs w:val="20"/>
          <w:color w:val="auto"/>
        </w:rPr>
      </w:pPr>
    </w:p>
    <w:p>
      <w:pPr>
        <w:ind w:left="1980" w:hanging="1056"/>
        <w:spacing w:after="0"/>
        <w:tabs>
          <w:tab w:leader="none" w:pos="1980" w:val="left"/>
        </w:tabs>
        <w:numPr>
          <w:ilvl w:val="0"/>
          <w:numId w:val="5"/>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color w:val="auto"/>
        </w:rPr>
        <w:t>CHECK THE APPROPRIATE BOX IF A MEMBER OF A GROUP  (See instructions)</w:t>
      </w:r>
    </w:p>
    <w:p>
      <w:pPr>
        <w:spacing w:after="0" w:line="1" w:lineRule="exact"/>
        <w:rPr>
          <w:rFonts w:ascii="Times New Roman" w:cs="Times New Roman" w:eastAsia="Times New Roman" w:hAnsi="Times New Roman"/>
          <w:sz w:val="29"/>
          <w:szCs w:val="29"/>
          <w:b w:val="1"/>
          <w:bCs w:val="1"/>
          <w:color w:val="auto"/>
          <w:vertAlign w:val="superscript"/>
        </w:rPr>
      </w:pPr>
    </w:p>
    <w:p>
      <w:pPr>
        <w:ind w:left="2380" w:hanging="239"/>
        <w:spacing w:after="0" w:line="207" w:lineRule="exact"/>
        <w:tabs>
          <w:tab w:leader="none" w:pos="23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 w:lineRule="exact"/>
        <w:rPr>
          <w:rFonts w:ascii="Times New Roman" w:cs="Times New Roman" w:eastAsia="Times New Roman" w:hAnsi="Times New Roman"/>
          <w:sz w:val="18"/>
          <w:szCs w:val="18"/>
          <w:color w:val="auto"/>
        </w:rPr>
      </w:pPr>
    </w:p>
    <w:p>
      <w:pPr>
        <w:ind w:left="2400" w:hanging="259"/>
        <w:spacing w:after="0" w:line="207" w:lineRule="exact"/>
        <w:tabs>
          <w:tab w:leader="none" w:pos="240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13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9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680" w:type="dxa"/>
            <w:vAlign w:val="bottom"/>
            <w:tcBorders>
              <w:bottom w:val="single" w:sz="8" w:color="auto"/>
              <w:right w:val="single" w:sz="8" w:color="CCEEFF"/>
            </w:tcBorders>
            <w:shd w:val="clear" w:color="auto" w:fill="CCEEFF"/>
          </w:tcPr>
          <w:p>
            <w:pPr>
              <w:spacing w:after="0"/>
              <w:rPr>
                <w:sz w:val="24"/>
                <w:szCs w:val="24"/>
                <w:color w:val="auto"/>
              </w:rPr>
            </w:pPr>
          </w:p>
        </w:tc>
        <w:tc>
          <w:tcPr>
            <w:tcW w:w="79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9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5</w:t>
            </w: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92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vMerge w:val="restart"/>
          </w:tcPr>
          <w:p>
            <w:pPr>
              <w:jc w:val="center"/>
              <w:ind w:left="78"/>
              <w:spacing w:after="0"/>
              <w:rPr>
                <w:sz w:val="20"/>
                <w:szCs w:val="20"/>
                <w:color w:val="auto"/>
              </w:rPr>
            </w:pPr>
            <w:r>
              <w:rPr>
                <w:rFonts w:ascii="Times New Roman" w:cs="Times New Roman" w:eastAsia="Times New Roman" w:hAnsi="Times New Roman"/>
                <w:sz w:val="18"/>
                <w:szCs w:val="18"/>
                <w:color w:val="auto"/>
                <w:w w:val="99"/>
              </w:rPr>
              <w:t>NUMBER OF</w:t>
            </w: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6</w:t>
            </w: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5,476,516.82 (*)</w:t>
            </w:r>
          </w:p>
        </w:tc>
        <w:tc>
          <w:tcPr>
            <w:tcW w:w="0" w:type="dxa"/>
            <w:vAlign w:val="bottom"/>
          </w:tcPr>
          <w:p>
            <w:pPr>
              <w:spacing w:after="0"/>
              <w:rPr>
                <w:sz w:val="1"/>
                <w:szCs w:val="1"/>
                <w:color w:val="auto"/>
              </w:rPr>
            </w:pPr>
          </w:p>
        </w:tc>
      </w:tr>
      <w:tr>
        <w:trPr>
          <w:trHeight w:val="140"/>
        </w:trPr>
        <w:tc>
          <w:tcPr>
            <w:tcW w:w="1920" w:type="dxa"/>
            <w:vAlign w:val="bottom"/>
            <w:vMerge w:val="restart"/>
          </w:tcPr>
          <w:p>
            <w:pPr>
              <w:jc w:val="center"/>
              <w:ind w:left="98"/>
              <w:spacing w:after="0"/>
              <w:rPr>
                <w:sz w:val="20"/>
                <w:szCs w:val="20"/>
                <w:color w:val="auto"/>
              </w:rPr>
            </w:pPr>
            <w:r>
              <w:rPr>
                <w:rFonts w:ascii="Times New Roman" w:cs="Times New Roman" w:eastAsia="Times New Roman" w:hAnsi="Times New Roman"/>
                <w:sz w:val="18"/>
                <w:szCs w:val="18"/>
                <w:color w:val="auto"/>
                <w:w w:val="97"/>
              </w:rPr>
              <w:t>BENEFICIALLY</w:t>
            </w: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920" w:type="dxa"/>
            <w:vAlign w:val="bottom"/>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920" w:type="dxa"/>
            <w:vAlign w:val="bottom"/>
          </w:tcPr>
          <w:p>
            <w:pPr>
              <w:jc w:val="center"/>
              <w:ind w:left="78"/>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7</w:t>
            </w:r>
          </w:p>
        </w:tc>
        <w:tc>
          <w:tcPr>
            <w:tcW w:w="7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99"/>
        </w:trPr>
        <w:tc>
          <w:tcPr>
            <w:tcW w:w="1920" w:type="dxa"/>
            <w:vAlign w:val="bottom"/>
            <w:vMerge w:val="restart"/>
          </w:tcPr>
          <w:p>
            <w:pPr>
              <w:jc w:val="center"/>
              <w:ind w:left="98"/>
              <w:spacing w:after="0"/>
              <w:rPr>
                <w:sz w:val="20"/>
                <w:szCs w:val="20"/>
                <w:color w:val="auto"/>
              </w:rPr>
            </w:pPr>
            <w:r>
              <w:rPr>
                <w:rFonts w:ascii="Times New Roman" w:cs="Times New Roman" w:eastAsia="Times New Roman" w:hAnsi="Times New Roman"/>
                <w:sz w:val="18"/>
                <w:szCs w:val="18"/>
                <w:color w:val="auto"/>
              </w:rPr>
              <w:t>EACH</w:t>
            </w:r>
          </w:p>
        </w:tc>
        <w:tc>
          <w:tcPr>
            <w:tcW w:w="7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20" w:type="dxa"/>
            <w:vAlign w:val="bottom"/>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8"/>
              </w:rPr>
              <w:t>REPORTING</w:t>
            </w: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9"/>
        </w:trPr>
        <w:tc>
          <w:tcPr>
            <w:tcW w:w="1920" w:type="dxa"/>
            <w:vAlign w:val="bottom"/>
            <w:vMerge w:val="restart"/>
          </w:tcPr>
          <w:p>
            <w:pPr>
              <w:jc w:val="center"/>
              <w:ind w:left="78"/>
              <w:spacing w:after="0" w:line="174" w:lineRule="exact"/>
              <w:rPr>
                <w:sz w:val="20"/>
                <w:szCs w:val="20"/>
                <w:color w:val="auto"/>
              </w:rPr>
            </w:pPr>
            <w:r>
              <w:rPr>
                <w:rFonts w:ascii="Times New Roman" w:cs="Times New Roman" w:eastAsia="Times New Roman" w:hAnsi="Times New Roman"/>
                <w:sz w:val="18"/>
                <w:szCs w:val="18"/>
                <w:color w:val="auto"/>
                <w:w w:val="99"/>
              </w:rPr>
              <w:t>PERSON WITH</w:t>
            </w:r>
          </w:p>
        </w:tc>
        <w:tc>
          <w:tcPr>
            <w:tcW w:w="7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920" w:type="dxa"/>
            <w:vAlign w:val="bottom"/>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8</w:t>
            </w: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5,476,516.82 (*)</w:t>
            </w:r>
          </w:p>
        </w:tc>
        <w:tc>
          <w:tcPr>
            <w:tcW w:w="0" w:type="dxa"/>
            <w:vAlign w:val="bottom"/>
          </w:tcPr>
          <w:p>
            <w:pPr>
              <w:spacing w:after="0"/>
              <w:rPr>
                <w:sz w:val="1"/>
                <w:szCs w:val="1"/>
                <w:color w:val="auto"/>
              </w:rPr>
            </w:pPr>
          </w:p>
        </w:tc>
      </w:tr>
      <w:tr>
        <w:trPr>
          <w:trHeight w:val="88"/>
        </w:trPr>
        <w:tc>
          <w:tcPr>
            <w:tcW w:w="1920" w:type="dxa"/>
            <w:vAlign w:val="bottom"/>
            <w:tcBorders>
              <w:bottom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w:t>
            </w:r>
          </w:p>
        </w:tc>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5,476,516.82 (*)</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20" w:type="dxa"/>
            <w:vAlign w:val="bottom"/>
            <w:tcBorders>
              <w:bottom w:val="single" w:sz="8" w:color="auto"/>
              <w:right w:val="single" w:sz="8" w:color="auto"/>
            </w:tcBorders>
          </w:tcPr>
          <w:p>
            <w:pPr>
              <w:spacing w:after="0"/>
              <w:rPr>
                <w:sz w:val="7"/>
                <w:szCs w:val="7"/>
                <w:color w:val="auto"/>
              </w:rPr>
            </w:pPr>
          </w:p>
        </w:tc>
        <w:tc>
          <w:tcPr>
            <w:tcW w:w="932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w:t>
            </w:r>
          </w:p>
        </w:tc>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0"/>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920" w:type="dxa"/>
            <w:vAlign w:val="bottom"/>
            <w:tcBorders>
              <w:bottom w:val="single" w:sz="8" w:color="auto"/>
              <w:right w:val="single" w:sz="8" w:color="auto"/>
            </w:tcBorders>
          </w:tcPr>
          <w:p>
            <w:pPr>
              <w:spacing w:after="0"/>
              <w:rPr>
                <w:sz w:val="4"/>
                <w:szCs w:val="4"/>
                <w:color w:val="auto"/>
              </w:rPr>
            </w:pPr>
          </w:p>
        </w:tc>
        <w:tc>
          <w:tcPr>
            <w:tcW w:w="93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11</w:t>
            </w:r>
          </w:p>
        </w:tc>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4.94% (*)(**)</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9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beneficial ownership of the securities reported herein is described in Item 4(a).</w:t>
      </w:r>
    </w:p>
    <w:p>
      <w:pPr>
        <w:spacing w:after="0" w:line="239" w:lineRule="exact"/>
        <w:rPr>
          <w:sz w:val="20"/>
          <w:szCs w:val="20"/>
          <w:color w:val="auto"/>
        </w:rPr>
      </w:pPr>
    </w:p>
    <w:p>
      <w:pPr>
        <w:ind w:left="5580" w:right="3080" w:hanging="5572"/>
        <w:spacing w:after="0" w:line="563" w:lineRule="auto"/>
        <w:tabs>
          <w:tab w:leader="none" w:pos="3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110,824,754 Ordinary Shares outstanding as of February 13, 2024 (as reported on Bloomberg LP).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Name of Issuer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25" w:lineRule="exact"/>
        <w:rPr>
          <w:sz w:val="20"/>
          <w:szCs w:val="20"/>
          <w:color w:val="auto"/>
        </w:rPr>
      </w:pPr>
    </w:p>
    <w:p>
      <w:pPr>
        <w:ind w:left="1460" w:hanging="867"/>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Ramat Gavriel Industrial Park, P.O. Box 619, Migdal Haemek 2310502, Israel</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Name of Person Filing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Phoenix Holdings Ltd.</w:t>
      </w:r>
    </w:p>
    <w:p>
      <w:pPr>
        <w:spacing w:after="0" w:line="225" w:lineRule="exact"/>
        <w:rPr>
          <w:sz w:val="20"/>
          <w:szCs w:val="20"/>
          <w:color w:val="auto"/>
        </w:rPr>
      </w:pPr>
    </w:p>
    <w:p>
      <w:pPr>
        <w:jc w:val="both"/>
        <w:ind w:left="1420"/>
        <w:spacing w:after="0" w:line="270" w:lineRule="auto"/>
        <w:rPr>
          <w:sz w:val="20"/>
          <w:szCs w:val="20"/>
          <w:color w:val="auto"/>
        </w:rPr>
      </w:pPr>
      <w:r>
        <w:rPr>
          <w:rFonts w:ascii="Times New Roman" w:cs="Times New Roman" w:eastAsia="Times New Roman" w:hAnsi="Times New Roman"/>
          <w:sz w:val="18"/>
          <w:szCs w:val="18"/>
          <w:color w:val="auto"/>
        </w:rPr>
        <w:t>The securities reported herein are beneficially owned by various direct or indirect, majority or wholly-owned subsidiaries of the Phoenix Holdings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pacing w:after="0" w:line="186" w:lineRule="exact"/>
        <w:rPr>
          <w:sz w:val="20"/>
          <w:szCs w:val="20"/>
          <w:color w:val="auto"/>
        </w:rPr>
      </w:pPr>
    </w:p>
    <w:p>
      <w:pPr>
        <w:ind w:left="1480" w:hanging="649"/>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Phoenix Holdings Ltd. is Derech Hashalom 53, Givataim, 53454, Israel.</w:t>
      </w:r>
    </w:p>
    <w:p>
      <w:pPr>
        <w:spacing w:after="0" w:line="225" w:lineRule="exact"/>
        <w:rPr>
          <w:rFonts w:ascii="Times New Roman" w:cs="Times New Roman" w:eastAsia="Times New Roman" w:hAnsi="Times New Roman"/>
          <w:sz w:val="18"/>
          <w:szCs w:val="18"/>
          <w:color w:val="auto"/>
        </w:rPr>
      </w:pPr>
    </w:p>
    <w:p>
      <w:pPr>
        <w:ind w:left="1480" w:hanging="649"/>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The Phoenix Holdings Ltd. - Israel</w:t>
      </w:r>
    </w:p>
    <w:p>
      <w:pPr>
        <w:spacing w:after="0" w:line="225" w:lineRule="exact"/>
        <w:rPr>
          <w:sz w:val="20"/>
          <w:szCs w:val="20"/>
          <w:color w:val="auto"/>
        </w:rPr>
      </w:pPr>
    </w:p>
    <w:p>
      <w:pPr>
        <w:ind w:left="1480" w:hanging="649"/>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NIS 15.00 per share</w:t>
      </w:r>
    </w:p>
    <w:p>
      <w:pPr>
        <w:spacing w:after="0" w:line="238" w:lineRule="exact"/>
        <w:rPr>
          <w:rFonts w:ascii="Times New Roman" w:cs="Times New Roman" w:eastAsia="Times New Roman" w:hAnsi="Times New Roman"/>
          <w:sz w:val="18"/>
          <w:szCs w:val="18"/>
          <w:color w:val="auto"/>
        </w:rPr>
      </w:pPr>
    </w:p>
    <w:p>
      <w:pPr>
        <w:ind w:left="1460" w:right="8560" w:hanging="629"/>
        <w:spacing w:after="0" w:line="498" w:lineRule="auto"/>
        <w:tabs>
          <w:tab w:leader="none" w:pos="14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r>
        <w:rPr>
          <w:rFonts w:ascii="Times New Roman" w:cs="Times New Roman" w:eastAsia="Times New Roman" w:hAnsi="Times New Roman"/>
          <w:sz w:val="18"/>
          <w:szCs w:val="18"/>
          <w:color w:val="auto"/>
        </w:rPr>
        <w:t>: M87915274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r>
              <w:rPr>
                <w:rFonts w:ascii="Times New Roman" w:cs="Times New Roman" w:eastAsia="Times New Roman" w:hAnsi="Times New Roman"/>
                <w:sz w:val="18"/>
                <w:szCs w:val="18"/>
                <w:color w:val="auto"/>
              </w:rPr>
              <w:t>.</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Not applicable.</w:t>
            </w:r>
          </w:p>
        </w:tc>
      </w:tr>
      <w:tr>
        <w:trPr>
          <w:trHeight w:val="391"/>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Ownership:</w:t>
            </w:r>
          </w:p>
        </w:tc>
      </w:tr>
      <w:tr>
        <w:trPr>
          <w:trHeight w:val="20"/>
        </w:trPr>
        <w:tc>
          <w:tcPr>
            <w:tcW w:w="1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420" w:hanging="656"/>
        <w:spacing w:after="0"/>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9 of cover page of each reporting person.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1361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both"/>
        <w:ind w:left="656"/>
        <w:spacing w:after="0" w:line="255" w:lineRule="auto"/>
        <w:rPr>
          <w:sz w:val="20"/>
          <w:szCs w:val="20"/>
          <w:color w:val="auto"/>
        </w:rPr>
      </w:pPr>
      <w:r>
        <w:rPr>
          <w:rFonts w:ascii="Times New Roman" w:cs="Times New Roman" w:eastAsia="Times New Roman" w:hAnsi="Times New Roman"/>
          <w:sz w:val="18"/>
          <w:szCs w:val="18"/>
          <w:color w:val="auto"/>
        </w:rPr>
        <w:t>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 and each of Filing Persons and Subsidiaries disclaims beneficial ownership of any such Ordinary Shares.</w:t>
      </w:r>
    </w:p>
    <w:p>
      <w:pPr>
        <w:sectPr>
          <w:pgSz w:w="11900" w:h="16838" w:orient="portrait"/>
          <w:cols w:equalWidth="0" w:num="1">
            <w:col w:w="10476"/>
          </w:cols>
          <w:pgMar w:left="1084" w:top="553"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656"/>
        <w:spacing w:after="0"/>
        <w:rPr>
          <w:sz w:val="20"/>
          <w:szCs w:val="20"/>
          <w:color w:val="auto"/>
        </w:rPr>
      </w:pPr>
      <w:r>
        <w:rPr>
          <w:rFonts w:ascii="Times New Roman" w:cs="Times New Roman" w:eastAsia="Times New Roman" w:hAnsi="Times New Roman"/>
          <w:sz w:val="17"/>
          <w:szCs w:val="17"/>
          <w:color w:val="auto"/>
        </w:rPr>
        <w:t>As of February 8, 2024, the securities reported herein were held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18"/>
          <w:szCs w:val="18"/>
          <w:color w:val="auto"/>
        </w:rPr>
        <w:t>The Phoenix Investments House - "nostro"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-119380</wp:posOffset>
            </wp:positionV>
            <wp:extent cx="496316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63160" cy="163195"/>
                    </a:xfrm>
                    <a:prstGeom prst="rect">
                      <a:avLst/>
                    </a:prstGeom>
                    <a:noFill/>
                  </pic:spPr>
                </pic:pic>
              </a:graphicData>
            </a:graphic>
          </wp:anchor>
        </w:drawing>
      </w:r>
    </w:p>
    <w:p>
      <w:pPr>
        <w:spacing w:after="0" w:line="30"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18"/>
          <w:szCs w:val="18"/>
          <w:color w:val="auto"/>
        </w:rPr>
        <w:t>The Phoenix Investments House - provident funds</w:t>
      </w:r>
    </w:p>
    <w:p>
      <w:pPr>
        <w:spacing w:after="0" w:line="50"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18"/>
          <w:szCs w:val="18"/>
          <w:color w:val="auto"/>
        </w:rPr>
        <w:t>The Phoenix Investments House - trust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-119380</wp:posOffset>
            </wp:positionV>
            <wp:extent cx="496316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63160" cy="163195"/>
                    </a:xfrm>
                    <a:prstGeom prst="rect">
                      <a:avLst/>
                    </a:prstGeom>
                    <a:noFill/>
                  </pic:spPr>
                </pic:pic>
              </a:graphicData>
            </a:graphic>
          </wp:anchor>
        </w:drawing>
      </w:r>
    </w:p>
    <w:p>
      <w:pPr>
        <w:spacing w:after="0" w:line="30"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18"/>
          <w:szCs w:val="18"/>
          <w:color w:val="auto"/>
        </w:rPr>
        <w:t>The Phoenix "nostro" accounts</w:t>
      </w:r>
    </w:p>
    <w:p>
      <w:pPr>
        <w:spacing w:after="0" w:line="50"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18"/>
          <w:szCs w:val="18"/>
          <w:color w:val="auto"/>
        </w:rPr>
        <w:t>The Phoenix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-119380</wp:posOffset>
            </wp:positionV>
            <wp:extent cx="496316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63160" cy="163195"/>
                    </a:xfrm>
                    <a:prstGeom prst="rect">
                      <a:avLst/>
                    </a:prstGeom>
                    <a:noFill/>
                  </pic:spPr>
                </pic:pic>
              </a:graphicData>
            </a:graphic>
          </wp:anchor>
        </w:drawing>
      </w:r>
    </w:p>
    <w:p>
      <w:pPr>
        <w:spacing w:after="0" w:line="30"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18"/>
          <w:szCs w:val="18"/>
          <w:color w:val="auto"/>
        </w:rPr>
        <w:t>Linked insurance policies of Phoenix</w:t>
      </w:r>
    </w:p>
    <w:p>
      <w:pPr>
        <w:spacing w:after="0" w:line="50"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18"/>
          <w:szCs w:val="18"/>
          <w:color w:val="auto"/>
        </w:rPr>
        <w:t>Partnership for Israeli shares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-119380</wp:posOffset>
            </wp:positionV>
            <wp:extent cx="496316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63160" cy="163195"/>
                    </a:xfrm>
                    <a:prstGeom prst="rect">
                      <a:avLst/>
                    </a:prstGeom>
                    <a:noFill/>
                  </pic:spPr>
                </pic:pic>
              </a:graphicData>
            </a:graphic>
          </wp:anchor>
        </w:drawing>
      </w:r>
    </w:p>
    <w:p>
      <w:pPr>
        <w:spacing w:after="0" w:line="30"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18"/>
          <w:szCs w:val="18"/>
          <w:color w:val="auto"/>
        </w:rPr>
        <w:t>Partnership for investing in shares indexes (1)</w:t>
      </w:r>
    </w:p>
    <w:p>
      <w:pPr>
        <w:spacing w:after="0" w:line="50"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18"/>
          <w:szCs w:val="18"/>
          <w:color w:val="auto"/>
        </w:rPr>
        <w:t>Partnership for international shares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-119380</wp:posOffset>
            </wp:positionV>
            <wp:extent cx="496316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63160" cy="163195"/>
                    </a:xfrm>
                    <a:prstGeom prst="rect">
                      <a:avLst/>
                    </a:prstGeom>
                    <a:noFill/>
                  </pic:spPr>
                </pic:pic>
              </a:graphicData>
            </a:graphic>
          </wp:anchor>
        </w:drawing>
      </w:r>
    </w:p>
    <w:p>
      <w:pPr>
        <w:spacing w:after="0" w:line="30"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18"/>
          <w:szCs w:val="18"/>
          <w:color w:val="auto"/>
        </w:rPr>
        <w:t>Halman - Aldubi Provident and Pension Funds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Percentage</w:t>
      </w:r>
    </w:p>
    <w:p>
      <w:pPr>
        <w:spacing w:after="0" w:line="3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total</w:t>
      </w:r>
    </w:p>
    <w:p>
      <w:pPr>
        <w:spacing w:after="0" w:line="23"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Ordinary</w:t>
      </w:r>
    </w:p>
    <w:p>
      <w:pPr>
        <w:spacing w:after="0" w:line="23"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Ordinary</w:t>
      </w:r>
      <w:r>
        <w:rPr>
          <w:sz w:val="20"/>
          <w:szCs w:val="20"/>
          <w:color w:val="auto"/>
        </w:rPr>
        <w:tab/>
      </w: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ind w:left="18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8"/>
          <w:szCs w:val="18"/>
          <w:b w:val="1"/>
          <w:bCs w:val="1"/>
          <w:u w:val="single" w:color="auto"/>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643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255" cy="1714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2,532,191.61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52"/>
        </w:trPr>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33,111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56"/>
        </w:trPr>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0.71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57"/>
        </w:trPr>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2,850,196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61"/>
        </w:trPr>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61,017.50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57"/>
        </w:trPr>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2">
            <w:col w:w="6076" w:space="300"/>
            <w:col w:w="4100"/>
          </w:cols>
          <w:pgMar w:left="1084" w:top="553" w:right="339" w:bottom="1440" w:gutter="0" w:footer="0" w:header="0"/>
          <w:type w:val="continuous"/>
        </w:sectPr>
      </w:pPr>
    </w:p>
    <w:p>
      <w:pPr>
        <w:spacing w:after="0" w:line="11" w:lineRule="exact"/>
        <w:rPr>
          <w:sz w:val="20"/>
          <w:szCs w:val="20"/>
          <w:color w:val="auto"/>
        </w:rPr>
      </w:pPr>
    </w:p>
    <w:p>
      <w:pPr>
        <w:ind w:left="976" w:hanging="342"/>
        <w:spacing w:after="0" w:line="282" w:lineRule="auto"/>
        <w:tabs>
          <w:tab w:leader="none" w:pos="97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ownership rights in this partnership belong to companies that are part of Phoenix Group. The amount of ownership rights held by such companies in the partnership changes frequently according to a mechanism provided in the partnership agreement.</w:t>
      </w:r>
    </w:p>
    <w:p>
      <w:pPr>
        <w:spacing w:after="0" w:line="161" w:lineRule="exact"/>
        <w:rPr>
          <w:rFonts w:ascii="Times New Roman" w:cs="Times New Roman" w:eastAsia="Times New Roman" w:hAnsi="Times New Roman"/>
          <w:sz w:val="18"/>
          <w:szCs w:val="18"/>
          <w:color w:val="auto"/>
        </w:rPr>
      </w:pPr>
    </w:p>
    <w:p>
      <w:pPr>
        <w:ind w:left="656" w:hanging="656"/>
        <w:spacing w:after="0"/>
        <w:tabs>
          <w:tab w:leader="none" w:pos="6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11 of cover page of each reporting person</w:t>
      </w:r>
    </w:p>
    <w:p>
      <w:pPr>
        <w:spacing w:after="0" w:line="225" w:lineRule="exact"/>
        <w:rPr>
          <w:rFonts w:ascii="Times New Roman" w:cs="Times New Roman" w:eastAsia="Times New Roman" w:hAnsi="Times New Roman"/>
          <w:sz w:val="18"/>
          <w:szCs w:val="18"/>
          <w:color w:val="auto"/>
        </w:rPr>
      </w:pPr>
    </w:p>
    <w:p>
      <w:pPr>
        <w:ind w:left="656" w:hanging="656"/>
        <w:spacing w:after="0"/>
        <w:tabs>
          <w:tab w:leader="none" w:pos="6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such person has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16" w:hanging="647"/>
        <w:spacing w:after="0"/>
        <w:tabs>
          <w:tab w:leader="none" w:pos="1416"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14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cover page of each reporting person</w:t>
      </w:r>
    </w:p>
    <w:p>
      <w:pPr>
        <w:spacing w:after="0" w:line="225" w:lineRule="exact"/>
        <w:rPr>
          <w:rFonts w:ascii="Times New Roman" w:cs="Times New Roman" w:eastAsia="Times New Roman" w:hAnsi="Times New Roman"/>
          <w:sz w:val="18"/>
          <w:szCs w:val="18"/>
          <w:color w:val="auto"/>
        </w:rPr>
      </w:pPr>
    </w:p>
    <w:p>
      <w:pPr>
        <w:ind w:left="1416" w:hanging="647"/>
        <w:spacing w:after="0"/>
        <w:tabs>
          <w:tab w:leader="none" w:pos="1416"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4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6 of cover page of each reporting person and note in Item 4(a) above</w:t>
      </w:r>
    </w:p>
    <w:p>
      <w:pPr>
        <w:spacing w:after="0" w:line="225" w:lineRule="exact"/>
        <w:rPr>
          <w:rFonts w:ascii="Times New Roman" w:cs="Times New Roman" w:eastAsia="Times New Roman" w:hAnsi="Times New Roman"/>
          <w:sz w:val="18"/>
          <w:szCs w:val="18"/>
          <w:color w:val="auto"/>
        </w:rPr>
      </w:pPr>
    </w:p>
    <w:p>
      <w:pPr>
        <w:ind w:left="1416" w:right="5300" w:hanging="647"/>
        <w:spacing w:after="0" w:line="530" w:lineRule="auto"/>
        <w:tabs>
          <w:tab w:leader="none" w:pos="1416"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See row 7 of cover page of each reporting person</w:t>
      </w:r>
    </w:p>
    <w:p>
      <w:pPr>
        <w:ind w:left="1416" w:hanging="647"/>
        <w:spacing w:after="0"/>
        <w:tabs>
          <w:tab w:leader="none" w:pos="1416"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4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8 of cover page of each reporting person and note in Item 4(a) above</w:t>
      </w:r>
    </w:p>
    <w:p>
      <w:pPr>
        <w:spacing w:after="0" w:line="200" w:lineRule="exact"/>
        <w:rPr>
          <w:sz w:val="20"/>
          <w:szCs w:val="20"/>
          <w:color w:val="auto"/>
        </w:rPr>
      </w:pPr>
    </w:p>
    <w:p>
      <w:pPr>
        <w:spacing w:after="0" w:line="214" w:lineRule="exact"/>
        <w:rPr>
          <w:sz w:val="20"/>
          <w:szCs w:val="20"/>
          <w:color w:val="auto"/>
        </w:rPr>
      </w:pPr>
    </w:p>
    <w:p>
      <w:pPr>
        <w:ind w:left="4816"/>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76"/>
          </w:cols>
          <w:pgMar w:left="1084" w:top="553" w:right="339" w:bottom="1440" w:gutter="0" w:footer="0" w:header="0"/>
          <w:type w:val="continuous"/>
        </w:sectPr>
      </w:pPr>
    </w:p>
    <w:bookmarkStart w:id="4" w:name="page5"/>
    <w:bookmarkEnd w:id="4"/>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460"/>
        <w:spacing w:after="0" w:line="246"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 or</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u w:val="single" w:color="auto"/>
          <w:color w:val="auto"/>
        </w:rPr>
        <w:t>Control Person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361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361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The Phoenix Holdings Ltd.</w:t>
      </w:r>
    </w:p>
    <w:p>
      <w:pPr>
        <w:spacing w:after="0" w:line="22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u w:val="single" w:color="auto"/>
          <w:color w:val="auto"/>
        </w:rPr>
        <w:t>/s/ Eli Schwartz</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Eli Schwartz*</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Title: Executive Vice President - Chief Financial Officer</w:t>
      </w:r>
    </w:p>
    <w:p>
      <w:pPr>
        <w:spacing w:after="0" w:line="2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u w:val="single" w:color="auto"/>
          <w:color w:val="auto"/>
        </w:rPr>
        <w:t>/s/ Haggai Schreiber</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Haggai Schreiber*</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Title: Executive Vice President - Chief Investment Officer</w:t>
      </w:r>
    </w:p>
    <w:p>
      <w:pPr>
        <w:spacing w:after="0" w:line="220" w:lineRule="exact"/>
        <w:rPr>
          <w:sz w:val="20"/>
          <w:szCs w:val="20"/>
          <w:color w:val="auto"/>
        </w:rPr>
      </w:pPr>
    </w:p>
    <w:p>
      <w:pPr>
        <w:ind w:left="5580" w:right="1760" w:hanging="5572"/>
        <w:spacing w:after="0" w:line="563" w:lineRule="auto"/>
        <w:tabs>
          <w:tab w:leader="none" w:pos="1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duly authorized by resolution of the Board of Directors, notice of which is attached as Exhibit 1 to this Schedule 13G.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7" w:name="page8"/>
    <w:bookmarkEnd w:id="7"/>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20" w:lineRule="exact"/>
        <w:rPr>
          <w:sz w:val="20"/>
          <w:szCs w:val="20"/>
          <w:color w:val="auto"/>
        </w:rPr>
      </w:pPr>
    </w:p>
    <w:p>
      <w:pPr>
        <w:ind w:left="1120" w:hanging="1106"/>
        <w:spacing w:after="0" w:line="297" w:lineRule="auto"/>
        <w:tabs>
          <w:tab w:leader="none" w:pos="1100" w:val="left"/>
        </w:tabs>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Exhibit 1</w:t>
        </w:r>
      </w:hyperlink>
      <w:r>
        <w:rPr>
          <w:rFonts w:ascii="Times New Roman" w:cs="Times New Roman" w:eastAsia="Times New Roman" w:hAnsi="Times New Roman"/>
          <w:sz w:val="18"/>
          <w:szCs w:val="18"/>
          <w:u w:val="single" w:color="auto"/>
          <w:color w:val="0000EE"/>
        </w:rPr>
        <w:tab/>
      </w:r>
      <w:hyperlink r:id="rId23">
        <w:r>
          <w:rPr>
            <w:rFonts w:ascii="Times New Roman" w:cs="Times New Roman" w:eastAsia="Times New Roman" w:hAnsi="Times New Roman"/>
            <w:sz w:val="18"/>
            <w:szCs w:val="18"/>
            <w:u w:val="single" w:color="auto"/>
            <w:color w:val="0000EE"/>
          </w:rPr>
          <w:t>Notice of resolution of the Board of Directors of the Phoenix Holdings Ltd., dated as of December 12, 2019 (incorporated herein by</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reference to Exhibit 3 to the Schedule 13G filed on February 7, 2022).</w:t>
        </w:r>
      </w:hyperlink>
    </w:p>
    <w:p>
      <w:pPr>
        <w:spacing w:after="0" w:line="149"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71361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sectPr>
      <w:pgSz w:w="11900" w:h="16838" w:orient="portrait"/>
      <w:cols w:equalWidth="0" w:num="1">
        <w:col w:w="11220"/>
      </w:cols>
      <w:pgMar w:left="320" w:top="33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lvl w:ilvl="1">
      <w:lvlJc w:val="left"/>
      <w:lvlText w:val="(%2)"/>
      <w:numFmt w:val="lowerLetter"/>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4"/>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
    <w:nsid w:val="140E0F7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3" Type="http://schemas.openxmlformats.org/officeDocument/2006/relationships/hyperlink" Target="https://www.sec.gov/Archives/edgar/data/928876/000117891322000404/exhibit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2024-02-15T12:27:39Z</dcterms:created>
  <dcterms:modified xsi:type="dcterms:W3CDTF">2024-02-15T12:27:39Z</dcterms:modified>
</cp:coreProperties>
</file>