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September 2008 (No.3)</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20" w:firstLine="351"/>
        <w:spacing w:after="0" w:line="268" w:lineRule="auto"/>
        <w:rPr>
          <w:sz w:val="20"/>
          <w:szCs w:val="20"/>
          <w:color w:val="auto"/>
        </w:rPr>
      </w:pPr>
      <w:r>
        <w:rPr>
          <w:rFonts w:ascii="Arial" w:cs="Arial" w:eastAsia="Arial" w:hAnsi="Arial"/>
          <w:sz w:val="18"/>
          <w:szCs w:val="18"/>
          <w:color w:val="auto"/>
        </w:rPr>
        <w:t>On September 25, 2008, the registrant Announces Signing and Closing of Definitive Agreements with its Lenders to Restructure Its Balance Sheet and Reduce $250 Million of Debt.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151"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25,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151"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jc w:val="center"/>
        <w:ind w:left="300" w:right="2180"/>
        <w:spacing w:after="0" w:line="264" w:lineRule="auto"/>
        <w:rPr>
          <w:sz w:val="20"/>
          <w:szCs w:val="20"/>
          <w:color w:val="auto"/>
        </w:rPr>
      </w:pPr>
      <w:r>
        <w:rPr>
          <w:rFonts w:ascii="Arial" w:cs="Arial" w:eastAsia="Arial" w:hAnsi="Arial"/>
          <w:sz w:val="24"/>
          <w:szCs w:val="24"/>
          <w:b w:val="1"/>
          <w:bCs w:val="1"/>
          <w:color w:val="auto"/>
        </w:rPr>
        <w:t>Tower Semiconductor Announces Signing and Closing of Definitive Agreements with its Lenders to Restructure Its Balance Sheet and Reduce $250 Million of Debt</w:t>
      </w:r>
    </w:p>
    <w:p>
      <w:pPr>
        <w:spacing w:after="0" w:line="2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Will Increase Shareholders’ Equity by $250 Million,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Improve Future Cash Flow and Financial Results;</w:t>
      </w: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will Result-In a Gain of Approximately $130 Million,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be Recorded in the Third Quarter 2008</w:t>
      </w:r>
    </w:p>
    <w:p>
      <w:pPr>
        <w:spacing w:after="0" w:line="300" w:lineRule="exact"/>
        <w:rPr>
          <w:sz w:val="24"/>
          <w:szCs w:val="24"/>
          <w:color w:val="auto"/>
        </w:rPr>
      </w:pPr>
    </w:p>
    <w:p>
      <w:pPr>
        <w:jc w:val="both"/>
        <w:ind w:right="280"/>
        <w:spacing w:after="0" w:line="259" w:lineRule="auto"/>
        <w:rPr>
          <w:sz w:val="20"/>
          <w:szCs w:val="20"/>
          <w:color w:val="auto"/>
        </w:rPr>
      </w:pPr>
      <w:r>
        <w:rPr>
          <w:rFonts w:ascii="Arial" w:cs="Arial" w:eastAsia="Arial" w:hAnsi="Arial"/>
          <w:sz w:val="18"/>
          <w:szCs w:val="18"/>
          <w:color w:val="auto"/>
        </w:rPr>
        <w:t>MIGDAL HAEMEK, Israel – September 25, 2008 – Tower Semiconductor Ltd. (NASDAQ: TSEM; TASE: TSEM), an independent specialty foundry, today announced that it has signed and closed definitive agreements with its lender banks and Israel Corp. These agreements are based on the previously announced memorandum of understanding dated August 20, 2008.</w:t>
      </w:r>
    </w:p>
    <w:p>
      <w:pPr>
        <w:spacing w:after="0" w:line="194"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According to the agreements, $250 million of Tower’s debt to Bank Leumi, Bank Hapoalim and Israel Corp., will be forgiven in exchange for equity capital notes of the Company, exercisable into ordinary shares at $1.42 per share. This price per share represents two times the average closing price of Tower’s stock on NASDAQ for the ten trading days prior to August 7, 2008, which was the date of the Company’s public announcement regarding its debt restructuring negotiations with the banks and Israel Corp. The conversion of the debt into equity capital notes reduces Tower’s debt by approximately $250 million, increases its shareholders’ equity on its balance sheet by approximately $250 million, as well as improves its cash flow margins, statement of operations results and financial position. Further, the agreement will result in a one-time gain of approximately $130 million that will be recorded in the statement of operations of the Company for the third quarter of 2008.</w:t>
      </w:r>
    </w:p>
    <w:p>
      <w:pPr>
        <w:sectPr>
          <w:pgSz w:w="11900" w:h="16838" w:orient="portrait"/>
          <w:cols w:equalWidth="0" w:num="1">
            <w:col w:w="11380"/>
          </w:cols>
          <w:pgMar w:left="240" w:top="476" w:right="279" w:bottom="151"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Also according to the agreements, Israel Corp. will invest $20 million in Tower and has committed to invest up to an additional $20 million, under the same terms as was previously announced on 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agreements postpone repayment of the remaining principal, modify the interest rate and waive interest payments and financial covenants as follows: (i) the repayment of the remaining principal of the loans is postponed to begin in September 2010; (ii) interest payments originally due September 2008 through June 2009 are added to the principal payments, which are scheduled to be paid in 8 equal quarterly installments commencing in September 2010 and ending in June 2012; (iii) the interest rate on the remaining bank debt will be LIBOR plus 2.5 percent per annum; and (iv) the banks waived in full the Company’s compliance with financial covenants through the end of 2008 and revised such covenants for the period commencing 2009 to reflect the Company’s updated forecasts.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Russell Ellwanger, Tower’s chief executive officer, commented, “This period of time is very exciting for Tower Semiconductor. More doors of opportunity are open to us now than any other time in our history. We appreciate the Israel Corporation’s investment, in providing us with the capital to fund our continued growth, as well as the ongoing partnership with our banks that resulted in the successful restructuring of our debt, also enabling further growth. This new capital and our strengthened balance sheet combined with last Friday’s close of the merger with Jazz Semiconductor accelerates Tower’s trajectory towards realizing our goal of becoming the number one specialty foundry in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Tower will host a conference call today, September 25, 2008, at 10:00 a.m. Eastern Time (ET) / 09:00 a.m. Central / 08:00 a.m. Mountain / 07:00 a.m. Pacific and 5:00 p.m. Israel time to discuss the closing of the banks agreements and the merger with Jazz Technologies. To participate, please call: 1-866-3455-855 (U.S. toll-free number) or 972-3-918-0650 (international) and mention ID code: TOWER. Callers in Israel are invited to call locally by dialing 03-918-0650. The conference call will also be Web cast live at </w:t>
      </w:r>
      <w:r>
        <w:rPr>
          <w:rFonts w:ascii="Arial" w:cs="Arial" w:eastAsia="Arial" w:hAnsi="Arial"/>
          <w:sz w:val="16"/>
          <w:szCs w:val="16"/>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 p.m. ET on the day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Technologies and Jazz Semiconductor</w:t>
      </w:r>
    </w:p>
    <w:p>
      <w:pPr>
        <w:spacing w:after="0" w:line="2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 xml:space="preserve">Jazz Technologies, Inc. and Jazz Semiconductor, Inc. are wholly owned subsidiaries of Tower Semiconductor Ltd. Jazz Semiconductor, Inc., a Tower Group company is a leading wafer foundry focused on Analog-Intensive Mixed-Signal (AIMS) process technologies. The company’s broad process portfolio includes specialty technologies, such as RF CMOS, Analog CMOS, Silicon and SiGe BiCMOS, SiGe C-BiCMOS, Power CMOS and High Voltage CMOS. Jazz also offers world-class design enablement tools to allow complex designs to be achieved quickly and more accurately. Jazz executive offices and its U.S. wafer fabrication facility are located in Newport Beach, CA. For more information, please visit www.jazztechnologies.com and </w:t>
      </w:r>
      <w:r>
        <w:rPr>
          <w:rFonts w:ascii="Arial" w:cs="Arial" w:eastAsia="Arial" w:hAnsi="Arial"/>
          <w:sz w:val="16"/>
          <w:szCs w:val="16"/>
          <w:u w:val="single" w:color="auto"/>
          <w:color w:val="auto"/>
        </w:rPr>
        <w:t>www.jazzsemi.com.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including the statements relating to growth in the analog IC market and the development and execution of our strategic business initiatives, which are subject to risks and uncertainties. Actual results, including any expected benefits and anticipated cost savings over competing technologies,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not receiving orders from our wafer partners and customers, which can result in excess capacity, (iii) the cyclical nature of the semiconductor industry and the resulting periodic overcapacity, fluctuations in operating results, future average selling price erosion, (iv) having sufficient funds to satisfy our short-term and long-term debt obligations and other liabilities, (v) operating our facilities at high utilization rates which is critical in order to defray the high level of fixed costs associated with operating a foundry and reduce our losses, (vi) our ability to satisfy the revised covenants stipulated in our amended credit facility agreement, (vii) our ability to capitalize on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our acquisition of Jazz, including possible delays in the integration process, diversion of management’s attention, resignation of key employees and not realizing anticipated benefits, (xi) the completion of the equipment installation, technology transfer and ramp-up of production in Fab 2 and raising the funds therefor, (xii) our dependence on a relatively small number of products for a significant portion of our revenue, (xiii) a substantial portion of our revenues being accounted for by a small number of customers, (xiv) the concentration of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the large amount of debt and liabilities and the ability to repay short-term and long-term debt and liabilities on a timely basis, (xix) achieving acceptable device yields, product performance and delivery times, (xx) our ability to manufacture products on a timely basis and to purchase the equipment to increase Fab2 capacity and timely installation thereof, (xxi) our dependence on intellectual property rights of others and our ability to operate our business without infringing others’ intellectual property rights, (xxii) exposure to inflation, currency exchange and interest rate fluctuations and risks associated with doing business internationally and in Israel, and (xxiii) business interruption due to fire, the security situation in Israel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F-4, F-3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ectPr>
          <w:pgSz w:w="11900" w:h="16838" w:orient="portrait"/>
          <w:cols w:equalWidth="0" w:num="1">
            <w:col w:w="11400"/>
          </w:cols>
          <w:pgMar w:left="240" w:top="131" w:right="259" w:bottom="0" w:gutter="0" w:footer="0" w:header="0"/>
          <w:type w:val="continuous"/>
        </w:sectPr>
      </w:pPr>
    </w:p>
    <w:bookmarkStart w:id="2" w:name="page3"/>
    <w:bookmarkEnd w:id="2"/>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+ 972-4-650 6936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Ryan Bright, (972) 239-5119 ext. 159</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2019-12-14T03:26:24Z</dcterms:created>
  <dcterms:modified xsi:type="dcterms:W3CDTF">2019-12-14T03:26:24Z</dcterms:modified>
</cp:coreProperties>
</file>