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59"/>
        <w:spacing w:after="0"/>
        <w:rPr>
          <w:sz w:val="20"/>
          <w:szCs w:val="20"/>
          <w:color w:val="auto"/>
        </w:rPr>
      </w:pPr>
      <w:r>
        <w:rPr>
          <w:rFonts w:ascii="Courier New" w:cs="Courier New" w:eastAsia="Courier New" w:hAnsi="Courier New"/>
          <w:sz w:val="12"/>
          <w:szCs w:val="12"/>
          <w:color w:val="auto"/>
        </w:rPr>
        <w:t>FORM 6-K</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47" w:lineRule="exact"/>
        <w:rPr>
          <w:sz w:val="24"/>
          <w:szCs w:val="24"/>
          <w:color w:val="auto"/>
        </w:rPr>
      </w:pPr>
    </w:p>
    <w:p>
      <w:pPr>
        <w:ind w:left="2140"/>
        <w:spacing w:after="0"/>
        <w:rPr>
          <w:sz w:val="20"/>
          <w:szCs w:val="20"/>
          <w:color w:val="auto"/>
        </w:rPr>
      </w:pPr>
      <w:r>
        <w:rPr>
          <w:rFonts w:ascii="Courier New" w:cs="Courier New" w:eastAsia="Courier New" w:hAnsi="Courier New"/>
          <w:sz w:val="12"/>
          <w:szCs w:val="12"/>
          <w:color w:val="auto"/>
        </w:rPr>
        <w:t>Washington, D.C. 20549</w:t>
      </w:r>
    </w:p>
    <w:p>
      <w:pPr>
        <w:spacing w:after="0" w:line="147" w:lineRule="exact"/>
        <w:rPr>
          <w:sz w:val="24"/>
          <w:szCs w:val="24"/>
          <w:color w:val="auto"/>
        </w:rPr>
      </w:pPr>
    </w:p>
    <w:p>
      <w:pPr>
        <w:ind w:left="1680"/>
        <w:spacing w:after="0"/>
        <w:rPr>
          <w:sz w:val="20"/>
          <w:szCs w:val="20"/>
          <w:color w:val="auto"/>
        </w:rPr>
      </w:pPr>
      <w:r>
        <w:rPr>
          <w:rFonts w:ascii="Courier New" w:cs="Courier New" w:eastAsia="Courier New" w:hAnsi="Courier New"/>
          <w:sz w:val="12"/>
          <w:szCs w:val="12"/>
          <w:color w:val="auto"/>
        </w:rPr>
        <w:t>For the month of May 2007 (No. 1)</w:t>
      </w:r>
    </w:p>
    <w:p>
      <w:pPr>
        <w:spacing w:after="0" w:line="147"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TOWER SEMICONDUCTOR LTD.</w:t>
      </w:r>
    </w:p>
    <w:p>
      <w:pPr>
        <w:spacing w:after="0" w:line="6"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47"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2"/>
          <w:szCs w:val="12"/>
          <w:color w:val="auto"/>
        </w:rPr>
        <w:t>RAMAT GAVRIEL INDUSTRIAL PARK</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2"/>
          <w:szCs w:val="12"/>
          <w:color w:val="auto"/>
        </w:rPr>
        <w:t>P.O. BOX 619, MIGDAL HAEMEK, ISRAEL 23105</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47" w:lineRule="exact"/>
        <w:rPr>
          <w:sz w:val="24"/>
          <w:szCs w:val="24"/>
          <w:color w:val="auto"/>
        </w:rPr>
      </w:pPr>
    </w:p>
    <w:p>
      <w:pPr>
        <w:ind w:right="4639" w:firstLine="368"/>
        <w:spacing w:after="0" w:line="253"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8" w:lineRule="exact"/>
        <w:rPr>
          <w:sz w:val="24"/>
          <w:szCs w:val="24"/>
          <w:color w:val="auto"/>
        </w:rPr>
      </w:pPr>
    </w:p>
    <w:p>
      <w:pPr>
        <w:ind w:left="1840"/>
        <w:spacing w:after="0"/>
        <w:tabs>
          <w:tab w:leader="none" w:pos="314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2"/>
          <w:szCs w:val="12"/>
          <w:color w:val="auto"/>
        </w:rPr>
        <w:t>Form 40-F [_]</w:t>
      </w:r>
    </w:p>
    <w:p>
      <w:pPr>
        <w:spacing w:after="0" w:line="147" w:lineRule="exact"/>
        <w:rPr>
          <w:sz w:val="24"/>
          <w:szCs w:val="24"/>
          <w:color w:val="auto"/>
        </w:rPr>
      </w:pPr>
    </w:p>
    <w:p>
      <w:pPr>
        <w:ind w:right="4359" w:firstLine="368"/>
        <w:spacing w:after="0" w:line="251" w:lineRule="auto"/>
        <w:rPr>
          <w:sz w:val="20"/>
          <w:szCs w:val="20"/>
          <w:color w:val="auto"/>
        </w:rPr>
      </w:pPr>
      <w:r>
        <w:rPr>
          <w:rFonts w:ascii="Courier New" w:cs="Courier New" w:eastAsia="Courier New" w:hAnsi="Courier New"/>
          <w:sz w:val="12"/>
          <w:szCs w:val="1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0" w:lineRule="exact"/>
        <w:rPr>
          <w:sz w:val="24"/>
          <w:szCs w:val="24"/>
          <w:color w:val="auto"/>
        </w:rPr>
      </w:pPr>
    </w:p>
    <w:p>
      <w:pPr>
        <w:ind w:left="2280"/>
        <w:spacing w:after="0"/>
        <w:tabs>
          <w:tab w:leader="none" w:pos="314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2"/>
          <w:szCs w:val="12"/>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right="4579" w:firstLine="368"/>
        <w:spacing w:after="0" w:line="253" w:lineRule="auto"/>
        <w:rPr>
          <w:sz w:val="20"/>
          <w:szCs w:val="20"/>
          <w:color w:val="auto"/>
        </w:rPr>
      </w:pPr>
      <w:r>
        <w:rPr>
          <w:rFonts w:ascii="Courier New" w:cs="Courier New" w:eastAsia="Courier New" w:hAnsi="Courier New"/>
          <w:sz w:val="12"/>
          <w:szCs w:val="12"/>
          <w:color w:val="auto"/>
        </w:rPr>
        <w:t>On May 1, 2007, the Registrant announced its financial results for the three months ended March 31, 2007. Attached hereto are the following exhibits</w:t>
      </w:r>
    </w:p>
    <w:p>
      <w:pPr>
        <w:spacing w:after="0" w:line="138" w:lineRule="exact"/>
        <w:rPr>
          <w:sz w:val="24"/>
          <w:szCs w:val="24"/>
          <w:color w:val="auto"/>
        </w:rPr>
      </w:pPr>
    </w:p>
    <w:p>
      <w:pPr>
        <w:ind w:left="360"/>
        <w:spacing w:after="0"/>
        <w:tabs>
          <w:tab w:leader="none" w:pos="2040" w:val="left"/>
        </w:tabs>
        <w:rPr>
          <w:sz w:val="20"/>
          <w:szCs w:val="20"/>
          <w:color w:val="auto"/>
        </w:rPr>
      </w:pPr>
      <w:r>
        <w:rPr>
          <w:rFonts w:ascii="Courier New" w:cs="Courier New" w:eastAsia="Courier New" w:hAnsi="Courier New"/>
          <w:sz w:val="12"/>
          <w:szCs w:val="12"/>
          <w:color w:val="auto"/>
        </w:rPr>
        <w:t>Exhibit 99.1</w:t>
      </w:r>
      <w:r>
        <w:rPr>
          <w:sz w:val="20"/>
          <w:szCs w:val="20"/>
          <w:color w:val="auto"/>
        </w:rPr>
        <w:tab/>
      </w:r>
      <w:r>
        <w:rPr>
          <w:rFonts w:ascii="Courier New" w:cs="Courier New" w:eastAsia="Courier New" w:hAnsi="Courier New"/>
          <w:sz w:val="12"/>
          <w:szCs w:val="12"/>
          <w:color w:val="auto"/>
        </w:rPr>
        <w:t>Press release dated May 1, 2007</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4359"/>
        <w:spacing w:after="0"/>
        <w:rPr>
          <w:sz w:val="20"/>
          <w:szCs w:val="20"/>
          <w:color w:val="auto"/>
        </w:rPr>
      </w:pPr>
      <w:r>
        <w:rPr>
          <w:rFonts w:ascii="Courier New" w:cs="Courier New" w:eastAsia="Courier New" w:hAnsi="Courier New"/>
          <w:sz w:val="12"/>
          <w:szCs w:val="12"/>
          <w:color w:val="auto"/>
        </w:rPr>
        <w:t>SIGNATURES</w:t>
      </w:r>
    </w:p>
    <w:p>
      <w:pPr>
        <w:spacing w:after="0" w:line="147" w:lineRule="exact"/>
        <w:rPr>
          <w:sz w:val="24"/>
          <w:szCs w:val="24"/>
          <w:color w:val="auto"/>
        </w:rPr>
      </w:pPr>
    </w:p>
    <w:p>
      <w:pPr>
        <w:ind w:right="4579" w:firstLine="368"/>
        <w:spacing w:after="0" w:line="251"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40" w:lineRule="exact"/>
        <w:rPr>
          <w:sz w:val="24"/>
          <w:szCs w:val="24"/>
          <w:color w:val="auto"/>
        </w:rPr>
      </w:pPr>
    </w:p>
    <w:p>
      <w:pPr>
        <w:ind w:left="338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641" w:right="1440" w:bottom="1440" w:gutter="0" w:footer="0" w:header="0"/>
        </w:sect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Date: May 1, 2007</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By: /s/ Nati Somekh Gilboa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2660" w:space="720"/>
            <w:col w:w="6859"/>
          </w:cols>
          <w:pgMar w:left="220" w:top="641" w:right="1440" w:bottom="1440" w:gutter="0" w:footer="0" w:header="0"/>
          <w:type w:val="continuous"/>
        </w:sectPr>
      </w:pPr>
    </w:p>
    <w:bookmarkStart w:id="1" w:name="page2"/>
    <w:bookmarkEnd w:id="1"/>
    <w:p>
      <w:pPr>
        <w:jc w:val="right"/>
        <w:ind w:right="4359"/>
        <w:spacing w:after="0"/>
        <w:rPr>
          <w:sz w:val="20"/>
          <w:szCs w:val="20"/>
          <w:color w:val="auto"/>
        </w:rPr>
      </w:pPr>
      <w:r>
        <w:rPr>
          <w:rFonts w:ascii="Courier New" w:cs="Courier New" w:eastAsia="Courier New" w:hAnsi="Courier New"/>
          <w:sz w:val="12"/>
          <w:szCs w:val="12"/>
          <w:color w:val="auto"/>
        </w:rPr>
        <w:t>EXHIBIT 99.1</w:t>
      </w:r>
    </w:p>
    <w:p>
      <w:pPr>
        <w:spacing w:after="0" w:line="147"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TOWER SEMICONDUCTOR FIRST QUARTER 2007 REVENUES</w:t>
      </w:r>
    </w:p>
    <w:p>
      <w:pPr>
        <w:spacing w:after="0" w:line="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INCREASED 55 PERCENT YEAR-OVER-YEAR</w:t>
      </w:r>
    </w:p>
    <w:p>
      <w:pPr>
        <w:spacing w:after="0" w:line="147" w:lineRule="exact"/>
        <w:rPr>
          <w:sz w:val="20"/>
          <w:szCs w:val="20"/>
          <w:color w:val="auto"/>
        </w:rPr>
      </w:pPr>
    </w:p>
    <w:p>
      <w:pPr>
        <w:ind w:left="520"/>
        <w:spacing w:after="0"/>
        <w:rPr>
          <w:sz w:val="20"/>
          <w:szCs w:val="20"/>
          <w:color w:val="auto"/>
        </w:rPr>
      </w:pPr>
      <w:r>
        <w:rPr>
          <w:rFonts w:ascii="Courier New" w:cs="Courier New" w:eastAsia="Courier New" w:hAnsi="Courier New"/>
          <w:sz w:val="12"/>
          <w:szCs w:val="12"/>
          <w:color w:val="auto"/>
        </w:rPr>
        <w:t>COMPANY MAINTAINS POSITIVE CASH FLOW FROM OPERATIONS AND POSITIVE</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2"/>
          <w:szCs w:val="12"/>
          <w:color w:val="auto"/>
        </w:rPr>
        <w:t>EBITDA AND GUIDES FOR EIGHTH SEQUENTIAL QUARTER OF REVENUE GROWTH</w:t>
      </w:r>
    </w:p>
    <w:p>
      <w:pPr>
        <w:spacing w:after="0" w:line="147" w:lineRule="exact"/>
        <w:rPr>
          <w:sz w:val="20"/>
          <w:szCs w:val="20"/>
          <w:color w:val="auto"/>
        </w:rPr>
      </w:pPr>
    </w:p>
    <w:p>
      <w:pPr>
        <w:ind w:right="4579"/>
        <w:spacing w:after="0" w:line="251" w:lineRule="auto"/>
        <w:rPr>
          <w:sz w:val="20"/>
          <w:szCs w:val="20"/>
          <w:color w:val="auto"/>
        </w:rPr>
      </w:pPr>
      <w:r>
        <w:rPr>
          <w:rFonts w:ascii="Courier New" w:cs="Courier New" w:eastAsia="Courier New" w:hAnsi="Courier New"/>
          <w:sz w:val="12"/>
          <w:szCs w:val="12"/>
          <w:color w:val="auto"/>
        </w:rPr>
        <w:t>MIGDAL HAEMEK, Israel - May 1, 2007 - Tower Semiconductor Ltd. (Nasdaq: TSEM, TASE: TSEM), an independent specialty foundry, today announced first quarter 2007 financial results.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FINANCIAL HIGHLIGHTS:</w:t>
      </w:r>
    </w:p>
    <w:p>
      <w:pPr>
        <w:spacing w:after="0" w:line="147" w:lineRule="exact"/>
        <w:rPr>
          <w:sz w:val="20"/>
          <w:szCs w:val="20"/>
          <w:color w:val="auto"/>
        </w:rPr>
      </w:pPr>
    </w:p>
    <w:p>
      <w:pPr>
        <w:ind w:left="740" w:right="4799" w:hanging="376"/>
        <w:spacing w:after="0" w:line="251" w:lineRule="auto"/>
        <w:tabs>
          <w:tab w:leader="none" w:pos="74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Reported quarterly revenues of $55.6 million, meeting previously stated guidance, and representing year-over-year growth of approximately 55 percent</w:t>
      </w:r>
    </w:p>
    <w:p>
      <w:pPr>
        <w:spacing w:after="0" w:line="139" w:lineRule="exact"/>
        <w:rPr>
          <w:rFonts w:ascii="Courier New" w:cs="Courier New" w:eastAsia="Courier New" w:hAnsi="Courier New"/>
          <w:sz w:val="12"/>
          <w:szCs w:val="12"/>
          <w:color w:val="auto"/>
        </w:rPr>
      </w:pPr>
    </w:p>
    <w:p>
      <w:pPr>
        <w:jc w:val="both"/>
        <w:ind w:left="740" w:right="4359" w:hanging="376"/>
        <w:spacing w:after="0" w:line="253" w:lineRule="auto"/>
        <w:tabs>
          <w:tab w:leader="none" w:pos="74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Recorded positive cash flow from operations for the second consecutive quarter and achieved positive EBITDA for the sixth consecutive quarter</w:t>
      </w:r>
    </w:p>
    <w:p>
      <w:pPr>
        <w:spacing w:after="0" w:line="138" w:lineRule="exact"/>
        <w:rPr>
          <w:rFonts w:ascii="Courier New" w:cs="Courier New" w:eastAsia="Courier New" w:hAnsi="Courier New"/>
          <w:sz w:val="12"/>
          <w:szCs w:val="12"/>
          <w:color w:val="auto"/>
        </w:rPr>
      </w:pPr>
    </w:p>
    <w:p>
      <w:pPr>
        <w:ind w:left="740" w:right="4359" w:hanging="376"/>
        <w:spacing w:after="0" w:line="251" w:lineRule="auto"/>
        <w:tabs>
          <w:tab w:leader="none" w:pos="74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Expecting continued revenue growth in the second quarter of 2007 to be between $56 and $60 million, which will represent the eighth sequential quarter of revenue growth, and will represent between 26 and 35 percent year-over-year revenue growth.</w:t>
      </w:r>
    </w:p>
    <w:p>
      <w:pPr>
        <w:spacing w:after="0" w:line="139"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For the first quarter of 2007, the Company reported total revenues of $55.6 million, representing a 55 percent increase as compared to $35.9 million reported in the first quarter of 2006. Net Loss in accordance with generally accepted accounting principles (GAAP) for the first quarter of 2007 was $37.4 million, or $0.36 per share, as compared to a GAAP net loss of $45.1 million, or $0.63 per share, for the first quarter of 2006. Non-GAAP operating profit (as described and reconciled below) for the first quarter of 2007 was $11.8 million, as compared to non-GAAP operating profit for the first quarter of 2006 of $5.2 million.</w:t>
      </w:r>
    </w:p>
    <w:p>
      <w:pPr>
        <w:spacing w:after="0" w:line="283"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"We take satisfaction that in Q1, which saw a world-wide foundry revenue drop exceeding ten percent, we achieved the upper range of an aggressive guidance and are able to guide Q2 to be our eighth consecutive quarter of revenue growth", said Russell Ellwanger, chief executive officer of Tower Semiconductor. "Driven by strong customer demand both Fabs ran at above 90 percent utilization rates during the quarter. As we near the completion of our 50 percent Fab2 capacity expansion, we believe we are well positioned to continue growth in the second half of 2007, fueled by multiyear contracts from new and existing customers. This quarter's results reaffirm our confidence in our business model and demonstrate the benefits of serving a customer base representing multiple segments and specialty products in order to enable growth despite the industry cycles".</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BUSINESS OUTLOOK:</w:t>
      </w:r>
    </w:p>
    <w:p>
      <w:pPr>
        <w:spacing w:after="0" w:line="147" w:lineRule="exact"/>
        <w:rPr>
          <w:sz w:val="20"/>
          <w:szCs w:val="20"/>
          <w:color w:val="auto"/>
        </w:rPr>
      </w:pPr>
    </w:p>
    <w:p>
      <w:pPr>
        <w:ind w:right="4499"/>
        <w:spacing w:after="0" w:line="251" w:lineRule="auto"/>
        <w:rPr>
          <w:sz w:val="20"/>
          <w:szCs w:val="20"/>
          <w:color w:val="auto"/>
        </w:rPr>
      </w:pPr>
      <w:r>
        <w:rPr>
          <w:rFonts w:ascii="Courier New" w:cs="Courier New" w:eastAsia="Courier New" w:hAnsi="Courier New"/>
          <w:sz w:val="12"/>
          <w:szCs w:val="12"/>
          <w:color w:val="auto"/>
        </w:rPr>
        <w:t>Tower expects continued growth in the second quarter of 2007 and forecasts revenue to be between $56 and $60 million, which will represent between 26 and 35 percent year-over-year revenue growth.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FIRST QUARTER 2007 FINANCIAL RESULTS CONFERENCE CALL AND WEB CAST:</w:t>
      </w:r>
    </w:p>
    <w:p>
      <w:pPr>
        <w:spacing w:after="0" w:line="147" w:lineRule="exact"/>
        <w:rPr>
          <w:sz w:val="20"/>
          <w:szCs w:val="20"/>
          <w:color w:val="auto"/>
        </w:rPr>
      </w:pPr>
    </w:p>
    <w:p>
      <w:pPr>
        <w:ind w:right="4579"/>
        <w:spacing w:after="0" w:line="249" w:lineRule="auto"/>
        <w:rPr>
          <w:sz w:val="20"/>
          <w:szCs w:val="20"/>
          <w:color w:val="auto"/>
        </w:rPr>
      </w:pPr>
      <w:r>
        <w:rPr>
          <w:rFonts w:ascii="Courier New" w:cs="Courier New" w:eastAsia="Courier New" w:hAnsi="Courier New"/>
          <w:sz w:val="12"/>
          <w:szCs w:val="12"/>
          <w:color w:val="auto"/>
        </w:rPr>
        <w:t>Tower will host a conference call to discuss these results on Tuesday, May 1, 2007, at 12:00 p.m. Eastern Standard Time / 7:00 p.m. Israel time. To participate, please call: 1-888-668-9141 (U.S. toll-free number) or</w:t>
      </w:r>
    </w:p>
    <w:p>
      <w:pPr>
        <w:spacing w:after="0" w:line="2"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972-3-918-0609 (international) and mention ID code: TOWER. Callers in Israel are invited to call locally by dialing 03-918-0609. The conference call will also be Web cast live at http://www.earnings.com and at www.towersemi.com and will be available thereafter on both Web sites for replay for 90 days, starting at approximately 2:00 p.m. Eastern Standard Time on the day of the call.</w:t>
      </w:r>
    </w:p>
    <w:p>
      <w:pPr>
        <w:spacing w:after="0" w:line="141"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41" w:lineRule="exact"/>
        <w:rPr>
          <w:sz w:val="20"/>
          <w:szCs w:val="20"/>
          <w:color w:val="auto"/>
        </w:rPr>
      </w:pPr>
    </w:p>
    <w:p>
      <w:pPr>
        <w:ind w:right="4359"/>
        <w:spacing w:after="0" w:line="250" w:lineRule="auto"/>
        <w:rPr>
          <w:sz w:val="20"/>
          <w:szCs w:val="20"/>
          <w:color w:val="auto"/>
        </w:rPr>
      </w:pPr>
      <w:r>
        <w:rPr>
          <w:rFonts w:ascii="Courier New" w:cs="Courier New" w:eastAsia="Courier New" w:hAnsi="Courier New"/>
          <w:sz w:val="12"/>
          <w:szCs w:val="12"/>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ABOUT TOWER SEMICONDUCTOR LTD.</w:t>
      </w:r>
    </w:p>
    <w:p>
      <w:pPr>
        <w:spacing w:after="0" w:line="147" w:lineRule="exact"/>
        <w:rPr>
          <w:sz w:val="20"/>
          <w:szCs w:val="20"/>
          <w:color w:val="auto"/>
        </w:rPr>
      </w:pPr>
    </w:p>
    <w:p>
      <w:pPr>
        <w:ind w:right="4419"/>
        <w:spacing w:after="0" w:line="250" w:lineRule="auto"/>
        <w:rPr>
          <w:sz w:val="20"/>
          <w:szCs w:val="20"/>
          <w:color w:val="auto"/>
        </w:rPr>
      </w:pPr>
      <w:r>
        <w:rPr>
          <w:rFonts w:ascii="Courier New" w:cs="Courier New" w:eastAsia="Courier New" w:hAnsi="Courier New"/>
          <w:sz w:val="12"/>
          <w:szCs w:val="12"/>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ectPr>
          <w:pgSz w:w="11900" w:h="16838" w:orient="portrait"/>
          <w:cols w:equalWidth="0" w:num="1">
            <w:col w:w="10239"/>
          </w:cols>
          <w:pgMar w:left="220" w:top="424" w:right="1440" w:bottom="294" w:gutter="0" w:footer="0" w:header="0"/>
        </w:sectPr>
      </w:pPr>
    </w:p>
    <w:bookmarkStart w:id="2" w:name="page3"/>
    <w:bookmarkEnd w:id="2"/>
    <w:p>
      <w:pPr>
        <w:ind w:left="4"/>
        <w:spacing w:after="0"/>
        <w:rPr>
          <w:sz w:val="20"/>
          <w:szCs w:val="20"/>
          <w:color w:val="auto"/>
        </w:rPr>
      </w:pPr>
      <w:r>
        <w:rPr>
          <w:rFonts w:ascii="Courier New" w:cs="Courier New" w:eastAsia="Courier New" w:hAnsi="Courier New"/>
          <w:sz w:val="12"/>
          <w:szCs w:val="12"/>
          <w:color w:val="auto"/>
        </w:rPr>
        <w:t>SAFE HARBOR</w:t>
      </w:r>
    </w:p>
    <w:p>
      <w:pPr>
        <w:spacing w:after="0" w:line="289" w:lineRule="exact"/>
        <w:rPr>
          <w:sz w:val="20"/>
          <w:szCs w:val="20"/>
          <w:color w:val="auto"/>
        </w:rPr>
      </w:pPr>
    </w:p>
    <w:p>
      <w:pPr>
        <w:ind w:left="4" w:right="4359"/>
        <w:spacing w:after="0" w:line="249" w:lineRule="auto"/>
        <w:rPr>
          <w:sz w:val="20"/>
          <w:szCs w:val="20"/>
          <w:color w:val="auto"/>
        </w:rPr>
      </w:pPr>
      <w:r>
        <w:rPr>
          <w:rFonts w:ascii="Courier New" w:cs="Courier New" w:eastAsia="Courier New" w:hAnsi="Courier New"/>
          <w:sz w:val="12"/>
          <w:szCs w:val="12"/>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w:t>
      </w:r>
    </w:p>
    <w:p>
      <w:pPr>
        <w:spacing w:after="0" w:line="12" w:lineRule="exact"/>
        <w:rPr>
          <w:sz w:val="20"/>
          <w:szCs w:val="20"/>
          <w:color w:val="auto"/>
        </w:rPr>
      </w:pPr>
    </w:p>
    <w:p>
      <w:pPr>
        <w:ind w:left="4" w:right="4359" w:hanging="4"/>
        <w:spacing w:after="0" w:line="251" w:lineRule="auto"/>
        <w:tabs>
          <w:tab w:leader="none" w:pos="446"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timely development, internal qualification and customer acceptance of new processes and products and (xv) business interruption due to terror attacks, earthquakes, other acts of God and the security situation in Israel.</w:t>
      </w:r>
    </w:p>
    <w:p>
      <w:pPr>
        <w:spacing w:after="0" w:line="140" w:lineRule="exact"/>
        <w:rPr>
          <w:sz w:val="20"/>
          <w:szCs w:val="20"/>
          <w:color w:val="auto"/>
        </w:rPr>
      </w:pPr>
    </w:p>
    <w:p>
      <w:pPr>
        <w:ind w:left="4" w:right="4499"/>
        <w:spacing w:after="0" w:line="250" w:lineRule="auto"/>
        <w:rPr>
          <w:sz w:val="20"/>
          <w:szCs w:val="20"/>
          <w:color w:val="auto"/>
        </w:rPr>
      </w:pPr>
      <w:r>
        <w:rPr>
          <w:rFonts w:ascii="Courier New" w:cs="Courier New" w:eastAsia="Courier New" w:hAnsi="Courier New"/>
          <w:sz w:val="12"/>
          <w:szCs w:val="12"/>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p>
      <w:pPr>
        <w:spacing w:after="0" w:line="141"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Contact:</w:t>
      </w:r>
    </w:p>
    <w:p>
      <w:pPr>
        <w:spacing w:after="0" w:line="147"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Tower Semiconductor</w:t>
      </w:r>
    </w:p>
    <w:p>
      <w:pPr>
        <w:spacing w:after="0" w:line="6"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Noit Levi, +972 4 604 7066</w:t>
      </w:r>
    </w:p>
    <w:p>
      <w:pPr>
        <w:spacing w:after="0" w:line="6" w:lineRule="exact"/>
        <w:rPr>
          <w:sz w:val="20"/>
          <w:szCs w:val="20"/>
          <w:color w:val="auto"/>
        </w:rPr>
      </w:pPr>
    </w:p>
    <w:p>
      <w:pPr>
        <w:ind w:left="364"/>
        <w:spacing w:after="0"/>
        <w:rPr>
          <w:sz w:val="20"/>
          <w:szCs w:val="20"/>
          <w:color w:val="auto"/>
        </w:rPr>
      </w:pPr>
      <w:r>
        <w:rPr>
          <w:rFonts w:ascii="Courier New" w:cs="Courier New" w:eastAsia="Courier New" w:hAnsi="Courier New"/>
          <w:sz w:val="12"/>
          <w:szCs w:val="12"/>
          <w:color w:val="auto"/>
        </w:rPr>
        <w:t>noitle@towersemi.com</w:t>
      </w:r>
    </w:p>
    <w:p>
      <w:pPr>
        <w:spacing w:after="0" w:line="147" w:lineRule="exact"/>
        <w:rPr>
          <w:sz w:val="20"/>
          <w:szCs w:val="20"/>
          <w:color w:val="auto"/>
        </w:rPr>
      </w:pPr>
    </w:p>
    <w:p>
      <w:pPr>
        <w:ind w:left="4"/>
        <w:spacing w:after="0"/>
        <w:rPr>
          <w:sz w:val="20"/>
          <w:szCs w:val="20"/>
          <w:color w:val="auto"/>
        </w:rPr>
      </w:pPr>
      <w:r>
        <w:rPr>
          <w:rFonts w:ascii="Courier New" w:cs="Courier New" w:eastAsia="Courier New" w:hAnsi="Courier New"/>
          <w:sz w:val="12"/>
          <w:szCs w:val="12"/>
          <w:color w:val="auto"/>
        </w:rPr>
        <w:t>or:</w:t>
      </w:r>
    </w:p>
    <w:p>
      <w:pPr>
        <w:spacing w:after="0" w:line="147" w:lineRule="exact"/>
        <w:rPr>
          <w:sz w:val="20"/>
          <w:szCs w:val="20"/>
          <w:color w:val="auto"/>
        </w:rPr>
      </w:pPr>
    </w:p>
    <w:p>
      <w:pPr>
        <w:ind w:left="304"/>
        <w:spacing w:after="0"/>
        <w:rPr>
          <w:sz w:val="20"/>
          <w:szCs w:val="20"/>
          <w:color w:val="auto"/>
        </w:rPr>
      </w:pPr>
      <w:r>
        <w:rPr>
          <w:rFonts w:ascii="Courier New" w:cs="Courier New" w:eastAsia="Courier New" w:hAnsi="Courier New"/>
          <w:sz w:val="12"/>
          <w:szCs w:val="12"/>
          <w:color w:val="auto"/>
        </w:rPr>
        <w:t>Shelton Group</w:t>
      </w:r>
    </w:p>
    <w:p>
      <w:pPr>
        <w:spacing w:after="0" w:line="6" w:lineRule="exact"/>
        <w:rPr>
          <w:sz w:val="20"/>
          <w:szCs w:val="20"/>
          <w:color w:val="auto"/>
        </w:rPr>
      </w:pPr>
    </w:p>
    <w:p>
      <w:pPr>
        <w:ind w:left="304"/>
        <w:spacing w:after="0"/>
        <w:rPr>
          <w:sz w:val="20"/>
          <w:szCs w:val="20"/>
          <w:color w:val="auto"/>
        </w:rPr>
      </w:pPr>
      <w:r>
        <w:rPr>
          <w:rFonts w:ascii="Courier New" w:cs="Courier New" w:eastAsia="Courier New" w:hAnsi="Courier New"/>
          <w:sz w:val="12"/>
          <w:szCs w:val="12"/>
          <w:color w:val="auto"/>
        </w:rPr>
        <w:t>Jim Mathias, (972) 239-5119 ext. 115</w:t>
      </w:r>
    </w:p>
    <w:p>
      <w:pPr>
        <w:spacing w:after="0" w:line="6" w:lineRule="exact"/>
        <w:rPr>
          <w:sz w:val="20"/>
          <w:szCs w:val="20"/>
          <w:color w:val="auto"/>
        </w:rPr>
      </w:pPr>
    </w:p>
    <w:p>
      <w:pPr>
        <w:ind w:left="304"/>
        <w:spacing w:after="0"/>
        <w:rPr>
          <w:sz w:val="20"/>
          <w:szCs w:val="20"/>
          <w:color w:val="auto"/>
        </w:rPr>
      </w:pPr>
      <w:r>
        <w:rPr>
          <w:rFonts w:ascii="Courier New" w:cs="Courier New" w:eastAsia="Courier New" w:hAnsi="Courier New"/>
          <w:sz w:val="12"/>
          <w:szCs w:val="12"/>
          <w:color w:val="auto"/>
        </w:rPr>
        <w:t>jmathias@sheltongroup.com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44"/>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ind w:left="1984"/>
        <w:spacing w:after="0"/>
        <w:rPr>
          <w:sz w:val="20"/>
          <w:szCs w:val="20"/>
          <w:color w:val="auto"/>
        </w:rPr>
      </w:pPr>
      <w:r>
        <w:rPr>
          <w:rFonts w:ascii="Courier New" w:cs="Courier New" w:eastAsia="Courier New" w:hAnsi="Courier New"/>
          <w:sz w:val="12"/>
          <w:szCs w:val="12"/>
          <w:color w:val="auto"/>
        </w:rPr>
        <w:t>CONSOLIDATED BALANCE SHEETS</w:t>
      </w:r>
    </w:p>
    <w:p>
      <w:pPr>
        <w:spacing w:after="0" w:line="6" w:lineRule="exact"/>
        <w:rPr>
          <w:sz w:val="20"/>
          <w:szCs w:val="20"/>
          <w:color w:val="auto"/>
        </w:rPr>
      </w:pPr>
    </w:p>
    <w:p>
      <w:pPr>
        <w:ind w:left="2144"/>
        <w:spacing w:after="0"/>
        <w:rPr>
          <w:sz w:val="20"/>
          <w:szCs w:val="20"/>
          <w:color w:val="auto"/>
        </w:rPr>
      </w:pPr>
      <w:r>
        <w:rPr>
          <w:rFonts w:ascii="Courier New" w:cs="Courier New" w:eastAsia="Courier New" w:hAnsi="Courier New"/>
          <w:sz w:val="12"/>
          <w:szCs w:val="12"/>
          <w:color w:val="auto"/>
        </w:rPr>
        <w:t>(DOLLARS IN THOUSANDS)</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MARCH 31,</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42"/>
        </w:trPr>
        <w:tc>
          <w:tcPr>
            <w:tcW w:w="43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43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2"/>
                <w:szCs w:val="12"/>
                <w:color w:val="auto"/>
                <w:w w:val="97"/>
              </w:rPr>
              <w:t>2007</w:t>
            </w:r>
          </w:p>
        </w:tc>
        <w:tc>
          <w:tcPr>
            <w:tcW w:w="100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2006</w:t>
            </w:r>
          </w:p>
        </w:tc>
      </w:tr>
      <w:tr>
        <w:trPr>
          <w:trHeight w:val="142"/>
        </w:trPr>
        <w:tc>
          <w:tcPr>
            <w:tcW w:w="43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(UNAUDITED)</w:t>
            </w:r>
          </w:p>
        </w:tc>
        <w:tc>
          <w:tcPr>
            <w:tcW w:w="10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spacing w:after="0"/>
              <w:rPr>
                <w:sz w:val="12"/>
                <w:szCs w:val="12"/>
                <w:color w:val="auto"/>
              </w:rPr>
            </w:pPr>
          </w:p>
        </w:tc>
      </w:tr>
      <w:tr>
        <w:trPr>
          <w:trHeight w:val="283"/>
        </w:trPr>
        <w:tc>
          <w:tcPr>
            <w:tcW w:w="430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CURRENT ASSETS</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CASH, CASH EQUIVALENTS AND DEPOSITS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$ 43,592</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$ 40,940</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TRADE ACCOUNTS RECEIVABLE</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36,127</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31,498</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OTHER RECEIVABLES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5,174</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5,425</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INVENTORIES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38,245</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34,763</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OTHER CURRENT ASSETS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1,676</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1,473</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4300" w:type="dxa"/>
            <w:vAlign w:val="bottom"/>
          </w:tcPr>
          <w:p>
            <w:pPr>
              <w:ind w:left="960"/>
              <w:spacing w:after="0"/>
              <w:rPr>
                <w:sz w:val="20"/>
                <w:szCs w:val="20"/>
                <w:color w:val="auto"/>
              </w:rPr>
            </w:pPr>
            <w:r>
              <w:rPr>
                <w:rFonts w:ascii="Courier New" w:cs="Courier New" w:eastAsia="Courier New" w:hAnsi="Courier New"/>
                <w:sz w:val="12"/>
                <w:szCs w:val="12"/>
                <w:color w:val="auto"/>
              </w:rPr>
              <w:t>TOTAL CURRENT ASSETS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124,814</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114,099</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PROPERTY AND EQUIPMENT, NET</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519,876</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539,292</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INTANGIBLE ASSETS, NET</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42,590</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44,981</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OTHER ASSETS, NET</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1,320</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1,346</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1180"/>
              <w:spacing w:after="0"/>
              <w:rPr>
                <w:sz w:val="20"/>
                <w:szCs w:val="20"/>
                <w:color w:val="auto"/>
              </w:rPr>
            </w:pPr>
            <w:r>
              <w:rPr>
                <w:rFonts w:ascii="Courier New" w:cs="Courier New" w:eastAsia="Courier New" w:hAnsi="Courier New"/>
                <w:sz w:val="12"/>
                <w:szCs w:val="12"/>
                <w:color w:val="auto"/>
              </w:rPr>
              <w:t>TOTAL ASSETS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$688,600</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$699,718</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CURRENT LIABILITIES</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6,597</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6,632</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TRADE ACCOUNTS PAYABLE</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57,922</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55,128</w:t>
            </w:r>
          </w:p>
        </w:tc>
      </w:tr>
      <w:tr>
        <w:trPr>
          <w:trHeight w:val="142"/>
        </w:trPr>
        <w:tc>
          <w:tcPr>
            <w:tcW w:w="4300" w:type="dxa"/>
            <w:vAlign w:val="bottom"/>
          </w:tcPr>
          <w:p>
            <w:pPr>
              <w:ind w:left="660"/>
              <w:spacing w:after="0"/>
              <w:rPr>
                <w:sz w:val="20"/>
                <w:szCs w:val="20"/>
                <w:color w:val="auto"/>
              </w:rPr>
            </w:pPr>
            <w:r>
              <w:rPr>
                <w:rFonts w:ascii="Courier New" w:cs="Courier New" w:eastAsia="Courier New" w:hAnsi="Courier New"/>
                <w:sz w:val="12"/>
                <w:szCs w:val="12"/>
                <w:color w:val="auto"/>
              </w:rPr>
              <w:t>OTHER CURRENT LIABILITIES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20,188</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22,096</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4300" w:type="dxa"/>
            <w:vAlign w:val="bottom"/>
          </w:tcPr>
          <w:p>
            <w:pPr>
              <w:ind w:left="1180"/>
              <w:spacing w:after="0"/>
              <w:rPr>
                <w:sz w:val="20"/>
                <w:szCs w:val="20"/>
                <w:color w:val="auto"/>
              </w:rPr>
            </w:pPr>
            <w:r>
              <w:rPr>
                <w:rFonts w:ascii="Courier New" w:cs="Courier New" w:eastAsia="Courier New" w:hAnsi="Courier New"/>
                <w:sz w:val="12"/>
                <w:szCs w:val="12"/>
                <w:color w:val="auto"/>
              </w:rPr>
              <w:t>TOTAL CURRENT LIABILITIES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84,707</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83,856</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LONG-TERM DEBT FROM BANKS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358,798</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356,947</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CONVERTIBLE DEBENTURES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57,853</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62,175</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LONG-TERM CUSTOMERS' ADVANCES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44,050</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46,042</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OTHER LONG-TERM LIABILITIES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21,353</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17,708</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42"/>
        </w:trPr>
        <w:tc>
          <w:tcPr>
            <w:tcW w:w="4300" w:type="dxa"/>
            <w:vAlign w:val="bottom"/>
          </w:tcPr>
          <w:p>
            <w:pPr>
              <w:ind w:left="1180"/>
              <w:spacing w:after="0"/>
              <w:rPr>
                <w:sz w:val="20"/>
                <w:szCs w:val="20"/>
                <w:color w:val="auto"/>
              </w:rPr>
            </w:pPr>
            <w:r>
              <w:rPr>
                <w:rFonts w:ascii="Courier New" w:cs="Courier New" w:eastAsia="Courier New" w:hAnsi="Courier New"/>
                <w:sz w:val="12"/>
                <w:szCs w:val="12"/>
                <w:color w:val="auto"/>
              </w:rPr>
              <w:t>TOTAL LIABILITIES</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566,761</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566,728</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360"/>
              <w:spacing w:after="0"/>
              <w:rPr>
                <w:sz w:val="20"/>
                <w:szCs w:val="20"/>
                <w:color w:val="auto"/>
              </w:rPr>
            </w:pPr>
            <w:r>
              <w:rPr>
                <w:rFonts w:ascii="Courier New" w:cs="Courier New" w:eastAsia="Courier New" w:hAnsi="Courier New"/>
                <w:sz w:val="12"/>
                <w:szCs w:val="12"/>
                <w:color w:val="auto"/>
              </w:rPr>
              <w:t>SHAREHOLDERS' EQUITY</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121,839</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132,990</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83"/>
        </w:trPr>
        <w:tc>
          <w:tcPr>
            <w:tcW w:w="4300" w:type="dxa"/>
            <w:vAlign w:val="bottom"/>
          </w:tcPr>
          <w:p>
            <w:pPr>
              <w:ind w:left="118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$688,600</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$699,718</w:t>
            </w:r>
          </w:p>
        </w:tc>
      </w:tr>
      <w:tr>
        <w:trPr>
          <w:trHeight w:val="142"/>
        </w:trPr>
        <w:tc>
          <w:tcPr>
            <w:tcW w:w="4300" w:type="dxa"/>
            <w:vAlign w:val="bottom"/>
          </w:tcPr>
          <w:p>
            <w:pPr>
              <w:spacing w:after="0"/>
              <w:rPr>
                <w:sz w:val="12"/>
                <w:szCs w:val="12"/>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44"/>
          </w:cols>
          <w:pgMar w:left="216" w:top="141" w:right="1440" w:bottom="15" w:gutter="0" w:footer="0" w:header="0"/>
        </w:sectPr>
      </w:pPr>
    </w:p>
    <w:bookmarkStart w:id="3" w:name="page4"/>
    <w:bookmarkEnd w:id="3"/>
    <w:p>
      <w:pPr>
        <w:spacing w:after="0" w:line="49" w:lineRule="exact"/>
        <w:rPr>
          <w:sz w:val="20"/>
          <w:szCs w:val="20"/>
          <w:color w:val="auto"/>
        </w:rPr>
      </w:pPr>
    </w:p>
    <w:p>
      <w:pPr>
        <w:jc w:val="center"/>
        <w:ind w:right="5576"/>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jc w:val="center"/>
        <w:ind w:right="5576"/>
        <w:spacing w:after="0"/>
        <w:rPr>
          <w:sz w:val="20"/>
          <w:szCs w:val="20"/>
          <w:color w:val="auto"/>
        </w:rPr>
      </w:pPr>
      <w:r>
        <w:rPr>
          <w:rFonts w:ascii="Courier New" w:cs="Courier New" w:eastAsia="Courier New" w:hAnsi="Courier New"/>
          <w:sz w:val="12"/>
          <w:szCs w:val="12"/>
          <w:color w:val="auto"/>
        </w:rPr>
        <w:t>CONSOLIDATED STATEMENTS OF OPERATIONS (UNAUDITED)</w:t>
      </w:r>
    </w:p>
    <w:p>
      <w:pPr>
        <w:spacing w:after="0" w:line="6"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5300" w:type="dxa"/>
            <w:vAlign w:val="bottom"/>
            <w:gridSpan w:val="3"/>
          </w:tcPr>
          <w:p>
            <w:pPr>
              <w:jc w:val="right"/>
              <w:ind w:right="99"/>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83"/>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THREE MONTHS ENDED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MARCH 31,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2960" w:type="dxa"/>
            <w:vAlign w:val="bottom"/>
            <w:gridSpan w:val="6"/>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42"/>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2007</w:t>
            </w:r>
          </w:p>
        </w:tc>
        <w:tc>
          <w:tcPr>
            <w:tcW w:w="260" w:type="dxa"/>
            <w:vAlign w:val="bottom"/>
          </w:tcPr>
          <w:p>
            <w:pPr>
              <w:spacing w:after="0"/>
              <w:rPr>
                <w:sz w:val="12"/>
                <w:szCs w:val="12"/>
                <w:color w:val="auto"/>
              </w:rPr>
            </w:pPr>
          </w:p>
        </w:tc>
        <w:tc>
          <w:tcPr>
            <w:tcW w:w="8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2006</w:t>
            </w:r>
          </w:p>
        </w:tc>
        <w:tc>
          <w:tcPr>
            <w:tcW w:w="140" w:type="dxa"/>
            <w:vAlign w:val="bottom"/>
          </w:tcPr>
          <w:p>
            <w:pPr>
              <w:spacing w:after="0"/>
              <w:rPr>
                <w:sz w:val="12"/>
                <w:szCs w:val="12"/>
                <w:color w:val="auto"/>
              </w:rPr>
            </w:pPr>
          </w:p>
        </w:tc>
        <w:tc>
          <w:tcPr>
            <w:tcW w:w="6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2005</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55,604</w:t>
            </w:r>
          </w:p>
        </w:tc>
        <w:tc>
          <w:tcPr>
            <w:tcW w:w="26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35,875</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23,167</w:t>
            </w:r>
          </w:p>
        </w:tc>
      </w:tr>
      <w:tr>
        <w:trPr>
          <w:trHeight w:val="283"/>
        </w:trPr>
        <w:tc>
          <w:tcPr>
            <w:tcW w:w="426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26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71,494</w:t>
            </w:r>
          </w:p>
        </w:tc>
        <w:tc>
          <w:tcPr>
            <w:tcW w:w="26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61,280</w:t>
            </w:r>
          </w:p>
        </w:tc>
        <w:tc>
          <w:tcPr>
            <w:tcW w:w="14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61,214</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ind w:left="1020"/>
              <w:spacing w:after="0"/>
              <w:rPr>
                <w:sz w:val="20"/>
                <w:szCs w:val="20"/>
                <w:color w:val="auto"/>
              </w:rPr>
            </w:pPr>
            <w:r>
              <w:rPr>
                <w:rFonts w:ascii="Courier New" w:cs="Courier New" w:eastAsia="Courier New" w:hAnsi="Courier New"/>
                <w:sz w:val="12"/>
                <w:szCs w:val="12"/>
                <w:color w:val="auto"/>
              </w:rPr>
              <w:t>GROSS PROFIT (LOSS)</w:t>
            </w:r>
          </w:p>
        </w:tc>
        <w:tc>
          <w:tcPr>
            <w:tcW w:w="26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(15,890)</w:t>
            </w:r>
          </w:p>
        </w:tc>
        <w:tc>
          <w:tcPr>
            <w:tcW w:w="26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(25,405)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(38,047)</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4260" w:type="dxa"/>
            <w:vAlign w:val="bottom"/>
          </w:tcPr>
          <w:p>
            <w:pPr>
              <w:ind w:left="580"/>
              <w:spacing w:after="0"/>
              <w:rPr>
                <w:sz w:val="20"/>
                <w:szCs w:val="20"/>
                <w:color w:val="auto"/>
              </w:rPr>
            </w:pPr>
            <w:r>
              <w:rPr>
                <w:rFonts w:ascii="Courier New" w:cs="Courier New" w:eastAsia="Courier New" w:hAnsi="Courier New"/>
                <w:sz w:val="12"/>
                <w:szCs w:val="12"/>
                <w:color w:val="auto"/>
              </w:rPr>
              <w:t>RESEARCH AND DEVELOPMENT</w:t>
            </w:r>
          </w:p>
        </w:tc>
        <w:tc>
          <w:tcPr>
            <w:tcW w:w="26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3,597</w:t>
            </w:r>
          </w:p>
        </w:tc>
        <w:tc>
          <w:tcPr>
            <w:tcW w:w="26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3,354</w:t>
            </w:r>
          </w:p>
        </w:tc>
        <w:tc>
          <w:tcPr>
            <w:tcW w:w="14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4,763</w:t>
            </w:r>
          </w:p>
        </w:tc>
      </w:tr>
      <w:tr>
        <w:trPr>
          <w:trHeight w:val="142"/>
        </w:trPr>
        <w:tc>
          <w:tcPr>
            <w:tcW w:w="4260" w:type="dxa"/>
            <w:vAlign w:val="bottom"/>
          </w:tcPr>
          <w:p>
            <w:pPr>
              <w:ind w:left="580"/>
              <w:spacing w:after="0"/>
              <w:rPr>
                <w:sz w:val="20"/>
                <w:szCs w:val="20"/>
                <w:color w:val="auto"/>
              </w:rPr>
            </w:pPr>
            <w:r>
              <w:rPr>
                <w:rFonts w:ascii="Courier New" w:cs="Courier New" w:eastAsia="Courier New" w:hAnsi="Courier New"/>
                <w:sz w:val="12"/>
                <w:szCs w:val="12"/>
                <w:color w:val="auto"/>
              </w:rPr>
              <w:t>MARKETING, GENERAL&amp;ADMINISTRATIVE</w:t>
            </w:r>
          </w:p>
        </w:tc>
        <w:tc>
          <w:tcPr>
            <w:tcW w:w="260" w:type="dxa"/>
            <w:vAlign w:val="bottom"/>
          </w:tcPr>
          <w:p>
            <w:pPr>
              <w:spacing w:after="0"/>
              <w:rPr>
                <w:sz w:val="12"/>
                <w:szCs w:val="12"/>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7,825</w:t>
            </w:r>
          </w:p>
        </w:tc>
        <w:tc>
          <w:tcPr>
            <w:tcW w:w="260" w:type="dxa"/>
            <w:vAlign w:val="bottom"/>
          </w:tcPr>
          <w:p>
            <w:pPr>
              <w:spacing w:after="0"/>
              <w:rPr>
                <w:sz w:val="12"/>
                <w:szCs w:val="12"/>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5,324</w:t>
            </w:r>
          </w:p>
        </w:tc>
        <w:tc>
          <w:tcPr>
            <w:tcW w:w="140" w:type="dxa"/>
            <w:vAlign w:val="bottom"/>
          </w:tcPr>
          <w:p>
            <w:pPr>
              <w:spacing w:after="0"/>
              <w:rPr>
                <w:sz w:val="12"/>
                <w:szCs w:val="12"/>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4,528</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11,422</w:t>
            </w:r>
          </w:p>
        </w:tc>
        <w:tc>
          <w:tcPr>
            <w:tcW w:w="26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8,678</w:t>
            </w:r>
          </w:p>
        </w:tc>
        <w:tc>
          <w:tcPr>
            <w:tcW w:w="14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9,291</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ind w:left="1020"/>
              <w:spacing w:after="0"/>
              <w:rPr>
                <w:sz w:val="20"/>
                <w:szCs w:val="20"/>
                <w:color w:val="auto"/>
              </w:rPr>
            </w:pPr>
            <w:r>
              <w:rPr>
                <w:rFonts w:ascii="Courier New" w:cs="Courier New" w:eastAsia="Courier New" w:hAnsi="Courier New"/>
                <w:sz w:val="12"/>
                <w:szCs w:val="12"/>
                <w:color w:val="auto"/>
              </w:rPr>
              <w:t>OPERATING PROFIT (LOSS)</w:t>
            </w:r>
          </w:p>
        </w:tc>
        <w:tc>
          <w:tcPr>
            <w:tcW w:w="26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(27,312)</w:t>
            </w:r>
          </w:p>
        </w:tc>
        <w:tc>
          <w:tcPr>
            <w:tcW w:w="26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(34,083)</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(47,338)</w:t>
            </w:r>
          </w:p>
        </w:tc>
      </w:tr>
      <w:tr>
        <w:trPr>
          <w:trHeight w:val="283"/>
        </w:trPr>
        <w:tc>
          <w:tcPr>
            <w:tcW w:w="4260" w:type="dxa"/>
            <w:vAlign w:val="bottom"/>
          </w:tcPr>
          <w:p>
            <w:pPr>
              <w:spacing w:after="0"/>
              <w:rPr>
                <w:sz w:val="20"/>
                <w:szCs w:val="20"/>
                <w:color w:val="auto"/>
              </w:rPr>
            </w:pPr>
            <w:r>
              <w:rPr>
                <w:rFonts w:ascii="Courier New" w:cs="Courier New" w:eastAsia="Courier New" w:hAnsi="Courier New"/>
                <w:sz w:val="12"/>
                <w:szCs w:val="12"/>
                <w:color w:val="auto"/>
              </w:rPr>
              <w:t>FINANCING INCOME (EXPENSE), NET</w:t>
            </w:r>
          </w:p>
        </w:tc>
        <w:tc>
          <w:tcPr>
            <w:tcW w:w="26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(10,148)</w:t>
            </w:r>
          </w:p>
        </w:tc>
        <w:tc>
          <w:tcPr>
            <w:tcW w:w="26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(11,524)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(8,175)</w:t>
            </w:r>
          </w:p>
        </w:tc>
      </w:tr>
      <w:tr>
        <w:trPr>
          <w:trHeight w:val="283"/>
        </w:trPr>
        <w:tc>
          <w:tcPr>
            <w:tcW w:w="426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26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w:t>
            </w:r>
          </w:p>
        </w:tc>
        <w:tc>
          <w:tcPr>
            <w:tcW w:w="260" w:type="dxa"/>
            <w:vAlign w:val="bottom"/>
          </w:tcPr>
          <w:p>
            <w:pPr>
              <w:spacing w:after="0"/>
              <w:rPr>
                <w:sz w:val="24"/>
                <w:szCs w:val="24"/>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551</w:t>
            </w:r>
          </w:p>
        </w:tc>
        <w:tc>
          <w:tcPr>
            <w:tcW w:w="14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193</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ind w:left="1620"/>
              <w:spacing w:after="0"/>
              <w:rPr>
                <w:sz w:val="20"/>
                <w:szCs w:val="20"/>
                <w:color w:val="auto"/>
              </w:rPr>
            </w:pPr>
            <w:r>
              <w:rPr>
                <w:rFonts w:ascii="Courier New" w:cs="Courier New" w:eastAsia="Courier New" w:hAnsi="Courier New"/>
                <w:sz w:val="12"/>
                <w:szCs w:val="12"/>
                <w:color w:val="auto"/>
              </w:rPr>
              <w:t>NET PROFIT (LOSS) FOR THE PERIOD</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 (37,391)</w:t>
            </w:r>
          </w:p>
        </w:tc>
        <w:tc>
          <w:tcPr>
            <w:tcW w:w="114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 (45,056)</w:t>
            </w:r>
          </w:p>
        </w:tc>
        <w:tc>
          <w:tcPr>
            <w:tcW w:w="7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(55,320)</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ind w:left="60"/>
              <w:spacing w:after="0"/>
              <w:rPr>
                <w:sz w:val="20"/>
                <w:szCs w:val="20"/>
                <w:color w:val="auto"/>
              </w:rPr>
            </w:pPr>
            <w:r>
              <w:rPr>
                <w:rFonts w:ascii="Courier New" w:cs="Courier New" w:eastAsia="Courier New" w:hAnsi="Courier New"/>
                <w:sz w:val="12"/>
                <w:szCs w:val="12"/>
                <w:color w:val="auto"/>
              </w:rPr>
              <w:t>EARNING (LOSS) PER ORDINARY SHARE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4260" w:type="dxa"/>
            <w:vAlign w:val="bottom"/>
          </w:tcPr>
          <w:p>
            <w:pPr>
              <w:ind w:left="660"/>
              <w:spacing w:after="0"/>
              <w:rPr>
                <w:sz w:val="20"/>
                <w:szCs w:val="20"/>
                <w:color w:val="auto"/>
              </w:rPr>
            </w:pPr>
            <w:r>
              <w:rPr>
                <w:rFonts w:ascii="Courier New" w:cs="Courier New" w:eastAsia="Courier New" w:hAnsi="Courier New"/>
                <w:sz w:val="12"/>
                <w:szCs w:val="12"/>
                <w:color w:val="auto"/>
              </w:rPr>
              <w:t>(*)  BASIC AND DILUTED EARNING (LOSS) PER SHARE</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(0.36)</w:t>
            </w:r>
          </w:p>
        </w:tc>
        <w:tc>
          <w:tcPr>
            <w:tcW w:w="26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(0.63)</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(0.84)</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83"/>
        </w:trPr>
        <w:tc>
          <w:tcPr>
            <w:tcW w:w="4260" w:type="dxa"/>
            <w:vAlign w:val="bottom"/>
          </w:tcPr>
          <w:p>
            <w:pPr>
              <w:ind w:left="580"/>
              <w:spacing w:after="0"/>
              <w:rPr>
                <w:sz w:val="20"/>
                <w:szCs w:val="20"/>
                <w:color w:val="auto"/>
              </w:rPr>
            </w:pPr>
            <w:r>
              <w:rPr>
                <w:rFonts w:ascii="Courier New" w:cs="Courier New" w:eastAsia="Courier New" w:hAnsi="Courier New"/>
                <w:sz w:val="12"/>
                <w:szCs w:val="12"/>
                <w:color w:val="auto"/>
              </w:rPr>
              <w:t>WEIGHTED AVERAGE NUMBER OF ORDINARY</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4260" w:type="dxa"/>
            <w:vAlign w:val="bottom"/>
          </w:tcPr>
          <w:p>
            <w:pPr>
              <w:ind w:left="1020"/>
              <w:spacing w:after="0"/>
              <w:rPr>
                <w:sz w:val="20"/>
                <w:szCs w:val="20"/>
                <w:color w:val="auto"/>
              </w:rPr>
            </w:pPr>
            <w:r>
              <w:rPr>
                <w:rFonts w:ascii="Courier New" w:cs="Courier New" w:eastAsia="Courier New" w:hAnsi="Courier New"/>
                <w:sz w:val="12"/>
                <w:szCs w:val="12"/>
                <w:color w:val="auto"/>
              </w:rPr>
              <w:t>SHARES OUTSTANDING - IN THOUSANDS</w:t>
            </w:r>
          </w:p>
        </w:tc>
        <w:tc>
          <w:tcPr>
            <w:tcW w:w="260" w:type="dxa"/>
            <w:vAlign w:val="bottom"/>
          </w:tcPr>
          <w:p>
            <w:pPr>
              <w:spacing w:after="0"/>
              <w:rPr>
                <w:sz w:val="12"/>
                <w:szCs w:val="12"/>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105,060</w:t>
            </w:r>
          </w:p>
        </w:tc>
        <w:tc>
          <w:tcPr>
            <w:tcW w:w="260" w:type="dxa"/>
            <w:vAlign w:val="bottom"/>
          </w:tcPr>
          <w:p>
            <w:pPr>
              <w:spacing w:after="0"/>
              <w:rPr>
                <w:sz w:val="12"/>
                <w:szCs w:val="12"/>
                <w:color w:val="auto"/>
              </w:rPr>
            </w:pP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71,872</w:t>
            </w:r>
          </w:p>
        </w:tc>
        <w:tc>
          <w:tcPr>
            <w:tcW w:w="140" w:type="dxa"/>
            <w:vAlign w:val="bottom"/>
          </w:tcPr>
          <w:p>
            <w:pPr>
              <w:spacing w:after="0"/>
              <w:rPr>
                <w:sz w:val="12"/>
                <w:szCs w:val="12"/>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65,700</w:t>
            </w:r>
          </w:p>
        </w:tc>
      </w:tr>
      <w:tr>
        <w:trPr>
          <w:trHeight w:val="142"/>
        </w:trPr>
        <w:tc>
          <w:tcPr>
            <w:tcW w:w="4260" w:type="dxa"/>
            <w:vAlign w:val="bottom"/>
          </w:tcPr>
          <w:p>
            <w:pPr>
              <w:spacing w:after="0"/>
              <w:rPr>
                <w:sz w:val="12"/>
                <w:szCs w:val="12"/>
                <w:color w:val="auto"/>
              </w:rPr>
            </w:pPr>
          </w:p>
        </w:tc>
        <w:tc>
          <w:tcPr>
            <w:tcW w:w="10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145" w:lineRule="exact"/>
        <w:rPr>
          <w:sz w:val="20"/>
          <w:szCs w:val="20"/>
          <w:color w:val="auto"/>
        </w:rPr>
      </w:pPr>
    </w:p>
    <w:p>
      <w:pPr>
        <w:ind w:left="364" w:right="5660" w:hanging="364"/>
        <w:spacing w:after="0" w:line="251" w:lineRule="auto"/>
        <w:tabs>
          <w:tab w:leader="none" w:pos="364"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BASIC AND DILUTED LOSS PER SHARE IN ACCORDANCE WITH U.S. GAAP FOR THE THREE MONTHS PERIODS ENDED MARCH 31, 2007, MARCH 31, 2006 AND MARCH 31, 2005 ARE $0.38, $0.56 AND $0.84,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64"/>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6" w:lineRule="exact"/>
        <w:rPr>
          <w:sz w:val="20"/>
          <w:szCs w:val="20"/>
          <w:color w:val="auto"/>
        </w:rPr>
      </w:pPr>
    </w:p>
    <w:p>
      <w:pPr>
        <w:ind w:left="884"/>
        <w:spacing w:after="0"/>
        <w:rPr>
          <w:sz w:val="20"/>
          <w:szCs w:val="20"/>
          <w:color w:val="auto"/>
        </w:rPr>
      </w:pPr>
      <w:r>
        <w:rPr>
          <w:rFonts w:ascii="Courier New" w:cs="Courier New" w:eastAsia="Courier New" w:hAnsi="Courier New"/>
          <w:sz w:val="12"/>
          <w:szCs w:val="12"/>
          <w:color w:val="auto"/>
        </w:rPr>
        <w:t>RECONCILIATION OF REPORTED GAAP TO NON-GAAP CONSOLIDATED</w:t>
      </w:r>
    </w:p>
    <w:p>
      <w:pPr>
        <w:spacing w:after="0" w:line="6" w:lineRule="exact"/>
        <w:rPr>
          <w:sz w:val="20"/>
          <w:szCs w:val="20"/>
          <w:color w:val="auto"/>
        </w:rPr>
      </w:pPr>
    </w:p>
    <w:p>
      <w:pPr>
        <w:ind w:left="1624"/>
        <w:spacing w:after="0"/>
        <w:rPr>
          <w:sz w:val="20"/>
          <w:szCs w:val="20"/>
          <w:color w:val="auto"/>
        </w:rPr>
      </w:pPr>
      <w:r>
        <w:rPr>
          <w:rFonts w:ascii="Courier New" w:cs="Courier New" w:eastAsia="Courier New" w:hAnsi="Courier New"/>
          <w:sz w:val="12"/>
          <w:szCs w:val="12"/>
          <w:color w:val="auto"/>
        </w:rPr>
        <w:t>STATEMENTS OF OPERATIONS (UNAUDITED)</w:t>
      </w:r>
    </w:p>
    <w:p>
      <w:pPr>
        <w:spacing w:after="0" w:line="6" w:lineRule="exact"/>
        <w:rPr>
          <w:sz w:val="20"/>
          <w:szCs w:val="20"/>
          <w:color w:val="auto"/>
        </w:rPr>
      </w:pPr>
    </w:p>
    <w:p>
      <w:pPr>
        <w:ind w:left="744"/>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2280" w:type="dxa"/>
            <w:vAlign w:val="bottom"/>
            <w:gridSpan w:val="3"/>
          </w:tcPr>
          <w:p>
            <w:pPr>
              <w:jc w:val="right"/>
              <w:ind w:right="379"/>
              <w:spacing w:after="0"/>
              <w:rPr>
                <w:sz w:val="20"/>
                <w:szCs w:val="20"/>
                <w:color w:val="auto"/>
              </w:rPr>
            </w:pPr>
            <w:r>
              <w:rPr>
                <w:rFonts w:ascii="Courier New" w:cs="Courier New" w:eastAsia="Courier New" w:hAnsi="Courier New"/>
                <w:sz w:val="12"/>
                <w:szCs w:val="12"/>
                <w:color w:val="auto"/>
              </w:rPr>
              <w:t>THREE MONTHS ENDED</w:t>
            </w:r>
          </w:p>
        </w:tc>
        <w:tc>
          <w:tcPr>
            <w:tcW w:w="300" w:type="dxa"/>
            <w:vAlign w:val="bottom"/>
          </w:tcPr>
          <w:p>
            <w:pPr>
              <w:spacing w:after="0"/>
              <w:rPr>
                <w:sz w:val="12"/>
                <w:szCs w:val="12"/>
                <w:color w:val="auto"/>
              </w:rPr>
            </w:pPr>
          </w:p>
        </w:tc>
        <w:tc>
          <w:tcPr>
            <w:tcW w:w="2500" w:type="dxa"/>
            <w:vAlign w:val="bottom"/>
            <w:gridSpan w:val="5"/>
          </w:tcPr>
          <w:p>
            <w:pPr>
              <w:jc w:val="right"/>
              <w:ind w:right="599"/>
              <w:spacing w:after="0"/>
              <w:rPr>
                <w:sz w:val="20"/>
                <w:szCs w:val="20"/>
                <w:color w:val="auto"/>
              </w:rPr>
            </w:pPr>
            <w:r>
              <w:rPr>
                <w:rFonts w:ascii="Courier New" w:cs="Courier New" w:eastAsia="Courier New" w:hAnsi="Courier New"/>
                <w:sz w:val="12"/>
                <w:szCs w:val="12"/>
                <w:color w:val="auto"/>
              </w:rPr>
              <w:t>THREE MONTHS ENDED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THREE</w:t>
            </w:r>
          </w:p>
        </w:tc>
        <w:tc>
          <w:tcPr>
            <w:tcW w:w="920" w:type="dxa"/>
            <w:vAlign w:val="bottom"/>
          </w:tcPr>
          <w:p>
            <w:pPr>
              <w:ind w:left="20"/>
              <w:spacing w:after="0"/>
              <w:rPr>
                <w:sz w:val="20"/>
                <w:szCs w:val="20"/>
                <w:color w:val="auto"/>
              </w:rPr>
            </w:pPr>
            <w:r>
              <w:rPr>
                <w:rFonts w:ascii="Courier New" w:cs="Courier New" w:eastAsia="Courier New" w:hAnsi="Courier New"/>
                <w:sz w:val="12"/>
                <w:szCs w:val="12"/>
                <w:color w:val="auto"/>
              </w:rPr>
              <w:t>MONTHS ENDED</w:t>
            </w:r>
          </w:p>
        </w:tc>
        <w:tc>
          <w:tcPr>
            <w:tcW w:w="6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MARCH 31,</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8"/>
              </w:rPr>
              <w:t>MARCH 31,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ind w:left="20"/>
              <w:spacing w:after="0"/>
              <w:rPr>
                <w:sz w:val="20"/>
                <w:szCs w:val="20"/>
                <w:color w:val="auto"/>
              </w:rPr>
            </w:pPr>
            <w:r>
              <w:rPr>
                <w:rFonts w:ascii="Courier New" w:cs="Courier New" w:eastAsia="Courier New" w:hAnsi="Courier New"/>
                <w:sz w:val="12"/>
                <w:szCs w:val="12"/>
                <w:color w:val="auto"/>
              </w:rPr>
              <w:t>MARCH 31,</w:t>
            </w:r>
          </w:p>
        </w:tc>
        <w:tc>
          <w:tcPr>
            <w:tcW w:w="6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800" w:type="dxa"/>
            <w:vAlign w:val="bottom"/>
            <w:gridSpan w:val="6"/>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2007</w:t>
            </w:r>
          </w:p>
        </w:tc>
        <w:tc>
          <w:tcPr>
            <w:tcW w:w="88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2006</w:t>
            </w:r>
          </w:p>
        </w:tc>
        <w:tc>
          <w:tcPr>
            <w:tcW w:w="7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2005</w:t>
            </w:r>
          </w:p>
        </w:tc>
        <w:tc>
          <w:tcPr>
            <w:tcW w:w="300" w:type="dxa"/>
            <w:vAlign w:val="bottom"/>
          </w:tcPr>
          <w:p>
            <w:pPr>
              <w:spacing w:after="0"/>
              <w:rPr>
                <w:sz w:val="12"/>
                <w:szCs w:val="12"/>
                <w:color w:val="auto"/>
              </w:rPr>
            </w:pPr>
          </w:p>
        </w:tc>
        <w:tc>
          <w:tcPr>
            <w:tcW w:w="74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2007</w:t>
            </w:r>
          </w:p>
        </w:tc>
        <w:tc>
          <w:tcPr>
            <w:tcW w:w="60" w:type="dxa"/>
            <w:vAlign w:val="bottom"/>
          </w:tcPr>
          <w:p>
            <w:pPr>
              <w:spacing w:after="0"/>
              <w:rPr>
                <w:sz w:val="12"/>
                <w:szCs w:val="12"/>
                <w:color w:val="auto"/>
              </w:rPr>
            </w:pPr>
          </w:p>
        </w:tc>
        <w:tc>
          <w:tcPr>
            <w:tcW w:w="7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2006</w:t>
            </w:r>
          </w:p>
        </w:tc>
        <w:tc>
          <w:tcPr>
            <w:tcW w:w="80" w:type="dxa"/>
            <w:vAlign w:val="bottom"/>
          </w:tcPr>
          <w:p>
            <w:pPr>
              <w:spacing w:after="0"/>
              <w:rPr>
                <w:sz w:val="12"/>
                <w:szCs w:val="12"/>
                <w:color w:val="auto"/>
              </w:rPr>
            </w:pPr>
          </w:p>
        </w:tc>
        <w:tc>
          <w:tcPr>
            <w:tcW w:w="88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2005</w:t>
            </w:r>
          </w:p>
        </w:tc>
        <w:tc>
          <w:tcPr>
            <w:tcW w:w="100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2007</w:t>
            </w:r>
          </w:p>
        </w:tc>
        <w:tc>
          <w:tcPr>
            <w:tcW w:w="92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2006</w:t>
            </w:r>
          </w:p>
        </w:tc>
        <w:tc>
          <w:tcPr>
            <w:tcW w:w="6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2005</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gridSpan w:val="6"/>
          </w:tcPr>
          <w:p>
            <w:pPr>
              <w:jc w:val="right"/>
              <w:ind w:right="379"/>
              <w:spacing w:after="0"/>
              <w:rPr>
                <w:sz w:val="20"/>
                <w:szCs w:val="20"/>
                <w:color w:val="auto"/>
              </w:rPr>
            </w:pPr>
            <w:r>
              <w:rPr>
                <w:rFonts w:ascii="Courier New" w:cs="Courier New" w:eastAsia="Courier New" w:hAnsi="Courier New"/>
                <w:sz w:val="12"/>
                <w:szCs w:val="12"/>
                <w:color w:val="auto"/>
              </w:rPr>
              <w:t>DEPRECIATION, AMORTIZATION AND</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0" w:type="dxa"/>
            <w:vAlign w:val="bottom"/>
            <w:gridSpan w:val="6"/>
          </w:tcPr>
          <w:p>
            <w:pPr>
              <w:jc w:val="right"/>
              <w:ind w:right="319"/>
              <w:spacing w:after="0"/>
              <w:rPr>
                <w:sz w:val="20"/>
                <w:szCs w:val="20"/>
                <w:color w:val="auto"/>
              </w:rPr>
            </w:pPr>
            <w:r>
              <w:rPr>
                <w:rFonts w:ascii="Courier New" w:cs="Courier New" w:eastAsia="Courier New" w:hAnsi="Courier New"/>
                <w:sz w:val="12"/>
                <w:szCs w:val="12"/>
                <w:color w:val="auto"/>
              </w:rPr>
              <w:t>STOCK BASED COMPENSATION EXPENSES</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NON-GAAP</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jc w:val="right"/>
              <w:ind w:right="759"/>
              <w:spacing w:after="0"/>
              <w:rPr>
                <w:sz w:val="20"/>
                <w:szCs w:val="20"/>
                <w:color w:val="auto"/>
              </w:rPr>
            </w:pPr>
            <w:r>
              <w:rPr>
                <w:rFonts w:ascii="Courier New" w:cs="Courier New" w:eastAsia="Courier New" w:hAnsi="Courier New"/>
                <w:sz w:val="12"/>
                <w:szCs w:val="12"/>
                <w:color w:val="auto"/>
              </w:rPr>
              <w:t>(SEE A, B, C BELOW)</w:t>
            </w:r>
          </w:p>
        </w:tc>
        <w:tc>
          <w:tcPr>
            <w:tcW w:w="1000" w:type="dxa"/>
            <w:vAlign w:val="bottom"/>
          </w:tcPr>
          <w:p>
            <w:pPr>
              <w:spacing w:after="0"/>
              <w:rPr>
                <w:sz w:val="12"/>
                <w:szCs w:val="12"/>
                <w:color w:val="auto"/>
              </w:rPr>
            </w:pPr>
          </w:p>
        </w:tc>
        <w:tc>
          <w:tcPr>
            <w:tcW w:w="92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GAAP</w:t>
            </w:r>
          </w:p>
        </w:tc>
        <w:tc>
          <w:tcPr>
            <w:tcW w:w="6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8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800" w:type="dxa"/>
            <w:vAlign w:val="bottom"/>
            <w:gridSpan w:val="6"/>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283"/>
        </w:trPr>
        <w:tc>
          <w:tcPr>
            <w:tcW w:w="390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$ 55,604</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$ 35,875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$ 23,167</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88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$ 55,604</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$ 35,875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$ 23,167</w:t>
            </w:r>
          </w:p>
        </w:tc>
      </w:tr>
      <w:tr>
        <w:trPr>
          <w:trHeight w:val="283"/>
        </w:trPr>
        <w:tc>
          <w:tcPr>
            <w:tcW w:w="390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34,718</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23,298</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27,000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36,776(A)</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37,982(A)</w:t>
            </w:r>
          </w:p>
        </w:tc>
        <w:tc>
          <w:tcPr>
            <w:tcW w:w="8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34,214(A)</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71,494</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61,280</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61,214</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ind w:left="660"/>
              <w:spacing w:after="0"/>
              <w:rPr>
                <w:sz w:val="20"/>
                <w:szCs w:val="20"/>
                <w:color w:val="auto"/>
              </w:rPr>
            </w:pPr>
            <w:r>
              <w:rPr>
                <w:rFonts w:ascii="Courier New" w:cs="Courier New" w:eastAsia="Courier New" w:hAnsi="Courier New"/>
                <w:sz w:val="12"/>
                <w:szCs w:val="12"/>
                <w:color w:val="auto"/>
              </w:rPr>
              <w:t>GROSS PROFIT (LOSS)</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20,886</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12,577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(3,833)</w:t>
            </w:r>
          </w:p>
        </w:tc>
        <w:tc>
          <w:tcPr>
            <w:tcW w:w="300" w:type="dxa"/>
            <w:vAlign w:val="bottom"/>
          </w:tcPr>
          <w:p>
            <w:pPr>
              <w:spacing w:after="0"/>
              <w:rPr>
                <w:sz w:val="24"/>
                <w:szCs w:val="24"/>
                <w:color w:val="auto"/>
              </w:rPr>
            </w:pPr>
          </w:p>
        </w:tc>
        <w:tc>
          <w:tcPr>
            <w:tcW w:w="74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7"/>
              </w:rPr>
              <w:t>(36,776)</w:t>
            </w:r>
          </w:p>
        </w:tc>
        <w:tc>
          <w:tcPr>
            <w:tcW w:w="6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(37,982)</w:t>
            </w:r>
          </w:p>
        </w:tc>
        <w:tc>
          <w:tcPr>
            <w:tcW w:w="80" w:type="dxa"/>
            <w:vAlign w:val="bottom"/>
          </w:tcPr>
          <w:p>
            <w:pPr>
              <w:spacing w:after="0"/>
              <w:rPr>
                <w:sz w:val="24"/>
                <w:szCs w:val="24"/>
                <w:color w:val="auto"/>
              </w:rPr>
            </w:pPr>
          </w:p>
        </w:tc>
        <w:tc>
          <w:tcPr>
            <w:tcW w:w="88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7"/>
              </w:rPr>
              <w:t>(34,214)</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(15,890)</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(25,405)</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(38,047)</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3900" w:type="dxa"/>
            <w:vAlign w:val="bottom"/>
          </w:tcPr>
          <w:p>
            <w:pPr>
              <w:ind w:left="440"/>
              <w:spacing w:after="0"/>
              <w:rPr>
                <w:sz w:val="20"/>
                <w:szCs w:val="20"/>
                <w:color w:val="auto"/>
              </w:rPr>
            </w:pPr>
            <w:r>
              <w:rPr>
                <w:rFonts w:ascii="Courier New" w:cs="Courier New" w:eastAsia="Courier New" w:hAnsi="Courier New"/>
                <w:sz w:val="12"/>
                <w:szCs w:val="12"/>
                <w:color w:val="auto"/>
              </w:rPr>
              <w:t>RESEARCH AND DEVELOPMENT</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2,752</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2,227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3,810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845(B)</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1,127(B)</w:t>
            </w:r>
          </w:p>
        </w:tc>
        <w:tc>
          <w:tcPr>
            <w:tcW w:w="8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953(B)</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3,597</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3,354</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4,763</w:t>
            </w:r>
          </w:p>
        </w:tc>
      </w:tr>
      <w:tr>
        <w:trPr>
          <w:trHeight w:val="142"/>
        </w:trPr>
        <w:tc>
          <w:tcPr>
            <w:tcW w:w="3900" w:type="dxa"/>
            <w:vAlign w:val="bottom"/>
          </w:tcPr>
          <w:p>
            <w:pPr>
              <w:ind w:left="440"/>
              <w:spacing w:after="0"/>
              <w:rPr>
                <w:sz w:val="20"/>
                <w:szCs w:val="20"/>
                <w:color w:val="auto"/>
              </w:rPr>
            </w:pPr>
            <w:r>
              <w:rPr>
                <w:rFonts w:ascii="Courier New" w:cs="Courier New" w:eastAsia="Courier New" w:hAnsi="Courier New"/>
                <w:sz w:val="12"/>
                <w:szCs w:val="12"/>
                <w:color w:val="auto"/>
              </w:rPr>
              <w:t>MARKETING, GENERAL&amp;ADMINISTRATIVE</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6,304</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5,154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4,513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1,521(C)</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170(C)</w:t>
            </w:r>
          </w:p>
        </w:tc>
        <w:tc>
          <w:tcPr>
            <w:tcW w:w="80" w:type="dxa"/>
            <w:vAlign w:val="bottom"/>
          </w:tcPr>
          <w:p>
            <w:pPr>
              <w:spacing w:after="0"/>
              <w:rPr>
                <w:sz w:val="12"/>
                <w:szCs w:val="12"/>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15(C)</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7,825</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5,324</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4,528</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spacing w:after="0"/>
              <w:rPr>
                <w:sz w:val="24"/>
                <w:szCs w:val="24"/>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9,056</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7,381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8,323</w:t>
            </w:r>
          </w:p>
        </w:tc>
        <w:tc>
          <w:tcPr>
            <w:tcW w:w="300" w:type="dxa"/>
            <w:vAlign w:val="bottom"/>
          </w:tcPr>
          <w:p>
            <w:pPr>
              <w:spacing w:after="0"/>
              <w:rPr>
                <w:sz w:val="24"/>
                <w:szCs w:val="24"/>
                <w:color w:val="auto"/>
              </w:rPr>
            </w:pPr>
          </w:p>
        </w:tc>
        <w:tc>
          <w:tcPr>
            <w:tcW w:w="74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2,366</w:t>
            </w:r>
          </w:p>
        </w:tc>
        <w:tc>
          <w:tcPr>
            <w:tcW w:w="6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1,297</w:t>
            </w:r>
          </w:p>
        </w:tc>
        <w:tc>
          <w:tcPr>
            <w:tcW w:w="80" w:type="dxa"/>
            <w:vAlign w:val="bottom"/>
          </w:tcPr>
          <w:p>
            <w:pPr>
              <w:spacing w:after="0"/>
              <w:rPr>
                <w:sz w:val="24"/>
                <w:szCs w:val="24"/>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968</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11,422</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8,678</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9,291</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ind w:left="660"/>
              <w:spacing w:after="0"/>
              <w:rPr>
                <w:sz w:val="20"/>
                <w:szCs w:val="20"/>
                <w:color w:val="auto"/>
              </w:rPr>
            </w:pPr>
            <w:r>
              <w:rPr>
                <w:rFonts w:ascii="Courier New" w:cs="Courier New" w:eastAsia="Courier New" w:hAnsi="Courier New"/>
                <w:sz w:val="12"/>
                <w:szCs w:val="12"/>
                <w:color w:val="auto"/>
              </w:rPr>
              <w:t>OPERATING PROFIT (LOSS)</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$ 11,830</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5,196</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$(12,156)</w:t>
            </w:r>
          </w:p>
        </w:tc>
        <w:tc>
          <w:tcPr>
            <w:tcW w:w="10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$(39,142)</w:t>
            </w:r>
          </w:p>
        </w:tc>
        <w:tc>
          <w:tcPr>
            <w:tcW w:w="8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8"/>
              </w:rPr>
              <w:t>$(39,279)</w:t>
            </w:r>
          </w:p>
        </w:tc>
        <w:tc>
          <w:tcPr>
            <w:tcW w:w="960" w:type="dxa"/>
            <w:vAlign w:val="bottom"/>
            <w:gridSpan w:val="2"/>
          </w:tcPr>
          <w:p>
            <w:pPr>
              <w:jc w:val="right"/>
              <w:ind w:right="239"/>
              <w:spacing w:after="0"/>
              <w:rPr>
                <w:sz w:val="20"/>
                <w:szCs w:val="20"/>
                <w:color w:val="auto"/>
              </w:rPr>
            </w:pPr>
            <w:r>
              <w:rPr>
                <w:rFonts w:ascii="Courier New" w:cs="Courier New" w:eastAsia="Courier New" w:hAnsi="Courier New"/>
                <w:sz w:val="12"/>
                <w:szCs w:val="12"/>
                <w:color w:val="auto"/>
                <w:w w:val="98"/>
              </w:rPr>
              <w:t>$(35,182)</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(27,312)</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(34,083)</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(47,338)</w:t>
            </w:r>
          </w:p>
        </w:tc>
      </w:tr>
      <w:tr>
        <w:trPr>
          <w:trHeight w:val="142"/>
        </w:trPr>
        <w:tc>
          <w:tcPr>
            <w:tcW w:w="3900" w:type="dxa"/>
            <w:vAlign w:val="bottom"/>
          </w:tcPr>
          <w:p>
            <w:pPr>
              <w:spacing w:after="0"/>
              <w:rPr>
                <w:sz w:val="12"/>
                <w:szCs w:val="12"/>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w w:val="97"/>
              </w:rPr>
              <w:t>========</w:t>
            </w:r>
          </w:p>
        </w:tc>
        <w:tc>
          <w:tcPr>
            <w:tcW w:w="96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7"/>
              </w:rPr>
              <w:t>========</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83"/>
        </w:trPr>
        <w:tc>
          <w:tcPr>
            <w:tcW w:w="3900" w:type="dxa"/>
            <w:vAlign w:val="bottom"/>
          </w:tcPr>
          <w:p>
            <w:pPr>
              <w:spacing w:after="0"/>
              <w:rPr>
                <w:sz w:val="20"/>
                <w:szCs w:val="20"/>
                <w:color w:val="auto"/>
              </w:rPr>
            </w:pPr>
            <w:r>
              <w:rPr>
                <w:rFonts w:ascii="Courier New" w:cs="Courier New" w:eastAsia="Courier New" w:hAnsi="Courier New"/>
                <w:sz w:val="12"/>
                <w:szCs w:val="12"/>
                <w:color w:val="auto"/>
              </w:rPr>
              <w:t>FINANCING INCOME (EXPENSE), NET</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(10,148)</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(11,524)</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(8,175)</w:t>
            </w:r>
          </w:p>
        </w:tc>
      </w:tr>
      <w:tr>
        <w:trPr>
          <w:trHeight w:val="283"/>
        </w:trPr>
        <w:tc>
          <w:tcPr>
            <w:tcW w:w="390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69</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551</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193</w:t>
            </w: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ind w:left="880"/>
              <w:spacing w:after="0"/>
              <w:rPr>
                <w:sz w:val="20"/>
                <w:szCs w:val="20"/>
                <w:color w:val="auto"/>
              </w:rPr>
            </w:pPr>
            <w:r>
              <w:rPr>
                <w:rFonts w:ascii="Courier New" w:cs="Courier New" w:eastAsia="Courier New" w:hAnsi="Courier New"/>
                <w:sz w:val="12"/>
                <w:szCs w:val="12"/>
                <w:color w:val="auto"/>
              </w:rPr>
              <w:t>NET PROFIT (LOSS) FOR THE PERIOD</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$(37,391)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$(45,056)</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$(55,320)</w:t>
            </w: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ind w:left="60"/>
              <w:spacing w:after="0"/>
              <w:rPr>
                <w:sz w:val="20"/>
                <w:szCs w:val="20"/>
                <w:color w:val="auto"/>
              </w:rPr>
            </w:pPr>
            <w:r>
              <w:rPr>
                <w:rFonts w:ascii="Courier New" w:cs="Courier New" w:eastAsia="Courier New" w:hAnsi="Courier New"/>
                <w:sz w:val="12"/>
                <w:szCs w:val="12"/>
                <w:color w:val="auto"/>
              </w:rPr>
              <w:t>EARNING (LOSS) PER ORDINARY SHARE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3900" w:type="dxa"/>
            <w:vAlign w:val="bottom"/>
          </w:tcPr>
          <w:p>
            <w:pPr>
              <w:ind w:left="440"/>
              <w:spacing w:after="0"/>
              <w:rPr>
                <w:sz w:val="20"/>
                <w:szCs w:val="20"/>
                <w:color w:val="auto"/>
              </w:rPr>
            </w:pPr>
            <w:r>
              <w:rPr>
                <w:rFonts w:ascii="Courier New" w:cs="Courier New" w:eastAsia="Courier New" w:hAnsi="Courier New"/>
                <w:sz w:val="12"/>
                <w:szCs w:val="12"/>
                <w:color w:val="auto"/>
              </w:rPr>
              <w:t>(*)  BASIC AND DILUTED EARNING (LOSS) PER SHARE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  (0.36)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(0.63)</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  (0.84)</w:t>
            </w: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283"/>
        </w:trPr>
        <w:tc>
          <w:tcPr>
            <w:tcW w:w="3900" w:type="dxa"/>
            <w:vAlign w:val="bottom"/>
          </w:tcPr>
          <w:p>
            <w:pPr>
              <w:ind w:left="440"/>
              <w:spacing w:after="0"/>
              <w:rPr>
                <w:sz w:val="20"/>
                <w:szCs w:val="20"/>
                <w:color w:val="auto"/>
              </w:rPr>
            </w:pPr>
            <w:r>
              <w:rPr>
                <w:rFonts w:ascii="Courier New" w:cs="Courier New" w:eastAsia="Courier New" w:hAnsi="Courier New"/>
                <w:sz w:val="12"/>
                <w:szCs w:val="12"/>
                <w:color w:val="auto"/>
              </w:rPr>
              <w:t>WEIGHTED AVERAGE NUMBER OF ORDINARY</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2"/>
        </w:trPr>
        <w:tc>
          <w:tcPr>
            <w:tcW w:w="3900" w:type="dxa"/>
            <w:vAlign w:val="bottom"/>
          </w:tcPr>
          <w:p>
            <w:pPr>
              <w:ind w:left="660"/>
              <w:spacing w:after="0"/>
              <w:rPr>
                <w:sz w:val="20"/>
                <w:szCs w:val="20"/>
                <w:color w:val="auto"/>
              </w:rPr>
            </w:pPr>
            <w:r>
              <w:rPr>
                <w:rFonts w:ascii="Courier New" w:cs="Courier New" w:eastAsia="Courier New" w:hAnsi="Courier New"/>
                <w:sz w:val="12"/>
                <w:szCs w:val="12"/>
                <w:color w:val="auto"/>
              </w:rPr>
              <w:t>SHARES OUTSTANDING - IN THOUSANDS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105,060</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71,872</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65,700</w:t>
            </w:r>
          </w:p>
        </w:tc>
      </w:tr>
      <w:tr>
        <w:trPr>
          <w:trHeight w:val="142"/>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r>
    </w:tbl>
    <w:p>
      <w:pPr>
        <w:spacing w:after="0" w:line="145" w:lineRule="exact"/>
        <w:rPr>
          <w:sz w:val="20"/>
          <w:szCs w:val="20"/>
          <w:color w:val="auto"/>
        </w:rPr>
      </w:pPr>
    </w:p>
    <w:p>
      <w:pPr>
        <w:ind w:left="364" w:right="5660" w:hanging="364"/>
        <w:spacing w:after="0" w:line="251" w:lineRule="auto"/>
        <w:tabs>
          <w:tab w:leader="none" w:pos="364"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BASIC AND DILUTED LOSS PER SHARE IN ACCORDANCE WITH U.S. GAAP FOR THE THREE MONTHS PERIODS ENDED MARCH 31, 2007, MARCH 31, 2006 AND MARCH 31, 2005 ARE $0.38, $0.56 AND $0.84, RESPECTIVELY.</w:t>
      </w:r>
    </w:p>
    <w:p>
      <w:pPr>
        <w:spacing w:after="0" w:line="140" w:lineRule="exact"/>
        <w:rPr>
          <w:sz w:val="20"/>
          <w:szCs w:val="20"/>
          <w:color w:val="auto"/>
        </w:rPr>
      </w:pPr>
    </w:p>
    <w:p>
      <w:pPr>
        <w:ind w:left="364" w:right="5660" w:hanging="364"/>
        <w:spacing w:after="0" w:line="250" w:lineRule="auto"/>
        <w:tabs>
          <w:tab w:leader="none" w:pos="364"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DEPRECIATION AND AMORTIZATION EXPENSES IN THE AMOUNTS OF $36,621, $37,835 AND $34,214 FOR THE THREE MONTHS ENDED MARCH 31, 2007, MARCH 31, 2006 AND MARCH 31, 2005, RESPECTIVELY AND STOCK BASED COMPENSATION EXPENSES IN THE AMOUNTS OF $155 AND $147 FOR THE THREE MONTHS ENDED MARCH 31, 2007 AND MARCH 31, 2006, RESPECTIVELY.</w:t>
      </w:r>
    </w:p>
    <w:p>
      <w:pPr>
        <w:sectPr>
          <w:pgSz w:w="11900" w:h="16887" w:orient="portrait"/>
          <w:cols w:equalWidth="0" w:num="1">
            <w:col w:w="11544"/>
          </w:cols>
          <w:pgMar w:left="216" w:top="424" w:right="139" w:bottom="0" w:gutter="0" w:footer="0" w:header="0"/>
        </w:sectPr>
      </w:pPr>
    </w:p>
    <w:bookmarkStart w:id="4" w:name="page5"/>
    <w:bookmarkEnd w:id="4"/>
    <w:p>
      <w:pPr>
        <w:ind w:left="364" w:right="4499" w:hanging="364"/>
        <w:spacing w:after="0" w:line="250" w:lineRule="auto"/>
        <w:tabs>
          <w:tab w:leader="none" w:pos="364"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DEPRECIATION AND AMORTIZATION EXPENSES IN THE AMOUNTS OF $706, $1,055 AND $953 FOR THE THREE MONTHS ENDED MARCH 31, 2007, MARCH 31, 2006 AND MARCH 31, 2005, RESPECTIVELY AND STOCK BASED COMPENSATION EXPENSES IN THE AMOUNTS OF $139 AND $72 FOR THE THREE MONTHS ENDED MARCH 31, 2007 AND MARCH 31, 2006, RESPECTIVELY.</w:t>
      </w:r>
    </w:p>
    <w:p>
      <w:pPr>
        <w:spacing w:after="0" w:line="141" w:lineRule="exact"/>
        <w:rPr>
          <w:rFonts w:ascii="Courier New" w:cs="Courier New" w:eastAsia="Courier New" w:hAnsi="Courier New"/>
          <w:sz w:val="12"/>
          <w:szCs w:val="12"/>
          <w:color w:val="auto"/>
        </w:rPr>
      </w:pPr>
    </w:p>
    <w:p>
      <w:pPr>
        <w:ind w:left="364" w:right="4359" w:hanging="364"/>
        <w:spacing w:after="0" w:line="250" w:lineRule="auto"/>
        <w:tabs>
          <w:tab w:leader="none" w:pos="364"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DEPRECIATION AND AMORTIZATION EXPENSES IN THE AMOUNTS OF $3, $10 AND $15 FOR THE THREE MONTHS ENDED MARCH 31, 2007, MARCH 31, 2006 AND MARCH 31, 2005, RESPECTIVELY AND STOCK BASED COMPENSATION EXPENSES IN THE AMOUNTS OF $1,518 AND $160 FOR THE THREE MONTHS ENDED MARCH 31, 2007 AND MARCH 31, 2006, RESPECTIVELY.</w:t>
      </w:r>
    </w:p>
    <w:sectPr>
      <w:pgSz w:w="11900" w:h="16838" w:orient="portrait"/>
      <w:cols w:equalWidth="0" w:num="1">
        <w:col w:w="10244"/>
      </w:cols>
      <w:pgMar w:left="216"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Roman"/>
      <w:start w:val="1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2019-12-14T03:38:23Z</dcterms:created>
  <dcterms:modified xsi:type="dcterms:W3CDTF">2019-12-14T03:38:23Z</dcterms:modified>
</cp:coreProperties>
</file>