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19"/>
        <w:spacing w:after="0"/>
        <w:rPr>
          <w:sz w:val="20"/>
          <w:szCs w:val="20"/>
          <w:color w:val="auto"/>
        </w:rPr>
      </w:pPr>
      <w:r>
        <w:rPr>
          <w:rFonts w:ascii="Courier New" w:cs="Courier New" w:eastAsia="Courier New" w:hAnsi="Courier New"/>
          <w:sz w:val="12"/>
          <w:szCs w:val="12"/>
          <w:color w:val="auto"/>
        </w:rPr>
        <w:t>FORM 6-K</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AND EXCHANGE COMMISSION</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Washington, D.C. 20549</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For the month of November 2007 (No. 2)</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559"/>
        <w:spacing w:after="0"/>
        <w:rPr>
          <w:sz w:val="20"/>
          <w:szCs w:val="20"/>
          <w:color w:val="auto"/>
        </w:rPr>
      </w:pPr>
      <w:r>
        <w:rPr>
          <w:rFonts w:ascii="Courier New" w:cs="Courier New" w:eastAsia="Courier New" w:hAnsi="Courier New"/>
          <w:sz w:val="12"/>
          <w:szCs w:val="12"/>
          <w:color w:val="auto"/>
        </w:rPr>
        <w:t>(Translation of registrant's name into English)</w:t>
      </w:r>
    </w:p>
    <w:p>
      <w:pPr>
        <w:spacing w:after="0" w:line="133"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spacing w:after="0" w:line="139" w:lineRule="exact"/>
        <w:rPr>
          <w:sz w:val="24"/>
          <w:szCs w:val="24"/>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Indicate by check mark whether the registrant files or will file annual reports under cover Form 20-F or Form 40-F.</w:t>
      </w:r>
    </w:p>
    <w:p>
      <w:pPr>
        <w:spacing w:after="0" w:line="135" w:lineRule="exact"/>
        <w:rPr>
          <w:sz w:val="24"/>
          <w:szCs w:val="24"/>
          <w:color w:val="auto"/>
        </w:rPr>
      </w:pPr>
    </w:p>
    <w:p>
      <w:pPr>
        <w:ind w:left="1740"/>
        <w:spacing w:after="0"/>
        <w:tabs>
          <w:tab w:leader="none" w:pos="3000" w:val="left"/>
        </w:tabs>
        <w:rPr>
          <w:sz w:val="20"/>
          <w:szCs w:val="20"/>
          <w:color w:val="auto"/>
        </w:rPr>
      </w:pPr>
      <w:r>
        <w:rPr>
          <w:rFonts w:ascii="Courier New" w:cs="Courier New" w:eastAsia="Courier New" w:hAnsi="Courier New"/>
          <w:sz w:val="12"/>
          <w:szCs w:val="12"/>
          <w:color w:val="auto"/>
        </w:rPr>
        <w:t>Form 20-F [X]</w:t>
      </w:r>
      <w:r>
        <w:rPr>
          <w:sz w:val="20"/>
          <w:szCs w:val="20"/>
          <w:color w:val="auto"/>
        </w:rPr>
        <w:tab/>
      </w:r>
      <w:r>
        <w:rPr>
          <w:rFonts w:ascii="Courier New" w:cs="Courier New" w:eastAsia="Courier New" w:hAnsi="Courier New"/>
          <w:sz w:val="11"/>
          <w:szCs w:val="11"/>
          <w:color w:val="auto"/>
        </w:rPr>
        <w:t>Form 40-F [_]</w:t>
      </w:r>
    </w:p>
    <w:p>
      <w:pPr>
        <w:spacing w:after="0" w:line="139" w:lineRule="exact"/>
        <w:rPr>
          <w:sz w:val="24"/>
          <w:szCs w:val="24"/>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00" w:lineRule="exact"/>
        <w:rPr>
          <w:sz w:val="24"/>
          <w:szCs w:val="24"/>
          <w:color w:val="auto"/>
        </w:rPr>
      </w:pPr>
    </w:p>
    <w:p>
      <w:pPr>
        <w:spacing w:after="0" w:line="326" w:lineRule="exact"/>
        <w:rPr>
          <w:sz w:val="24"/>
          <w:szCs w:val="24"/>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On November 6, 2007, the Registrant announced its financial results for the nine and three months ended September 30, 2007 and on November 7, 2007 issued unaudited condensed interim consolidated financial statements as of September 30, 2007 and for the nine and three months periods then ended .Attached hereto are the following exhibits:</w:t>
      </w:r>
    </w:p>
    <w:p>
      <w:pPr>
        <w:spacing w:after="0" w:line="135" w:lineRule="exact"/>
        <w:rPr>
          <w:sz w:val="24"/>
          <w:szCs w:val="24"/>
          <w:color w:val="auto"/>
        </w:rPr>
      </w:pPr>
    </w:p>
    <w:p>
      <w:pPr>
        <w:ind w:left="340"/>
        <w:spacing w:after="0"/>
        <w:tabs>
          <w:tab w:leader="none" w:pos="1380" w:val="left"/>
        </w:tabs>
        <w:rPr>
          <w:sz w:val="20"/>
          <w:szCs w:val="20"/>
          <w:color w:val="auto"/>
        </w:rPr>
      </w:pPr>
      <w:r>
        <w:rPr>
          <w:rFonts w:ascii="Courier New" w:cs="Courier New" w:eastAsia="Courier New" w:hAnsi="Courier New"/>
          <w:sz w:val="12"/>
          <w:szCs w:val="12"/>
          <w:color w:val="auto"/>
        </w:rPr>
        <w:t>Exhibit 99.1</w:t>
      </w:r>
      <w:r>
        <w:rPr>
          <w:sz w:val="20"/>
          <w:szCs w:val="20"/>
          <w:color w:val="auto"/>
        </w:rPr>
        <w:tab/>
      </w:r>
      <w:r>
        <w:rPr>
          <w:rFonts w:ascii="Courier New" w:cs="Courier New" w:eastAsia="Courier New" w:hAnsi="Courier New"/>
          <w:sz w:val="11"/>
          <w:szCs w:val="11"/>
          <w:color w:val="auto"/>
        </w:rPr>
        <w:t>Registrant's unaudited condensed interim consolidated</w:t>
      </w:r>
    </w:p>
    <w:p>
      <w:pPr>
        <w:ind w:left="1400"/>
        <w:spacing w:after="0"/>
        <w:rPr>
          <w:sz w:val="20"/>
          <w:szCs w:val="20"/>
          <w:color w:val="auto"/>
        </w:rPr>
      </w:pPr>
      <w:r>
        <w:rPr>
          <w:rFonts w:ascii="Courier New" w:cs="Courier New" w:eastAsia="Courier New" w:hAnsi="Courier New"/>
          <w:sz w:val="12"/>
          <w:szCs w:val="12"/>
          <w:color w:val="auto"/>
        </w:rPr>
        <w:t>financial statements as of September 30, 2007 and for the</w:t>
      </w:r>
    </w:p>
    <w:p>
      <w:pPr>
        <w:ind w:left="1400"/>
        <w:spacing w:after="0" w:line="237" w:lineRule="auto"/>
        <w:rPr>
          <w:sz w:val="20"/>
          <w:szCs w:val="20"/>
          <w:color w:val="auto"/>
        </w:rPr>
      </w:pPr>
      <w:r>
        <w:rPr>
          <w:rFonts w:ascii="Courier New" w:cs="Courier New" w:eastAsia="Courier New" w:hAnsi="Courier New"/>
          <w:sz w:val="12"/>
          <w:szCs w:val="12"/>
          <w:color w:val="auto"/>
        </w:rPr>
        <w:t>nine and three months periods then ended.</w:t>
      </w:r>
    </w:p>
    <w:p>
      <w:pPr>
        <w:spacing w:after="0" w:line="139" w:lineRule="exact"/>
        <w:rPr>
          <w:sz w:val="24"/>
          <w:szCs w:val="24"/>
          <w:color w:val="auto"/>
        </w:rPr>
      </w:pPr>
    </w:p>
    <w:p>
      <w:pPr>
        <w:ind w:left="1400" w:right="4699" w:hanging="1053"/>
        <w:spacing w:after="0" w:line="235" w:lineRule="auto"/>
        <w:tabs>
          <w:tab w:leader="none" w:pos="1380" w:val="left"/>
        </w:tabs>
        <w:rPr>
          <w:sz w:val="20"/>
          <w:szCs w:val="20"/>
          <w:color w:val="auto"/>
        </w:rPr>
      </w:pPr>
      <w:r>
        <w:rPr>
          <w:rFonts w:ascii="Courier New" w:cs="Courier New" w:eastAsia="Courier New" w:hAnsi="Courier New"/>
          <w:sz w:val="12"/>
          <w:szCs w:val="12"/>
          <w:color w:val="auto"/>
        </w:rPr>
        <w:t>Exhibit 99.2</w:t>
      </w:r>
      <w:r>
        <w:rPr>
          <w:sz w:val="20"/>
          <w:szCs w:val="20"/>
          <w:color w:val="auto"/>
        </w:rPr>
        <w:tab/>
      </w:r>
      <w:r>
        <w:rPr>
          <w:rFonts w:ascii="Courier New" w:cs="Courier New" w:eastAsia="Courier New" w:hAnsi="Courier New"/>
          <w:sz w:val="12"/>
          <w:szCs w:val="12"/>
          <w:color w:val="auto"/>
        </w:rPr>
        <w:t>Management's Discussion and Analysis of Financial Condition and Results of Operations</w:t>
      </w:r>
    </w:p>
    <w:p>
      <w:pPr>
        <w:spacing w:after="0" w:line="139" w:lineRule="exact"/>
        <w:rPr>
          <w:sz w:val="24"/>
          <w:szCs w:val="24"/>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This Form 6-K, including all exhibits hereto, is hereby incorporated by reference into (1) all effective registration statements filed by us under the Securities Act of 1933 and (2) Registration Statement No. 333-140174 on Form F-3.</w:t>
      </w:r>
    </w:p>
    <w:p>
      <w:pPr>
        <w:spacing w:after="0" w:line="200" w:lineRule="exact"/>
        <w:rPr>
          <w:sz w:val="24"/>
          <w:szCs w:val="24"/>
          <w:color w:val="auto"/>
        </w:rPr>
      </w:pPr>
    </w:p>
    <w:p>
      <w:pPr>
        <w:spacing w:after="0" w:line="32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4"/>
          <w:szCs w:val="24"/>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Pursuant to the requirements of the Securities Exchange Act of 1934, the registrant has duly caused this report to be signed on its behalf by the undersigned, thereunto duly authorized.</w:t>
      </w:r>
    </w:p>
    <w:p>
      <w:pPr>
        <w:spacing w:after="0" w:line="135" w:lineRule="exact"/>
        <w:rPr>
          <w:sz w:val="24"/>
          <w:szCs w:val="24"/>
          <w:color w:val="auto"/>
        </w:rPr>
      </w:pPr>
    </w:p>
    <w:p>
      <w:pPr>
        <w:ind w:left="3720"/>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39"/>
          </w:cols>
          <w:pgMar w:left="220" w:top="479" w:right="1440" w:bottom="1440" w:gutter="0" w:footer="0" w:header="0"/>
        </w:sectPr>
      </w:pPr>
    </w:p>
    <w:p>
      <w:pPr>
        <w:spacing w:after="0" w:line="13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Date: November 7, 2007</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By: /s/ Nati Somekh Gilboa</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Nati Somekh Gilboa</w:t>
      </w:r>
    </w:p>
    <w:p>
      <w:pPr>
        <w:spacing w:after="0"/>
        <w:rPr>
          <w:sz w:val="20"/>
          <w:szCs w:val="20"/>
          <w:color w:val="auto"/>
        </w:rPr>
      </w:pPr>
      <w:r>
        <w:rPr>
          <w:rFonts w:ascii="Courier New" w:cs="Courier New" w:eastAsia="Courier New" w:hAnsi="Courier New"/>
          <w:sz w:val="12"/>
          <w:szCs w:val="12"/>
          <w:color w:val="auto"/>
        </w:rPr>
        <w:t>Corporate Secretar</w:t>
      </w:r>
    </w:p>
    <w:p>
      <w:pPr>
        <w:sectPr>
          <w:pgSz w:w="11900" w:h="16838" w:orient="portrait"/>
          <w:cols w:equalWidth="0" w:num="2">
            <w:col w:w="3000" w:space="720"/>
            <w:col w:w="6519"/>
          </w:cols>
          <w:pgMar w:left="220" w:top="479" w:right="1440" w:bottom="1440" w:gutter="0" w:footer="0" w:header="0"/>
          <w:type w:val="continuous"/>
        </w:sectPr>
      </w:pPr>
    </w:p>
    <w:bookmarkStart w:id="1" w:name="page2"/>
    <w:bookmarkEnd w:id="1"/>
    <w:p>
      <w:pPr>
        <w:spacing w:after="0" w:line="63"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2"/>
          <w:szCs w:val="12"/>
          <w:color w:val="auto"/>
        </w:rPr>
        <w:t>Exhibit 99.1</w:t>
      </w:r>
    </w:p>
    <w:p>
      <w:pPr>
        <w:spacing w:after="0" w:line="134"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880"/>
        <w:spacing w:after="0"/>
        <w:rPr>
          <w:sz w:val="20"/>
          <w:szCs w:val="20"/>
          <w:color w:val="auto"/>
        </w:rPr>
      </w:pPr>
      <w:r>
        <w:rPr>
          <w:rFonts w:ascii="Courier New" w:cs="Courier New" w:eastAsia="Courier New" w:hAnsi="Courier New"/>
          <w:sz w:val="12"/>
          <w:szCs w:val="12"/>
          <w:color w:val="auto"/>
        </w:rPr>
        <w:t>UNAUDITED CONDENSED INTERIM</w:t>
      </w:r>
    </w:p>
    <w:p>
      <w:pPr>
        <w:ind w:left="1680"/>
        <w:spacing w:after="0" w:line="237" w:lineRule="auto"/>
        <w:rPr>
          <w:sz w:val="20"/>
          <w:szCs w:val="20"/>
          <w:color w:val="auto"/>
        </w:rPr>
      </w:pPr>
      <w:r>
        <w:rPr>
          <w:rFonts w:ascii="Courier New" w:cs="Courier New" w:eastAsia="Courier New" w:hAnsi="Courier New"/>
          <w:sz w:val="12"/>
          <w:szCs w:val="12"/>
          <w:color w:val="auto"/>
        </w:rPr>
        <w:t>CONSOLIDATED FINANCIAL STATEMENTS</w:t>
      </w:r>
    </w:p>
    <w:p>
      <w:pPr>
        <w:ind w:left="1960"/>
        <w:spacing w:after="0"/>
        <w:rPr>
          <w:sz w:val="20"/>
          <w:szCs w:val="20"/>
          <w:color w:val="auto"/>
        </w:rPr>
      </w:pPr>
      <w:r>
        <w:rPr>
          <w:rFonts w:ascii="Courier New" w:cs="Courier New" w:eastAsia="Courier New" w:hAnsi="Courier New"/>
          <w:sz w:val="12"/>
          <w:szCs w:val="12"/>
          <w:color w:val="auto"/>
        </w:rPr>
        <w:t>AS OF SEPTEMBER 30, 2007</w:t>
      </w:r>
    </w:p>
    <w:p>
      <w:pPr>
        <w:spacing w:after="0" w:line="200" w:lineRule="exact"/>
        <w:rPr>
          <w:sz w:val="20"/>
          <w:szCs w:val="20"/>
          <w:color w:val="auto"/>
        </w:rPr>
      </w:pPr>
    </w:p>
    <w:p>
      <w:pPr>
        <w:spacing w:after="0" w:line="32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spacing w:after="0" w:line="134" w:lineRule="exact"/>
        <w:rPr>
          <w:sz w:val="20"/>
          <w:szCs w:val="20"/>
          <w:color w:val="auto"/>
        </w:rPr>
      </w:pPr>
    </w:p>
    <w:p>
      <w:pPr>
        <w:ind w:left="1540"/>
        <w:spacing w:after="0"/>
        <w:rPr>
          <w:sz w:val="20"/>
          <w:szCs w:val="20"/>
          <w:color w:val="auto"/>
        </w:rPr>
      </w:pPr>
      <w:r>
        <w:rPr>
          <w:rFonts w:ascii="Courier New" w:cs="Courier New" w:eastAsia="Courier New" w:hAnsi="Courier New"/>
          <w:sz w:val="12"/>
          <w:szCs w:val="12"/>
          <w:color w:val="auto"/>
        </w:rPr>
        <w:t>INDEX TO UNAUDITED CONDENSED INTERIM</w:t>
      </w:r>
    </w:p>
    <w:p>
      <w:pPr>
        <w:ind w:left="1680"/>
        <w:spacing w:after="0"/>
        <w:rPr>
          <w:sz w:val="20"/>
          <w:szCs w:val="20"/>
          <w:color w:val="auto"/>
        </w:rPr>
      </w:pPr>
      <w:r>
        <w:rPr>
          <w:rFonts w:ascii="Courier New" w:cs="Courier New" w:eastAsia="Courier New" w:hAnsi="Courier New"/>
          <w:sz w:val="12"/>
          <w:szCs w:val="12"/>
          <w:color w:val="auto"/>
        </w:rPr>
        <w:t>CONSOLIDATED FINANCIAL STATEMENTS</w:t>
      </w:r>
    </w:p>
    <w:p>
      <w:pPr>
        <w:ind w:left="1960"/>
        <w:spacing w:after="0" w:line="237" w:lineRule="auto"/>
        <w:rPr>
          <w:sz w:val="20"/>
          <w:szCs w:val="20"/>
          <w:color w:val="auto"/>
        </w:rPr>
      </w:pPr>
      <w:r>
        <w:rPr>
          <w:rFonts w:ascii="Courier New" w:cs="Courier New" w:eastAsia="Courier New" w:hAnsi="Courier New"/>
          <w:sz w:val="12"/>
          <w:szCs w:val="12"/>
          <w:color w:val="auto"/>
        </w:rPr>
        <w:t>AS OF SEPTEMBER 30, 2007</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Page</w:t>
            </w: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1020" w:type="dxa"/>
            <w:vAlign w:val="bottom"/>
          </w:tcPr>
          <w:p>
            <w:pPr>
              <w:spacing w:after="0"/>
              <w:rPr>
                <w:sz w:val="23"/>
                <w:szCs w:val="23"/>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w:t>
            </w: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1020" w:type="dxa"/>
            <w:vAlign w:val="bottom"/>
          </w:tcPr>
          <w:p>
            <w:pPr>
              <w:spacing w:after="0"/>
              <w:rPr>
                <w:sz w:val="23"/>
                <w:szCs w:val="23"/>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w:t>
            </w: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w w:val="97"/>
              </w:rPr>
              <w:t>STATEMENTS OF CHANGES IN SHAREHOLDERS' EQUITY</w:t>
            </w:r>
          </w:p>
        </w:tc>
        <w:tc>
          <w:tcPr>
            <w:tcW w:w="1020" w:type="dxa"/>
            <w:vAlign w:val="bottom"/>
          </w:tcPr>
          <w:p>
            <w:pPr>
              <w:spacing w:after="0"/>
              <w:rPr>
                <w:sz w:val="23"/>
                <w:szCs w:val="23"/>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w:t>
            </w: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1020" w:type="dxa"/>
            <w:vAlign w:val="bottom"/>
          </w:tcPr>
          <w:p>
            <w:pPr>
              <w:spacing w:after="0"/>
              <w:rPr>
                <w:sz w:val="23"/>
                <w:szCs w:val="23"/>
                <w:color w:val="auto"/>
              </w:rPr>
            </w:pPr>
          </w:p>
        </w:tc>
        <w:tc>
          <w:tcPr>
            <w:tcW w:w="82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w:t>
            </w: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5-22</w:t>
            </w: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658"/>
        </w:trPr>
        <w:tc>
          <w:tcPr>
            <w:tcW w:w="4200" w:type="dxa"/>
            <w:vAlign w:val="bottom"/>
            <w:gridSpan w:val="2"/>
          </w:tcPr>
          <w:p>
            <w:pPr>
              <w:jc w:val="center"/>
              <w:ind w:left="14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4200" w:type="dxa"/>
            <w:vAlign w:val="bottom"/>
            <w:gridSpan w:val="2"/>
          </w:tcPr>
          <w:p>
            <w:pPr>
              <w:jc w:val="center"/>
              <w:ind w:left="1401"/>
              <w:spacing w:after="0"/>
              <w:rPr>
                <w:sz w:val="20"/>
                <w:szCs w:val="20"/>
                <w:color w:val="auto"/>
              </w:rPr>
            </w:pPr>
            <w:r>
              <w:rPr>
                <w:rFonts w:ascii="Courier New" w:cs="Courier New" w:eastAsia="Courier New" w:hAnsi="Courier New"/>
                <w:sz w:val="12"/>
                <w:szCs w:val="12"/>
                <w:color w:val="auto"/>
                <w:w w:val="97"/>
              </w:rPr>
              <w:t>CONSOLIDATED BALANCE SHEETS</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20" w:type="dxa"/>
            <w:vAlign w:val="bottom"/>
            <w:gridSpan w:val="3"/>
          </w:tcPr>
          <w:p>
            <w:pPr>
              <w:ind w:left="700"/>
              <w:spacing w:after="0"/>
              <w:rPr>
                <w:sz w:val="20"/>
                <w:szCs w:val="20"/>
                <w:color w:val="auto"/>
              </w:rPr>
            </w:pPr>
            <w:r>
              <w:rPr>
                <w:rFonts w:ascii="Courier New" w:cs="Courier New" w:eastAsia="Courier New" w:hAnsi="Courier New"/>
                <w:sz w:val="12"/>
                <w:szCs w:val="12"/>
                <w:color w:val="auto"/>
                <w:w w:val="99"/>
              </w:rPr>
              <w:t>(dollars in thousands, except share data and per share data)</w:t>
            </w: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0"/>
        </w:trPr>
        <w:tc>
          <w:tcPr>
            <w:tcW w:w="3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7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AS OF SEPTEMBER 30,</w:t>
            </w:r>
          </w:p>
        </w:tc>
        <w:tc>
          <w:tcPr>
            <w:tcW w:w="124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4"/>
              </w:rPr>
              <w:t>DECEMBER 31,</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6"/>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2007</w:t>
            </w:r>
          </w:p>
        </w:tc>
        <w:tc>
          <w:tcPr>
            <w:tcW w:w="9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2006</w:t>
            </w:r>
          </w:p>
        </w:tc>
        <w:tc>
          <w:tcPr>
            <w:tcW w:w="124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2006</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jc w:val="right"/>
              <w:ind w:right="561"/>
              <w:spacing w:after="0"/>
              <w:rPr>
                <w:sz w:val="20"/>
                <w:szCs w:val="20"/>
                <w:color w:val="auto"/>
              </w:rPr>
            </w:pPr>
            <w:r>
              <w:rPr>
                <w:rFonts w:ascii="Courier New" w:cs="Courier New" w:eastAsia="Courier New" w:hAnsi="Courier New"/>
                <w:sz w:val="12"/>
                <w:szCs w:val="12"/>
                <w:color w:val="auto"/>
              </w:rPr>
              <w:t>(UNAUDITED)</w:t>
            </w: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6"/>
              </w:rPr>
              <w:t>---------------------</w:t>
            </w: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$ 42,600</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$ 61,746</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$ 39,710</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SHORT-TERM INTEREST-BEARING DEPOSITS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1,230</w:t>
            </w:r>
          </w:p>
        </w:tc>
        <w:tc>
          <w:tcPr>
            <w:tcW w:w="1020" w:type="dxa"/>
            <w:vAlign w:val="bottom"/>
          </w:tcPr>
          <w:p>
            <w:pPr>
              <w:spacing w:after="0"/>
              <w:rPr>
                <w:sz w:val="11"/>
                <w:szCs w:val="11"/>
                <w:color w:val="auto"/>
              </w:rPr>
            </w:pPr>
          </w:p>
        </w:tc>
      </w:tr>
      <w:tr>
        <w:trPr>
          <w:trHeight w:val="135"/>
        </w:trPr>
        <w:tc>
          <w:tcPr>
            <w:tcW w:w="420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PROCEEDS RECEIVABLES RELATING PUBLIC OFFERING</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13,932</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RECEIVABLE:</w:t>
            </w:r>
          </w:p>
        </w:tc>
        <w:tc>
          <w:tcPr>
            <w:tcW w:w="1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3180" w:type="dxa"/>
            <w:vAlign w:val="bottom"/>
          </w:tcPr>
          <w:p>
            <w:pPr>
              <w:ind w:left="700"/>
              <w:spacing w:after="0"/>
              <w:rPr>
                <w:sz w:val="20"/>
                <w:szCs w:val="20"/>
                <w:color w:val="auto"/>
              </w:rPr>
            </w:pPr>
            <w:r>
              <w:rPr>
                <w:rFonts w:ascii="Courier New" w:cs="Courier New" w:eastAsia="Courier New" w:hAnsi="Courier New"/>
                <w:sz w:val="12"/>
                <w:szCs w:val="12"/>
                <w:color w:val="auto"/>
              </w:rPr>
              <w:t>RELATED PARTIES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13,785</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8,928</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13,625</w:t>
            </w:r>
          </w:p>
        </w:tc>
        <w:tc>
          <w:tcPr>
            <w:tcW w:w="1020" w:type="dxa"/>
            <w:vAlign w:val="bottom"/>
          </w:tcPr>
          <w:p>
            <w:pPr>
              <w:spacing w:after="0"/>
              <w:rPr>
                <w:sz w:val="11"/>
                <w:szCs w:val="11"/>
                <w:color w:val="auto"/>
              </w:rPr>
            </w:pPr>
          </w:p>
        </w:tc>
      </w:tr>
      <w:tr>
        <w:trPr>
          <w:trHeight w:val="135"/>
        </w:trPr>
        <w:tc>
          <w:tcPr>
            <w:tcW w:w="3180" w:type="dxa"/>
            <w:vAlign w:val="bottom"/>
          </w:tcPr>
          <w:p>
            <w:pPr>
              <w:ind w:left="700"/>
              <w:spacing w:after="0"/>
              <w:rPr>
                <w:sz w:val="20"/>
                <w:szCs w:val="20"/>
                <w:color w:val="auto"/>
              </w:rPr>
            </w:pPr>
            <w:r>
              <w:rPr>
                <w:rFonts w:ascii="Courier New" w:cs="Courier New" w:eastAsia="Courier New" w:hAnsi="Courier New"/>
                <w:sz w:val="12"/>
                <w:szCs w:val="12"/>
                <w:color w:val="auto"/>
              </w:rPr>
              <w:t>OTHERS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26,513</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16,708</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17,873</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OTHER RECEIVABLES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1,260</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12,807</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5,425</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INVENTORIES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35,431</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33,149</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34,763</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OTHER CURRENT ASSETS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1,040</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1,737</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1,473</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135"/>
        </w:trPr>
        <w:tc>
          <w:tcPr>
            <w:tcW w:w="3180" w:type="dxa"/>
            <w:vAlign w:val="bottom"/>
          </w:tcPr>
          <w:p>
            <w:pPr>
              <w:ind w:left="900"/>
              <w:spacing w:after="0"/>
              <w:rPr>
                <w:sz w:val="20"/>
                <w:szCs w:val="20"/>
                <w:color w:val="auto"/>
              </w:rPr>
            </w:pPr>
            <w:r>
              <w:rPr>
                <w:rFonts w:ascii="Courier New" w:cs="Courier New" w:eastAsia="Courier New" w:hAnsi="Courier New"/>
                <w:sz w:val="12"/>
                <w:szCs w:val="12"/>
                <w:color w:val="auto"/>
              </w:rPr>
              <w:t>TOTAL CURRENT ASSETS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134,561</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135,075</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114,099</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494,361</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527,388</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539,292</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INTANGIBLE ASSETS, NET</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36,386</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49,291</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44,981</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OTHER ASSETS , NET</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1,286</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1,457</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1,346</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ind w:left="900"/>
              <w:spacing w:after="0"/>
              <w:rPr>
                <w:sz w:val="20"/>
                <w:szCs w:val="20"/>
                <w:color w:val="auto"/>
              </w:rPr>
            </w:pPr>
            <w:r>
              <w:rPr>
                <w:rFonts w:ascii="Courier New" w:cs="Courier New" w:eastAsia="Courier New" w:hAnsi="Courier New"/>
                <w:sz w:val="12"/>
                <w:szCs w:val="12"/>
                <w:color w:val="auto"/>
              </w:rPr>
              <w:t>TOTAL ASSETS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$666,594</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$713,211</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$699,718</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1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35"/>
        </w:trPr>
        <w:tc>
          <w:tcPr>
            <w:tcW w:w="420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  7,340</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  6,522</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  6,632</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PAYABLE</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39,480</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59,687</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55,128</w:t>
            </w:r>
          </w:p>
        </w:tc>
        <w:tc>
          <w:tcPr>
            <w:tcW w:w="1020" w:type="dxa"/>
            <w:vAlign w:val="bottom"/>
          </w:tcPr>
          <w:p>
            <w:pPr>
              <w:spacing w:after="0"/>
              <w:rPr>
                <w:sz w:val="11"/>
                <w:szCs w:val="11"/>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OTHER CURRENT LIABILITIES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20,041</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15,354</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22,096</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135"/>
        </w:trPr>
        <w:tc>
          <w:tcPr>
            <w:tcW w:w="3180" w:type="dxa"/>
            <w:vAlign w:val="bottom"/>
          </w:tcPr>
          <w:p>
            <w:pPr>
              <w:ind w:left="900"/>
              <w:spacing w:after="0"/>
              <w:rPr>
                <w:sz w:val="20"/>
                <w:szCs w:val="20"/>
                <w:color w:val="auto"/>
              </w:rPr>
            </w:pPr>
            <w:r>
              <w:rPr>
                <w:rFonts w:ascii="Courier New" w:cs="Courier New" w:eastAsia="Courier New" w:hAnsi="Courier New"/>
                <w:sz w:val="12"/>
                <w:szCs w:val="12"/>
                <w:color w:val="auto"/>
              </w:rPr>
              <w:t>TOTAL CURRENT LIABILITIES</w:t>
            </w: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66,861</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81,563</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83,856</w:t>
            </w:r>
          </w:p>
        </w:tc>
        <w:tc>
          <w:tcPr>
            <w:tcW w:w="102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LONG-TERM DEBT FROM BANKS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362,162</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355,138</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356,947</w:t>
            </w:r>
          </w:p>
        </w:tc>
        <w:tc>
          <w:tcPr>
            <w:tcW w:w="102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DEBENTURES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116,865</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61,657</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62,175</w:t>
            </w:r>
          </w:p>
        </w:tc>
        <w:tc>
          <w:tcPr>
            <w:tcW w:w="102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LONG-TERM CUSTOMERS' ADVANCES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36,072</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50,004</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46,042</w:t>
            </w:r>
          </w:p>
        </w:tc>
        <w:tc>
          <w:tcPr>
            <w:tcW w:w="102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15,397</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15,547</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17,708</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ind w:left="900"/>
              <w:spacing w:after="0"/>
              <w:rPr>
                <w:sz w:val="20"/>
                <w:szCs w:val="20"/>
                <w:color w:val="auto"/>
              </w:rPr>
            </w:pPr>
            <w:r>
              <w:rPr>
                <w:rFonts w:ascii="Courier New" w:cs="Courier New" w:eastAsia="Courier New" w:hAnsi="Courier New"/>
                <w:sz w:val="12"/>
                <w:szCs w:val="12"/>
                <w:color w:val="auto"/>
              </w:rPr>
              <w:t>TOTAL LIABILITIES</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597,357</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563,909</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566,728</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w:t>
            </w:r>
          </w:p>
        </w:tc>
        <w:tc>
          <w:tcPr>
            <w:tcW w:w="1020" w:type="dxa"/>
            <w:vAlign w:val="bottom"/>
          </w:tcPr>
          <w:p>
            <w:pPr>
              <w:spacing w:after="0"/>
              <w:rPr>
                <w:sz w:val="23"/>
                <w:szCs w:val="23"/>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69,237</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149,302</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132,990</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4200" w:type="dxa"/>
            <w:vAlign w:val="bottom"/>
            <w:gridSpan w:val="2"/>
          </w:tcPr>
          <w:p>
            <w:pPr>
              <w:ind w:left="90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$666,594</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$713,211</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$699,718</w:t>
            </w:r>
          </w:p>
        </w:tc>
        <w:tc>
          <w:tcPr>
            <w:tcW w:w="102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4200" w:type="dxa"/>
            <w:vAlign w:val="bottom"/>
            <w:gridSpan w:val="2"/>
          </w:tcPr>
          <w:p>
            <w:pPr>
              <w:spacing w:after="0"/>
              <w:rPr>
                <w:sz w:val="20"/>
                <w:szCs w:val="20"/>
                <w:color w:val="auto"/>
              </w:rPr>
            </w:pPr>
            <w:r>
              <w:rPr>
                <w:rFonts w:ascii="Courier New" w:cs="Courier New" w:eastAsia="Courier New" w:hAnsi="Courier New"/>
                <w:sz w:val="12"/>
                <w:szCs w:val="12"/>
                <w:color w:val="auto"/>
              </w:rPr>
              <w:t>SEE NOTES TO CONSOLIDATED INTERIM FINANCIAL STATEMENTS.</w:t>
            </w:r>
          </w:p>
        </w:tc>
        <w:tc>
          <w:tcPr>
            <w:tcW w:w="8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405"/>
        </w:trPr>
        <w:tc>
          <w:tcPr>
            <w:tcW w:w="3180" w:type="dxa"/>
            <w:vAlign w:val="bottom"/>
          </w:tcPr>
          <w:p>
            <w:pPr>
              <w:ind w:left="2600"/>
              <w:spacing w:after="0"/>
              <w:rPr>
                <w:sz w:val="20"/>
                <w:szCs w:val="20"/>
                <w:color w:val="auto"/>
              </w:rPr>
            </w:pPr>
            <w:r>
              <w:rPr>
                <w:rFonts w:ascii="Courier New" w:cs="Courier New" w:eastAsia="Courier New" w:hAnsi="Courier New"/>
                <w:sz w:val="12"/>
                <w:szCs w:val="12"/>
                <w:color w:val="auto"/>
              </w:rPr>
              <w:t>- 1 -</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22"/>
        </w:trPr>
        <w:tc>
          <w:tcPr>
            <w:tcW w:w="4200" w:type="dxa"/>
            <w:vAlign w:val="bottom"/>
            <w:gridSpan w:val="2"/>
          </w:tcPr>
          <w:p>
            <w:pPr>
              <w:jc w:val="center"/>
              <w:ind w:left="140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4200" w:type="dxa"/>
            <w:vAlign w:val="bottom"/>
            <w:gridSpan w:val="2"/>
          </w:tcPr>
          <w:p>
            <w:pPr>
              <w:jc w:val="center"/>
              <w:ind w:left="1421"/>
              <w:spacing w:after="0"/>
              <w:rPr>
                <w:sz w:val="20"/>
                <w:szCs w:val="20"/>
                <w:color w:val="auto"/>
              </w:rPr>
            </w:pPr>
            <w:r>
              <w:rPr>
                <w:rFonts w:ascii="Courier New" w:cs="Courier New" w:eastAsia="Courier New" w:hAnsi="Courier New"/>
                <w:sz w:val="12"/>
                <w:szCs w:val="12"/>
                <w:color w:val="auto"/>
                <w:w w:val="97"/>
              </w:rPr>
              <w:t>CONSOLIDATED STATEMENTS OF OPERATIONS</w:t>
            </w: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5020" w:type="dxa"/>
            <w:vAlign w:val="bottom"/>
            <w:gridSpan w:val="3"/>
          </w:tcPr>
          <w:p>
            <w:pPr>
              <w:ind w:left="700"/>
              <w:spacing w:after="0"/>
              <w:rPr>
                <w:sz w:val="20"/>
                <w:szCs w:val="20"/>
                <w:color w:val="auto"/>
              </w:rPr>
            </w:pPr>
            <w:r>
              <w:rPr>
                <w:rFonts w:ascii="Courier New" w:cs="Courier New" w:eastAsia="Courier New" w:hAnsi="Courier New"/>
                <w:sz w:val="12"/>
                <w:szCs w:val="12"/>
                <w:color w:val="auto"/>
                <w:w w:val="99"/>
              </w:rPr>
              <w:t>(dollars in thousands, except share data and per share data)</w:t>
            </w: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70"/>
        </w:trPr>
        <w:tc>
          <w:tcPr>
            <w:tcW w:w="3180" w:type="dxa"/>
            <w:vAlign w:val="bottom"/>
          </w:tcPr>
          <w:p>
            <w:pPr>
              <w:spacing w:after="0"/>
              <w:rPr>
                <w:sz w:val="23"/>
                <w:szCs w:val="23"/>
                <w:color w:val="auto"/>
              </w:rPr>
            </w:pPr>
          </w:p>
        </w:tc>
        <w:tc>
          <w:tcPr>
            <w:tcW w:w="184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NINE MONTHS ENDED</w:t>
            </w:r>
          </w:p>
        </w:tc>
        <w:tc>
          <w:tcPr>
            <w:tcW w:w="21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THREE MONTHS ENDED</w:t>
            </w:r>
          </w:p>
        </w:tc>
        <w:tc>
          <w:tcPr>
            <w:tcW w:w="1020" w:type="dxa"/>
            <w:vAlign w:val="bottom"/>
          </w:tcPr>
          <w:p>
            <w:pPr>
              <w:jc w:val="center"/>
              <w:ind w:left="101"/>
              <w:spacing w:after="0"/>
              <w:rPr>
                <w:sz w:val="20"/>
                <w:szCs w:val="20"/>
                <w:color w:val="auto"/>
              </w:rPr>
            </w:pPr>
            <w:r>
              <w:rPr>
                <w:rFonts w:ascii="Courier New" w:cs="Courier New" w:eastAsia="Courier New" w:hAnsi="Courier New"/>
                <w:sz w:val="12"/>
                <w:szCs w:val="12"/>
                <w:color w:val="auto"/>
                <w:w w:val="97"/>
              </w:rPr>
              <w:t>YEAR ENDED</w:t>
            </w:r>
          </w:p>
        </w:tc>
      </w:tr>
      <w:tr>
        <w:trPr>
          <w:trHeight w:val="135"/>
        </w:trPr>
        <w:tc>
          <w:tcPr>
            <w:tcW w:w="3180" w:type="dxa"/>
            <w:vAlign w:val="bottom"/>
          </w:tcPr>
          <w:p>
            <w:pPr>
              <w:spacing w:after="0"/>
              <w:rPr>
                <w:sz w:val="11"/>
                <w:szCs w:val="11"/>
                <w:color w:val="auto"/>
              </w:rPr>
            </w:pPr>
          </w:p>
        </w:tc>
        <w:tc>
          <w:tcPr>
            <w:tcW w:w="184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SEPTEMBER 30,</w:t>
            </w:r>
          </w:p>
        </w:tc>
        <w:tc>
          <w:tcPr>
            <w:tcW w:w="218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SEPTEMBER 30,</w:t>
            </w:r>
          </w:p>
        </w:tc>
        <w:tc>
          <w:tcPr>
            <w:tcW w:w="1020" w:type="dxa"/>
            <w:vAlign w:val="bottom"/>
          </w:tcPr>
          <w:p>
            <w:pPr>
              <w:jc w:val="center"/>
              <w:ind w:left="101"/>
              <w:spacing w:after="0"/>
              <w:rPr>
                <w:sz w:val="20"/>
                <w:szCs w:val="20"/>
                <w:color w:val="auto"/>
              </w:rPr>
            </w:pPr>
            <w:r>
              <w:rPr>
                <w:rFonts w:ascii="Courier New" w:cs="Courier New" w:eastAsia="Courier New" w:hAnsi="Courier New"/>
                <w:sz w:val="12"/>
                <w:szCs w:val="12"/>
                <w:color w:val="auto"/>
                <w:w w:val="99"/>
              </w:rPr>
              <w:t>DECEMDER 31,</w:t>
            </w:r>
          </w:p>
        </w:tc>
      </w:tr>
      <w:tr>
        <w:trPr>
          <w:trHeight w:val="135"/>
        </w:trPr>
        <w:tc>
          <w:tcPr>
            <w:tcW w:w="3180" w:type="dxa"/>
            <w:vAlign w:val="bottom"/>
          </w:tcPr>
          <w:p>
            <w:pPr>
              <w:spacing w:after="0"/>
              <w:rPr>
                <w:sz w:val="11"/>
                <w:szCs w:val="11"/>
                <w:color w:val="auto"/>
              </w:rPr>
            </w:pP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w w:val="98"/>
              </w:rPr>
              <w:t>------------------------</w:t>
            </w:r>
          </w:p>
        </w:tc>
        <w:tc>
          <w:tcPr>
            <w:tcW w:w="21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180" w:type="dxa"/>
            <w:vAlign w:val="bottom"/>
          </w:tcPr>
          <w:p>
            <w:pPr>
              <w:spacing w:after="0"/>
              <w:rPr>
                <w:sz w:val="11"/>
                <w:szCs w:val="11"/>
                <w:color w:val="auto"/>
              </w:rPr>
            </w:pPr>
          </w:p>
        </w:tc>
        <w:tc>
          <w:tcPr>
            <w:tcW w:w="102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2007</w:t>
            </w:r>
          </w:p>
        </w:tc>
        <w:tc>
          <w:tcPr>
            <w:tcW w:w="82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2006</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2007</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2006</w:t>
            </w:r>
          </w:p>
        </w:tc>
        <w:tc>
          <w:tcPr>
            <w:tcW w:w="1020" w:type="dxa"/>
            <w:vAlign w:val="bottom"/>
          </w:tcPr>
          <w:p>
            <w:pPr>
              <w:jc w:val="center"/>
              <w:ind w:left="10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180" w:type="dxa"/>
            <w:vAlign w:val="bottom"/>
          </w:tcPr>
          <w:p>
            <w:pPr>
              <w:spacing w:after="0"/>
              <w:rPr>
                <w:sz w:val="11"/>
                <w:szCs w:val="11"/>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3180" w:type="dxa"/>
            <w:vAlign w:val="bottom"/>
          </w:tcPr>
          <w:p>
            <w:pPr>
              <w:spacing w:after="0"/>
              <w:rPr>
                <w:sz w:val="11"/>
                <w:szCs w:val="11"/>
                <w:color w:val="auto"/>
              </w:rPr>
            </w:pPr>
          </w:p>
        </w:tc>
        <w:tc>
          <w:tcPr>
            <w:tcW w:w="1840" w:type="dxa"/>
            <w:vAlign w:val="bottom"/>
            <w:gridSpan w:val="2"/>
          </w:tcPr>
          <w:p>
            <w:pPr>
              <w:jc w:val="right"/>
              <w:ind w:right="481"/>
              <w:spacing w:after="0"/>
              <w:rPr>
                <w:sz w:val="20"/>
                <w:szCs w:val="20"/>
                <w:color w:val="auto"/>
              </w:rPr>
            </w:pPr>
            <w:r>
              <w:rPr>
                <w:rFonts w:ascii="Courier New" w:cs="Courier New" w:eastAsia="Courier New" w:hAnsi="Courier New"/>
                <w:sz w:val="12"/>
                <w:szCs w:val="12"/>
                <w:color w:val="auto"/>
              </w:rPr>
              <w:t>(UNAUDITED)</w:t>
            </w:r>
          </w:p>
        </w:tc>
        <w:tc>
          <w:tcPr>
            <w:tcW w:w="2180" w:type="dxa"/>
            <w:vAlign w:val="bottom"/>
            <w:gridSpan w:val="2"/>
          </w:tcPr>
          <w:p>
            <w:pPr>
              <w:jc w:val="right"/>
              <w:ind w:right="541"/>
              <w:spacing w:after="0"/>
              <w:rPr>
                <w:sz w:val="20"/>
                <w:szCs w:val="20"/>
                <w:color w:val="auto"/>
              </w:rPr>
            </w:pPr>
            <w:r>
              <w:rPr>
                <w:rFonts w:ascii="Courier New" w:cs="Courier New" w:eastAsia="Courier New" w:hAnsi="Courier New"/>
                <w:sz w:val="12"/>
                <w:szCs w:val="12"/>
                <w:color w:val="auto"/>
              </w:rPr>
              <w:t>(UNAUDITED)</w:t>
            </w:r>
          </w:p>
        </w:tc>
        <w:tc>
          <w:tcPr>
            <w:tcW w:w="102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4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w w:val="98"/>
              </w:rPr>
              <w:t>------------------------</w:t>
            </w:r>
          </w:p>
        </w:tc>
        <w:tc>
          <w:tcPr>
            <w:tcW w:w="218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$ 169,235</w:t>
            </w:r>
          </w:p>
        </w:tc>
        <w:tc>
          <w:tcPr>
            <w:tcW w:w="8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$ 131,933</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  56,569</w:t>
            </w:r>
          </w:p>
        </w:tc>
        <w:tc>
          <w:tcPr>
            <w:tcW w:w="12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51,503</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$ 187,438</w:t>
            </w: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211,130</w:t>
            </w:r>
          </w:p>
        </w:tc>
        <w:tc>
          <w:tcPr>
            <w:tcW w:w="8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194,666</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68,252</w:t>
            </w:r>
          </w:p>
        </w:tc>
        <w:tc>
          <w:tcPr>
            <w:tcW w:w="12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68,244</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267,390</w:t>
            </w:r>
          </w:p>
        </w:tc>
      </w:tr>
      <w:tr>
        <w:trPr>
          <w:trHeight w:val="135"/>
        </w:trPr>
        <w:tc>
          <w:tcPr>
            <w:tcW w:w="3180" w:type="dxa"/>
            <w:vAlign w:val="bottom"/>
          </w:tcPr>
          <w:p>
            <w:pPr>
              <w:spacing w:after="0"/>
              <w:rPr>
                <w:sz w:val="11"/>
                <w:szCs w:val="11"/>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ectPr>
          <w:pgSz w:w="11900" w:h="16902" w:orient="portrait"/>
          <w:cols w:equalWidth="0" w:num="1">
            <w:col w:w="10239"/>
          </w:cols>
          <w:pgMar w:left="220" w:top="407"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GROSS LOSS</w:t>
            </w: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(41,895)</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(62,733)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(11,683)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(16,741)</w:t>
            </w:r>
          </w:p>
        </w:tc>
        <w:tc>
          <w:tcPr>
            <w:tcW w:w="340" w:type="dxa"/>
            <w:vAlign w:val="bottom"/>
          </w:tcPr>
          <w:p>
            <w:pPr>
              <w:spacing w:after="0"/>
              <w:rPr>
                <w:sz w:val="11"/>
                <w:szCs w:val="11"/>
                <w:color w:val="auto"/>
              </w:rPr>
            </w:pP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rPr>
              <w:t>(79,952)</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RESEARCH AND DEVELOPMENT</w:t>
            </w:r>
          </w:p>
        </w:tc>
        <w:tc>
          <w:tcPr>
            <w:tcW w:w="1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10,253</w:t>
            </w:r>
          </w:p>
        </w:tc>
        <w:tc>
          <w:tcPr>
            <w:tcW w:w="5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11,107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3,301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4,179</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14,984</w:t>
            </w: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MARKETING, GENERAL AND ADMINISTRATIVE</w:t>
            </w:r>
          </w:p>
        </w:tc>
        <w:tc>
          <w:tcPr>
            <w:tcW w:w="1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22,929</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18,106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7,753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7,308</w:t>
            </w: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24,512</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33,182</w:t>
            </w:r>
          </w:p>
        </w:tc>
        <w:tc>
          <w:tcPr>
            <w:tcW w:w="5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29,213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11,054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11,487</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39,496</w:t>
            </w: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OPERATING LOSS</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(75,077)</w:t>
            </w:r>
          </w:p>
        </w:tc>
        <w:tc>
          <w:tcPr>
            <w:tcW w:w="5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(91,946)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(22,737)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(28,228)</w:t>
            </w:r>
          </w:p>
        </w:tc>
        <w:tc>
          <w:tcPr>
            <w:tcW w:w="340" w:type="dxa"/>
            <w:vAlign w:val="bottom"/>
          </w:tcPr>
          <w:p>
            <w:pPr>
              <w:spacing w:after="0"/>
              <w:rPr>
                <w:sz w:val="23"/>
                <w:szCs w:val="23"/>
                <w:color w:val="auto"/>
              </w:rPr>
            </w:pP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w w:val="95"/>
              </w:rPr>
              <w:t>(119,448)</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(30,249)</w:t>
            </w:r>
          </w:p>
        </w:tc>
        <w:tc>
          <w:tcPr>
            <w:tcW w:w="5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(37,957)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(10,695)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(12,382)</w:t>
            </w:r>
          </w:p>
        </w:tc>
        <w:tc>
          <w:tcPr>
            <w:tcW w:w="340" w:type="dxa"/>
            <w:vAlign w:val="bottom"/>
          </w:tcPr>
          <w:p>
            <w:pPr>
              <w:spacing w:after="0"/>
              <w:rPr>
                <w:sz w:val="23"/>
                <w:szCs w:val="23"/>
                <w:color w:val="auto"/>
              </w:rPr>
            </w:pP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rPr>
              <w:t>(48,148)</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1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80,071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80,071</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80,071</w:t>
            </w: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73</w:t>
            </w:r>
          </w:p>
        </w:tc>
        <w:tc>
          <w:tcPr>
            <w:tcW w:w="5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w:t>
            </w:r>
          </w:p>
        </w:tc>
        <w:tc>
          <w:tcPr>
            <w:tcW w:w="3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597</w:t>
            </w: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INCOME (LOSS) FOR THE PERIOD</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9"/>
              </w:rPr>
              <w:t>$(105,253)</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(49,235)</w:t>
            </w:r>
          </w:p>
        </w:tc>
        <w:tc>
          <w:tcPr>
            <w:tcW w:w="1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(33,432)</w:t>
            </w:r>
          </w:p>
        </w:tc>
        <w:tc>
          <w:tcPr>
            <w:tcW w:w="1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39,467</w:t>
            </w:r>
          </w:p>
        </w:tc>
        <w:tc>
          <w:tcPr>
            <w:tcW w:w="1860" w:type="dxa"/>
            <w:vAlign w:val="bottom"/>
            <w:gridSpan w:val="3"/>
          </w:tcPr>
          <w:p>
            <w:pPr>
              <w:jc w:val="right"/>
              <w:ind w:right="821"/>
              <w:spacing w:after="0"/>
              <w:rPr>
                <w:sz w:val="20"/>
                <w:szCs w:val="20"/>
                <w:color w:val="auto"/>
              </w:rPr>
            </w:pPr>
            <w:r>
              <w:rPr>
                <w:rFonts w:ascii="Courier New" w:cs="Courier New" w:eastAsia="Courier New" w:hAnsi="Courier New"/>
                <w:sz w:val="12"/>
                <w:szCs w:val="12"/>
                <w:color w:val="auto"/>
              </w:rPr>
              <w:t>$ (86,928)</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BASIC EARNING (LOSS) PER ORDINARY SHARE</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EARNING (LOSS) PER SHARE</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(0.90)</w:t>
            </w:r>
          </w:p>
        </w:tc>
        <w:tc>
          <w:tcPr>
            <w:tcW w:w="50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(0.63)</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(0.27)</w:t>
            </w:r>
          </w:p>
        </w:tc>
        <w:tc>
          <w:tcPr>
            <w:tcW w:w="1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0.46</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rPr>
              <w:t>(1.05)</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INCOME (LOSS) USED TO COMPUTE</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BASIC EARNING (LOSS) PER SHARE</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(105,253)</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(49,235)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(33,432)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39,467</w:t>
            </w:r>
          </w:p>
        </w:tc>
        <w:tc>
          <w:tcPr>
            <w:tcW w:w="340" w:type="dxa"/>
            <w:vAlign w:val="bottom"/>
          </w:tcPr>
          <w:p>
            <w:pPr>
              <w:spacing w:after="0"/>
              <w:rPr>
                <w:sz w:val="11"/>
                <w:szCs w:val="11"/>
                <w:color w:val="auto"/>
              </w:rPr>
            </w:pP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rPr>
              <w:t>(86,928)</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WEIGHTED AVERAGE NUMBER OF ORDINARY</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SHARES OUTSTANDING - IN THOUSANDS</w:t>
            </w:r>
          </w:p>
        </w:tc>
        <w:tc>
          <w:tcPr>
            <w:tcW w:w="1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117,084</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78,607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123,970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85,087</w:t>
            </w: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82,581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DILUTED EARNING (LOSS) PER ORDINARY SHARE</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EARNING (LOSS) PER SHARE</w:t>
            </w:r>
          </w:p>
        </w:tc>
        <w:tc>
          <w:tcPr>
            <w:tcW w:w="1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(0.90)</w:t>
            </w:r>
          </w:p>
        </w:tc>
        <w:tc>
          <w:tcPr>
            <w:tcW w:w="500" w:type="dxa"/>
            <w:vAlign w:val="bottom"/>
          </w:tcPr>
          <w:p>
            <w:pPr>
              <w:ind w:left="360"/>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(0.63)</w:t>
            </w:r>
          </w:p>
        </w:tc>
        <w:tc>
          <w:tcPr>
            <w:tcW w:w="10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(0.27)</w:t>
            </w:r>
          </w:p>
        </w:tc>
        <w:tc>
          <w:tcPr>
            <w:tcW w:w="1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0.30</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rPr>
              <w:t>(1.05)</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INCOME (LOSS) USED TO COMPUTE</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DILUTED EARNING (LOSS) PER SHARE</w:t>
            </w:r>
          </w:p>
        </w:tc>
        <w:tc>
          <w:tcPr>
            <w:tcW w:w="7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(105,253)</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(49,235)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2"/>
                <w:szCs w:val="12"/>
                <w:color w:val="auto"/>
              </w:rPr>
              <w:t>(33,432)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41,433</w:t>
            </w:r>
          </w:p>
        </w:tc>
        <w:tc>
          <w:tcPr>
            <w:tcW w:w="340" w:type="dxa"/>
            <w:vAlign w:val="bottom"/>
          </w:tcPr>
          <w:p>
            <w:pPr>
              <w:spacing w:after="0"/>
              <w:rPr>
                <w:sz w:val="11"/>
                <w:szCs w:val="11"/>
                <w:color w:val="auto"/>
              </w:rPr>
            </w:pPr>
          </w:p>
        </w:tc>
        <w:tc>
          <w:tcPr>
            <w:tcW w:w="1520" w:type="dxa"/>
            <w:vAlign w:val="bottom"/>
            <w:gridSpan w:val="2"/>
          </w:tcPr>
          <w:p>
            <w:pPr>
              <w:jc w:val="right"/>
              <w:ind w:right="821"/>
              <w:spacing w:after="0"/>
              <w:rPr>
                <w:sz w:val="20"/>
                <w:szCs w:val="20"/>
                <w:color w:val="auto"/>
              </w:rPr>
            </w:pPr>
            <w:r>
              <w:rPr>
                <w:rFonts w:ascii="Courier New" w:cs="Courier New" w:eastAsia="Courier New" w:hAnsi="Courier New"/>
                <w:sz w:val="12"/>
                <w:szCs w:val="12"/>
                <w:color w:val="auto"/>
              </w:rPr>
              <w:t>(86,928)</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ind w:left="280"/>
              <w:spacing w:after="0"/>
              <w:rPr>
                <w:sz w:val="20"/>
                <w:szCs w:val="20"/>
                <w:color w:val="auto"/>
              </w:rPr>
            </w:pPr>
            <w:r>
              <w:rPr>
                <w:rFonts w:ascii="Courier New" w:cs="Courier New" w:eastAsia="Courier New" w:hAnsi="Courier New"/>
                <w:sz w:val="12"/>
                <w:szCs w:val="12"/>
                <w:color w:val="auto"/>
              </w:rPr>
              <w:t>WEIGHTED AVERAGE NUMBER OF ORDINARY</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ind w:left="480"/>
              <w:spacing w:after="0"/>
              <w:rPr>
                <w:sz w:val="20"/>
                <w:szCs w:val="20"/>
                <w:color w:val="auto"/>
              </w:rPr>
            </w:pPr>
            <w:r>
              <w:rPr>
                <w:rFonts w:ascii="Courier New" w:cs="Courier New" w:eastAsia="Courier New" w:hAnsi="Courier New"/>
                <w:sz w:val="12"/>
                <w:szCs w:val="12"/>
                <w:color w:val="auto"/>
              </w:rPr>
              <w:t>SHARES OUTSTANDING - IN THOUSANDS</w:t>
            </w:r>
          </w:p>
        </w:tc>
        <w:tc>
          <w:tcPr>
            <w:tcW w:w="1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117,084</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78,607</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123,970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139,214</w:t>
            </w:r>
          </w:p>
        </w:tc>
        <w:tc>
          <w:tcPr>
            <w:tcW w:w="3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2"/>
                <w:szCs w:val="12"/>
                <w:color w:val="auto"/>
              </w:rPr>
              <w:t>82,581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7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98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w w:val="98"/>
              </w:rPr>
              <w:t>SEE NOTES TO CONSOLIDATED INTERIM FINANCIAL STATEMENTS.</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405"/>
        </w:trPr>
        <w:tc>
          <w:tcPr>
            <w:tcW w:w="3180" w:type="dxa"/>
            <w:vAlign w:val="bottom"/>
          </w:tcPr>
          <w:p>
            <w:pPr>
              <w:ind w:left="2600"/>
              <w:spacing w:after="0"/>
              <w:rPr>
                <w:sz w:val="20"/>
                <w:szCs w:val="20"/>
                <w:color w:val="auto"/>
              </w:rPr>
            </w:pPr>
            <w:r>
              <w:rPr>
                <w:rFonts w:ascii="Courier New" w:cs="Courier New" w:eastAsia="Courier New" w:hAnsi="Courier New"/>
                <w:sz w:val="12"/>
                <w:szCs w:val="12"/>
                <w:color w:val="auto"/>
              </w:rPr>
              <w:t>- 2 -</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22"/>
        </w:trPr>
        <w:tc>
          <w:tcPr>
            <w:tcW w:w="3920" w:type="dxa"/>
            <w:vAlign w:val="bottom"/>
            <w:gridSpan w:val="3"/>
          </w:tcPr>
          <w:p>
            <w:pPr>
              <w:jc w:val="center"/>
              <w:ind w:left="1621"/>
              <w:spacing w:after="0"/>
              <w:rPr>
                <w:sz w:val="20"/>
                <w:szCs w:val="20"/>
                <w:color w:val="auto"/>
              </w:rPr>
            </w:pPr>
            <w:r>
              <w:rPr>
                <w:rFonts w:ascii="Courier New" w:cs="Courier New" w:eastAsia="Courier New" w:hAnsi="Courier New"/>
                <w:sz w:val="12"/>
                <w:szCs w:val="12"/>
                <w:color w:val="auto"/>
                <w:w w:val="97"/>
              </w:rPr>
              <w:t>TOWER SEMICONDUCTOR LTD.</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35"/>
        </w:trPr>
        <w:tc>
          <w:tcPr>
            <w:tcW w:w="4980" w:type="dxa"/>
            <w:vAlign w:val="bottom"/>
            <w:gridSpan w:val="5"/>
          </w:tcPr>
          <w:p>
            <w:pPr>
              <w:ind w:left="900"/>
              <w:spacing w:after="0"/>
              <w:rPr>
                <w:sz w:val="20"/>
                <w:szCs w:val="20"/>
                <w:color w:val="auto"/>
              </w:rPr>
            </w:pPr>
            <w:r>
              <w:rPr>
                <w:rFonts w:ascii="Courier New" w:cs="Courier New" w:eastAsia="Courier New" w:hAnsi="Courier New"/>
                <w:sz w:val="12"/>
                <w:szCs w:val="12"/>
                <w:color w:val="auto"/>
              </w:rPr>
              <w:t>STATEMENTS OF CHANGES IN SHAREHOLDERS' EQUITY (DEFICIT)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80" w:type="dxa"/>
            <w:vAlign w:val="bottom"/>
            <w:gridSpan w:val="5"/>
          </w:tcPr>
          <w:p>
            <w:pPr>
              <w:jc w:val="center"/>
              <w:ind w:left="561"/>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EQUITY</w:t>
            </w: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60"/>
              <w:spacing w:after="0"/>
              <w:rPr>
                <w:sz w:val="20"/>
                <w:szCs w:val="20"/>
                <w:color w:val="auto"/>
              </w:rPr>
            </w:pPr>
            <w:r>
              <w:rPr>
                <w:rFonts w:ascii="Courier New" w:cs="Courier New" w:eastAsia="Courier New" w:hAnsi="Courier New"/>
                <w:sz w:val="12"/>
                <w:szCs w:val="12"/>
                <w:color w:val="auto"/>
              </w:rPr>
              <w:t>COMPONENT</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280"/>
              <w:spacing w:after="0"/>
              <w:rPr>
                <w:sz w:val="20"/>
                <w:szCs w:val="20"/>
                <w:color w:val="auto"/>
              </w:rPr>
            </w:pPr>
            <w:r>
              <w:rPr>
                <w:rFonts w:ascii="Courier New" w:cs="Courier New" w:eastAsia="Courier New" w:hAnsi="Courier New"/>
                <w:sz w:val="12"/>
                <w:szCs w:val="12"/>
                <w:color w:val="auto"/>
              </w:rPr>
              <w:t>OF</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CONVERTIBLE</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60"/>
              <w:spacing w:after="0"/>
              <w:rPr>
                <w:sz w:val="20"/>
                <w:szCs w:val="20"/>
                <w:color w:val="auto"/>
              </w:rPr>
            </w:pPr>
            <w:r>
              <w:rPr>
                <w:rFonts w:ascii="Courier New" w:cs="Courier New" w:eastAsia="Courier New" w:hAnsi="Courier New"/>
                <w:sz w:val="12"/>
                <w:szCs w:val="12"/>
                <w:color w:val="auto"/>
              </w:rPr>
              <w:t>DEBENTURES</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ind w:left="280"/>
              <w:spacing w:after="0"/>
              <w:rPr>
                <w:sz w:val="20"/>
                <w:szCs w:val="20"/>
                <w:color w:val="auto"/>
              </w:rPr>
            </w:pPr>
            <w:r>
              <w:rPr>
                <w:rFonts w:ascii="Courier New" w:cs="Courier New" w:eastAsia="Courier New" w:hAnsi="Courier New"/>
                <w:sz w:val="12"/>
                <w:szCs w:val="12"/>
                <w:color w:val="auto"/>
              </w:rPr>
              <w:t>AND</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gridSpan w:val="4"/>
          </w:tcPr>
          <w:p>
            <w:pPr>
              <w:ind w:left="360"/>
              <w:spacing w:after="0"/>
              <w:rPr>
                <w:sz w:val="20"/>
                <w:szCs w:val="20"/>
                <w:color w:val="auto"/>
              </w:rPr>
            </w:pPr>
            <w:r>
              <w:rPr>
                <w:rFonts w:ascii="Courier New" w:cs="Courier New" w:eastAsia="Courier New" w:hAnsi="Courier New"/>
                <w:sz w:val="12"/>
                <w:szCs w:val="12"/>
                <w:color w:val="auto"/>
              </w:rPr>
              <w:t>ORDINARY SHARES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4"/>
              </w:rPr>
              <w:t>ADDITIONAL</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20"/>
                <w:szCs w:val="20"/>
                <w:color w:val="auto"/>
              </w:rPr>
            </w:pPr>
            <w:r>
              <w:rPr>
                <w:rFonts w:ascii="Courier New" w:cs="Courier New" w:eastAsia="Courier New" w:hAnsi="Courier New"/>
                <w:sz w:val="12"/>
                <w:szCs w:val="12"/>
                <w:color w:val="auto"/>
              </w:rPr>
              <w:t>CUMULATIVE</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00" w:type="dxa"/>
            <w:vAlign w:val="bottom"/>
            <w:gridSpan w:val="6"/>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9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PAID-IN</w:t>
            </w: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CAPITAL</w:t>
            </w:r>
          </w:p>
        </w:tc>
        <w:tc>
          <w:tcPr>
            <w:tcW w:w="940" w:type="dxa"/>
            <w:vAlign w:val="bottom"/>
          </w:tcPr>
          <w:p>
            <w:pPr>
              <w:spacing w:after="0"/>
              <w:rPr>
                <w:sz w:val="20"/>
                <w:szCs w:val="20"/>
                <w:color w:val="auto"/>
              </w:rPr>
            </w:pPr>
            <w:r>
              <w:rPr>
                <w:rFonts w:ascii="Courier New" w:cs="Courier New" w:eastAsia="Courier New" w:hAnsi="Courier New"/>
                <w:sz w:val="12"/>
                <w:szCs w:val="12"/>
                <w:color w:val="auto"/>
              </w:rPr>
              <w:t>STOCK BASED</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ACCUMULATED</w:t>
            </w:r>
          </w:p>
        </w:tc>
        <w:tc>
          <w:tcPr>
            <w:tcW w:w="1040" w:type="dxa"/>
            <w:vAlign w:val="bottom"/>
            <w:gridSpan w:val="2"/>
          </w:tcPr>
          <w:p>
            <w:pPr>
              <w:ind w:left="160"/>
              <w:spacing w:after="0"/>
              <w:rPr>
                <w:sz w:val="20"/>
                <w:szCs w:val="20"/>
                <w:color w:val="auto"/>
              </w:rPr>
            </w:pPr>
            <w:r>
              <w:rPr>
                <w:rFonts w:ascii="Courier New" w:cs="Courier New" w:eastAsia="Courier New" w:hAnsi="Courier New"/>
                <w:sz w:val="12"/>
                <w:szCs w:val="12"/>
                <w:color w:val="auto"/>
              </w:rPr>
              <w:t>TREASURY</w:t>
            </w: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Courier New" w:cs="Courier New" w:eastAsia="Courier New" w:hAnsi="Courier New"/>
                <w:sz w:val="12"/>
                <w:szCs w:val="12"/>
                <w:color w:val="auto"/>
                <w:w w:val="92"/>
              </w:rPr>
              <w:t>SHARES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461"/>
              <w:spacing w:after="0"/>
              <w:rPr>
                <w:sz w:val="20"/>
                <w:szCs w:val="20"/>
                <w:color w:val="auto"/>
              </w:rPr>
            </w:pPr>
            <w:r>
              <w:rPr>
                <w:rFonts w:ascii="Courier New" w:cs="Courier New" w:eastAsia="Courier New" w:hAnsi="Courier New"/>
                <w:sz w:val="12"/>
                <w:szCs w:val="12"/>
                <w:color w:val="auto"/>
              </w:rPr>
              <w:t>AMOUNT</w:t>
            </w:r>
          </w:p>
        </w:tc>
        <w:tc>
          <w:tcPr>
            <w:tcW w:w="120" w:type="dxa"/>
            <w:vAlign w:val="bottom"/>
          </w:tcPr>
          <w:p>
            <w:pPr>
              <w:spacing w:after="0"/>
              <w:rPr>
                <w:sz w:val="11"/>
                <w:szCs w:val="11"/>
                <w:color w:val="auto"/>
              </w:rPr>
            </w:pPr>
          </w:p>
        </w:tc>
        <w:tc>
          <w:tcPr>
            <w:tcW w:w="9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CAPITAL</w:t>
            </w:r>
          </w:p>
        </w:tc>
        <w:tc>
          <w:tcPr>
            <w:tcW w:w="9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NOTES</w:t>
            </w:r>
          </w:p>
        </w:tc>
        <w:tc>
          <w:tcPr>
            <w:tcW w:w="940" w:type="dxa"/>
            <w:vAlign w:val="bottom"/>
          </w:tcPr>
          <w:p>
            <w:pPr>
              <w:spacing w:after="0"/>
              <w:rPr>
                <w:sz w:val="20"/>
                <w:szCs w:val="20"/>
                <w:color w:val="auto"/>
              </w:rPr>
            </w:pPr>
            <w:r>
              <w:rPr>
                <w:rFonts w:ascii="Courier New" w:cs="Courier New" w:eastAsia="Courier New" w:hAnsi="Courier New"/>
                <w:sz w:val="12"/>
                <w:szCs w:val="12"/>
                <w:color w:val="auto"/>
              </w:rPr>
              <w:t>COMPENSATION</w:t>
            </w:r>
          </w:p>
        </w:tc>
        <w:tc>
          <w:tcPr>
            <w:tcW w:w="10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DEFICIT</w:t>
            </w:r>
          </w:p>
        </w:tc>
        <w:tc>
          <w:tcPr>
            <w:tcW w:w="280" w:type="dxa"/>
            <w:vAlign w:val="bottom"/>
          </w:tcPr>
          <w:p>
            <w:pPr>
              <w:spacing w:after="0"/>
              <w:rPr>
                <w:sz w:val="11"/>
                <w:szCs w:val="11"/>
                <w:color w:val="auto"/>
              </w:rPr>
            </w:pPr>
          </w:p>
        </w:tc>
        <w:tc>
          <w:tcPr>
            <w:tcW w:w="760" w:type="dxa"/>
            <w:vAlign w:val="bottom"/>
          </w:tcPr>
          <w:p>
            <w:pPr>
              <w:jc w:val="right"/>
              <w:ind w:right="321"/>
              <w:spacing w:after="0"/>
              <w:rPr>
                <w:sz w:val="20"/>
                <w:szCs w:val="20"/>
                <w:color w:val="auto"/>
              </w:rPr>
            </w:pPr>
            <w:r>
              <w:rPr>
                <w:rFonts w:ascii="Courier New" w:cs="Courier New" w:eastAsia="Courier New" w:hAnsi="Courier New"/>
                <w:sz w:val="12"/>
                <w:szCs w:val="12"/>
                <w:color w:val="auto"/>
                <w:w w:val="99"/>
              </w:rPr>
              <w:t>STOCK</w:t>
            </w: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2007</w:t>
            </w:r>
          </w:p>
        </w:tc>
        <w:tc>
          <w:tcPr>
            <w:tcW w:w="180" w:type="dxa"/>
            <w:vAlign w:val="bottom"/>
          </w:tcPr>
          <w:p>
            <w:pPr>
              <w:spacing w:after="0"/>
              <w:rPr>
                <w:sz w:val="23"/>
                <w:szCs w:val="23"/>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102,052,767</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24,187</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564,580</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$ 176,401</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$ 23,576</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(646,682)</w:t>
            </w:r>
          </w:p>
        </w:tc>
        <w:tc>
          <w:tcPr>
            <w:tcW w:w="2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270"/>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rPr>
              <w:t>CHANGES DURING THE NINE-MONTH PERIOD (UNAUDITED):</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w w:val="94"/>
              </w:rPr>
              <w:t>22,705,598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5,398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28,345</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w w:val="96"/>
              </w:rPr>
              <w:t>CONVERSION OF CONVERTIBLE DEBENTURES INTO SHARES</w:t>
            </w: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549,184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131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523</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(240)</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5,977</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EXERCISE OF SHARE OPTIONS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26,124</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5</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30</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STOCK-BASED COMPENSATION (SEE NOTE 3C)</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1,331</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(105,253)</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w w:val="97"/>
              </w:rPr>
              <w:t>BALANCE - SEPTEMBER 30, 2007 (UNAUDITED)</w:t>
            </w: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125,333,673</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29,721</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594,809</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$ 176,401</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$ 29,313</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(751,935)</w:t>
            </w:r>
          </w:p>
        </w:tc>
        <w:tc>
          <w:tcPr>
            <w:tcW w:w="2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2006</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w w:val="94"/>
              </w:rPr>
              <w:t>68,232,056</w:t>
            </w:r>
          </w:p>
        </w:tc>
        <w:tc>
          <w:tcPr>
            <w:tcW w:w="100" w:type="dxa"/>
            <w:vAlign w:val="bottom"/>
          </w:tcPr>
          <w:p>
            <w:pPr>
              <w:spacing w:after="0"/>
              <w:rPr>
                <w:sz w:val="23"/>
                <w:szCs w:val="23"/>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16,548</w:t>
            </w:r>
          </w:p>
        </w:tc>
        <w:tc>
          <w:tcPr>
            <w:tcW w:w="120" w:type="dxa"/>
            <w:vAlign w:val="bottom"/>
          </w:tcPr>
          <w:p>
            <w:pPr>
              <w:spacing w:after="0"/>
              <w:rPr>
                <w:sz w:val="23"/>
                <w:szCs w:val="23"/>
                <w:color w:val="auto"/>
              </w:rPr>
            </w:pP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522,237</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(559,754)</w:t>
            </w:r>
          </w:p>
        </w:tc>
        <w:tc>
          <w:tcPr>
            <w:tcW w:w="28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spacing w:after="0"/>
              <w:rPr>
                <w:sz w:val="23"/>
                <w:szCs w:val="23"/>
                <w:color w:val="auto"/>
              </w:rPr>
            </w:pPr>
          </w:p>
        </w:tc>
      </w:tr>
      <w:tr>
        <w:trPr>
          <w:trHeight w:val="270"/>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rPr>
              <w:t>CHANGES DURING THE NINE-MONTH PERIOD (UNAUDITED):</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3,910,514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6,933</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27,985</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w w:val="96"/>
              </w:rPr>
              <w:t>CONVERSION OF CONVERTIBLE DEBENTURES INTO SHARES</w:t>
            </w: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w w:val="94"/>
              </w:rPr>
              <w:t>14,931,280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94"/>
              </w:rPr>
              <w:t>3,273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2"/>
              </w:rPr>
              <w:t>13,039</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(6,920)</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2,355</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350,000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81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469</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THE FACILITY AGREEMENT WITH THE BANKS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4,146</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176,401</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(49,235)</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w w:val="97"/>
              </w:rPr>
              <w:t>BALANCE - SEPTEMBER 30, 2006 (UNAUDITED)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w w:val="94"/>
              </w:rPr>
              <w:t>87,423,850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20,744</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546,824</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$ 176,401</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$ 23,394</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(608,989)</w:t>
            </w:r>
          </w:p>
        </w:tc>
        <w:tc>
          <w:tcPr>
            <w:tcW w:w="2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rPr>
              <w:t>BALANCE - JULY 1, 2007</w:t>
            </w:r>
          </w:p>
        </w:tc>
        <w:tc>
          <w:tcPr>
            <w:tcW w:w="180" w:type="dxa"/>
            <w:vAlign w:val="bottom"/>
          </w:tcPr>
          <w:p>
            <w:pPr>
              <w:spacing w:after="0"/>
              <w:rPr>
                <w:sz w:val="23"/>
                <w:szCs w:val="23"/>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123,495,958</w:t>
            </w:r>
          </w:p>
        </w:tc>
        <w:tc>
          <w:tcPr>
            <w:tcW w:w="100" w:type="dxa"/>
            <w:vAlign w:val="bottom"/>
          </w:tcPr>
          <w:p>
            <w:pPr>
              <w:spacing w:after="0"/>
              <w:rPr>
                <w:sz w:val="23"/>
                <w:szCs w:val="23"/>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29,283</w:t>
            </w:r>
          </w:p>
        </w:tc>
        <w:tc>
          <w:tcPr>
            <w:tcW w:w="120" w:type="dxa"/>
            <w:vAlign w:val="bottom"/>
          </w:tcPr>
          <w:p>
            <w:pPr>
              <w:spacing w:after="0"/>
              <w:rPr>
                <w:sz w:val="23"/>
                <w:szCs w:val="23"/>
                <w:color w:val="auto"/>
              </w:rPr>
            </w:pP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586,265</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176,401</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27,700</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(718,503)</w:t>
            </w:r>
          </w:p>
        </w:tc>
        <w:tc>
          <w:tcPr>
            <w:tcW w:w="28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spacing w:after="0"/>
              <w:rPr>
                <w:sz w:val="23"/>
                <w:szCs w:val="23"/>
                <w:color w:val="auto"/>
              </w:rPr>
            </w:pPr>
          </w:p>
        </w:tc>
      </w:tr>
      <w:tr>
        <w:trPr>
          <w:trHeight w:val="270"/>
        </w:trPr>
        <w:tc>
          <w:tcPr>
            <w:tcW w:w="3920" w:type="dxa"/>
            <w:vAlign w:val="bottom"/>
            <w:gridSpan w:val="3"/>
          </w:tcPr>
          <w:p>
            <w:pPr>
              <w:spacing w:after="0"/>
              <w:rPr>
                <w:sz w:val="20"/>
                <w:szCs w:val="20"/>
                <w:color w:val="auto"/>
              </w:rPr>
            </w:pPr>
            <w:r>
              <w:rPr>
                <w:rFonts w:ascii="Courier New" w:cs="Courier New" w:eastAsia="Courier New" w:hAnsi="Courier New"/>
                <w:sz w:val="12"/>
                <w:szCs w:val="12"/>
                <w:color w:val="auto"/>
              </w:rPr>
              <w:t>CHANGES DURING THE THREE-MONTH PERIOD (UNAUDITED):</w:t>
            </w: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1,782,610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425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7,161</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w w:val="96"/>
              </w:rPr>
              <w:t>CONVERSION OF CONVERTIBLE DEBENTURES INTO SHARES</w:t>
            </w: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50,356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12</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48</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1,636</w:t>
            </w: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4,749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1</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STOCK-BASED COMPENSATION (SEE NOTE 3C)</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1,331</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Courier New" w:cs="Courier New" w:eastAsia="Courier New" w:hAnsi="Courier New"/>
                <w:sz w:val="12"/>
                <w:szCs w:val="12"/>
                <w:color w:val="auto"/>
              </w:rPr>
              <w:t>LOSS FOR THE PERIOD</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(33,432)</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w w:val="97"/>
              </w:rPr>
              <w:t>BALANCE - SEPTEMBER 30, 2007 (UNAUDITED)</w:t>
            </w: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125,333,673</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29,721</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594,809</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$ 176,401</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$ 29,313</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(751,935)</w:t>
            </w:r>
          </w:p>
        </w:tc>
        <w:tc>
          <w:tcPr>
            <w:tcW w:w="280" w:type="dxa"/>
            <w:vAlign w:val="bottom"/>
          </w:tcPr>
          <w:p>
            <w:pPr>
              <w:ind w:left="160"/>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3"/>
          </w:tcPr>
          <w:p>
            <w:pPr>
              <w:jc w:val="right"/>
              <w:ind w:right="241"/>
              <w:spacing w:after="0"/>
              <w:rPr>
                <w:sz w:val="20"/>
                <w:szCs w:val="20"/>
                <w:color w:val="auto"/>
              </w:rPr>
            </w:pPr>
            <w:r>
              <w:rPr>
                <w:rFonts w:ascii="Courier New" w:cs="Courier New" w:eastAsia="Courier New" w:hAnsi="Courier New"/>
                <w:sz w:val="12"/>
                <w:szCs w:val="12"/>
                <w:color w:val="auto"/>
                <w:w w:val="95"/>
              </w:rPr>
              <w:t>===========</w:t>
            </w:r>
          </w:p>
        </w:tc>
        <w:tc>
          <w:tcPr>
            <w:tcW w:w="11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180" w:type="dxa"/>
            <w:vAlign w:val="bottom"/>
          </w:tcPr>
          <w:p>
            <w:pPr>
              <w:ind w:left="340"/>
              <w:spacing w:after="0"/>
              <w:rPr>
                <w:sz w:val="20"/>
                <w:szCs w:val="20"/>
                <w:color w:val="auto"/>
              </w:rPr>
            </w:pPr>
            <w:r>
              <w:rPr>
                <w:rFonts w:ascii="Courier New" w:cs="Courier New" w:eastAsia="Courier New" w:hAnsi="Courier New"/>
                <w:sz w:val="12"/>
                <w:szCs w:val="12"/>
                <w:color w:val="auto"/>
              </w:rPr>
              <w:t>BALANCE - JULY 1, 2006</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w w:val="94"/>
              </w:rPr>
              <w:t>85,768,622</w:t>
            </w:r>
          </w:p>
        </w:tc>
        <w:tc>
          <w:tcPr>
            <w:tcW w:w="100" w:type="dxa"/>
            <w:vAlign w:val="bottom"/>
          </w:tcPr>
          <w:p>
            <w:pPr>
              <w:spacing w:after="0"/>
              <w:rPr>
                <w:sz w:val="23"/>
                <w:szCs w:val="23"/>
                <w:color w:val="auto"/>
              </w:rPr>
            </w:pPr>
          </w:p>
        </w:tc>
        <w:tc>
          <w:tcPr>
            <w:tcW w:w="98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20,366</w:t>
            </w:r>
          </w:p>
        </w:tc>
        <w:tc>
          <w:tcPr>
            <w:tcW w:w="120" w:type="dxa"/>
            <w:vAlign w:val="bottom"/>
          </w:tcPr>
          <w:p>
            <w:pPr>
              <w:spacing w:after="0"/>
              <w:rPr>
                <w:sz w:val="23"/>
                <w:szCs w:val="23"/>
                <w:color w:val="auto"/>
              </w:rPr>
            </w:pPr>
          </w:p>
        </w:tc>
        <w:tc>
          <w:tcPr>
            <w:tcW w:w="98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540,885</w:t>
            </w:r>
          </w:p>
        </w:tc>
        <w:tc>
          <w:tcPr>
            <w:tcW w:w="340" w:type="dxa"/>
            <w:vAlign w:val="bottom"/>
          </w:tcPr>
          <w:p>
            <w:pPr>
              <w:spacing w:after="0"/>
              <w:rPr>
                <w:sz w:val="23"/>
                <w:szCs w:val="23"/>
                <w:color w:val="auto"/>
              </w:rPr>
            </w:pPr>
          </w:p>
        </w:tc>
        <w:tc>
          <w:tcPr>
            <w:tcW w:w="5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20,381</w:t>
            </w:r>
          </w:p>
        </w:tc>
        <w:tc>
          <w:tcPr>
            <w:tcW w:w="10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(648,456)</w:t>
            </w:r>
          </w:p>
        </w:tc>
        <w:tc>
          <w:tcPr>
            <w:tcW w:w="280" w:type="dxa"/>
            <w:vAlign w:val="bottom"/>
          </w:tcPr>
          <w:p>
            <w:pPr>
              <w:spacing w:after="0"/>
              <w:rPr>
                <w:sz w:val="23"/>
                <w:szCs w:val="23"/>
                <w:color w:val="auto"/>
              </w:rPr>
            </w:pPr>
          </w:p>
        </w:tc>
        <w:tc>
          <w:tcPr>
            <w:tcW w:w="7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(9,072)</w:t>
            </w:r>
          </w:p>
        </w:tc>
        <w:tc>
          <w:tcPr>
            <w:tcW w:w="400" w:type="dxa"/>
            <w:vAlign w:val="bottom"/>
          </w:tcPr>
          <w:p>
            <w:pPr>
              <w:spacing w:after="0"/>
              <w:rPr>
                <w:sz w:val="23"/>
                <w:szCs w:val="23"/>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CHANGES DURING THE THREE-MONTH PERIOD (UNAUDITED):</w:t>
      </w:r>
    </w:p>
    <w:p>
      <w:pPr>
        <w:sectPr>
          <w:pgSz w:w="11900" w:h="16838" w:orient="portrait"/>
          <w:cols w:equalWidth="0" w:num="1">
            <w:col w:w="11520"/>
          </w:cols>
          <w:pgMar w:left="220" w:top="272" w:right="1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6"/>
        </w:trPr>
        <w:tc>
          <w:tcPr>
            <w:tcW w:w="386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472,438</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105</w:t>
            </w: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580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1,624</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INTO SHARES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832,790</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192</w:t>
            </w: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744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(385)</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1,774</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350,000</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469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THE FACILITY AGREEMENT WITH THE BANKS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4,146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176,401</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INCOME FOR THE PERIOD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39,467</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BALANCE - SEPTEMBER 30, 2006 (UNAUDITED)</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87,423,850</w:t>
            </w:r>
          </w:p>
        </w:tc>
        <w:tc>
          <w:tcPr>
            <w:tcW w:w="3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20,744</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546,824</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$ 176,401</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w w:val="92"/>
              </w:rPr>
              <w:t>23,394</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(608,989)</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BALANCE - JANUARY 1, 2006</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68,232,056</w:t>
            </w:r>
          </w:p>
        </w:tc>
        <w:tc>
          <w:tcPr>
            <w:tcW w:w="3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16,548</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522,237</w:t>
            </w:r>
          </w:p>
        </w:tc>
        <w:tc>
          <w:tcPr>
            <w:tcW w:w="12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(26)</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(559,754)</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CHANGES DURING 2006 :</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16,729,145</w:t>
            </w:r>
          </w:p>
        </w:tc>
        <w:tc>
          <w:tcPr>
            <w:tcW w:w="3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3,860</w:t>
            </w:r>
          </w:p>
        </w:tc>
        <w:tc>
          <w:tcPr>
            <w:tcW w:w="560" w:type="dxa"/>
            <w:vAlign w:val="bottom"/>
          </w:tcPr>
          <w:p>
            <w:pPr>
              <w:spacing w:after="0"/>
              <w:rPr>
                <w:sz w:val="23"/>
                <w:szCs w:val="23"/>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23,038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EQUITY COMPONENT OF CONVERTIBLE DEBENTURES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w w:val="92"/>
              </w:rPr>
              <w:t>27,997</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INTO SHARES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16,734,316</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3,696</w:t>
            </w: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14,681</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1"/>
              </w:rPr>
              <w:t>(7,758)</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3,363</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7,250</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350,000</w:t>
            </w:r>
          </w:p>
        </w:tc>
        <w:tc>
          <w:tcPr>
            <w:tcW w:w="3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81</w:t>
            </w: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469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THE FACILITY AGREEMENT WITH THE BANKS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4,146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w w:val="99"/>
              </w:rPr>
              <w:t>176,401</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(86,928)</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BALANCE - DECEMBER 31, 2006</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102,052,767</w:t>
            </w:r>
          </w:p>
        </w:tc>
        <w:tc>
          <w:tcPr>
            <w:tcW w:w="3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24,187</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564,580</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$ 176,401</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w w:val="92"/>
              </w:rPr>
              <w:t>23,576</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(646,682)</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(9,072)</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r>
      <w:tr>
        <w:trPr>
          <w:trHeight w:val="135"/>
        </w:trPr>
        <w:tc>
          <w:tcPr>
            <w:tcW w:w="38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w w:val="93"/>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98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22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2"/>
                <w:szCs w:val="12"/>
                <w:color w:val="auto"/>
                <w:w w:val="92"/>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2"/>
                <w:szCs w:val="12"/>
                <w:color w:val="auto"/>
                <w:w w:val="96"/>
              </w:rPr>
              <w:t>SEE NOTES TO CONSOLIDATED INTERIM FINANCIAL STATEMENTS.</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05"/>
        </w:trPr>
        <w:tc>
          <w:tcPr>
            <w:tcW w:w="3860" w:type="dxa"/>
            <w:vAlign w:val="bottom"/>
          </w:tcPr>
          <w:p>
            <w:pPr>
              <w:ind w:left="2600"/>
              <w:spacing w:after="0"/>
              <w:rPr>
                <w:sz w:val="20"/>
                <w:szCs w:val="20"/>
                <w:color w:val="auto"/>
              </w:rPr>
            </w:pPr>
            <w:r>
              <w:rPr>
                <w:rFonts w:ascii="Courier New" w:cs="Courier New" w:eastAsia="Courier New" w:hAnsi="Courier New"/>
                <w:sz w:val="12"/>
                <w:szCs w:val="12"/>
                <w:color w:val="auto"/>
              </w:rPr>
              <w:t>- 3 -</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22"/>
        </w:trPr>
        <w:tc>
          <w:tcPr>
            <w:tcW w:w="4940" w:type="dxa"/>
            <w:vAlign w:val="bottom"/>
            <w:gridSpan w:val="2"/>
          </w:tcPr>
          <w:p>
            <w:pPr>
              <w:ind w:left="1460"/>
              <w:spacing w:after="0"/>
              <w:rPr>
                <w:sz w:val="20"/>
                <w:szCs w:val="20"/>
                <w:color w:val="auto"/>
              </w:rPr>
            </w:pPr>
            <w:r>
              <w:rPr>
                <w:rFonts w:ascii="Courier New" w:cs="Courier New" w:eastAsia="Courier New" w:hAnsi="Courier New"/>
                <w:sz w:val="12"/>
                <w:szCs w:val="12"/>
                <w:color w:val="auto"/>
              </w:rPr>
              <w:t>TOWER SEMICONDUCTOR LTD. AND SUBSIDIARY</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35"/>
        </w:trPr>
        <w:tc>
          <w:tcPr>
            <w:tcW w:w="494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CONSOLIDATED STATEMENTS OF CASH FLOWS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700"/>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Courier New" w:cs="Courier New" w:eastAsia="Courier New" w:hAnsi="Courier New"/>
                <w:sz w:val="12"/>
                <w:szCs w:val="12"/>
                <w:color w:val="auto"/>
              </w:rPr>
              <w:t>NINE MONTHS ENDED</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gridSpan w:val="3"/>
          </w:tcPr>
          <w:p>
            <w:pPr>
              <w:spacing w:after="0"/>
              <w:rPr>
                <w:sz w:val="20"/>
                <w:szCs w:val="20"/>
                <w:color w:val="auto"/>
              </w:rPr>
            </w:pPr>
            <w:r>
              <w:rPr>
                <w:rFonts w:ascii="Courier New" w:cs="Courier New" w:eastAsia="Courier New" w:hAnsi="Courier New"/>
                <w:sz w:val="12"/>
                <w:szCs w:val="12"/>
                <w:color w:val="auto"/>
              </w:rPr>
              <w:t>THREE MONTHS ENDED</w:t>
            </w:r>
          </w:p>
        </w:tc>
        <w:tc>
          <w:tcPr>
            <w:tcW w:w="1060" w:type="dxa"/>
            <w:vAlign w:val="bottom"/>
            <w:gridSpan w:val="2"/>
          </w:tcPr>
          <w:p>
            <w:pPr>
              <w:jc w:val="center"/>
              <w:ind w:left="301"/>
              <w:spacing w:after="0"/>
              <w:rPr>
                <w:sz w:val="20"/>
                <w:szCs w:val="20"/>
                <w:color w:val="auto"/>
              </w:rPr>
            </w:pPr>
            <w:r>
              <w:rPr>
                <w:rFonts w:ascii="Courier New" w:cs="Courier New" w:eastAsia="Courier New" w:hAnsi="Courier New"/>
                <w:sz w:val="12"/>
                <w:szCs w:val="12"/>
                <w:color w:val="auto"/>
                <w:w w:val="97"/>
              </w:rPr>
              <w:t>YEAR ENDED</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gridSpan w:val="2"/>
          </w:tcPr>
          <w:p>
            <w:pPr>
              <w:jc w:val="right"/>
              <w:ind w:right="281"/>
              <w:spacing w:after="0"/>
              <w:rPr>
                <w:sz w:val="20"/>
                <w:szCs w:val="20"/>
                <w:color w:val="auto"/>
              </w:rPr>
            </w:pPr>
            <w:r>
              <w:rPr>
                <w:rFonts w:ascii="Courier New" w:cs="Courier New" w:eastAsia="Courier New" w:hAnsi="Courier New"/>
                <w:sz w:val="12"/>
                <w:szCs w:val="12"/>
                <w:color w:val="auto"/>
              </w:rPr>
              <w:t>SEPTEMBER 30,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gridSpan w:val="3"/>
          </w:tcPr>
          <w:p>
            <w:pPr>
              <w:ind w:left="220"/>
              <w:spacing w:after="0"/>
              <w:rPr>
                <w:sz w:val="20"/>
                <w:szCs w:val="20"/>
                <w:color w:val="auto"/>
              </w:rPr>
            </w:pPr>
            <w:r>
              <w:rPr>
                <w:rFonts w:ascii="Courier New" w:cs="Courier New" w:eastAsia="Courier New" w:hAnsi="Courier New"/>
                <w:sz w:val="12"/>
                <w:szCs w:val="12"/>
                <w:color w:val="auto"/>
              </w:rPr>
              <w:t>SEPTEMBER 30,</w:t>
            </w:r>
          </w:p>
        </w:tc>
        <w:tc>
          <w:tcPr>
            <w:tcW w:w="1720" w:type="dxa"/>
            <w:vAlign w:val="bottom"/>
            <w:gridSpan w:val="3"/>
          </w:tcPr>
          <w:p>
            <w:pPr>
              <w:jc w:val="center"/>
              <w:ind w:right="241"/>
              <w:spacing w:after="0"/>
              <w:rPr>
                <w:sz w:val="20"/>
                <w:szCs w:val="20"/>
                <w:color w:val="auto"/>
              </w:rPr>
            </w:pPr>
            <w:r>
              <w:rPr>
                <w:rFonts w:ascii="Courier New" w:cs="Courier New" w:eastAsia="Courier New" w:hAnsi="Courier New"/>
                <w:sz w:val="12"/>
                <w:szCs w:val="12"/>
                <w:color w:val="auto"/>
                <w:w w:val="99"/>
              </w:rPr>
              <w:t>DECEMBER 31,</w:t>
            </w: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206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Courier New" w:cs="Courier New" w:eastAsia="Courier New" w:hAnsi="Courier New"/>
                <w:sz w:val="12"/>
                <w:szCs w:val="12"/>
                <w:color w:val="auto"/>
              </w:rPr>
              <w:t>2007</w:t>
            </w:r>
          </w:p>
        </w:tc>
        <w:tc>
          <w:tcPr>
            <w:tcW w:w="9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Courier New" w:cs="Courier New" w:eastAsia="Courier New" w:hAnsi="Courier New"/>
                <w:sz w:val="12"/>
                <w:szCs w:val="12"/>
                <w:color w:val="auto"/>
              </w:rPr>
              <w:t>2007</w:t>
            </w:r>
          </w:p>
        </w:tc>
        <w:tc>
          <w:tcPr>
            <w:tcW w:w="480" w:type="dxa"/>
            <w:vAlign w:val="bottom"/>
          </w:tcPr>
          <w:p>
            <w:pPr>
              <w:spacing w:after="0"/>
              <w:rPr>
                <w:sz w:val="11"/>
                <w:szCs w:val="11"/>
                <w:color w:val="auto"/>
              </w:rPr>
            </w:pPr>
          </w:p>
        </w:tc>
        <w:tc>
          <w:tcPr>
            <w:tcW w:w="5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2006</w:t>
            </w:r>
          </w:p>
        </w:tc>
        <w:tc>
          <w:tcPr>
            <w:tcW w:w="500" w:type="dxa"/>
            <w:vAlign w:val="bottom"/>
          </w:tcPr>
          <w:p>
            <w:pPr>
              <w:spacing w:after="0"/>
              <w:rPr>
                <w:sz w:val="11"/>
                <w:szCs w:val="11"/>
                <w:color w:val="auto"/>
              </w:rPr>
            </w:pPr>
          </w:p>
        </w:tc>
        <w:tc>
          <w:tcPr>
            <w:tcW w:w="560" w:type="dxa"/>
            <w:vAlign w:val="bottom"/>
          </w:tcPr>
          <w:p>
            <w:pPr>
              <w:jc w:val="center"/>
              <w:ind w:right="101"/>
              <w:spacing w:after="0"/>
              <w:rPr>
                <w:sz w:val="20"/>
                <w:szCs w:val="20"/>
                <w:color w:val="auto"/>
              </w:rPr>
            </w:pPr>
            <w:r>
              <w:rPr>
                <w:rFonts w:ascii="Courier New" w:cs="Courier New" w:eastAsia="Courier New" w:hAnsi="Courier New"/>
                <w:sz w:val="12"/>
                <w:szCs w:val="12"/>
                <w:color w:val="auto"/>
                <w:w w:val="97"/>
              </w:rPr>
              <w:t>2006</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6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(UNAUDITED)</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3"/>
              </w:rPr>
              <w:t>(UNAUDITED)</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206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INCOME (LOSS) FOR THE PERIOD</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$(105,253)</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(49,235)</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(33,432)</w:t>
            </w: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39,467</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(86,928)</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PERIOD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TO NET CASH PROVIDED BY (USED IN) OPERATING ACTIVITIES: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48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DEPRECIATION AND AMORTIZATION</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120,048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124,655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37,718</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42,064</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170,816</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EFFECT OF INDEXATION AND TRANSLATION ON DEBENTURES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3,883</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2,500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3,705</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1,404</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2,569</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WRITE DOWN OF CUSTOMER ADVANCE</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(3,000)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(3,000)</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OTHER INCOME, NET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(597)</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(597)</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GAIN ON DEBT RESTRUCTURING</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(80,071)</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(80,071)</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(80,071)</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rPr>
              <w:t>CHANGES IN ASSETS AND LIABILITIES: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70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(8,800)</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(8,860)</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5,178</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(4,010)</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(14,722)</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5260" w:type="dxa"/>
            <w:vAlign w:val="bottom"/>
            <w:gridSpan w:val="3"/>
          </w:tcPr>
          <w:p>
            <w:pPr>
              <w:ind w:left="620"/>
              <w:spacing w:after="0"/>
              <w:rPr>
                <w:sz w:val="20"/>
                <w:szCs w:val="20"/>
                <w:color w:val="auto"/>
              </w:rPr>
            </w:pPr>
            <w:r>
              <w:rPr>
                <w:rFonts w:ascii="Courier New" w:cs="Courier New" w:eastAsia="Courier New" w:hAnsi="Courier New"/>
                <w:sz w:val="12"/>
                <w:szCs w:val="12"/>
                <w:color w:val="auto"/>
                <w:w w:val="98"/>
              </w:rPr>
              <w:t>DECREASE (INCREASE) IN OTHER RECEIVABLES AND OTHER CURRENT ASSETS</w:t>
            </w: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3,180</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(9,496)</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1,804</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(7,640)</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(2,662)</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INVENTORIES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(1,929)</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(12,449)</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1,000</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(3,526)</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(14,064)</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w w:val="99"/>
              </w:rPr>
              <w:t>INCREASE (DECREASE) IN TRADE ACCOUNTS PAYABLE</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8,711</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(3,583)</w:t>
            </w:r>
          </w:p>
        </w:tc>
        <w:tc>
          <w:tcPr>
            <w:tcW w:w="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(8,409)</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(6,064)</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(4,734)</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(2,402)</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3,736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(1,309)</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1,623</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6,551</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620"/>
              <w:spacing w:after="0"/>
              <w:rPr>
                <w:sz w:val="20"/>
                <w:szCs w:val="20"/>
                <w:color w:val="auto"/>
              </w:rPr>
            </w:pPr>
            <w:r>
              <w:rPr>
                <w:rFonts w:ascii="Courier New" w:cs="Courier New" w:eastAsia="Courier New" w:hAnsi="Courier New"/>
                <w:sz w:val="12"/>
                <w:szCs w:val="12"/>
                <w:color w:val="auto"/>
              </w:rPr>
              <w:t>INCREASE (DECREASE) IN OTHER LONG-TERM LIABILITIES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(1,752)</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606</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(3,285)</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14,193</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(35,152)</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3,861</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(16,832)</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(27,127)</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620"/>
              <w:spacing w:after="0"/>
              <w:rPr>
                <w:sz w:val="20"/>
                <w:szCs w:val="20"/>
                <w:color w:val="auto"/>
              </w:rPr>
            </w:pPr>
            <w:r>
              <w:rPr>
                <w:rFonts w:ascii="Courier New" w:cs="Courier New" w:eastAsia="Courier New" w:hAnsi="Courier New"/>
                <w:sz w:val="12"/>
                <w:szCs w:val="12"/>
                <w:color w:val="auto"/>
                <w:w w:val="97"/>
              </w:rPr>
              <w:t>DECREASE IN LONG-TERM CUSTOMERS' ADVANCES, NET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(1,222)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(1,504)</w:t>
            </w:r>
          </w:p>
        </w:tc>
        <w:tc>
          <w:tcPr>
            <w:tcW w:w="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(300)</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(690)</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(2,306)</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760"/>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12,971</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(36,656)</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3,561</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(17,522)</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(29,433)</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494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DECREASE IN DESIGNATED CASH, SHORT-TERM AND LONG-TERM</w:t>
            </w: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31,661</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2,909</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31,661</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(67,827)</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(109,772)</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(18,039)</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(77,085)</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(161,187)</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1,568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4,489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131</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1,191</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5,219</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600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600</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(911)</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(4,168)</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(618)</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(5,074)</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DECREASE (INCREASE) IN SHORT-TERM INTEREST-BEARING DEPOSITS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(1,230)</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INVESTING ACTIVITIES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(65,851)</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(77,190)</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(17,908)</w:t>
            </w:r>
          </w:p>
        </w:tc>
        <w:tc>
          <w:tcPr>
            <w:tcW w:w="4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(73,594)</w:t>
            </w:r>
          </w:p>
        </w:tc>
        <w:tc>
          <w:tcPr>
            <w:tcW w:w="10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(130,011)</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494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DEBENTURES AND WARRANTS, NET</w:t>
            </w: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37,410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58,797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37,410</w:t>
            </w:r>
          </w:p>
        </w:tc>
        <w:tc>
          <w:tcPr>
            <w:tcW w:w="4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36,937</w:t>
            </w:r>
          </w:p>
        </w:tc>
        <w:tc>
          <w:tcPr>
            <w:tcW w:w="5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58,766</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DEBT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15,384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6,794</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18,295</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REPAYMENT OF LONG-TERM DEBT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(1,125)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(1,125)</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PROCEEDS FROM ISSUANCE OF ORDINARY SHARES AND WARRANTS, NET</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26,538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(66)</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20,673</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A WARRANT</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550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550</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550</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SHARE CAPITAL</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100,000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100,000</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100,000</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REPAYMENT OF DEBEBNTURE</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(7,088)</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(6,476)</w:t>
            </w: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(6,476)</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76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55,770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168,255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36,224</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5"/>
              </w:rPr>
              <w:t>144,281</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191,817</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rPr>
              <w:t>INCREASE  IN CASH AND CASH EQUIVALENTS</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2,890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54,409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21,877</w:t>
            </w:r>
          </w:p>
        </w:tc>
        <w:tc>
          <w:tcPr>
            <w:tcW w:w="4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53,165</w:t>
            </w:r>
          </w:p>
        </w:tc>
        <w:tc>
          <w:tcPr>
            <w:tcW w:w="500" w:type="dxa"/>
            <w:vAlign w:val="bottom"/>
          </w:tcPr>
          <w:p>
            <w:pPr>
              <w:spacing w:after="0"/>
              <w:rPr>
                <w:sz w:val="23"/>
                <w:szCs w:val="23"/>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32,373</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PERIOD</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39,710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7,337</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20,723</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8,581</w:t>
            </w:r>
          </w:p>
        </w:tc>
        <w:tc>
          <w:tcPr>
            <w:tcW w:w="5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7,337</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 - END OF PERIOD</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42,600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  61,746</w:t>
            </w:r>
          </w:p>
        </w:tc>
        <w:tc>
          <w:tcPr>
            <w:tcW w:w="120" w:type="dxa"/>
            <w:vAlign w:val="bottom"/>
          </w:tcPr>
          <w:p>
            <w:pPr>
              <w:spacing w:after="0"/>
              <w:rPr>
                <w:sz w:val="23"/>
                <w:szCs w:val="23"/>
                <w:color w:val="auto"/>
              </w:rPr>
            </w:pPr>
          </w:p>
        </w:tc>
        <w:tc>
          <w:tcPr>
            <w:tcW w:w="5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42,600</w:t>
            </w:r>
          </w:p>
        </w:tc>
        <w:tc>
          <w:tcPr>
            <w:tcW w:w="4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61,746</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39,710</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386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15,313</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32,952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7,817</w:t>
            </w:r>
          </w:p>
        </w:tc>
        <w:tc>
          <w:tcPr>
            <w:tcW w:w="4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26,562</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42,575</w:t>
            </w: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340"/>
              <w:spacing w:after="0"/>
              <w:rPr>
                <w:sz w:val="20"/>
                <w:szCs w:val="20"/>
                <w:color w:val="auto"/>
              </w:rPr>
            </w:pPr>
            <w:r>
              <w:rPr>
                <w:rFonts w:ascii="Courier New" w:cs="Courier New" w:eastAsia="Courier New" w:hAnsi="Courier New"/>
                <w:sz w:val="12"/>
                <w:szCs w:val="12"/>
                <w:color w:val="auto"/>
              </w:rPr>
              <w:t>THE FACILITY AGREEMENT WITH THE BANKS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4,146</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4,146</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(SEE NOTE 3C)</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1,331</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1,331</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spacing w:after="0"/>
              <w:rPr>
                <w:sz w:val="11"/>
                <w:szCs w:val="11"/>
                <w:color w:val="auto"/>
              </w:rPr>
            </w:pPr>
          </w:p>
        </w:tc>
        <w:tc>
          <w:tcPr>
            <w:tcW w:w="5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433</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4940" w:type="dxa"/>
            <w:vAlign w:val="bottom"/>
            <w:gridSpan w:val="2"/>
          </w:tcPr>
          <w:p>
            <w:pPr>
              <w:ind w:left="200"/>
              <w:spacing w:after="0"/>
              <w:rPr>
                <w:sz w:val="20"/>
                <w:szCs w:val="20"/>
                <w:color w:val="auto"/>
              </w:rPr>
            </w:pPr>
            <w:r>
              <w:rPr>
                <w:rFonts w:ascii="Courier New" w:cs="Courier New" w:eastAsia="Courier New" w:hAnsi="Courier New"/>
                <w:sz w:val="12"/>
                <w:szCs w:val="12"/>
                <w:color w:val="auto"/>
                <w:w w:val="97"/>
              </w:rPr>
              <w:t>CONVERSION OF LONG-TERM LIABILITY IN RESPECT OF CUSTOMERS' ADVANCES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r>
    </w:tbl>
    <w:p>
      <w:pPr>
        <w:sectPr>
          <w:pgSz w:w="11900" w:h="16838" w:orient="portrait"/>
          <w:cols w:equalWidth="0" w:num="1">
            <w:col w:w="11520"/>
          </w:cols>
          <w:pgMar w:left="220" w:top="137" w:right="1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740" w:type="dxa"/>
            <w:vAlign w:val="bottom"/>
          </w:tcPr>
          <w:p>
            <w:pPr>
              <w:ind w:left="340"/>
              <w:spacing w:after="0"/>
              <w:rPr>
                <w:sz w:val="20"/>
                <w:szCs w:val="20"/>
                <w:color w:val="auto"/>
              </w:rPr>
            </w:pPr>
            <w:r>
              <w:rPr>
                <w:rFonts w:ascii="Courier New" w:cs="Courier New" w:eastAsia="Courier New" w:hAnsi="Courier New"/>
                <w:sz w:val="12"/>
                <w:szCs w:val="12"/>
                <w:color w:val="auto"/>
              </w:rPr>
              <w:t>TO SHARE CAPITAL</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6,414</w:t>
            </w:r>
          </w:p>
        </w:tc>
      </w:tr>
      <w:tr>
        <w:trPr>
          <w:trHeight w:val="135"/>
        </w:trPr>
        <w:tc>
          <w:tcPr>
            <w:tcW w:w="474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40" w:type="dxa"/>
            <w:vAlign w:val="bottom"/>
          </w:tcPr>
          <w:p>
            <w:pPr>
              <w:ind w:left="200"/>
              <w:spacing w:after="0"/>
              <w:rPr>
                <w:sz w:val="20"/>
                <w:szCs w:val="20"/>
                <w:color w:val="auto"/>
              </w:rPr>
            </w:pPr>
            <w:r>
              <w:rPr>
                <w:rFonts w:ascii="Courier New" w:cs="Courier New" w:eastAsia="Courier New" w:hAnsi="Courier New"/>
                <w:sz w:val="12"/>
                <w:szCs w:val="12"/>
                <w:color w:val="auto"/>
              </w:rPr>
              <w:t>PROCEEDS RECEIVABLES RELATED PUBLIC OFFERING</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13,932</w:t>
            </w:r>
          </w:p>
        </w:tc>
      </w:tr>
      <w:tr>
        <w:trPr>
          <w:trHeight w:val="135"/>
        </w:trPr>
        <w:tc>
          <w:tcPr>
            <w:tcW w:w="474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40" w:type="dxa"/>
            <w:vAlign w:val="bottom"/>
          </w:tcPr>
          <w:p>
            <w:pPr>
              <w:ind w:left="200"/>
              <w:spacing w:after="0"/>
              <w:rPr>
                <w:sz w:val="20"/>
                <w:szCs w:val="20"/>
                <w:color w:val="auto"/>
              </w:rPr>
            </w:pPr>
            <w:r>
              <w:rPr>
                <w:rFonts w:ascii="Courier New" w:cs="Courier New" w:eastAsia="Courier New" w:hAnsi="Courier New"/>
                <w:sz w:val="12"/>
                <w:szCs w:val="12"/>
                <w:color w:val="auto"/>
              </w:rPr>
              <w:t>CONVERSION OF CONVERTIBLE DEBENTURES TO SHARE CAPITAL</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414</w:t>
            </w:r>
          </w:p>
        </w:tc>
      </w:tr>
      <w:tr>
        <w:trPr>
          <w:trHeight w:val="135"/>
        </w:trPr>
        <w:tc>
          <w:tcPr>
            <w:tcW w:w="474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4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4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74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0"/>
        </w:trPr>
        <w:tc>
          <w:tcPr>
            <w:tcW w:w="474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PERIOD FOR INTEREST</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19,600</w:t>
            </w:r>
          </w:p>
        </w:tc>
      </w:tr>
      <w:tr>
        <w:trPr>
          <w:trHeight w:val="135"/>
        </w:trPr>
        <w:tc>
          <w:tcPr>
            <w:tcW w:w="4740" w:type="dxa"/>
            <w:vAlign w:val="bottom"/>
          </w:tcPr>
          <w:p>
            <w:pPr>
              <w:spacing w:after="0"/>
              <w:rPr>
                <w:sz w:val="11"/>
                <w:szCs w:val="1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74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PERIOD FOR INCOME TAXES</w:t>
            </w:r>
          </w:p>
        </w:tc>
        <w:tc>
          <w:tcPr>
            <w:tcW w:w="9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43</w:t>
            </w:r>
          </w:p>
        </w:tc>
      </w:tr>
    </w:tbl>
    <w:p>
      <w:pPr>
        <w:jc w:val="right"/>
        <w:spacing w:after="0"/>
        <w:rPr>
          <w:sz w:val="20"/>
          <w:szCs w:val="20"/>
          <w:color w:val="auto"/>
        </w:rPr>
      </w:pPr>
      <w:r>
        <w:rPr>
          <w:rFonts w:ascii="Courier New" w:cs="Courier New" w:eastAsia="Courier New" w:hAnsi="Courier New"/>
          <w:sz w:val="12"/>
          <w:szCs w:val="12"/>
          <w:color w:val="auto"/>
        </w:rPr>
        <w: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INTERIM FINANCIAL 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- 4 -</w:t>
      </w:r>
    </w:p>
    <w:p>
      <w:pPr>
        <w:spacing w:after="0" w:line="386"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500"/>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3" w:lineRule="exact"/>
        <w:rPr>
          <w:sz w:val="20"/>
          <w:szCs w:val="20"/>
          <w:color w:val="auto"/>
        </w:rPr>
      </w:pPr>
    </w:p>
    <w:p>
      <w:pPr>
        <w:ind w:left="700" w:right="1280" w:firstLine="562"/>
        <w:spacing w:after="0" w:line="273" w:lineRule="auto"/>
        <w:rPr>
          <w:sz w:val="20"/>
          <w:szCs w:val="20"/>
          <w:color w:val="auto"/>
        </w:rPr>
      </w:pPr>
      <w:r>
        <w:rPr>
          <w:rFonts w:ascii="Courier New" w:cs="Courier New" w:eastAsia="Courier New" w:hAnsi="Courier New"/>
          <w:sz w:val="11"/>
          <w:szCs w:val="11"/>
          <w:color w:val="auto"/>
        </w:rPr>
        <w:t>FINANCIAL STATEMENTS AS OF SEPTEMBER 30, 2007 (dollars in thousands, except share data and per share data)</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w:t>
      </w:r>
    </w:p>
    <w:p>
      <w:pPr>
        <w:spacing w:after="0" w:line="134" w:lineRule="exact"/>
        <w:rPr>
          <w:sz w:val="20"/>
          <w:szCs w:val="20"/>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w:t>
      </w:r>
    </w:p>
    <w:p>
      <w:pPr>
        <w:spacing w:after="0" w:line="138" w:lineRule="exact"/>
        <w:rPr>
          <w:rFonts w:ascii="Courier New" w:cs="Courier New" w:eastAsia="Courier New" w:hAnsi="Courier New"/>
          <w:sz w:val="12"/>
          <w:szCs w:val="12"/>
          <w:color w:val="auto"/>
        </w:rPr>
      </w:pPr>
    </w:p>
    <w:p>
      <w:pPr>
        <w:ind w:left="1040" w:right="560" w:hanging="345"/>
        <w:spacing w:after="0" w:line="261" w:lineRule="auto"/>
        <w:tabs>
          <w:tab w:leader="none" w:pos="1040" w:val="left"/>
        </w:tabs>
        <w:numPr>
          <w:ilvl w:val="1"/>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unaudited condensed interim consolidated financial statements as of September 30, 2007 and for the nine months then ended ("interim financial statements") of Tower Semiconductor Ltd. and subsidiary ("the Company") should be read in conjunction with the audited consolidated financial statements of the Company as of December 31, 2006 and for the year then ended, including the notes thereto. In the opinion of management, the interim financial statements include all adjustments necessary for a fair presentation of the financial position and results of operations as of the date and for the interim periods presented. The results of operations for the interim periods are not necessarily indicative of the results to be expected on a full-year basis.</w:t>
      </w:r>
    </w:p>
    <w:p>
      <w:pPr>
        <w:spacing w:after="0" w:line="130" w:lineRule="exact"/>
        <w:rPr>
          <w:rFonts w:ascii="Courier New" w:cs="Courier New" w:eastAsia="Courier New" w:hAnsi="Courier New"/>
          <w:sz w:val="11"/>
          <w:szCs w:val="11"/>
          <w:color w:val="auto"/>
        </w:rPr>
      </w:pPr>
    </w:p>
    <w:p>
      <w:pPr>
        <w:ind w:left="1040" w:right="560" w:hanging="345"/>
        <w:spacing w:after="0" w:line="261" w:lineRule="auto"/>
        <w:tabs>
          <w:tab w:leader="none" w:pos="1040" w:val="left"/>
        </w:tabs>
        <w:numPr>
          <w:ilvl w:val="1"/>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interim financial statements have been prepared in conformity with generally accepted accounting principles ("GAAP") in Israel ("Israeli GAAP"). The interim financial statements differ in certain respects from GAAP in the United States of America ("U.S. GAAP"), as indicated in Note 4. The accounting principles applied in the preparation of these interim financial statements are consistent with those principles applied in the preparation of the most recent annual audited financial statements, except for the accounting principles detailed in paragraph 3 below.</w:t>
      </w:r>
    </w:p>
    <w:p>
      <w:pPr>
        <w:spacing w:after="0" w:line="131" w:lineRule="exact"/>
        <w:rPr>
          <w:rFonts w:ascii="Courier New" w:cs="Courier New" w:eastAsia="Courier New" w:hAnsi="Courier New"/>
          <w:sz w:val="11"/>
          <w:szCs w:val="11"/>
          <w:color w:val="auto"/>
        </w:rPr>
      </w:pPr>
    </w:p>
    <w:p>
      <w:pPr>
        <w:ind w:left="1040" w:right="1060" w:hanging="345"/>
        <w:spacing w:after="0" w:line="235" w:lineRule="auto"/>
        <w:tabs>
          <w:tab w:leader="none" w:pos="1040"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w:t>
      </w:r>
    </w:p>
    <w:p>
      <w:pPr>
        <w:spacing w:after="0" w:line="139" w:lineRule="exact"/>
        <w:rPr>
          <w:rFonts w:ascii="Courier New" w:cs="Courier New" w:eastAsia="Courier New" w:hAnsi="Courier New"/>
          <w:sz w:val="12"/>
          <w:szCs w:val="12"/>
          <w:color w:val="auto"/>
        </w:rPr>
      </w:pPr>
    </w:p>
    <w:p>
      <w:pPr>
        <w:ind w:left="1400" w:right="1060" w:hanging="354"/>
        <w:spacing w:after="0" w:line="235" w:lineRule="auto"/>
        <w:tabs>
          <w:tab w:leader="none" w:pos="1400" w:val="left"/>
        </w:tabs>
        <w:numPr>
          <w:ilvl w:val="2"/>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29 "ADOPTION OF INTERNATIONAL FINANCIAL REPORTING STANDARDS"</w:t>
      </w:r>
    </w:p>
    <w:p>
      <w:pPr>
        <w:spacing w:after="0" w:line="139" w:lineRule="exact"/>
        <w:rPr>
          <w:rFonts w:ascii="Courier New" w:cs="Courier New" w:eastAsia="Courier New" w:hAnsi="Courier New"/>
          <w:sz w:val="12"/>
          <w:szCs w:val="12"/>
          <w:color w:val="auto"/>
        </w:rPr>
      </w:pPr>
    </w:p>
    <w:p>
      <w:pPr>
        <w:ind w:left="1400" w:right="640"/>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July 2006, the Israeli Accounting Standards Board published Accounting Standard No. 29 - "Adoption of International Financial Reporting Standards" - IFRS ("the Standard"). According to the Standard, an entity subject to the Israeli Securities Law and authoritative regulations thereunder, excluding foreign corporations, that do not prepare their financial statements in accordance with Israeli GAAP, as defined by the Israeli Securities Law will be required to prepare financial statements in accordance with the IFRS and related interpretations published by the International Accounting Standards Board, for the reporting periods commencing January 1, 2008, including interim periods.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pacing w:after="0" w:line="386"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500"/>
        <w:spacing w:after="0"/>
        <w:rPr>
          <w:sz w:val="20"/>
          <w:szCs w:val="20"/>
          <w:color w:val="auto"/>
        </w:rPr>
      </w:pPr>
      <w:r>
        <w:rPr>
          <w:rFonts w:ascii="Courier New" w:cs="Courier New" w:eastAsia="Courier New" w:hAnsi="Courier New"/>
          <w:sz w:val="12"/>
          <w:szCs w:val="12"/>
          <w:color w:val="auto"/>
        </w:rPr>
        <w:t>NOTES TO UNAUDITED CONDENSED INTERIM CONSOLIDATED</w:t>
      </w:r>
    </w:p>
    <w:p>
      <w:pPr>
        <w:spacing w:after="0" w:line="3" w:lineRule="exact"/>
        <w:rPr>
          <w:sz w:val="20"/>
          <w:szCs w:val="20"/>
          <w:color w:val="auto"/>
        </w:rPr>
      </w:pPr>
    </w:p>
    <w:p>
      <w:pPr>
        <w:ind w:left="700" w:right="1280" w:firstLine="562"/>
        <w:spacing w:after="0" w:line="273" w:lineRule="auto"/>
        <w:rPr>
          <w:sz w:val="20"/>
          <w:szCs w:val="20"/>
          <w:color w:val="auto"/>
        </w:rPr>
      </w:pPr>
      <w:r>
        <w:rPr>
          <w:rFonts w:ascii="Courier New" w:cs="Courier New" w:eastAsia="Courier New" w:hAnsi="Courier New"/>
          <w:sz w:val="11"/>
          <w:szCs w:val="11"/>
          <w:color w:val="auto"/>
        </w:rPr>
        <w:t>FINANCIAL STATEMENTS AS OF SEPTEMBER 30, 2007 (dollars in thousands, except share data and per share data)</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1060" w:hanging="345"/>
        <w:spacing w:after="0" w:line="235" w:lineRule="auto"/>
        <w:tabs>
          <w:tab w:leader="none" w:pos="1040"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1060" w:hanging="354"/>
        <w:spacing w:after="0" w:line="273" w:lineRule="auto"/>
        <w:tabs>
          <w:tab w:leader="none" w:pos="1400" w:val="left"/>
        </w:tabs>
        <w:numPr>
          <w:ilvl w:val="2"/>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ACCOUNTING STANDARD NO. 29 "ADOPTION OF INTERNATIONAL FINANCIAL REPORTING STANDARDS" (CONT.)</w:t>
      </w:r>
    </w:p>
    <w:p>
      <w:pPr>
        <w:spacing w:after="0" w:line="121" w:lineRule="exact"/>
        <w:rPr>
          <w:rFonts w:ascii="Courier New" w:cs="Courier New" w:eastAsia="Courier New" w:hAnsi="Courier New"/>
          <w:sz w:val="11"/>
          <w:szCs w:val="11"/>
          <w:color w:val="auto"/>
        </w:rPr>
      </w:pPr>
    </w:p>
    <w:p>
      <w:pPr>
        <w:ind w:left="1400" w:right="560"/>
        <w:spacing w:after="0" w:line="261"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An entity adopting IFRS as of January 1, 2008 and electing to report comparative figures in accordance with the IFRS for only 2007, will be required to prepare opening balance-sheet amounts as of January 1, 2007 based on the IFRS. Reporting in accordance with the IFRS will be carried out based on the provisions of IFRS No. 1, "First-time Adoption of IFRS Standards", which establishes guidance on implementing and transitioning from financial reporting based on domestic national accounting standards to reporting in accordance with IFRS. IFRS No. 1 supersedes the transitional provisions established in other IFRSs (including those established in former domestic national accounting standards), stating that all IFRSs should be adopted retroactively for the opening balance-sheet amounts. Nevertheless, IFRS No. 1 grants exemptions on certain issues by allowing the alternative of not applying the retroactive application in respect thereof.</w:t>
      </w:r>
    </w:p>
    <w:p>
      <w:pPr>
        <w:spacing w:after="0" w:line="263" w:lineRule="exact"/>
        <w:rPr>
          <w:rFonts w:ascii="Courier New" w:cs="Courier New" w:eastAsia="Courier New" w:hAnsi="Courier New"/>
          <w:sz w:val="11"/>
          <w:szCs w:val="11"/>
          <w:color w:val="auto"/>
        </w:rPr>
      </w:pPr>
    </w:p>
    <w:p>
      <w:pPr>
        <w:ind w:left="1400" w:right="640"/>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Company, which as a dual listed company can alternatively choose to adopt the US GAAP, is currently in the process of examining the effect of the transition to IFRS or to US GAAP on the Company's financial position and results of operations, and has not yet made any decision in this regard.</w:t>
      </w:r>
    </w:p>
    <w:p>
      <w:pPr>
        <w:spacing w:after="0" w:line="135" w:lineRule="exact"/>
        <w:rPr>
          <w:rFonts w:ascii="Courier New" w:cs="Courier New" w:eastAsia="Courier New" w:hAnsi="Courier New"/>
          <w:sz w:val="11"/>
          <w:szCs w:val="11"/>
          <w:color w:val="auto"/>
        </w:rPr>
      </w:pPr>
    </w:p>
    <w:p>
      <w:pPr>
        <w:ind w:left="1400" w:hanging="354"/>
        <w:spacing w:after="0"/>
        <w:tabs>
          <w:tab w:leader="none" w:pos="1400" w:val="left"/>
        </w:tabs>
        <w:numPr>
          <w:ilvl w:val="2"/>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26 "INVENTORY"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14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5,972</w:t>
            </w:r>
          </w:p>
        </w:tc>
        <w:tc>
          <w:tcPr>
            <w:tcW w:w="36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2,709</w:t>
            </w:r>
          </w:p>
        </w:tc>
        <w:tc>
          <w:tcPr>
            <w:tcW w:w="340" w:type="dxa"/>
            <w:vAlign w:val="bottom"/>
          </w:tcPr>
          <w:p>
            <w:pPr>
              <w:spacing w:after="0"/>
              <w:rPr>
                <w:sz w:val="11"/>
                <w:szCs w:val="11"/>
                <w:color w:val="auto"/>
              </w:rPr>
            </w:pP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685</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7,621</w:t>
            </w:r>
          </w:p>
        </w:tc>
      </w:tr>
      <w:tr>
        <w:trPr>
          <w:trHeight w:val="135"/>
        </w:trPr>
        <w:tc>
          <w:tcPr>
            <w:tcW w:w="8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2"/>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13,932</w:t>
            </w:r>
          </w:p>
        </w:tc>
        <w:tc>
          <w:tcPr>
            <w:tcW w:w="340" w:type="dxa"/>
            <w:vAlign w:val="bottom"/>
          </w:tcPr>
          <w:p>
            <w:pPr>
              <w:spacing w:after="0"/>
              <w:rPr>
                <w:sz w:val="11"/>
                <w:szCs w:val="11"/>
                <w:color w:val="auto"/>
              </w:rPr>
            </w:pP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8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2"/>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9,392</w:t>
            </w:r>
          </w:p>
        </w:tc>
        <w:tc>
          <w:tcPr>
            <w:tcW w:w="36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37</w:t>
            </w:r>
          </w:p>
        </w:tc>
        <w:tc>
          <w:tcPr>
            <w:tcW w:w="340" w:type="dxa"/>
            <w:vAlign w:val="bottom"/>
          </w:tcPr>
          <w:p>
            <w:pPr>
              <w:spacing w:after="0"/>
              <w:rPr>
                <w:sz w:val="11"/>
                <w:szCs w:val="11"/>
                <w:color w:val="auto"/>
              </w:rPr>
            </w:pP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551</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10,619</w:t>
            </w:r>
          </w:p>
        </w:tc>
      </w:tr>
      <w:tr>
        <w:trPr>
          <w:trHeight w:val="135"/>
        </w:trPr>
        <w:tc>
          <w:tcPr>
            <w:tcW w:w="8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2"/>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76,401</w:t>
            </w:r>
          </w:p>
        </w:tc>
        <w:tc>
          <w:tcPr>
            <w:tcW w:w="360" w:type="dxa"/>
            <w:vAlign w:val="bottom"/>
          </w:tcPr>
          <w:p>
            <w:pPr>
              <w:spacing w:after="0"/>
              <w:rPr>
                <w:sz w:val="11"/>
                <w:szCs w:val="11"/>
                <w:color w:val="auto"/>
              </w:rPr>
            </w:pP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76,401</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76,401</w:t>
            </w:r>
          </w:p>
        </w:tc>
      </w:tr>
      <w:tr>
        <w:trPr>
          <w:trHeight w:val="135"/>
        </w:trPr>
        <w:tc>
          <w:tcPr>
            <w:tcW w:w="8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2"/>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540"/>
        </w:trPr>
        <w:tc>
          <w:tcPr>
            <w:tcW w:w="140" w:type="dxa"/>
            <w:vAlign w:val="bottom"/>
          </w:tcPr>
          <w:p>
            <w:pPr>
              <w:jc w:val="right"/>
              <w:ind w:right="24"/>
              <w:spacing w:after="0"/>
              <w:rPr>
                <w:sz w:val="20"/>
                <w:szCs w:val="20"/>
                <w:color w:val="auto"/>
              </w:rPr>
            </w:pPr>
            <w:r>
              <w:rPr>
                <w:rFonts w:ascii="Courier New" w:cs="Courier New" w:eastAsia="Courier New" w:hAnsi="Courier New"/>
                <w:sz w:val="9"/>
                <w:szCs w:val="9"/>
                <w:color w:val="auto"/>
                <w:w w:val="73"/>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28,611</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6,224</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7,819</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35,008</w:t>
            </w:r>
          </w:p>
        </w:tc>
      </w:tr>
      <w:tr>
        <w:trPr>
          <w:trHeight w:val="135"/>
        </w:trPr>
        <w:tc>
          <w:tcPr>
            <w:tcW w:w="8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2"/>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0" w:type="dxa"/>
            <w:vAlign w:val="bottom"/>
          </w:tcPr>
          <w:p>
            <w:pPr>
              <w:jc w:val="right"/>
              <w:ind w:right="24"/>
              <w:spacing w:after="0"/>
              <w:rPr>
                <w:sz w:val="20"/>
                <w:szCs w:val="20"/>
                <w:color w:val="auto"/>
              </w:rPr>
            </w:pPr>
            <w:r>
              <w:rPr>
                <w:rFonts w:ascii="Courier New" w:cs="Courier New" w:eastAsia="Courier New" w:hAnsi="Courier New"/>
                <w:sz w:val="9"/>
                <w:szCs w:val="9"/>
                <w:color w:val="auto"/>
                <w:w w:val="73"/>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126</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70</w:t>
            </w:r>
          </w:p>
        </w:tc>
        <w:tc>
          <w:tcPr>
            <w:tcW w:w="3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r>
      <w:tr>
        <w:trPr>
          <w:trHeight w:val="135"/>
        </w:trPr>
        <w:tc>
          <w:tcPr>
            <w:tcW w:w="84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w w:val="92"/>
              </w:rPr>
              <w:t>=========</w:t>
            </w: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2">
            <w:col w:w="6180" w:space="420"/>
            <w:col w:w="3780"/>
          </w:cols>
          <w:pgMar w:left="220" w:top="137" w:right="1299" w:bottom="0" w:gutter="0" w:footer="0" w:header="0"/>
        </w:sectPr>
      </w:pPr>
    </w:p>
    <w:bookmarkStart w:id="5" w:name="page6"/>
    <w:bookmarkEnd w:id="5"/>
    <w:p>
      <w:pPr>
        <w:ind w:left="1400"/>
        <w:spacing w:after="0"/>
        <w:rPr>
          <w:sz w:val="20"/>
          <w:szCs w:val="20"/>
          <w:color w:val="auto"/>
        </w:rPr>
      </w:pPr>
      <w:r>
        <w:rPr>
          <w:rFonts w:ascii="Courier New" w:cs="Courier New" w:eastAsia="Courier New" w:hAnsi="Courier New"/>
          <w:sz w:val="12"/>
          <w:szCs w:val="12"/>
          <w:color w:val="auto"/>
        </w:rPr>
        <w:t>In August 2006, the Israeli Accounting Standards Board</w:t>
      </w:r>
    </w:p>
    <w:p>
      <w:pPr>
        <w:ind w:left="1400"/>
        <w:spacing w:after="0"/>
        <w:rPr>
          <w:sz w:val="20"/>
          <w:szCs w:val="20"/>
          <w:color w:val="auto"/>
        </w:rPr>
      </w:pPr>
      <w:r>
        <w:rPr>
          <w:rFonts w:ascii="Courier New" w:cs="Courier New" w:eastAsia="Courier New" w:hAnsi="Courier New"/>
          <w:sz w:val="12"/>
          <w:szCs w:val="12"/>
          <w:color w:val="auto"/>
        </w:rPr>
        <w:t>published Accounting Standard No. 26 - "Inventory" ("the</w:t>
      </w:r>
    </w:p>
    <w:p>
      <w:pPr>
        <w:ind w:left="1400"/>
        <w:spacing w:after="0" w:line="237" w:lineRule="auto"/>
        <w:rPr>
          <w:sz w:val="20"/>
          <w:szCs w:val="20"/>
          <w:color w:val="auto"/>
        </w:rPr>
      </w:pPr>
      <w:r>
        <w:rPr>
          <w:rFonts w:ascii="Courier New" w:cs="Courier New" w:eastAsia="Courier New" w:hAnsi="Courier New"/>
          <w:sz w:val="12"/>
          <w:szCs w:val="12"/>
          <w:color w:val="auto"/>
        </w:rPr>
        <w:t>Standard"), which outlines the accounting treatment for</w:t>
      </w:r>
    </w:p>
    <w:p>
      <w:pPr>
        <w:ind w:left="1400"/>
        <w:spacing w:after="0"/>
        <w:rPr>
          <w:sz w:val="20"/>
          <w:szCs w:val="20"/>
          <w:color w:val="auto"/>
        </w:rPr>
      </w:pPr>
      <w:r>
        <w:rPr>
          <w:rFonts w:ascii="Courier New" w:cs="Courier New" w:eastAsia="Courier New" w:hAnsi="Courier New"/>
          <w:sz w:val="12"/>
          <w:szCs w:val="12"/>
          <w:color w:val="auto"/>
        </w:rPr>
        <w:t>inventory. The Standard applies to all types of inventory,</w:t>
      </w:r>
    </w:p>
    <w:p>
      <w:pPr>
        <w:ind w:left="1400"/>
        <w:spacing w:after="0" w:line="237" w:lineRule="auto"/>
        <w:rPr>
          <w:sz w:val="20"/>
          <w:szCs w:val="20"/>
          <w:color w:val="auto"/>
        </w:rPr>
      </w:pPr>
      <w:r>
        <w:rPr>
          <w:rFonts w:ascii="Courier New" w:cs="Courier New" w:eastAsia="Courier New" w:hAnsi="Courier New"/>
          <w:sz w:val="12"/>
          <w:szCs w:val="12"/>
          <w:color w:val="auto"/>
        </w:rPr>
        <w:t>other than building earmarked for sale and addressed by</w:t>
      </w:r>
    </w:p>
    <w:p>
      <w:pPr>
        <w:ind w:left="1400"/>
        <w:spacing w:after="0"/>
        <w:rPr>
          <w:sz w:val="20"/>
          <w:szCs w:val="20"/>
          <w:color w:val="auto"/>
        </w:rPr>
      </w:pPr>
      <w:r>
        <w:rPr>
          <w:rFonts w:ascii="Courier New" w:cs="Courier New" w:eastAsia="Courier New" w:hAnsi="Courier New"/>
          <w:sz w:val="12"/>
          <w:szCs w:val="12"/>
          <w:color w:val="auto"/>
        </w:rPr>
        <w:t>Accounting Standard No.2 ("Construction of Buildings for</w:t>
      </w:r>
    </w:p>
    <w:p>
      <w:pPr>
        <w:ind w:left="1400"/>
        <w:spacing w:after="0" w:line="237" w:lineRule="auto"/>
        <w:rPr>
          <w:sz w:val="20"/>
          <w:szCs w:val="20"/>
          <w:color w:val="auto"/>
        </w:rPr>
      </w:pPr>
      <w:r>
        <w:rPr>
          <w:rFonts w:ascii="Courier New" w:cs="Courier New" w:eastAsia="Courier New" w:hAnsi="Courier New"/>
          <w:sz w:val="12"/>
          <w:szCs w:val="12"/>
          <w:color w:val="auto"/>
        </w:rPr>
        <w:t>Sale"), inventory of work in progress stemming from</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performance contracts, addressed by Accounting Standard No.4</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("Work Based on Performance Contract"), financial</w:t>
      </w:r>
    </w:p>
    <w:p>
      <w:pPr>
        <w:ind w:left="1400"/>
        <w:spacing w:after="0"/>
        <w:rPr>
          <w:sz w:val="20"/>
          <w:szCs w:val="20"/>
          <w:color w:val="auto"/>
        </w:rPr>
      </w:pPr>
      <w:r>
        <w:rPr>
          <w:rFonts w:ascii="Courier New" w:cs="Courier New" w:eastAsia="Courier New" w:hAnsi="Courier New"/>
          <w:sz w:val="12"/>
          <w:szCs w:val="12"/>
          <w:color w:val="auto"/>
        </w:rPr>
        <w:t>instruments and biological assets relating to agricultural</w:t>
      </w:r>
    </w:p>
    <w:p>
      <w:pPr>
        <w:ind w:left="1400"/>
        <w:spacing w:after="0" w:line="237" w:lineRule="auto"/>
        <w:rPr>
          <w:sz w:val="20"/>
          <w:szCs w:val="20"/>
          <w:color w:val="auto"/>
        </w:rPr>
      </w:pPr>
      <w:r>
        <w:rPr>
          <w:rFonts w:ascii="Courier New" w:cs="Courier New" w:eastAsia="Courier New" w:hAnsi="Courier New"/>
          <w:sz w:val="12"/>
          <w:szCs w:val="12"/>
          <w:color w:val="auto"/>
        </w:rPr>
        <w:t>activity and agricultural production during harvest.</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Standard applies to financial statements covering</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periods beginning January 1, 2007 and onwards and should be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implemented retroactively.</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Standard did not affect the Company's financial</w:t>
      </w:r>
    </w:p>
    <w:p>
      <w:pPr>
        <w:ind w:left="1400"/>
        <w:spacing w:after="0"/>
        <w:rPr>
          <w:sz w:val="20"/>
          <w:szCs w:val="20"/>
          <w:color w:val="auto"/>
        </w:rPr>
      </w:pPr>
      <w:r>
        <w:rPr>
          <w:rFonts w:ascii="Courier New" w:cs="Courier New" w:eastAsia="Courier New" w:hAnsi="Courier New"/>
          <w:sz w:val="12"/>
          <w:szCs w:val="12"/>
          <w:color w:val="auto"/>
        </w:rPr>
        <w:t>position, results of operations and cash flows.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jc w:val="center"/>
        <w:ind w:right="4559"/>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27 "FIXED ASSETS"</w:t>
      </w:r>
    </w:p>
    <w:p>
      <w:pPr>
        <w:spacing w:after="0" w:line="138"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September 2006, the Israeli Accounting Standards Board published Accounting Standard No. 27 ("the Standard"), which establishes the accounting treatment for fixed assets, including recognition of assets, determination of their book value, related depreciation, losses from impairment as well as the disclosure required in the financial statements. The Standard states that a fixed-asset item will be measured at the initial recognition date at cost. The cost should also include the initial estimate of costs required to dismantle and remove the item.</w:t>
      </w:r>
    </w:p>
    <w:p>
      <w:pPr>
        <w:spacing w:after="0" w:line="131"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Following the initial recognition, the Standard permits the entity to implement in its accounting policy the measurement of the fixed assets by the cost method or by revaluation so long as this policy is implemented in regard to all the items in that group.</w:t>
      </w:r>
    </w:p>
    <w:p>
      <w:pPr>
        <w:spacing w:after="0" w:line="139" w:lineRule="exact"/>
        <w:rPr>
          <w:rFonts w:ascii="Courier New" w:cs="Courier New" w:eastAsia="Courier New" w:hAnsi="Courier New"/>
          <w:sz w:val="12"/>
          <w:szCs w:val="12"/>
          <w:color w:val="auto"/>
        </w:rPr>
      </w:pPr>
    </w:p>
    <w:p>
      <w:pPr>
        <w:ind w:left="1400" w:right="48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the cost method, an item will be presented at cost less accumulated depreciation net book value, less accumulated impairment losses.</w:t>
      </w:r>
    </w:p>
    <w:p>
      <w:pPr>
        <w:spacing w:after="0" w:line="139" w:lineRule="exact"/>
        <w:rPr>
          <w:rFonts w:ascii="Courier New" w:cs="Courier New" w:eastAsia="Courier New" w:hAnsi="Courier New"/>
          <w:sz w:val="12"/>
          <w:szCs w:val="12"/>
          <w:color w:val="auto"/>
        </w:rPr>
      </w:pPr>
    </w:p>
    <w:p>
      <w:pPr>
        <w:ind w:left="14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the revaluation method, an item whose fair value can be measured reliably will be presented at its estimated amount, which equals its fair value at the revaluation date, net of depreciation accumulated subsequently and less accumulated impairment losses. A resulting increase in an asset's value due to the revaluation should be allocated directly to shareholders' equity ("revaluation reserve").</w:t>
      </w:r>
    </w:p>
    <w:p>
      <w:pPr>
        <w:spacing w:after="0" w:line="128" w:lineRule="exact"/>
        <w:rPr>
          <w:rFonts w:ascii="Courier New" w:cs="Courier New" w:eastAsia="Courier New" w:hAnsi="Courier New"/>
          <w:sz w:val="12"/>
          <w:szCs w:val="12"/>
          <w:color w:val="auto"/>
        </w:rPr>
      </w:pPr>
    </w:p>
    <w:p>
      <w:pPr>
        <w:ind w:left="14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applies to financial statements covering periods beginning January 1, 2007 and onwards and is implemented retroactively. The Standard did not affect the Company's financial position or results of operations, except for reclassification in the balance sheet and cash flows report of spare parts from inventory to fixed assets.</w:t>
      </w:r>
    </w:p>
    <w:p>
      <w:pPr>
        <w:spacing w:after="0" w:line="129" w:lineRule="exact"/>
        <w:rPr>
          <w:rFonts w:ascii="Courier New" w:cs="Courier New" w:eastAsia="Courier New" w:hAnsi="Courier New"/>
          <w:sz w:val="12"/>
          <w:szCs w:val="12"/>
          <w:color w:val="auto"/>
        </w:rPr>
      </w:pPr>
    </w:p>
    <w:p>
      <w:pPr>
        <w:ind w:left="14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April 2007, the Israeli Accounting Standard Board published Standard No. 28 that amends Standard No. 27 to allow, at transition, the exemptions allowed under IFRS 1 regarding fixed assets.</w:t>
      </w:r>
    </w:p>
    <w:p>
      <w:pPr>
        <w:spacing w:after="0" w:line="140" w:lineRule="exact"/>
        <w:rPr>
          <w:rFonts w:ascii="Courier New" w:cs="Courier New" w:eastAsia="Courier New" w:hAnsi="Courier New"/>
          <w:sz w:val="12"/>
          <w:szCs w:val="12"/>
          <w:color w:val="auto"/>
        </w:rPr>
      </w:pPr>
    </w:p>
    <w:p>
      <w:pPr>
        <w:ind w:left="1400" w:right="52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did not affect the Company's financial position, results of operations and cash flows.</w:t>
      </w:r>
    </w:p>
    <w:p>
      <w:pPr>
        <w:spacing w:after="0" w:line="252"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7 -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4899" w:hanging="354"/>
        <w:spacing w:after="0" w:line="273" w:lineRule="auto"/>
        <w:tabs>
          <w:tab w:leader="none" w:pos="1400" w:val="left"/>
        </w:tabs>
        <w:numPr>
          <w:ilvl w:val="2"/>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ACCOUNTING STANDARD NO. 23, "ACCOUNTING FOR TRANSACTIONS BETWEEN AN ENTITY AND A CONTROLLING PARTY"</w:t>
      </w:r>
    </w:p>
    <w:p>
      <w:pPr>
        <w:spacing w:after="0" w:line="121" w:lineRule="exact"/>
        <w:rPr>
          <w:rFonts w:ascii="Courier New" w:cs="Courier New" w:eastAsia="Courier New" w:hAnsi="Courier New"/>
          <w:sz w:val="11"/>
          <w:szCs w:val="11"/>
          <w:color w:val="auto"/>
        </w:rPr>
      </w:pPr>
    </w:p>
    <w:p>
      <w:pPr>
        <w:ind w:left="1400" w:right="461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In December 2006 the Israeli Accounting Standards Board published Accounting Standard No. 23, "Accounting for Transactions between an Entity and a Controlling Party ("the Standard"). The Standard applies to entities subject to the Israeli Securities Law-1968. The Standard establishes the requirements for accounting for transactions between an entity and its controlling party which involve the disposition of an asset, the taking on of a liability, reimbursement or debt concession, and the receiving of loans. The Standard does not apply to business combinations under common control. The Standard stipulates that transactions between an entity and a controlling party will be measured based on fair value; transactions which in nature are owner investments should be reported directly in equity and not be recognized in the controlled entity's profit and loss; the differences between the consideration set in transactions between an entity and a controlling party and their fair value will be allocated directly to equity; and current and deferred taxes pertaining to the items allocated to equity due to transactions with</w:t>
      </w:r>
    </w:p>
    <w:p>
      <w:pPr>
        <w:sectPr>
          <w:pgSz w:w="11900" w:h="16838" w:orient="portrait"/>
          <w:cols w:equalWidth="0" w:num="1">
            <w:col w:w="10239"/>
          </w:cols>
          <w:pgMar w:left="220" w:top="137" w:right="1440" w:bottom="0" w:gutter="0" w:footer="0" w:header="0"/>
        </w:sectPr>
      </w:pPr>
    </w:p>
    <w:bookmarkStart w:id="6" w:name="page7"/>
    <w:bookmarkEnd w:id="6"/>
    <w:p>
      <w:pPr>
        <w:ind w:left="1400"/>
        <w:spacing w:after="0"/>
        <w:rPr>
          <w:sz w:val="20"/>
          <w:szCs w:val="20"/>
          <w:color w:val="auto"/>
        </w:rPr>
      </w:pPr>
      <w:r>
        <w:rPr>
          <w:rFonts w:ascii="Courier New" w:cs="Courier New" w:eastAsia="Courier New" w:hAnsi="Courier New"/>
          <w:sz w:val="11"/>
          <w:szCs w:val="11"/>
          <w:color w:val="auto"/>
        </w:rPr>
        <w:t>controlling parties will be allocated directly to equity as</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well.</w:t>
      </w:r>
    </w:p>
    <w:p>
      <w:pPr>
        <w:spacing w:after="0" w:line="139"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The Standard applies to transactions between an entity and a</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controlling party taking place subsequent to January 1, 2007</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and for loans granted by or given to a controlling party</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prior to the Standard's coming into effect, starting on the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Standard's effective date.</w:t>
      </w:r>
    </w:p>
    <w:p>
      <w:pPr>
        <w:spacing w:after="0" w:line="134"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Standard did not affect the Company's financial</w:t>
      </w:r>
    </w:p>
    <w:p>
      <w:pPr>
        <w:ind w:left="1400"/>
        <w:spacing w:after="0"/>
        <w:rPr>
          <w:sz w:val="20"/>
          <w:szCs w:val="20"/>
          <w:color w:val="auto"/>
        </w:rPr>
      </w:pPr>
      <w:r>
        <w:rPr>
          <w:rFonts w:ascii="Courier New" w:cs="Courier New" w:eastAsia="Courier New" w:hAnsi="Courier New"/>
          <w:sz w:val="12"/>
          <w:szCs w:val="12"/>
          <w:color w:val="auto"/>
        </w:rPr>
        <w:t>position, results of operations and cash flows.</w:t>
      </w:r>
    </w:p>
    <w:p>
      <w:pPr>
        <w:spacing w:after="0" w:line="133" w:lineRule="exact"/>
        <w:rPr>
          <w:sz w:val="20"/>
          <w:szCs w:val="20"/>
          <w:color w:val="auto"/>
        </w:rPr>
      </w:pPr>
    </w:p>
    <w:p>
      <w:pPr>
        <w:ind w:left="1400" w:hanging="354"/>
        <w:spacing w:after="0"/>
        <w:tabs>
          <w:tab w:leader="none" w:pos="14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30 - "INTANGIBLE ASSETS"</w:t>
      </w:r>
    </w:p>
    <w:p>
      <w:pPr>
        <w:spacing w:after="0" w:line="138" w:lineRule="exact"/>
        <w:rPr>
          <w:rFonts w:ascii="Courier New" w:cs="Courier New" w:eastAsia="Courier New" w:hAnsi="Courier New"/>
          <w:sz w:val="12"/>
          <w:szCs w:val="12"/>
          <w:color w:val="auto"/>
        </w:rPr>
      </w:pPr>
    </w:p>
    <w:p>
      <w:pPr>
        <w:ind w:left="14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March 2007, The Israeli Accounting Standards Board published Accounting Standard No. 30, "Intangible Assets" ("the Standard"), which sets the accounting treatment for intangible assets that are not covered by any other standard, as well as the disclosure requirements in the financial statements for the entity's intangible assets.</w:t>
      </w:r>
    </w:p>
    <w:p>
      <w:pPr>
        <w:spacing w:after="0" w:line="26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5119" w:hanging="345"/>
        <w:spacing w:after="0" w:line="235" w:lineRule="auto"/>
        <w:tabs>
          <w:tab w:leader="none" w:pos="1040"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ISRAELI ACCOUNTING STANDARDS BOARD (CONT.)</w:t>
      </w:r>
    </w:p>
    <w:p>
      <w:pPr>
        <w:spacing w:after="0" w:line="139" w:lineRule="exact"/>
        <w:rPr>
          <w:rFonts w:ascii="Courier New" w:cs="Courier New" w:eastAsia="Courier New" w:hAnsi="Courier New"/>
          <w:sz w:val="12"/>
          <w:szCs w:val="12"/>
          <w:color w:val="auto"/>
        </w:rPr>
      </w:pPr>
    </w:p>
    <w:p>
      <w:pPr>
        <w:ind w:left="1400" w:right="4899" w:hanging="354"/>
        <w:spacing w:after="0" w:line="469" w:lineRule="auto"/>
        <w:tabs>
          <w:tab w:leader="none" w:pos="1400" w:val="left"/>
        </w:tabs>
        <w:numPr>
          <w:ilvl w:val="2"/>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STANDARD NO. 30 - "INTANGIBLE ASSETS" (CONT.) According to the Standard:</w:t>
      </w:r>
    </w:p>
    <w:p>
      <w:pPr>
        <w:spacing w:after="0" w:line="4" w:lineRule="exact"/>
        <w:rPr>
          <w:rFonts w:ascii="Courier New" w:cs="Courier New" w:eastAsia="Courier New" w:hAnsi="Courier New"/>
          <w:sz w:val="12"/>
          <w:szCs w:val="12"/>
          <w:color w:val="auto"/>
        </w:rPr>
      </w:pPr>
    </w:p>
    <w:p>
      <w:pPr>
        <w:ind w:left="14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 intangible asset shall be measured initially at cost.</w:t>
      </w:r>
    </w:p>
    <w:p>
      <w:pPr>
        <w:spacing w:after="0" w:line="138" w:lineRule="exact"/>
        <w:rPr>
          <w:rFonts w:ascii="Courier New" w:cs="Courier New" w:eastAsia="Courier New" w:hAnsi="Courier New"/>
          <w:sz w:val="12"/>
          <w:szCs w:val="12"/>
          <w:color w:val="auto"/>
        </w:rPr>
      </w:pPr>
    </w:p>
    <w:p>
      <w:pPr>
        <w:ind w:left="14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Expenditures arising from research (or from the research phase of an internal project) shall not be recognized as an asset and should be expensed when incurred. An intangible asset arising from development (or from the development phase of an internal project) shall be recognized if, and only if, the criteria for recognition as an intangible asset in the Standard are met. Expenditure on an intangible item that was not recognized initially, shall not be recognized as part of the cost of an intangible asset at a later date.</w:t>
      </w:r>
    </w:p>
    <w:p>
      <w:pPr>
        <w:spacing w:after="0" w:line="131" w:lineRule="exact"/>
        <w:rPr>
          <w:rFonts w:ascii="Courier New" w:cs="Courier New" w:eastAsia="Courier New" w:hAnsi="Courier New"/>
          <w:sz w:val="12"/>
          <w:szCs w:val="12"/>
          <w:color w:val="auto"/>
        </w:rPr>
      </w:pPr>
    </w:p>
    <w:p>
      <w:pPr>
        <w:ind w:left="14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After initial recognition, an entity may choose to measure an intangible asset at its cost less any accumulated amortization and any accumulated impairment losses, or for an intangible asset that has an active market, as defined in the Standard, the intangible asset may be carried at a revalued amount, being its fair value at the date of the revaluation less any subsequent accumulated amortization and any subsequent accumulated impairment losses. An entity shall assess whether the useful life of an intangible asset is finite or indefinite. The amortization of an intangible asset with a finite useful life shall be over its useful life using a systematic basis. An intangible asset with an indefinite useful life shall not be amortized. Instead, an entity is required to test an intangible asset with an indefinite useful life for impairment by comparing its recoverable amount with its carrying amount annually, or whenever there is an indication that the intangible asset maybe impaired.</w:t>
      </w:r>
    </w:p>
    <w:p>
      <w:pPr>
        <w:spacing w:after="0" w:line="140" w:lineRule="exact"/>
        <w:rPr>
          <w:rFonts w:ascii="Courier New" w:cs="Courier New" w:eastAsia="Courier New" w:hAnsi="Courier New"/>
          <w:sz w:val="12"/>
          <w:szCs w:val="12"/>
          <w:color w:val="auto"/>
        </w:rPr>
      </w:pPr>
    </w:p>
    <w:p>
      <w:pPr>
        <w:ind w:left="1400" w:right="461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This Standard shall apply to financial statements for annual periods beginning on or after January 1, 2007.</w:t>
      </w:r>
    </w:p>
    <w:p>
      <w:pPr>
        <w:spacing w:after="0" w:line="139" w:lineRule="exact"/>
        <w:rPr>
          <w:rFonts w:ascii="Courier New" w:cs="Courier New" w:eastAsia="Courier New" w:hAnsi="Courier New"/>
          <w:sz w:val="12"/>
          <w:szCs w:val="12"/>
          <w:color w:val="auto"/>
        </w:rPr>
      </w:pPr>
    </w:p>
    <w:p>
      <w:pPr>
        <w:ind w:left="1400" w:right="52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Standard did not affect the Company's financial position, results of operations and cash flows.</w:t>
      </w:r>
    </w:p>
    <w:p>
      <w:pPr>
        <w:spacing w:after="0" w:line="121" w:lineRule="exact"/>
        <w:rPr>
          <w:rFonts w:ascii="Courier New" w:cs="Courier New" w:eastAsia="Courier New" w:hAnsi="Courier New"/>
          <w:sz w:val="12"/>
          <w:szCs w:val="12"/>
          <w:color w:val="auto"/>
        </w:rPr>
      </w:pPr>
    </w:p>
    <w:p>
      <w:pPr>
        <w:ind w:left="1040" w:right="4839" w:hanging="345"/>
        <w:spacing w:after="0" w:line="235" w:lineRule="auto"/>
        <w:tabs>
          <w:tab w:leader="none" w:pos="1040" w:val="left"/>
        </w:tabs>
        <w:numPr>
          <w:ilvl w:val="1"/>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Certain amounts in prior years' financial statements have been reclassified in order to conform to 2007 presentation.</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3"/>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BASIS FOR PRESENTATION (CONT.)</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During the second quarter of 2007, the Company reassessed the estimated useful lives of its machinery and equipment and as a result, with effect from April 1, 2007, machinery and equipment is to be depreciated over estimated useful lives of 7 years rather than 5 years as estimated prior to such date. The change reflects the Company's best estimate of the useful lives of its equipment and was also based on experience accumulated from Fab 1 and on recent trends in industry practices. The Company believes that the change better reflects the economics associated with the ownership of the equipment. This change has been accounted for as a change in estimate and was applied prospectively.</w:t>
      </w:r>
    </w:p>
    <w:p>
      <w:pPr>
        <w:spacing w:after="0" w:line="126"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ESTABLISHMENT AND OPERATIONS OF NEW FABRICATION FACILITY ("FAB 2")</w:t>
      </w:r>
    </w:p>
    <w:p>
      <w:pPr>
        <w:spacing w:after="0" w:line="138" w:lineRule="exact"/>
        <w:rPr>
          <w:rFonts w:ascii="Courier New" w:cs="Courier New" w:eastAsia="Courier New" w:hAnsi="Courier New"/>
          <w:sz w:val="12"/>
          <w:szCs w:val="12"/>
          <w:color w:val="auto"/>
        </w:rPr>
      </w:pPr>
    </w:p>
    <w:p>
      <w:pPr>
        <w:ind w:left="700" w:right="47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w:t>
      </w:r>
    </w:p>
    <w:p>
      <w:pPr>
        <w:ind w:left="70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200-millimeter wafers. In connection with the establishment, equipping and financing of Fab 2, the Company has entered into several related agreements and other arrangements and since 2001 has completed public and private financing transactions. For additional information, see Note 11A to the 2006 audited consolidated financial statements.</w:t>
      </w:r>
    </w:p>
    <w:p>
      <w:pPr>
        <w:spacing w:after="0" w:line="127" w:lineRule="exact"/>
        <w:rPr>
          <w:rFonts w:ascii="Courier New" w:cs="Courier New" w:eastAsia="Courier New" w:hAnsi="Courier New"/>
          <w:sz w:val="12"/>
          <w:szCs w:val="12"/>
          <w:color w:val="auto"/>
        </w:rPr>
      </w:pPr>
    </w:p>
    <w:p>
      <w:pPr>
        <w:ind w:left="700"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Fab 2 project is a complex undertaking, which entails substantial risks and uncertainties. For further details concerning the Fab 2</w:t>
      </w:r>
    </w:p>
    <w:p>
      <w:pPr>
        <w:sectPr>
          <w:pgSz w:w="11900" w:h="16838" w:orient="portrait"/>
          <w:cols w:equalWidth="0" w:num="1">
            <w:col w:w="10239"/>
          </w:cols>
          <w:pgMar w:left="220" w:top="141" w:right="1440" w:bottom="0" w:gutter="0" w:footer="0" w:header="0"/>
        </w:sectPr>
      </w:pPr>
    </w:p>
    <w:bookmarkStart w:id="7" w:name="page8"/>
    <w:bookmarkEnd w:id="7"/>
    <w:p>
      <w:pPr>
        <w:spacing w:after="0" w:line="7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project and related agreements, some of which were amended several</w:t>
      </w:r>
    </w:p>
    <w:p>
      <w:pPr>
        <w:ind w:left="700"/>
        <w:spacing w:after="0"/>
        <w:rPr>
          <w:sz w:val="20"/>
          <w:szCs w:val="20"/>
          <w:color w:val="auto"/>
        </w:rPr>
      </w:pPr>
      <w:r>
        <w:rPr>
          <w:rFonts w:ascii="Courier New" w:cs="Courier New" w:eastAsia="Courier New" w:hAnsi="Courier New"/>
          <w:sz w:val="12"/>
          <w:szCs w:val="12"/>
          <w:color w:val="auto"/>
        </w:rPr>
        <w:t>times, see Note 11A to the 2006 audited consolidated financial</w:t>
      </w:r>
    </w:p>
    <w:p>
      <w:pPr>
        <w:ind w:left="700"/>
        <w:spacing w:after="0" w:line="237" w:lineRule="auto"/>
        <w:rPr>
          <w:sz w:val="20"/>
          <w:szCs w:val="20"/>
          <w:color w:val="auto"/>
        </w:rPr>
      </w:pPr>
      <w:r>
        <w:rPr>
          <w:rFonts w:ascii="Courier New" w:cs="Courier New" w:eastAsia="Courier New" w:hAnsi="Courier New"/>
          <w:sz w:val="12"/>
          <w:szCs w:val="12"/>
          <w:color w:val="auto"/>
        </w:rPr>
        <w:t>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- 10 -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jc w:val="center"/>
        <w:ind w:right="4559"/>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GENERAL (CONT.)</w:t>
      </w:r>
    </w:p>
    <w:p>
      <w:pPr>
        <w:spacing w:after="0" w:line="134" w:lineRule="exact"/>
        <w:rPr>
          <w:sz w:val="20"/>
          <w:szCs w:val="20"/>
          <w:color w:val="auto"/>
        </w:rPr>
      </w:pPr>
    </w:p>
    <w:p>
      <w:pPr>
        <w:ind w:left="700" w:hanging="357"/>
        <w:spacing w:after="0"/>
        <w:tabs>
          <w:tab w:leader="none" w:pos="700"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FINANCING OF THE COMPANY'S ONGOING OPERATIONS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and among them are the following:</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Since the second half of 2005, the Company increased its customer base, mainly in Fab 2, modified its organizational structure to better address its customers and its market positioning, increased its sales and its EBITDA, reduced its losses, increased its capacity level , utilization rates and raised funds (see Note 3 below and Notes 12C(2); 12I; 12J; and 12K to the 2006 audited consolidated financial statements) and restructured its bank debt (see Note 11A(6) to the 2006 audited consolidated financial statements).</w:t>
      </w:r>
    </w:p>
    <w:p>
      <w:pPr>
        <w:spacing w:after="0" w:line="142" w:lineRule="exact"/>
        <w:rPr>
          <w:rFonts w:ascii="Courier New" w:cs="Courier New" w:eastAsia="Courier New" w:hAnsi="Courier New"/>
          <w:sz w:val="12"/>
          <w:szCs w:val="12"/>
          <w:color w:val="auto"/>
        </w:rPr>
      </w:pPr>
    </w:p>
    <w:p>
      <w:pPr>
        <w:ind w:left="70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March 2006, the board of directors of the Company approved a plan to ramp up Fab 2's capacity to approximately 24,000 wafers per month in order to help meet customer needs and product qualification needs, based on its customer pipeline and reinforced by forecasted market conditions. This plan was completed as of the balance sheet date.</w:t>
      </w:r>
    </w:p>
    <w:p>
      <w:pPr>
        <w:spacing w:after="0" w:line="127"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details regarding the financing efforts of the ramp-up plan to reach capacity of 24,000 wafers per month, including the definitive amendment to the Company's facility agreement with two leading Israeli banks ("Banks") for the restructuring of its debt and the securities purchase agreement with Israel Corporation Ltd. ("TIC") according to which TIC invested $100,000 in the Company, which both closed in September 2006, see Notes 11A(6) and 11A(4) to the 2006 audited consolidated financial statements.</w:t>
      </w:r>
    </w:p>
    <w:p>
      <w:pPr>
        <w:spacing w:after="0" w:line="142" w:lineRule="exact"/>
        <w:rPr>
          <w:rFonts w:ascii="Courier New" w:cs="Courier New" w:eastAsia="Courier New" w:hAnsi="Courier New"/>
          <w:sz w:val="12"/>
          <w:szCs w:val="12"/>
          <w:color w:val="auto"/>
        </w:rPr>
      </w:pPr>
    </w:p>
    <w:p>
      <w:pPr>
        <w:ind w:left="70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further ramp up and financing plan to reach capacity beyond the 24,000 wafers per month, see below Note 3B and 3C.</w:t>
      </w:r>
    </w:p>
    <w:p>
      <w:pPr>
        <w:spacing w:after="0" w:line="139" w:lineRule="exact"/>
        <w:rPr>
          <w:rFonts w:ascii="Courier New" w:cs="Courier New" w:eastAsia="Courier New" w:hAnsi="Courier New"/>
          <w:sz w:val="12"/>
          <w:szCs w:val="12"/>
          <w:color w:val="auto"/>
        </w:rPr>
      </w:pPr>
    </w:p>
    <w:p>
      <w:pPr>
        <w:ind w:left="700" w:right="469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Further, the Company continues to examine alternatives for additional funding sources in order to further ramp-up the equipping of Fab2.</w:t>
      </w:r>
    </w:p>
    <w:p>
      <w:pPr>
        <w:spacing w:after="0" w:line="252"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11 -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INVENTORIES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36"/>
        </w:trPr>
        <w:tc>
          <w:tcPr>
            <w:tcW w:w="1240" w:type="dxa"/>
            <w:vAlign w:val="bottom"/>
          </w:tcPr>
          <w:p>
            <w:pPr>
              <w:spacing w:after="0"/>
              <w:rPr>
                <w:sz w:val="11"/>
                <w:szCs w:val="11"/>
                <w:color w:val="auto"/>
              </w:rPr>
            </w:pPr>
          </w:p>
        </w:tc>
        <w:tc>
          <w:tcPr>
            <w:tcW w:w="160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September 30,</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December 31,</w:t>
            </w:r>
          </w:p>
        </w:tc>
      </w:tr>
      <w:tr>
        <w:trPr>
          <w:trHeight w:val="135"/>
        </w:trPr>
        <w:tc>
          <w:tcPr>
            <w:tcW w:w="1240" w:type="dxa"/>
            <w:vAlign w:val="bottom"/>
          </w:tcPr>
          <w:p>
            <w:pPr>
              <w:spacing w:after="0"/>
              <w:rPr>
                <w:sz w:val="11"/>
                <w:szCs w:val="11"/>
                <w:color w:val="auto"/>
              </w:rPr>
            </w:pPr>
          </w:p>
        </w:tc>
        <w:tc>
          <w:tcPr>
            <w:tcW w:w="16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1240" w:type="dxa"/>
            <w:vAlign w:val="bottom"/>
          </w:tcPr>
          <w:p>
            <w:pPr>
              <w:spacing w:after="0"/>
              <w:rPr>
                <w:sz w:val="11"/>
                <w:szCs w:val="11"/>
                <w:color w:val="auto"/>
              </w:rPr>
            </w:pP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5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2006</w:t>
            </w: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1240" w:type="dxa"/>
            <w:vAlign w:val="bottom"/>
          </w:tcPr>
          <w:p>
            <w:pPr>
              <w:spacing w:after="0"/>
              <w:rPr>
                <w:sz w:val="11"/>
                <w:szCs w:val="11"/>
                <w:color w:val="auto"/>
              </w:rPr>
            </w:pP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1"/>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1240" w:type="dxa"/>
            <w:vAlign w:val="bottom"/>
          </w:tcPr>
          <w:p>
            <w:pPr>
              <w:spacing w:after="0"/>
              <w:rPr>
                <w:sz w:val="11"/>
                <w:szCs w:val="11"/>
                <w:color w:val="auto"/>
              </w:rPr>
            </w:pPr>
          </w:p>
        </w:tc>
        <w:tc>
          <w:tcPr>
            <w:tcW w:w="1600" w:type="dxa"/>
            <w:vAlign w:val="bottom"/>
            <w:gridSpan w:val="2"/>
          </w:tcPr>
          <w:p>
            <w:pPr>
              <w:jc w:val="right"/>
              <w:ind w:right="381"/>
              <w:spacing w:after="0"/>
              <w:rPr>
                <w:sz w:val="20"/>
                <w:szCs w:val="20"/>
                <w:color w:val="auto"/>
              </w:rPr>
            </w:pPr>
            <w:r>
              <w:rPr>
                <w:rFonts w:ascii="Courier New" w:cs="Courier New" w:eastAsia="Courier New" w:hAnsi="Courier New"/>
                <w:sz w:val="12"/>
                <w:szCs w:val="12"/>
                <w:color w:val="auto"/>
              </w:rPr>
              <w:t>(unaudited)</w:t>
            </w:r>
          </w:p>
        </w:tc>
        <w:tc>
          <w:tcPr>
            <w:tcW w:w="960" w:type="dxa"/>
            <w:vAlign w:val="bottom"/>
          </w:tcPr>
          <w:p>
            <w:pPr>
              <w:spacing w:after="0"/>
              <w:rPr>
                <w:sz w:val="11"/>
                <w:szCs w:val="11"/>
                <w:color w:val="auto"/>
              </w:rPr>
            </w:pPr>
          </w:p>
        </w:tc>
      </w:tr>
      <w:tr>
        <w:trPr>
          <w:trHeight w:val="270"/>
        </w:trPr>
        <w:tc>
          <w:tcPr>
            <w:tcW w:w="124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$11,323</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1"/>
              </w:rPr>
              <w:t>$10,098</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$11,234</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23,663</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22,277</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22,884</w:t>
            </w:r>
          </w:p>
        </w:tc>
      </w:tr>
      <w:tr>
        <w:trPr>
          <w:trHeight w:val="135"/>
        </w:trPr>
        <w:tc>
          <w:tcPr>
            <w:tcW w:w="124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445</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774</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645</w:t>
            </w:r>
          </w:p>
        </w:tc>
      </w:tr>
      <w:tr>
        <w:trPr>
          <w:trHeight w:val="135"/>
        </w:trPr>
        <w:tc>
          <w:tcPr>
            <w:tcW w:w="1240" w:type="dxa"/>
            <w:vAlign w:val="bottom"/>
          </w:tcPr>
          <w:p>
            <w:pPr>
              <w:spacing w:after="0"/>
              <w:rPr>
                <w:sz w:val="11"/>
                <w:szCs w:val="11"/>
                <w:color w:val="auto"/>
              </w:rPr>
            </w:pP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1"/>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r>
        <w:trPr>
          <w:trHeight w:val="135"/>
        </w:trPr>
        <w:tc>
          <w:tcPr>
            <w:tcW w:w="1240" w:type="dxa"/>
            <w:vAlign w:val="bottom"/>
          </w:tcPr>
          <w:p>
            <w:pPr>
              <w:spacing w:after="0"/>
              <w:rPr>
                <w:sz w:val="11"/>
                <w:szCs w:val="11"/>
                <w:color w:val="auto"/>
              </w:rPr>
            </w:pP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$35,431</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1"/>
              </w:rPr>
              <w:t>$33,149</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1240" w:type="dxa"/>
            <w:vAlign w:val="bottom"/>
          </w:tcPr>
          <w:p>
            <w:pPr>
              <w:spacing w:after="0"/>
              <w:rPr>
                <w:sz w:val="11"/>
                <w:szCs w:val="11"/>
                <w:color w:val="auto"/>
              </w:rPr>
            </w:pPr>
          </w:p>
        </w:tc>
        <w:tc>
          <w:tcPr>
            <w:tcW w:w="10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5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1"/>
              </w:rPr>
              <w:t>=======</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19" w:hanging="357"/>
        <w:spacing w:after="0" w:line="236" w:lineRule="auto"/>
        <w:tabs>
          <w:tab w:leader="none" w:pos="700"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 downs to net realizable value of $2,013, $2,543 and $6,707 as of September 30, 2007, September 30, 2006 and December 31, 2006,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w:t>
      </w:r>
    </w:p>
    <w:p>
      <w:pPr>
        <w:spacing w:after="0" w:line="139" w:lineRule="exact"/>
        <w:rPr>
          <w:sz w:val="20"/>
          <w:szCs w:val="20"/>
          <w:color w:val="auto"/>
        </w:rPr>
      </w:pPr>
    </w:p>
    <w:p>
      <w:pPr>
        <w:ind w:left="700" w:right="4699" w:hanging="357"/>
        <w:spacing w:after="0" w:line="260" w:lineRule="auto"/>
        <w:tabs>
          <w:tab w:leader="none" w:pos="700"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MARCH 2007 PRIVATE PLACEMENT IN THE US - In March 2007, the Company completed a private placement of its securities in which it sold ordinary shares and warrants for the purchase of ordinary shares, raising a total of approximately $29,000 in gross proceeds. In the private placement, the Company issued approximately 18.8 million shares, warrants exercisable into approximately 9.4 million shares at an exercise price of $2.04 (subject to possible adjustments under certain circumstances), exercisable until March 15, 2012 ("Series I Warrants"), and short-term warrants exercisable into approximately</w:t>
      </w:r>
    </w:p>
    <w:p>
      <w:pPr>
        <w:spacing w:after="0" w:line="1" w:lineRule="exact"/>
        <w:rPr>
          <w:rFonts w:ascii="Courier New" w:cs="Courier New" w:eastAsia="Courier New" w:hAnsi="Courier New"/>
          <w:sz w:val="11"/>
          <w:szCs w:val="11"/>
          <w:color w:val="auto"/>
        </w:rPr>
      </w:pPr>
    </w:p>
    <w:p>
      <w:pPr>
        <w:ind w:left="700" w:right="461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18.8 million shares at an exercise price of $1.70, which was identical to the closing price of the Company's Ordinary Shares on the NASDAQ on the trading day immediately prior to the closing of the private placement ("Series II Warrants"), exercisable until December 31, 2007. Subject to certain conditions, the Company can compel the exercise of the Series II Warrants if during any 20 out of 30 consecutive trading days the closing price of the Company's shares on NASDAQ exceeds $2.12.</w:t>
      </w:r>
    </w:p>
    <w:p>
      <w:pPr>
        <w:spacing w:after="0" w:line="142" w:lineRule="exact"/>
        <w:rPr>
          <w:rFonts w:ascii="Courier New" w:cs="Courier New" w:eastAsia="Courier New" w:hAnsi="Courier New"/>
          <w:sz w:val="11"/>
          <w:szCs w:val="11"/>
          <w:color w:val="auto"/>
        </w:rPr>
      </w:pPr>
    </w:p>
    <w:p>
      <w:pPr>
        <w:ind w:left="700" w:right="475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See Note 4F for disclosure of the accounting treatment in accordance with U.S. GAAP.</w:t>
      </w:r>
    </w:p>
    <w:p>
      <w:pPr>
        <w:spacing w:after="0" w:line="269" w:lineRule="exact"/>
        <w:rPr>
          <w:rFonts w:ascii="Courier New" w:cs="Courier New" w:eastAsia="Courier New" w:hAnsi="Courier New"/>
          <w:sz w:val="11"/>
          <w:szCs w:val="11"/>
          <w:color w:val="auto"/>
        </w:rPr>
      </w:pPr>
    </w:p>
    <w:p>
      <w:pPr>
        <w:ind w:left="2740" w:hanging="149"/>
        <w:spacing w:after="0"/>
        <w:tabs>
          <w:tab w:leader="none" w:pos="2740" w:val="left"/>
        </w:tabs>
        <w:numPr>
          <w:ilvl w:val="1"/>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12 -</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3 - RECENT DEVELOPMENTS (CONT.)</w:t>
      </w:r>
    </w:p>
    <w:p>
      <w:pPr>
        <w:spacing w:after="0" w:line="139" w:lineRule="exact"/>
        <w:rPr>
          <w:sz w:val="20"/>
          <w:szCs w:val="20"/>
          <w:color w:val="auto"/>
        </w:rPr>
      </w:pPr>
    </w:p>
    <w:p>
      <w:pPr>
        <w:ind w:left="700" w:right="4699" w:hanging="357"/>
        <w:spacing w:after="0" w:line="266" w:lineRule="auto"/>
        <w:tabs>
          <w:tab w:leader="none" w:pos="700"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2007 LONG-TERM BONDS ISSUED IN ISRAEL - In the second half of 2007, the Company consummated a private placement with Israeli institutions of long-term convertible and non-convertible bonds and warrants, by</w:t>
      </w:r>
    </w:p>
    <w:p>
      <w:pPr>
        <w:sectPr>
          <w:pgSz w:w="11900" w:h="16914" w:orient="portrait"/>
          <w:cols w:equalWidth="0" w:num="1">
            <w:col w:w="10239"/>
          </w:cols>
          <w:pgMar w:left="220" w:top="137" w:right="1440" w:bottom="0" w:gutter="0" w:footer="0" w:header="0"/>
        </w:sectPr>
      </w:pPr>
    </w:p>
    <w:bookmarkStart w:id="8" w:name="page9"/>
    <w:bookmarkEnd w:id="8"/>
    <w:p>
      <w:pPr>
        <w:ind w:left="700"/>
        <w:spacing w:after="0"/>
        <w:rPr>
          <w:sz w:val="20"/>
          <w:szCs w:val="20"/>
          <w:color w:val="auto"/>
        </w:rPr>
      </w:pPr>
      <w:r>
        <w:rPr>
          <w:rFonts w:ascii="Courier New" w:cs="Courier New" w:eastAsia="Courier New" w:hAnsi="Courier New"/>
          <w:sz w:val="12"/>
          <w:szCs w:val="12"/>
          <w:color w:val="auto"/>
        </w:rPr>
        <w:t>which the Company raised a gross amount of approximately $40,000, to</w:t>
      </w:r>
    </w:p>
    <w:p>
      <w:pPr>
        <w:ind w:left="700"/>
        <w:spacing w:after="0"/>
        <w:rPr>
          <w:sz w:val="20"/>
          <w:szCs w:val="20"/>
          <w:color w:val="auto"/>
        </w:rPr>
      </w:pPr>
      <w:r>
        <w:rPr>
          <w:rFonts w:ascii="Courier New" w:cs="Courier New" w:eastAsia="Courier New" w:hAnsi="Courier New"/>
          <w:sz w:val="12"/>
          <w:szCs w:val="12"/>
          <w:color w:val="auto"/>
        </w:rPr>
        <w:t>be used for the funding of equipment required for a ramp up plan in</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Fab 2 to increase its capacity to beyond 24,000 wafers per month (see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also Note 3C). In the funding, 342 units were sold, each comprised of:</w:t>
      </w:r>
    </w:p>
    <w:p>
      <w:pPr>
        <w:spacing w:after="0" w:line="10" w:lineRule="exact"/>
        <w:rPr>
          <w:sz w:val="20"/>
          <w:szCs w:val="20"/>
          <w:color w:val="auto"/>
        </w:rPr>
      </w:pPr>
    </w:p>
    <w:p>
      <w:pPr>
        <w:ind w:left="700" w:right="4619" w:hanging="5"/>
        <w:spacing w:after="0" w:line="238" w:lineRule="auto"/>
        <w:tabs>
          <w:tab w:leader="none" w:pos="981"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nonconvertible-bonds, repayable in six equal annual installments between the dates of December 2011 and December 2016, with a face amount of NIS 250,000 (approximately $59.7) and carrying an annual interest rate of 8 percent; (ii) long-term convertible-bonds repayable in December 2012 with a 17.2 NIS conversion price (approximately $4.11) with a face amount of NIS 262,500 (approximately $62.7), carrying an annual interest of 8 percent, and (iii) 5,800 warrants, each exercisable until 2011, for one Tower ordinary share at a price of $2.04 (approximately 8.54 NIS). The bonds are linked to the Israeli Consumer Price Index (CPI) and were issued at 95.5% of par value. The conversion and exercise prices are subject to reduction in certain limited circumstances.</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September 2007, the Company expanded its series of long-term bonds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warrants, by selling 12,118 units, each comprised of long-term</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non-convertible bonds, with a face amount of NIS 2,500 (approximately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$0.62), long-term convertible bonds, with a face amount of NIS 2,625</w:t>
      </w:r>
    </w:p>
    <w:p>
      <w:pPr>
        <w:ind w:left="700"/>
        <w:spacing w:after="0"/>
        <w:rPr>
          <w:sz w:val="20"/>
          <w:szCs w:val="20"/>
          <w:color w:val="auto"/>
        </w:rPr>
      </w:pPr>
      <w:r>
        <w:rPr>
          <w:rFonts w:ascii="Courier New" w:cs="Courier New" w:eastAsia="Courier New" w:hAnsi="Courier New"/>
          <w:sz w:val="12"/>
          <w:szCs w:val="12"/>
          <w:color w:val="auto"/>
        </w:rPr>
        <w:t>(approximately $0.65), and 58 warrants. The bonds were issued at 90%</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par value. In this expansion, the Company raised gross proceeds of</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approximately $14,000.</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accordance with Standard No. 22, the allocation of the gross</w:t>
      </w:r>
    </w:p>
    <w:p>
      <w:pPr>
        <w:ind w:left="700"/>
        <w:spacing w:after="0"/>
        <w:rPr>
          <w:sz w:val="20"/>
          <w:szCs w:val="20"/>
          <w:color w:val="auto"/>
        </w:rPr>
      </w:pPr>
      <w:r>
        <w:rPr>
          <w:rFonts w:ascii="Courier New" w:cs="Courier New" w:eastAsia="Courier New" w:hAnsi="Courier New"/>
          <w:sz w:val="12"/>
          <w:szCs w:val="12"/>
          <w:color w:val="auto"/>
        </w:rPr>
        <w:t>proceeds to the unit components was based on the relative fair value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each component. The warrants issued have been classified in equity.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No proceeds were allocated to the equity component of the convertibles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debenture as it was determined to be immaterial.</w:t>
      </w:r>
    </w:p>
    <w:p>
      <w:pPr>
        <w:spacing w:after="0" w:line="139" w:lineRule="exact"/>
        <w:rPr>
          <w:sz w:val="20"/>
          <w:szCs w:val="20"/>
          <w:color w:val="auto"/>
        </w:rPr>
      </w:pPr>
    </w:p>
    <w:p>
      <w:pPr>
        <w:ind w:left="700" w:right="4619" w:hanging="357"/>
        <w:spacing w:after="0" w:line="238" w:lineRule="auto"/>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SEPTEMBER 2007 AGREEMENTS WITH THE COMPANY'S LENDER BANKS AND TIC - In September 2007, the Company signed and closed definitive agreements, based on the July letters of intent, with its lender banks, Bank Leumi and Bank Hapoalim, and with Israel Corporation, one of its primary shareholders, providing for credit lines totaling up to $60,000, to be used for the funding of equipment required for a ramp up plan in Fab 2 to increase its capacity to beyond 24,000 wafers per month (see also Note 3B). As of September 30, 2007, no amounts were borrowed under these credit lines. Loans under the credit lines will bear interest at an annual rate of 3-month LIBOR plus 3 percent and will be repayable by the earlier of 2 years from the date a loan is borrowed and March 31, 2010. The Company paid the banks and TIC customary fees, and issued to them an aggregate of approximately 5.4 million warrants with an exercise price of $2.04.</w:t>
      </w:r>
    </w:p>
    <w:p>
      <w:pPr>
        <w:spacing w:after="0" w:line="139" w:lineRule="exact"/>
        <w:rPr>
          <w:rFonts w:ascii="Courier New" w:cs="Courier New" w:eastAsia="Courier New" w:hAnsi="Courier New"/>
          <w:sz w:val="12"/>
          <w:szCs w:val="12"/>
          <w:color w:val="auto"/>
        </w:rPr>
      </w:pPr>
    </w:p>
    <w:p>
      <w:pPr>
        <w:ind w:left="700" w:right="4619" w:hanging="357"/>
        <w:spacing w:after="0" w:line="237" w:lineRule="auto"/>
        <w:tabs>
          <w:tab w:leader="none" w:pos="700"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CUSTOMERS' ADVANCE - Due to recent changes in one of the Company's Wafer Partner's operations and its recent exit of its semiconductor activities, the Company evaluated the balance of long-term customer advances and determined that a write-down of $3,000 in the outstanding amount is appropriate. The remaining balance of long-term customer advances represents the Company's best estimate of the maximum exposure of future utilizations.</w:t>
      </w:r>
    </w:p>
    <w:p>
      <w:pPr>
        <w:spacing w:after="0" w:line="271"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w:t>
      </w:r>
    </w:p>
    <w:p>
      <w:pPr>
        <w:spacing w:after="0" w:line="139" w:lineRule="exact"/>
        <w:rPr>
          <w:sz w:val="20"/>
          <w:szCs w:val="20"/>
          <w:color w:val="auto"/>
        </w:rPr>
      </w:pPr>
    </w:p>
    <w:p>
      <w:pPr>
        <w:ind w:left="340" w:right="4619"/>
        <w:spacing w:after="0" w:line="264" w:lineRule="auto"/>
        <w:rPr>
          <w:sz w:val="20"/>
          <w:szCs w:val="20"/>
          <w:color w:val="auto"/>
        </w:rPr>
      </w:pPr>
      <w:r>
        <w:rPr>
          <w:rFonts w:ascii="Courier New" w:cs="Courier New" w:eastAsia="Courier New" w:hAnsi="Courier New"/>
          <w:sz w:val="11"/>
          <w:szCs w:val="11"/>
          <w:color w:val="auto"/>
        </w:rPr>
        <w:t>With regard to the Company's interim financial statements, the material differences between GAAP in Israel and in the U.S. relate to the following. See Note 4(I) below for the presentation of the Company's unaudited balance sheet as of September 30, 2007 in accordance with U.S. GAAP.</w:t>
      </w:r>
    </w:p>
    <w:p>
      <w:pPr>
        <w:spacing w:after="0" w:line="127" w:lineRule="exact"/>
        <w:rPr>
          <w:sz w:val="20"/>
          <w:szCs w:val="20"/>
          <w:color w:val="auto"/>
        </w:rPr>
      </w:pPr>
    </w:p>
    <w:p>
      <w:pPr>
        <w:ind w:left="700" w:right="6459" w:hanging="357"/>
        <w:spacing w:after="0" w:line="520" w:lineRule="auto"/>
        <w:tabs>
          <w:tab w:leader="none" w:pos="700"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RECENT ACCOUNTING PRONOUNCEMENTS BY THE FASB SFAS NO. 157, "FAIR VALUE MEASUREMENTS"</w:t>
      </w:r>
    </w:p>
    <w:p>
      <w:pPr>
        <w:ind w:left="700" w:right="4619"/>
        <w:spacing w:after="0" w:line="236"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September 2006, the FASB issued SFAS No. 157, "Fair Value Measurements" (SFAS No. 157). The purpose of SFAS No. 157 is to define fair value, establish a framework for measuring fair value, and enhance disclosures about fair value measurements.</w:t>
      </w:r>
    </w:p>
    <w:p>
      <w:pPr>
        <w:spacing w:after="0" w:line="13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 decided to early adopt the provisions of SFAS No. 157</w:t>
      </w:r>
    </w:p>
    <w:p>
      <w:pPr>
        <w:ind w:left="700"/>
        <w:spacing w:after="0"/>
        <w:rPr>
          <w:sz w:val="20"/>
          <w:szCs w:val="20"/>
          <w:color w:val="auto"/>
        </w:rPr>
      </w:pPr>
      <w:r>
        <w:rPr>
          <w:rFonts w:ascii="Courier New" w:cs="Courier New" w:eastAsia="Courier New" w:hAnsi="Courier New"/>
          <w:sz w:val="12"/>
          <w:szCs w:val="12"/>
          <w:color w:val="auto"/>
        </w:rPr>
        <w:t>effective January 1, 2007, concurrent with the adoption of FASB 159</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Fair Value Option for Financial Assets and Financial Liabilities"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(SFAS No. 159) see H below.</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Fair Value Measurements on earnings as of September 30, 2007:</w:t>
      </w:r>
    </w:p>
    <w:p>
      <w:pPr>
        <w:spacing w:after="0" w:line="134" w:lineRule="exact"/>
        <w:rPr>
          <w:sz w:val="20"/>
          <w:szCs w:val="20"/>
          <w:color w:val="auto"/>
        </w:rPr>
      </w:pPr>
    </w:p>
    <w:p>
      <w:pPr>
        <w:ind w:left="2240"/>
        <w:spacing w:after="0"/>
        <w:rPr>
          <w:sz w:val="20"/>
          <w:szCs w:val="20"/>
          <w:color w:val="auto"/>
        </w:rPr>
      </w:pPr>
      <w:r>
        <w:rPr>
          <w:rFonts w:ascii="Courier New" w:cs="Courier New" w:eastAsia="Courier New" w:hAnsi="Courier New"/>
          <w:sz w:val="12"/>
          <w:szCs w:val="12"/>
          <w:color w:val="auto"/>
        </w:rPr>
        <w:t>Significant</w:t>
      </w:r>
    </w:p>
    <w:p>
      <w:pPr>
        <w:ind w:left="2240"/>
        <w:spacing w:after="0"/>
        <w:rPr>
          <w:sz w:val="20"/>
          <w:szCs w:val="20"/>
          <w:color w:val="auto"/>
        </w:rPr>
      </w:pPr>
      <w:r>
        <w:rPr>
          <w:rFonts w:ascii="Courier New" w:cs="Courier New" w:eastAsia="Courier New" w:hAnsi="Courier New"/>
          <w:sz w:val="12"/>
          <w:szCs w:val="12"/>
          <w:color w:val="auto"/>
        </w:rPr>
        <w:t>Unobservable</w:t>
      </w:r>
    </w:p>
    <w:p>
      <w:pPr>
        <w:ind w:left="2380"/>
        <w:spacing w:after="0" w:line="237" w:lineRule="auto"/>
        <w:rPr>
          <w:sz w:val="20"/>
          <w:szCs w:val="20"/>
          <w:color w:val="auto"/>
        </w:rPr>
      </w:pPr>
      <w:r>
        <w:rPr>
          <w:rFonts w:ascii="Courier New" w:cs="Courier New" w:eastAsia="Courier New" w:hAnsi="Courier New"/>
          <w:sz w:val="12"/>
          <w:szCs w:val="12"/>
          <w:color w:val="auto"/>
        </w:rPr>
        <w:t>Inputs</w:t>
      </w:r>
    </w:p>
    <w:p>
      <w:pPr>
        <w:ind w:left="2320"/>
        <w:spacing w:after="0"/>
        <w:rPr>
          <w:sz w:val="20"/>
          <w:szCs w:val="20"/>
          <w:color w:val="auto"/>
        </w:rPr>
      </w:pPr>
      <w:r>
        <w:rPr>
          <w:rFonts w:ascii="Courier New" w:cs="Courier New" w:eastAsia="Courier New" w:hAnsi="Courier New"/>
          <w:sz w:val="12"/>
          <w:szCs w:val="12"/>
          <w:color w:val="auto"/>
        </w:rPr>
        <w:t>--------</w:t>
      </w:r>
    </w:p>
    <w:p>
      <w:pPr>
        <w:sectPr>
          <w:pgSz w:w="11900" w:h="16838" w:orient="portrait"/>
          <w:cols w:equalWidth="0" w:num="1">
            <w:col w:w="10239"/>
          </w:cols>
          <w:pgMar w:left="220" w:top="137" w:right="1440" w:bottom="0" w:gutter="0" w:footer="0" w:header="0"/>
        </w:sectPr>
      </w:pPr>
    </w:p>
    <w:p>
      <w:pPr>
        <w:spacing w:after="0" w:line="138" w:lineRule="exact"/>
        <w:rPr>
          <w:sz w:val="20"/>
          <w:szCs w:val="20"/>
          <w:color w:val="auto"/>
        </w:rPr>
      </w:pPr>
    </w:p>
    <w:p>
      <w:pPr>
        <w:ind w:left="700"/>
        <w:spacing w:after="0" w:line="273" w:lineRule="auto"/>
        <w:rPr>
          <w:sz w:val="20"/>
          <w:szCs w:val="20"/>
          <w:color w:val="auto"/>
        </w:rPr>
      </w:pPr>
      <w:r>
        <w:rPr>
          <w:rFonts w:ascii="Courier New" w:cs="Courier New" w:eastAsia="Courier New" w:hAnsi="Courier New"/>
          <w:sz w:val="11"/>
          <w:szCs w:val="11"/>
          <w:color w:val="auto"/>
        </w:rPr>
        <w:t>Derivatives Facility Agreement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right"/>
        <w:ind w:right="7359"/>
        <w:spacing w:after="0"/>
        <w:rPr>
          <w:sz w:val="20"/>
          <w:szCs w:val="20"/>
          <w:color w:val="auto"/>
        </w:rPr>
      </w:pPr>
      <w:r>
        <w:rPr>
          <w:rFonts w:ascii="Courier New" w:cs="Courier New" w:eastAsia="Courier New" w:hAnsi="Courier New"/>
          <w:sz w:val="11"/>
          <w:szCs w:val="11"/>
          <w:color w:val="auto"/>
        </w:rPr>
        <w:t>$ 10,720</w:t>
      </w:r>
    </w:p>
    <w:p>
      <w:pPr>
        <w:spacing w:after="0" w:line="6" w:lineRule="exact"/>
        <w:rPr>
          <w:sz w:val="20"/>
          <w:szCs w:val="20"/>
          <w:color w:val="auto"/>
        </w:rPr>
      </w:pPr>
    </w:p>
    <w:p>
      <w:pPr>
        <w:jc w:val="right"/>
        <w:ind w:right="7359"/>
        <w:spacing w:after="0"/>
        <w:rPr>
          <w:sz w:val="20"/>
          <w:szCs w:val="20"/>
          <w:color w:val="auto"/>
        </w:rPr>
      </w:pPr>
      <w:r>
        <w:rPr>
          <w:rFonts w:ascii="Courier New" w:cs="Courier New" w:eastAsia="Courier New" w:hAnsi="Courier New"/>
          <w:sz w:val="12"/>
          <w:szCs w:val="12"/>
          <w:color w:val="auto"/>
        </w:rPr>
        <w:t>358,572</w:t>
      </w:r>
    </w:p>
    <w:p>
      <w:pPr>
        <w:spacing w:after="0" w:line="4" w:lineRule="exact"/>
        <w:rPr>
          <w:sz w:val="20"/>
          <w:szCs w:val="20"/>
          <w:color w:val="auto"/>
        </w:rPr>
      </w:pPr>
    </w:p>
    <w:p>
      <w:pPr>
        <w:jc w:val="right"/>
        <w:ind w:right="7359"/>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1960" w:space="360"/>
            <w:col w:w="7919"/>
          </w:cols>
          <w:pgMar w:left="220" w:top="137" w:right="1440" w:bottom="0" w:gutter="0" w:footer="0" w:header="0"/>
          <w:type w:val="continuous"/>
        </w:sectPr>
      </w:pPr>
    </w:p>
    <w:p>
      <w:pPr>
        <w:ind w:left="700"/>
        <w:spacing w:after="0"/>
        <w:rPr>
          <w:sz w:val="20"/>
          <w:szCs w:val="20"/>
          <w:color w:val="auto"/>
        </w:rPr>
      </w:pPr>
      <w:r>
        <w:rPr>
          <w:rFonts w:ascii="Courier New" w:cs="Courier New" w:eastAsia="Courier New" w:hAnsi="Courier New"/>
          <w:sz w:val="11"/>
          <w:szCs w:val="11"/>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$369,262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1600" w:space="720"/>
            <w:col w:w="7919"/>
          </w:cols>
          <w:pgMar w:left="220" w:top="137" w:right="1440" w:bottom="0" w:gutter="0" w:footer="0" w:header="0"/>
          <w:type w:val="continuous"/>
        </w:sectPr>
      </w:pPr>
    </w:p>
    <w:p>
      <w:pPr>
        <w:ind w:left="700"/>
        <w:spacing w:after="0"/>
        <w:rPr>
          <w:sz w:val="20"/>
          <w:szCs w:val="20"/>
          <w:color w:val="auto"/>
        </w:rPr>
      </w:pPr>
      <w:r>
        <w:rPr>
          <w:rFonts w:ascii="Courier New" w:cs="Courier New" w:eastAsia="Courier New" w:hAnsi="Courier New"/>
          <w:sz w:val="11"/>
          <w:szCs w:val="11"/>
          <w:color w:val="auto"/>
        </w:rPr>
        <w:t>Fair Value Measurements Using Significant Unobservable Inputs:</w:t>
      </w:r>
    </w:p>
    <w:p>
      <w:pPr>
        <w:sectPr>
          <w:pgSz w:w="11900" w:h="16838" w:orient="portrait"/>
          <w:cols w:equalWidth="0" w:num="1">
            <w:col w:w="10239"/>
          </w:cols>
          <w:pgMar w:left="220" w:top="137" w:right="1440" w:bottom="0" w:gutter="0" w:footer="0" w:header="0"/>
          <w:type w:val="continuous"/>
        </w:sectPr>
      </w:pPr>
    </w:p>
    <w:p>
      <w:pPr>
        <w:spacing w:after="0" w:line="281" w:lineRule="exact"/>
        <w:rPr>
          <w:sz w:val="20"/>
          <w:szCs w:val="20"/>
          <w:color w:val="auto"/>
        </w:rPr>
      </w:pPr>
    </w:p>
    <w:p>
      <w:pPr>
        <w:ind w:left="3640"/>
        <w:spacing w:after="0"/>
        <w:rPr>
          <w:sz w:val="20"/>
          <w:szCs w:val="20"/>
          <w:color w:val="auto"/>
        </w:rPr>
      </w:pPr>
      <w:r>
        <w:rPr>
          <w:rFonts w:ascii="Courier New" w:cs="Courier New" w:eastAsia="Courier New" w:hAnsi="Courier New"/>
          <w:sz w:val="11"/>
          <w:szCs w:val="11"/>
          <w:color w:val="auto"/>
        </w:rPr>
        <w:t>Derivatives</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66" w:lineRule="auto"/>
        <w:rPr>
          <w:sz w:val="20"/>
          <w:szCs w:val="20"/>
          <w:color w:val="auto"/>
        </w:rPr>
      </w:pPr>
      <w:r>
        <w:rPr>
          <w:rFonts w:ascii="Courier New" w:cs="Courier New" w:eastAsia="Courier New" w:hAnsi="Courier New"/>
          <w:sz w:val="11"/>
          <w:szCs w:val="11"/>
          <w:color w:val="auto"/>
        </w:rPr>
        <w:t>Facility Agreement --------</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140"/>
        <w:spacing w:after="0"/>
        <w:rPr>
          <w:sz w:val="20"/>
          <w:szCs w:val="20"/>
          <w:color w:val="auto"/>
        </w:rPr>
      </w:pPr>
      <w:r>
        <w:rPr>
          <w:rFonts w:ascii="Courier New" w:cs="Courier New" w:eastAsia="Courier New" w:hAnsi="Courier New"/>
          <w:sz w:val="12"/>
          <w:szCs w:val="12"/>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5" w:lineRule="exact"/>
        <w:rPr>
          <w:sz w:val="20"/>
          <w:szCs w:val="20"/>
          <w:color w:val="auto"/>
        </w:rPr>
      </w:pPr>
    </w:p>
    <w:p>
      <w:pPr>
        <w:sectPr>
          <w:pgSz w:w="11900" w:h="16838" w:orient="portrait"/>
          <w:cols w:equalWidth="0" w:num="3">
            <w:col w:w="4420" w:space="280"/>
            <w:col w:w="640" w:space="280"/>
            <w:col w:w="4619"/>
          </w:cols>
          <w:pgMar w:left="220" w:top="137" w:right="1440" w:bottom="0" w:gutter="0" w:footer="0" w:header="0"/>
          <w:type w:val="continuous"/>
        </w:sectPr>
      </w:pPr>
    </w:p>
    <w:p>
      <w:pPr>
        <w:ind w:left="700"/>
        <w:spacing w:after="0"/>
        <w:rPr>
          <w:sz w:val="20"/>
          <w:szCs w:val="20"/>
          <w:color w:val="auto"/>
        </w:rPr>
      </w:pPr>
      <w:r>
        <w:rPr>
          <w:rFonts w:ascii="Courier New" w:cs="Courier New" w:eastAsia="Courier New" w:hAnsi="Courier New"/>
          <w:sz w:val="11"/>
          <w:szCs w:val="11"/>
          <w:color w:val="auto"/>
        </w:rPr>
        <w:t>Beginning balance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$ 11,264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357,108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$368,372</w:t>
      </w:r>
    </w:p>
    <w:p>
      <w:pPr>
        <w:spacing w:after="0" w:line="10" w:lineRule="exact"/>
        <w:rPr>
          <w:sz w:val="20"/>
          <w:szCs w:val="20"/>
          <w:color w:val="auto"/>
        </w:rPr>
      </w:pPr>
    </w:p>
    <w:p>
      <w:pPr>
        <w:sectPr>
          <w:pgSz w:w="11900" w:h="16838" w:orient="portrait"/>
          <w:cols w:equalWidth="0" w:num="4">
            <w:col w:w="3000" w:space="720"/>
            <w:col w:w="560" w:space="480"/>
            <w:col w:w="500" w:space="360"/>
            <w:col w:w="4619"/>
          </w:cols>
          <w:pgMar w:left="220" w:top="137" w:right="1440" w:bottom="0" w:gutter="0" w:footer="0" w:header="0"/>
          <w:type w:val="continuous"/>
        </w:sectPr>
      </w:pPr>
    </w:p>
    <w:p>
      <w:pPr>
        <w:ind w:left="700"/>
        <w:spacing w:after="0"/>
        <w:rPr>
          <w:sz w:val="20"/>
          <w:szCs w:val="20"/>
          <w:color w:val="auto"/>
        </w:rPr>
      </w:pPr>
      <w:r>
        <w:rPr>
          <w:rFonts w:ascii="Courier New" w:cs="Courier New" w:eastAsia="Courier New" w:hAnsi="Courier New"/>
          <w:sz w:val="11"/>
          <w:szCs w:val="11"/>
          <w:color w:val="auto"/>
        </w:rPr>
        <w:t>Unrealized gains or losses included in</w:t>
      </w:r>
    </w:p>
    <w:p>
      <w:pPr>
        <w:sectPr>
          <w:pgSz w:w="11900" w:h="16838" w:orient="portrait"/>
          <w:cols w:equalWidth="0" w:num="1">
            <w:col w:w="10239"/>
          </w:cols>
          <w:pgMar w:left="220" w:top="137" w:right="1440" w:bottom="0" w:gutter="0" w:footer="0" w:header="0"/>
          <w:type w:val="continuous"/>
        </w:sectPr>
      </w:pP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earnings</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Ending balance</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1"/>
          <w:szCs w:val="11"/>
          <w:color w:val="auto"/>
        </w:rPr>
        <w:t>(544)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2"/>
          <w:szCs w:val="12"/>
          <w:color w:val="auto"/>
        </w:rPr>
        <w:t>$ 10,720</w:t>
      </w:r>
    </w:p>
    <w:p>
      <w:pPr>
        <w:spacing w:after="0" w:line="237" w:lineRule="auto"/>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2"/>
          <w:szCs w:val="12"/>
          <w:color w:val="auto"/>
        </w:rPr>
        <w:t>1,464</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2"/>
          <w:szCs w:val="12"/>
          <w:color w:val="auto"/>
        </w:rPr>
        <w:t>358,572</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2"/>
          <w:szCs w:val="12"/>
          <w:color w:val="auto"/>
        </w:rPr>
        <w:t>920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$369,292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6" w:lineRule="exact"/>
        <w:rPr>
          <w:sz w:val="20"/>
          <w:szCs w:val="20"/>
          <w:color w:val="auto"/>
        </w:rPr>
      </w:pPr>
    </w:p>
    <w:p>
      <w:pPr>
        <w:sectPr>
          <w:pgSz w:w="11900" w:h="16838" w:orient="portrait"/>
          <w:cols w:equalWidth="0" w:num="4">
            <w:col w:w="3000" w:space="720"/>
            <w:col w:w="620" w:space="360"/>
            <w:col w:w="560" w:space="360"/>
            <w:col w:w="4619"/>
          </w:cols>
          <w:pgMar w:left="220" w:top="137" w:right="1440" w:bottom="0" w:gutter="0" w:footer="0" w:header="0"/>
          <w:type w:val="continuous"/>
        </w:sectPr>
      </w:pPr>
    </w:p>
    <w:p>
      <w:pPr>
        <w:spacing w:after="0" w:line="74"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- 14 -</w:t>
      </w:r>
    </w:p>
    <w:p>
      <w:pPr>
        <w:sectPr>
          <w:pgSz w:w="11900" w:h="16838" w:orient="portrait"/>
          <w:cols w:equalWidth="0" w:num="1">
            <w:col w:w="10239"/>
          </w:cols>
          <w:pgMar w:left="220" w:top="137" w:right="1440" w:bottom="0" w:gutter="0" w:footer="0" w:header="0"/>
          <w:type w:val="continuous"/>
        </w:sectPr>
      </w:pPr>
    </w:p>
    <w:p>
      <w:pPr>
        <w:spacing w:after="0" w:line="393"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(dollars in thousands, except share data and per share data)</w:t>
      </w:r>
    </w:p>
    <w:p>
      <w:pPr>
        <w:sectPr>
          <w:pgSz w:w="11900" w:h="16838" w:orient="portrait"/>
          <w:cols w:equalWidth="0" w:num="1">
            <w:col w:w="10239"/>
          </w:cols>
          <w:pgMar w:left="220" w:top="137"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 ACCOUNTING PRONOUNCEMENTS BY THE FASB (CONT.)</w:t>
      </w:r>
    </w:p>
    <w:p>
      <w:pPr>
        <w:spacing w:after="0" w:line="138" w:lineRule="exact"/>
        <w:rPr>
          <w:rFonts w:ascii="Courier New" w:cs="Courier New" w:eastAsia="Courier New" w:hAnsi="Courier New"/>
          <w:sz w:val="12"/>
          <w:szCs w:val="12"/>
          <w:color w:val="auto"/>
        </w:rPr>
      </w:pPr>
    </w:p>
    <w:p>
      <w:pPr>
        <w:ind w:left="700" w:right="52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159, "THE FAIR VALUE OPTION FOR FINANCIAL ASSETS AND FINANCIAL LIABILITIES"</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February 2007, the FASB issued SFAS No. 159, "The Fair Value Option for Financial Assets and Financial Liabilities" (SFAS No. 159). SFAS No. 159 permits companies to choose to measure certain financial instruments and certain other items at fair value. The standard requires that unrealized gains and losses on items for which the fair value option has been elected be reported in earnings. SFAS No. 159 is effective for the Company beginning in the first quarter of fiscal year 2008, although earlier adoption is permitted. The Company decided to early adopt the provisions of SFAS No. 159 effective January 1, 2007, and elected to carry at fair value the Facility agreement, see H below.</w:t>
      </w:r>
    </w:p>
    <w:p>
      <w:pPr>
        <w:spacing w:after="0" w:line="140"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FIN NO. 48. ACCOUNTING FOR UNCERTAINTY IN INCOME TAXES</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On July 13, 2006, the FASB issued Interpretation No. 48, "Accounting for Uncertainty in Income Taxes - an interpretation of FASB Statement No. 109" ("FIN 48"), which clarifies the accounting for uncertainty in tax positions. This Interpretation requires recognition in the financial statements of the impact of a tax position, if that position is more likely than not of being sustained on audit, based on the technical merits of the position. A tax position that meets the more-likely-than-not recognition threshold shall initially and subsequently be measured as the largest amount of tax benefit that is greater than 50 percent likely of being realized upon ultimate settlement with a taxing authority that has full knowledge of all relevant information. Measurement of a tax position that meets the more-likely-than-not recognition threshold shall consider the amounts and probabilities of the outcomes that could be realized upon ultimate settlement using the facts, circumstances, and information available at the reporting date. The provisions of FIN 48 are effective for the 2007 fiscal year with the cumulative effect of the change in accounting principles recorded as an adjustment to the opening balance of retained earnings. FIN 48 did not have a material effect on the financial condition, results of operations or liquidity of the Company.</w:t>
      </w:r>
    </w:p>
    <w:p>
      <w:pPr>
        <w:spacing w:after="0" w:line="200" w:lineRule="exact"/>
        <w:rPr>
          <w:sz w:val="20"/>
          <w:szCs w:val="20"/>
          <w:color w:val="auto"/>
        </w:rPr>
      </w:pPr>
    </w:p>
    <w:p>
      <w:pPr>
        <w:spacing w:after="0" w:line="207" w:lineRule="exact"/>
        <w:rPr>
          <w:sz w:val="20"/>
          <w:szCs w:val="20"/>
          <w:color w:val="auto"/>
        </w:rPr>
      </w:pPr>
    </w:p>
    <w:p>
      <w:pPr>
        <w:ind w:left="700" w:right="5039" w:hanging="357"/>
        <w:spacing w:after="0" w:line="235" w:lineRule="auto"/>
        <w:tabs>
          <w:tab w:leader="none" w:pos="700"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PRESENTATION OF NET LONG-TERM LIABILITIES IN RESPECT OF EMPLOYEE SEVERANCE PAY</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assets and liabilities relating to severance arrangements are to be presented separately and are not to be offset, while according to Israeli GAAP such an offset is required. Accordingly, as of September 30, 2007, an amount of $13,495 would be reclassified from other long-term liabilities as long-term investments.</w:t>
      </w:r>
    </w:p>
    <w:p>
      <w:pPr>
        <w:spacing w:after="0" w:line="271"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15 -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 IN ACCORDANCE WITH U.S. GAAP (SFAS 133)</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133 as amended and the related interpretations thereon as they apply to the Company's hedging transactions, as of September 30, 2007, such transactions would have resulted in: an increase in other long-term investments in the amount of $751; an accumulated other comprehensive loss component of equity balance as of September 30, 2007 in the amount of $246 (as of December 31, 2006, an accumulated other comprehensive loss component of equity balance in the amount of $203); and in a decrease of $997 in property and equipment, net as of September 30, 2007.</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DEBENTURES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Accounting Principles Board Opinion No. 14 ("APB 14"), the proceeds from the sale of the securities in the Company's January 2002 Israeli public offering are to be allocated to each of the securities issued based on their relative fair value, while according to Israeli GAAP such treatment was not required Complying with APB 14, based on the average market value of each of the components issued in the first three days following their issuance (in January 2002), would have resulted in an increase in shareholders' equity as of the issuance date in the amount of $2,363 (net of $196 related issuance expenses), and a decrease in convertible debentures as of such date in the amount of $2,559. The additional accumulated effect of amortization of the discount on the convertible debentures under U.S. GAAP as of September 30, 2007 would have been $562. Commencing with the adoption of Standard No. 22 in January 2006, allocation of proceeds in a unit, to its components, is based on relative fair values under Israeli GAAP as well as under US GAAP.</w:t>
      </w:r>
    </w:p>
    <w:p>
      <w:pPr>
        <w:spacing w:after="0" w:line="264" w:lineRule="exact"/>
        <w:rPr>
          <w:rFonts w:ascii="Courier New" w:cs="Courier New" w:eastAsia="Courier New" w:hAnsi="Courier New"/>
          <w:sz w:val="12"/>
          <w:szCs w:val="12"/>
          <w:color w:val="auto"/>
        </w:rPr>
      </w:pPr>
    </w:p>
    <w:p>
      <w:pPr>
        <w:ind w:left="700" w:right="483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convertible debentures have to be evaluated to determine if they contain an embedded derivative that warrant bifurcation. Conversion features embedded in convertible debentures will need to be evaluated as to whether they can be classified as equity based on the criteria established in EITF Issues 00-19 and</w:t>
      </w: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05-2. The Company evaluated the conversion features embedded in its debentures (i.e., sale of convertible debentures in 2002 - "2002 debentures", sale of convertible debentures in 2005 - "2005 debentures", sale of convertible debentures in 2006 - "2006 debentures" and the 2007 long-term bonds issued in Israel - "2007 debentures") and concluded that the conversion feature embedded in the 2005 and 2006 debentures warrant bifurcation while the conversion feature embedded in the 2002 and 2007 debentures need not be separated.</w:t>
      </w:r>
    </w:p>
    <w:p>
      <w:pPr>
        <w:spacing w:after="0" w:line="138"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2002 DEBENTURES: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in the amount of $1,681, classified in equity under Israeli GAAP should have not been separated and was required to be included as part of the carrying amount of the debentures.</w:t>
      </w:r>
    </w:p>
    <w:p>
      <w:pPr>
        <w:sectPr>
          <w:pgSz w:w="11900" w:h="16838" w:orient="portrait"/>
          <w:cols w:equalWidth="0" w:num="1">
            <w:col w:w="10239"/>
          </w:cols>
          <w:pgMar w:left="220" w:top="137" w:right="1440" w:bottom="0" w:gutter="0" w:footer="0" w:header="0"/>
        </w:sectPr>
      </w:pPr>
    </w:p>
    <w:p>
      <w:pPr>
        <w:spacing w:after="0" w:line="276"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- 16 -</w:t>
      </w:r>
    </w:p>
    <w:p>
      <w:pPr>
        <w:sectPr>
          <w:pgSz w:w="11900" w:h="16838" w:orient="portrait"/>
          <w:cols w:equalWidth="0" w:num="1">
            <w:col w:w="10239"/>
          </w:cols>
          <w:pgMar w:left="220" w:top="137" w:right="1440" w:bottom="0" w:gutter="0" w:footer="0" w:header="0"/>
          <w:type w:val="continuous"/>
        </w:sectPr>
      </w:pPr>
    </w:p>
    <w:bookmarkStart w:id="10" w:name="page11"/>
    <w:bookmarkEnd w:id="10"/>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ISSUANCE OF DEBENTURES (CONT.)</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2005 AND 2006 DEBENTURES: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equity component of the 2005 and 2006 debentures, in the amounts of $12,288 and $6,030 respectively, as of September 30, 2007, classified as equity under Israeli GAAP were reclassified as liabilities and the conversion features were bifurcated from the debt host and marked to market through earnings. The initial amount allocated to the bifurcated conversion features were determined using the "with and without" method based on the fair value of the embedded derivative prescribed in DIG Issue B6.</w:t>
      </w:r>
    </w:p>
    <w:p>
      <w:pPr>
        <w:spacing w:after="0" w:line="137"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2007 DEBENTURES:</w:t>
      </w:r>
    </w:p>
    <w:p>
      <w:pPr>
        <w:spacing w:after="0" w:line="138" w:lineRule="exact"/>
        <w:rPr>
          <w:rFonts w:ascii="Courier New" w:cs="Courier New" w:eastAsia="Courier New" w:hAnsi="Courier New"/>
          <w:sz w:val="12"/>
          <w:szCs w:val="12"/>
          <w:color w:val="auto"/>
        </w:rPr>
      </w:pPr>
    </w:p>
    <w:p>
      <w:pPr>
        <w:ind w:left="70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accounting treatment under US GAAP is the same as under Israeli GAAP.</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All the above would have resulted, as of September 30, 2007, mainly in a decrease in debentures in the amount of $2,077; an increase in the shareholder's equity in the amount of $2,771; and an increase in other assets in the amount of $694. The Company's loss for the nine month period ended September 30, 2007 would have increased in the amounts of $5,144.</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ISSUED WARRANTS PRESENTATION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the Company's series 5 warrants were initially recorded as a liability due to the ratchet provision included in them. Upon the effective date of the prospectus filed in Israel registering such warrants, the ratchet expired and the series 5 warrants were eligible for equity classification based on the criteria in EITF 00-19.</w:t>
      </w:r>
    </w:p>
    <w:p>
      <w:pPr>
        <w:spacing w:after="0" w:line="140"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the above would have resulted as of September 30, 2007 mainly in a decrease in other long-term liabilities and an increase in shareholder's equity in the amount of $2,548. The Company's loss for the nine month period ended September 30, 2007 would have increased in the amounts of $540.</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MARCH 2007 PRIVATE PLACEMENT OF ORDINARY SHARES AND WARRANTS</w:t>
      </w:r>
    </w:p>
    <w:p>
      <w:pPr>
        <w:spacing w:after="0" w:line="138" w:lineRule="exact"/>
        <w:rPr>
          <w:rFonts w:ascii="Courier New" w:cs="Courier New" w:eastAsia="Courier New" w:hAnsi="Courier New"/>
          <w:sz w:val="12"/>
          <w:szCs w:val="12"/>
          <w:color w:val="auto"/>
        </w:rPr>
      </w:pPr>
    </w:p>
    <w:p>
      <w:pPr>
        <w:ind w:left="700" w:right="50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US GAAP, all components in the private placement should be classified in equity.</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STOCK BASED COMPENSATION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adopted, effective January 1, 2006, SFAS 123R according to which the compensation expense related to employee and directors share option awards would have resulted in an increase in the compensation expenses for the nine month period ending September 30, 2007 in the amount of $908. The Company elected the modified prospective method as its transition method. The adoption of SFAS 123R for US GAAP along with the adoption of Standard No. 24 for Israeli GAAP, decreased the potential differences between US GAAP and Israeli GAAP as they relate to stock based compensation.</w:t>
      </w:r>
    </w:p>
    <w:p>
      <w:pPr>
        <w:spacing w:after="0" w:line="273"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17 -</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Under US GAAP, the debt modification under the Amendment to the Company's facility agreement, which closed in September 2006, is considered troubled debt restructuring within the scope of FASB No. 15</w:t>
      </w: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BY DEBTORS AND CREDITORS FOR TROUBLED DEBT RESTRUCTURINGS which requires the following: (i) the amount considered settled for shares and classified in equity is based on the price per share as quoted at the closing date; (ii) the remaining balance after deduction of the amount used as proceeds for the share issuance in (i) above, will remain outstanding; (iii) a new, lower effective interest rate will be calculated as the interest rate that equates future payments to the outstanding balance; and (iv) no gains or losses are recognized in the current period.</w:t>
      </w:r>
    </w:p>
    <w:p>
      <w:pPr>
        <w:spacing w:after="0" w:line="142"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first quarter of 2007, the Company decided to early adopt the provisions of SFAS No. 159 THE FAIR VALUE OPTION FOR FINANCIAL ASSETS AND FINANCIAL LIABILITIES. As required by such Standard the Company also adopted the provisions of FASB 157 FAIR VALUE MEASUREMENTS.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w:t>
      </w:r>
    </w:p>
    <w:p>
      <w:pPr>
        <w:spacing w:after="0" w:line="142"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 of applying the fair value option to the facility agreement as of January 1, 2007 was $65,207 which has been recorded as a cumulative effect adjustment to retained earnings (no tax effects have been recorded). The carrying amount of the facility agreement prior to the adoption was $432,430 and immediately after was $367,223. The Company reasoned it election of the fair value option for the facility agreement on the fact that the application of FASB 15 to the facility agreement did not reflect the economic benefits that were achieved with the consummation of the amendment to the facility agreement and that the application of the fair value better reflects such benefits. Also the adoption of the fair value option will decrease the GAAP difference that currently exists between Israeli GAAP and IFRS vs.US GAAP.</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ectPr>
          <w:pgSz w:w="11900" w:h="16838" w:orient="portrait"/>
          <w:cols w:equalWidth="0" w:num="1">
            <w:col w:w="10239"/>
          </w:cols>
          <w:pgMar w:left="220" w:top="407" w:right="1440" w:bottom="76" w:gutter="0" w:footer="0" w:header="0"/>
        </w:sectPr>
      </w:pPr>
    </w:p>
    <w:bookmarkStart w:id="11" w:name="page12"/>
    <w:bookmarkEnd w:id="11"/>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jc w:val="center"/>
        <w:ind w:right="4559"/>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tbl>
      <w:tblPr>
        <w:tblLayout w:type="fixed"/>
        <w:tblInd w:w="0" w:type="dxa"/>
        <w:tblCellMar>
          <w:top w:w="0" w:type="dxa"/>
          <w:left w:w="0" w:type="dxa"/>
          <w:bottom w:w="0" w:type="dxa"/>
          <w:right w:w="0" w:type="dxa"/>
        </w:tblCellMar>
      </w:tblP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5400" w:type="dxa"/>
            <w:vAlign w:val="bottom"/>
            <w:gridSpan w:val="4"/>
          </w:tcPr>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H.</w:t>
            </w:r>
          </w:p>
        </w:tc>
        <w:tc>
          <w:tcPr>
            <w:tcW w:w="3140" w:type="dxa"/>
            <w:vAlign w:val="bottom"/>
          </w:tcPr>
          <w:p>
            <w:pPr>
              <w:ind w:left="120"/>
              <w:spacing w:after="0"/>
              <w:rPr>
                <w:sz w:val="20"/>
                <w:szCs w:val="20"/>
                <w:color w:val="auto"/>
              </w:rPr>
            </w:pPr>
            <w:r>
              <w:rPr>
                <w:rFonts w:ascii="Courier New" w:cs="Courier New" w:eastAsia="Courier New" w:hAnsi="Courier New"/>
                <w:sz w:val="12"/>
                <w:szCs w:val="12"/>
                <w:color w:val="auto"/>
              </w:rPr>
              <w:t>FACILITY AGREEMENT (CONT.)</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Under US GAAP the debt modification under the September 2006 Amendment</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to the facility agreement is considered to include an embedded</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derivative that should be separately accounted for. The Company</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considered the obligation to issue shares as agreed with the Banks and</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determined that it contains two components: (i) a contingent component</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7"/>
              </w:rPr>
              <w:t>and (ii) an uncontingent component. The contingent component is the</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obligation to issue shares equal to half of the amount of the</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Decreased Amount if the Fourth Quarter 2010 Price is less than $3.49.</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The uncontingent component is the obligation to issue shares equal to</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8"/>
              </w:rPr>
              <w:t>half of the Decreased Amount regardless of the Fourth Quarter 2010</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9"/>
              </w:rPr>
              <w:t>Price. The Company accounted for the uncontingent component as an</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additional interest expense and calculated the effective interest rate</w:t>
            </w: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to include such expense. The Company treated the uncontingent</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7"/>
              </w:rPr>
              <w:t>component as an embedded derivative that needs to be bifurcated and</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7"/>
              </w:rPr>
              <w:t>separately accounted for based on fair value. Initial separation of</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9"/>
              </w:rPr>
              <w:t>the embedded derivative will be done using the "with and without"</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8"/>
              </w:rPr>
              <w:t>method described in DIG Issue B6. Changes in the fair value of the</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embedded derivative will be included in financing expenses.</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56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All the above resulted in a decrease of $6,581 in shareholders equity</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8"/>
              </w:rPr>
              <w:t>and an increase of the same amount in the long-term loans from the</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7"/>
              </w:rPr>
              <w:t>banks as of September 30, 2007. The decrease in shareholders equity</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includes the cumulative effect as of December 31, 2006, which</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decreased the accumulated deficit in the amount of $65,207. The</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w w:val="97"/>
              </w:rPr>
              <w:t>Company's loss for nine month period ended September 30, 2007 would</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Courier New" w:cs="Courier New" w:eastAsia="Courier New" w:hAnsi="Courier New"/>
                <w:sz w:val="12"/>
                <w:szCs w:val="12"/>
                <w:color w:val="auto"/>
              </w:rPr>
              <w:t>have decreased in the amounts of $3,696.</w:t>
            </w: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405"/>
        </w:trPr>
        <w:tc>
          <w:tcPr>
            <w:tcW w:w="580" w:type="dxa"/>
            <w:vAlign w:val="bottom"/>
          </w:tcPr>
          <w:p>
            <w:pPr>
              <w:spacing w:after="0"/>
              <w:rPr>
                <w:sz w:val="24"/>
                <w:szCs w:val="24"/>
                <w:color w:val="auto"/>
              </w:rPr>
            </w:pPr>
          </w:p>
        </w:tc>
        <w:tc>
          <w:tcPr>
            <w:tcW w:w="3140" w:type="dxa"/>
            <w:vAlign w:val="bottom"/>
          </w:tcPr>
          <w:p>
            <w:pPr>
              <w:ind w:left="2020"/>
              <w:spacing w:after="0"/>
              <w:rPr>
                <w:sz w:val="20"/>
                <w:szCs w:val="20"/>
                <w:color w:val="auto"/>
              </w:rPr>
            </w:pPr>
            <w:r>
              <w:rPr>
                <w:rFonts w:ascii="Courier New" w:cs="Courier New" w:eastAsia="Courier New" w:hAnsi="Courier New"/>
                <w:sz w:val="12"/>
                <w:szCs w:val="12"/>
                <w:color w:val="auto"/>
              </w:rPr>
              <w:t>- 19 -</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22"/>
        </w:trPr>
        <w:tc>
          <w:tcPr>
            <w:tcW w:w="580" w:type="dxa"/>
            <w:vAlign w:val="bottom"/>
          </w:tcPr>
          <w:p>
            <w:pPr>
              <w:spacing w:after="0"/>
              <w:rPr>
                <w:sz w:val="24"/>
                <w:szCs w:val="24"/>
                <w:color w:val="auto"/>
              </w:rPr>
            </w:pPr>
          </w:p>
        </w:tc>
        <w:tc>
          <w:tcPr>
            <w:tcW w:w="3800" w:type="dxa"/>
            <w:vAlign w:val="bottom"/>
            <w:gridSpan w:val="2"/>
          </w:tcPr>
          <w:p>
            <w:pPr>
              <w:ind w:left="880"/>
              <w:spacing w:after="0"/>
              <w:rPr>
                <w:sz w:val="20"/>
                <w:szCs w:val="20"/>
                <w:color w:val="auto"/>
              </w:rPr>
            </w:pPr>
            <w:r>
              <w:rPr>
                <w:rFonts w:ascii="Courier New" w:cs="Courier New" w:eastAsia="Courier New" w:hAnsi="Courier New"/>
                <w:sz w:val="12"/>
                <w:szCs w:val="12"/>
                <w:color w:val="auto"/>
              </w:rPr>
              <w:t>TOWER SEMICONDUCTOR LTD. AND SUBSIDIARY</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jc w:val="right"/>
              <w:ind w:right="782"/>
              <w:spacing w:after="0"/>
              <w:rPr>
                <w:sz w:val="20"/>
                <w:szCs w:val="20"/>
                <w:color w:val="auto"/>
              </w:rPr>
            </w:pPr>
            <w:r>
              <w:rPr>
                <w:rFonts w:ascii="Courier New" w:cs="Courier New" w:eastAsia="Courier New" w:hAnsi="Courier New"/>
                <w:sz w:val="12"/>
                <w:szCs w:val="12"/>
                <w:color w:val="auto"/>
              </w:rPr>
              <w:t>NOTES TO UNAUDITED CONDENSED INTERIM CONSOLIDATED</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3800" w:type="dxa"/>
            <w:vAlign w:val="bottom"/>
            <w:gridSpan w:val="2"/>
          </w:tcPr>
          <w:p>
            <w:pPr>
              <w:ind w:left="680"/>
              <w:spacing w:after="0"/>
              <w:rPr>
                <w:sz w:val="20"/>
                <w:szCs w:val="20"/>
                <w:color w:val="auto"/>
              </w:rPr>
            </w:pPr>
            <w:r>
              <w:rPr>
                <w:rFonts w:ascii="Courier New" w:cs="Courier New" w:eastAsia="Courier New" w:hAnsi="Courier New"/>
                <w:sz w:val="12"/>
                <w:szCs w:val="12"/>
                <w:color w:val="auto"/>
                <w:w w:val="97"/>
              </w:rPr>
              <w:t>FINANCIAL STATEMENTS AS OF SEPTEMBER 30,2007</w:t>
            </w: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4820" w:type="dxa"/>
            <w:vAlign w:val="bottom"/>
            <w:gridSpan w:val="3"/>
          </w:tcPr>
          <w:p>
            <w:pPr>
              <w:ind w:left="120"/>
              <w:spacing w:after="0"/>
              <w:rPr>
                <w:sz w:val="20"/>
                <w:szCs w:val="20"/>
                <w:color w:val="auto"/>
              </w:rPr>
            </w:pPr>
            <w:r>
              <w:rPr>
                <w:rFonts w:ascii="Courier New" w:cs="Courier New" w:eastAsia="Courier New" w:hAnsi="Courier New"/>
                <w:sz w:val="12"/>
                <w:szCs w:val="12"/>
                <w:color w:val="auto"/>
              </w:rPr>
              <w:t>(dollars in thousands, except share data and per share data)</w:t>
            </w: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5400" w:type="dxa"/>
            <w:vAlign w:val="bottom"/>
            <w:gridSpan w:val="4"/>
          </w:tcPr>
          <w:p>
            <w:pPr>
              <w:spacing w:after="0"/>
              <w:rPr>
                <w:sz w:val="20"/>
                <w:szCs w:val="20"/>
                <w:color w:val="auto"/>
              </w:rPr>
            </w:pPr>
            <w:r>
              <w:rPr>
                <w:rFonts w:ascii="Courier New" w:cs="Courier New" w:eastAsia="Courier New" w:hAnsi="Courier New"/>
                <w:sz w:val="12"/>
                <w:szCs w:val="12"/>
                <w:color w:val="auto"/>
              </w:rPr>
              <w:t>NOTE 4 - MATERIAL DIFFERENCES BETWEEN ISRAEL AND U.S. GAAP (Cont.)</w:t>
            </w: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I.</w:t>
            </w:r>
          </w:p>
        </w:tc>
        <w:tc>
          <w:tcPr>
            <w:tcW w:w="3140" w:type="dxa"/>
            <w:vAlign w:val="bottom"/>
          </w:tcPr>
          <w:p>
            <w:pPr>
              <w:ind w:left="120"/>
              <w:spacing w:after="0"/>
              <w:rPr>
                <w:sz w:val="20"/>
                <w:szCs w:val="20"/>
                <w:color w:val="auto"/>
              </w:rPr>
            </w:pPr>
            <w:r>
              <w:rPr>
                <w:rFonts w:ascii="Courier New" w:cs="Courier New" w:eastAsia="Courier New" w:hAnsi="Courier New"/>
                <w:sz w:val="12"/>
                <w:szCs w:val="12"/>
                <w:color w:val="auto"/>
                <w:w w:val="96"/>
              </w:rPr>
              <w:t>Balance Sheets in accordance with U.S. GAAP</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740" w:type="dxa"/>
            <w:vAlign w:val="bottom"/>
            <w:gridSpan w:val="3"/>
          </w:tcPr>
          <w:p>
            <w:pPr>
              <w:jc w:val="right"/>
              <w:ind w:right="541"/>
              <w:spacing w:after="0"/>
              <w:rPr>
                <w:sz w:val="20"/>
                <w:szCs w:val="20"/>
                <w:color w:val="auto"/>
              </w:rPr>
            </w:pPr>
            <w:r>
              <w:rPr>
                <w:rFonts w:ascii="Courier New" w:cs="Courier New" w:eastAsia="Courier New" w:hAnsi="Courier New"/>
                <w:sz w:val="12"/>
                <w:szCs w:val="12"/>
                <w:color w:val="auto"/>
              </w:rPr>
              <w:t>AS OF SEPTEMBER 30, 2007</w:t>
            </w:r>
          </w:p>
        </w:tc>
        <w:tc>
          <w:tcPr>
            <w:tcW w:w="2840" w:type="dxa"/>
            <w:vAlign w:val="bottom"/>
            <w:gridSpan w:val="4"/>
          </w:tcPr>
          <w:p>
            <w:pPr>
              <w:jc w:val="center"/>
              <w:ind w:left="61"/>
              <w:spacing w:after="0"/>
              <w:rPr>
                <w:sz w:val="20"/>
                <w:szCs w:val="20"/>
                <w:color w:val="auto"/>
              </w:rPr>
            </w:pPr>
            <w:r>
              <w:rPr>
                <w:rFonts w:ascii="Courier New" w:cs="Courier New" w:eastAsia="Courier New" w:hAnsi="Courier New"/>
                <w:sz w:val="12"/>
                <w:szCs w:val="12"/>
                <w:color w:val="auto"/>
                <w:w w:val="96"/>
              </w:rPr>
              <w:t>AS OF DECEMBER 31, 2006</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w:t>
            </w:r>
          </w:p>
        </w:tc>
        <w:tc>
          <w:tcPr>
            <w:tcW w:w="940" w:type="dxa"/>
            <w:vAlign w:val="bottom"/>
          </w:tcPr>
          <w:p>
            <w:pPr>
              <w:spacing w:after="0"/>
              <w:rPr>
                <w:sz w:val="11"/>
                <w:szCs w:val="11"/>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7"/>
              </w:rPr>
              <w:t>U.S.</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AS PER</w:t>
            </w:r>
          </w:p>
        </w:tc>
        <w:tc>
          <w:tcPr>
            <w:tcW w:w="780" w:type="dxa"/>
            <w:vAlign w:val="bottom"/>
          </w:tcPr>
          <w:p>
            <w:pPr>
              <w:spacing w:after="0"/>
              <w:rPr>
                <w:sz w:val="11"/>
                <w:szCs w:val="11"/>
                <w:color w:val="auto"/>
              </w:rPr>
            </w:pPr>
          </w:p>
        </w:tc>
        <w:tc>
          <w:tcPr>
            <w:tcW w:w="9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AS PER</w:t>
            </w:r>
          </w:p>
        </w:tc>
        <w:tc>
          <w:tcPr>
            <w:tcW w:w="980" w:type="dxa"/>
            <w:vAlign w:val="bottom"/>
          </w:tcPr>
          <w:p>
            <w:pPr>
              <w:ind w:left="240"/>
              <w:spacing w:after="0"/>
              <w:rPr>
                <w:sz w:val="20"/>
                <w:szCs w:val="20"/>
                <w:color w:val="auto"/>
              </w:rPr>
            </w:pPr>
            <w:r>
              <w:rPr>
                <w:rFonts w:ascii="Courier New" w:cs="Courier New" w:eastAsia="Courier New" w:hAnsi="Courier New"/>
                <w:sz w:val="12"/>
                <w:szCs w:val="12"/>
                <w:color w:val="auto"/>
              </w:rPr>
              <w:t>AS PER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AS PER</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jc w:val="center"/>
              <w:ind w:right="201"/>
              <w:spacing w:after="0"/>
              <w:rPr>
                <w:sz w:val="20"/>
                <w:szCs w:val="20"/>
                <w:color w:val="auto"/>
              </w:rPr>
            </w:pPr>
            <w:r>
              <w:rPr>
                <w:rFonts w:ascii="Courier New" w:cs="Courier New" w:eastAsia="Courier New" w:hAnsi="Courier New"/>
                <w:sz w:val="12"/>
                <w:szCs w:val="12"/>
                <w:color w:val="auto"/>
                <w:w w:val="97"/>
              </w:rPr>
              <w:t>GAAP</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ISRAELI</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5"/>
              </w:rPr>
              <w:t>ADJUST-</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U.S.</w:t>
            </w:r>
          </w:p>
        </w:tc>
        <w:tc>
          <w:tcPr>
            <w:tcW w:w="980" w:type="dxa"/>
            <w:vAlign w:val="bottom"/>
          </w:tcPr>
          <w:p>
            <w:pPr>
              <w:ind w:left="240"/>
              <w:spacing w:after="0"/>
              <w:rPr>
                <w:sz w:val="20"/>
                <w:szCs w:val="20"/>
                <w:color w:val="auto"/>
              </w:rPr>
            </w:pPr>
            <w:r>
              <w:rPr>
                <w:rFonts w:ascii="Courier New" w:cs="Courier New" w:eastAsia="Courier New" w:hAnsi="Courier New"/>
                <w:sz w:val="12"/>
                <w:szCs w:val="12"/>
                <w:color w:val="auto"/>
              </w:rPr>
              <w:t>ISRAELI</w:t>
            </w:r>
          </w:p>
        </w:tc>
        <w:tc>
          <w:tcPr>
            <w:tcW w:w="260" w:type="dxa"/>
            <w:vAlign w:val="bottom"/>
          </w:tcPr>
          <w:p>
            <w:pPr>
              <w:spacing w:after="0"/>
              <w:rPr>
                <w:sz w:val="11"/>
                <w:szCs w:val="11"/>
                <w:color w:val="auto"/>
              </w:rPr>
            </w:pPr>
          </w:p>
        </w:tc>
        <w:tc>
          <w:tcPr>
            <w:tcW w:w="800" w:type="dxa"/>
            <w:vAlign w:val="bottom"/>
          </w:tcPr>
          <w:p>
            <w:pPr>
              <w:jc w:val="center"/>
              <w:ind w:right="261"/>
              <w:spacing w:after="0"/>
              <w:rPr>
                <w:sz w:val="20"/>
                <w:szCs w:val="20"/>
                <w:color w:val="auto"/>
              </w:rPr>
            </w:pPr>
            <w:r>
              <w:rPr>
                <w:rFonts w:ascii="Courier New" w:cs="Courier New" w:eastAsia="Courier New" w:hAnsi="Courier New"/>
                <w:sz w:val="12"/>
                <w:szCs w:val="12"/>
                <w:color w:val="auto"/>
                <w:w w:val="95"/>
              </w:rPr>
              <w:t>ADJUST-</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U.S.</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jc w:val="center"/>
              <w:ind w:right="181"/>
              <w:spacing w:after="0"/>
              <w:rPr>
                <w:sz w:val="20"/>
                <w:szCs w:val="20"/>
                <w:color w:val="auto"/>
              </w:rPr>
            </w:pPr>
            <w:r>
              <w:rPr>
                <w:rFonts w:ascii="Courier New" w:cs="Courier New" w:eastAsia="Courier New" w:hAnsi="Courier New"/>
                <w:sz w:val="12"/>
                <w:szCs w:val="12"/>
                <w:color w:val="auto"/>
                <w:w w:val="97"/>
              </w:rPr>
              <w:t>REMARK</w:t>
            </w:r>
          </w:p>
        </w:tc>
        <w:tc>
          <w:tcPr>
            <w:tcW w:w="1020" w:type="dxa"/>
            <w:vAlign w:val="bottom"/>
          </w:tcPr>
          <w:p>
            <w:pPr>
              <w:jc w:val="right"/>
              <w:ind w:right="442"/>
              <w:spacing w:after="0"/>
              <w:rPr>
                <w:sz w:val="20"/>
                <w:szCs w:val="20"/>
                <w:color w:val="auto"/>
              </w:rPr>
            </w:pPr>
            <w:r>
              <w:rPr>
                <w:rFonts w:ascii="Courier New" w:cs="Courier New" w:eastAsia="Courier New" w:hAnsi="Courier New"/>
                <w:sz w:val="12"/>
                <w:szCs w:val="12"/>
                <w:color w:val="auto"/>
              </w:rPr>
              <w:t>GAAP</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MENTS</w:t>
            </w:r>
          </w:p>
        </w:tc>
        <w:tc>
          <w:tcPr>
            <w:tcW w:w="9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GAAP</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GAAP</w:t>
            </w:r>
          </w:p>
        </w:tc>
        <w:tc>
          <w:tcPr>
            <w:tcW w:w="260" w:type="dxa"/>
            <w:vAlign w:val="bottom"/>
          </w:tcPr>
          <w:p>
            <w:pPr>
              <w:spacing w:after="0"/>
              <w:rPr>
                <w:sz w:val="11"/>
                <w:szCs w:val="11"/>
                <w:color w:val="auto"/>
              </w:rPr>
            </w:pPr>
          </w:p>
        </w:tc>
        <w:tc>
          <w:tcPr>
            <w:tcW w:w="800" w:type="dxa"/>
            <w:vAlign w:val="bottom"/>
          </w:tcPr>
          <w:p>
            <w:pPr>
              <w:jc w:val="center"/>
              <w:ind w:right="261"/>
              <w:spacing w:after="0"/>
              <w:rPr>
                <w:sz w:val="20"/>
                <w:szCs w:val="20"/>
                <w:color w:val="auto"/>
              </w:rPr>
            </w:pPr>
            <w:r>
              <w:rPr>
                <w:rFonts w:ascii="Courier New" w:cs="Courier New" w:eastAsia="Courier New" w:hAnsi="Courier New"/>
                <w:sz w:val="12"/>
                <w:szCs w:val="12"/>
                <w:color w:val="auto"/>
                <w:w w:val="99"/>
              </w:rPr>
              <w:t>MENTS</w:t>
            </w:r>
          </w:p>
        </w:tc>
        <w:tc>
          <w:tcPr>
            <w:tcW w:w="8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GAAP</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jc w:val="center"/>
              <w:ind w:right="181"/>
              <w:spacing w:after="0"/>
              <w:rPr>
                <w:sz w:val="20"/>
                <w:szCs w:val="20"/>
                <w:color w:val="auto"/>
              </w:rPr>
            </w:pPr>
            <w:r>
              <w:rPr>
                <w:rFonts w:ascii="Courier New" w:cs="Courier New" w:eastAsia="Courier New" w:hAnsi="Courier New"/>
                <w:sz w:val="12"/>
                <w:szCs w:val="12"/>
                <w:color w:val="auto"/>
                <w:w w:val="97"/>
              </w:rPr>
              <w:t>------</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spacing w:after="0"/>
              <w:rPr>
                <w:sz w:val="20"/>
                <w:szCs w:val="20"/>
                <w:color w:val="auto"/>
              </w:rPr>
            </w:pPr>
            <w:r>
              <w:rPr>
                <w:rFonts w:ascii="Courier New" w:cs="Courier New" w:eastAsia="Courier New" w:hAnsi="Courier New"/>
                <w:sz w:val="12"/>
                <w:szCs w:val="12"/>
                <w:color w:val="auto"/>
              </w:rPr>
              <w:t>A S S E T S</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CURRENT ASSETS</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CASH AND CASH EQUIVALENTS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  42,600</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42,600</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39,710</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39,710</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SHORT-TERM INTEREST-BEARING DEPOSITS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1,230</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PROCEEDS RECEIVABLES RELATING PUBLIC OFFERING</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13,932</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13,932</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TRADE ACCOUNTS RECEIVABLE :</w:t>
            </w: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372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RELATED PARTIES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13,785</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13,785</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13,625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372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OTHERS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26,513</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26,513</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17,873</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OTHER RECEIVABLES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1,260</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1,260</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5,425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INVENTORIES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35,431</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35,431</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34,763</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OTHER CURRENT ASSETS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1,040</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1,040</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1,473</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TOTAL CURRENT ASSETS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134,561</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134,561</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114,099</w:t>
            </w:r>
          </w:p>
        </w:tc>
        <w:tc>
          <w:tcPr>
            <w:tcW w:w="260" w:type="dxa"/>
            <w:vAlign w:val="bottom"/>
          </w:tcPr>
          <w:p>
            <w:pPr>
              <w:spacing w:after="0"/>
              <w:rPr>
                <w:sz w:val="11"/>
                <w:szCs w:val="11"/>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w w:val="92"/>
              </w:rPr>
              <w:t>B,C</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14,246</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14,246</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23"/>
                <w:szCs w:val="23"/>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15,325</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15,325</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PROPERTY AND EQUIPMENT, NET</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rPr>
              <w:t>C</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494,361</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(997)</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493,364</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539,292</w:t>
            </w:r>
          </w:p>
        </w:tc>
        <w:tc>
          <w:tcPr>
            <w:tcW w:w="260" w:type="dxa"/>
            <w:vAlign w:val="bottom"/>
          </w:tcPr>
          <w:p>
            <w:pPr>
              <w:spacing w:after="0"/>
              <w:rPr>
                <w:sz w:val="23"/>
                <w:szCs w:val="23"/>
                <w:color w:val="auto"/>
              </w:rPr>
            </w:pPr>
          </w:p>
        </w:tc>
        <w:tc>
          <w:tcPr>
            <w:tcW w:w="8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(1,745)</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537,547</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INTANGIBLE ASSETS, NET</w:t>
            </w:r>
          </w:p>
        </w:tc>
        <w:tc>
          <w:tcPr>
            <w:tcW w:w="66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36,386</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36,386</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44,981</w:t>
            </w:r>
          </w:p>
        </w:tc>
        <w:tc>
          <w:tcPr>
            <w:tcW w:w="260" w:type="dxa"/>
            <w:vAlign w:val="bottom"/>
          </w:tcPr>
          <w:p>
            <w:pPr>
              <w:spacing w:after="0"/>
              <w:rPr>
                <w:sz w:val="23"/>
                <w:szCs w:val="23"/>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OTHER ASSETS, NET</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rPr>
              <w:t>D</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1,286</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694</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1,980</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1,346</w:t>
            </w:r>
          </w:p>
        </w:tc>
        <w:tc>
          <w:tcPr>
            <w:tcW w:w="260" w:type="dxa"/>
            <w:vAlign w:val="bottom"/>
          </w:tcPr>
          <w:p>
            <w:pPr>
              <w:spacing w:after="0"/>
              <w:rPr>
                <w:sz w:val="23"/>
                <w:szCs w:val="23"/>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834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2,180</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TOTAL ASSETS</w:t>
            </w:r>
          </w:p>
        </w:tc>
        <w:tc>
          <w:tcPr>
            <w:tcW w:w="66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$ 666,594</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$ 13,943</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$ 680,537</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$ 699,718</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14,414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$ 714,132</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spacing w:after="0"/>
              <w:rPr>
                <w:sz w:val="20"/>
                <w:szCs w:val="20"/>
                <w:color w:val="auto"/>
              </w:rPr>
            </w:pPr>
            <w:r>
              <w:rPr>
                <w:rFonts w:ascii="Courier New" w:cs="Courier New" w:eastAsia="Courier New" w:hAnsi="Courier New"/>
                <w:sz w:val="12"/>
                <w:szCs w:val="12"/>
                <w:color w:val="auto"/>
              </w:rPr>
              <w:t>LIABILITIES AND</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3720" w:type="dxa"/>
            <w:vAlign w:val="bottom"/>
            <w:gridSpan w:val="2"/>
          </w:tcPr>
          <w:p>
            <w:pPr>
              <w:spacing w:after="0"/>
              <w:rPr>
                <w:sz w:val="20"/>
                <w:szCs w:val="20"/>
                <w:color w:val="auto"/>
              </w:rPr>
            </w:pPr>
            <w:r>
              <w:rPr>
                <w:rFonts w:ascii="Courier New" w:cs="Courier New" w:eastAsia="Courier New" w:hAnsi="Courier New"/>
                <w:sz w:val="12"/>
                <w:szCs w:val="12"/>
                <w:color w:val="auto"/>
              </w:rPr>
              <w:t>SHAREHOLDERS' EQUITY</w:t>
            </w: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CURRENT LIABILITIES</w:t>
            </w: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rPr>
              <w:t>D</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7,340</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166</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7,506</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6,632</w:t>
            </w:r>
          </w:p>
        </w:tc>
        <w:tc>
          <w:tcPr>
            <w:tcW w:w="260" w:type="dxa"/>
            <w:vAlign w:val="bottom"/>
          </w:tcPr>
          <w:p>
            <w:pPr>
              <w:spacing w:after="0"/>
              <w:rPr>
                <w:sz w:val="11"/>
                <w:szCs w:val="11"/>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270</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6,902</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TRADE ACCOUNTS PAYABLE</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39,480</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39,480</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55,128</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372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OTHER CURRENT LIABILITIES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20,041</w:t>
            </w:r>
          </w:p>
        </w:tc>
        <w:tc>
          <w:tcPr>
            <w:tcW w:w="780" w:type="dxa"/>
            <w:vAlign w:val="bottom"/>
          </w:tcPr>
          <w:p>
            <w:pPr>
              <w:spacing w:after="0"/>
              <w:rPr>
                <w:sz w:val="11"/>
                <w:szCs w:val="11"/>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20,041</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22,096</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TOTAL CURRENT LIABILITIES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66,861</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166</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67,027</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83,856</w:t>
            </w:r>
          </w:p>
        </w:tc>
        <w:tc>
          <w:tcPr>
            <w:tcW w:w="260" w:type="dxa"/>
            <w:vAlign w:val="bottom"/>
          </w:tcPr>
          <w:p>
            <w:pPr>
              <w:spacing w:after="0"/>
              <w:rPr>
                <w:sz w:val="11"/>
                <w:szCs w:val="11"/>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270</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84,126</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DEBT FROM BANKS</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rPr>
              <w:t>H</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362,162</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6,581</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368,743</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356,947</w:t>
            </w:r>
          </w:p>
        </w:tc>
        <w:tc>
          <w:tcPr>
            <w:tcW w:w="260" w:type="dxa"/>
            <w:vAlign w:val="bottom"/>
          </w:tcPr>
          <w:p>
            <w:pPr>
              <w:spacing w:after="0"/>
              <w:rPr>
                <w:sz w:val="23"/>
                <w:szCs w:val="23"/>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75,483</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432,430</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DEBENTURES</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rPr>
              <w:t>D</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116,865</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(2,243)</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114,622</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62,175</w:t>
            </w:r>
          </w:p>
        </w:tc>
        <w:tc>
          <w:tcPr>
            <w:tcW w:w="260" w:type="dxa"/>
            <w:vAlign w:val="bottom"/>
          </w:tcPr>
          <w:p>
            <w:pPr>
              <w:spacing w:after="0"/>
              <w:rPr>
                <w:sz w:val="23"/>
                <w:szCs w:val="23"/>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21,688</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83,863</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LONG-TERM CUSTOMERS' ADVANCES</w:t>
            </w:r>
          </w:p>
        </w:tc>
        <w:tc>
          <w:tcPr>
            <w:tcW w:w="66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36,072</w:t>
            </w:r>
          </w:p>
        </w:tc>
        <w:tc>
          <w:tcPr>
            <w:tcW w:w="780" w:type="dxa"/>
            <w:vAlign w:val="bottom"/>
          </w:tcPr>
          <w:p>
            <w:pPr>
              <w:spacing w:after="0"/>
              <w:rPr>
                <w:sz w:val="23"/>
                <w:szCs w:val="23"/>
                <w:color w:val="auto"/>
              </w:rPr>
            </w:pP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36,072</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46,042</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OTHER LONG-TERM LIABILITIES</w:t>
            </w:r>
          </w:p>
        </w:tc>
        <w:tc>
          <w:tcPr>
            <w:tcW w:w="660" w:type="dxa"/>
            <w:vAlign w:val="bottom"/>
          </w:tcPr>
          <w:p>
            <w:pPr>
              <w:jc w:val="center"/>
              <w:ind w:right="121"/>
              <w:spacing w:after="0"/>
              <w:rPr>
                <w:sz w:val="20"/>
                <w:szCs w:val="20"/>
                <w:color w:val="auto"/>
              </w:rPr>
            </w:pPr>
            <w:r>
              <w:rPr>
                <w:rFonts w:ascii="Courier New" w:cs="Courier New" w:eastAsia="Courier New" w:hAnsi="Courier New"/>
                <w:sz w:val="12"/>
                <w:szCs w:val="12"/>
                <w:color w:val="auto"/>
                <w:w w:val="92"/>
              </w:rPr>
              <w:t>B,E</w:t>
            </w: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15,397</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10,947</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26,344</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17,708</w:t>
            </w:r>
          </w:p>
        </w:tc>
        <w:tc>
          <w:tcPr>
            <w:tcW w:w="260" w:type="dxa"/>
            <w:vAlign w:val="bottom"/>
          </w:tcPr>
          <w:p>
            <w:pPr>
              <w:spacing w:after="0"/>
              <w:rPr>
                <w:sz w:val="23"/>
                <w:szCs w:val="23"/>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10,447</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TOTAL LIABILITIES</w:t>
            </w: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597,357</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15,451</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612,808</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566,728</w:t>
            </w:r>
          </w:p>
        </w:tc>
        <w:tc>
          <w:tcPr>
            <w:tcW w:w="260" w:type="dxa"/>
            <w:vAlign w:val="bottom"/>
          </w:tcPr>
          <w:p>
            <w:pPr>
              <w:spacing w:after="0"/>
              <w:rPr>
                <w:sz w:val="11"/>
                <w:szCs w:val="11"/>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107,888</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674,616</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200"/>
              <w:spacing w:after="0"/>
              <w:rPr>
                <w:sz w:val="20"/>
                <w:szCs w:val="20"/>
                <w:color w:val="auto"/>
              </w:rPr>
            </w:pPr>
            <w:r>
              <w:rPr>
                <w:rFonts w:ascii="Courier New" w:cs="Courier New" w:eastAsia="Courier New" w:hAnsi="Courier New"/>
                <w:sz w:val="12"/>
                <w:szCs w:val="12"/>
                <w:color w:val="auto"/>
              </w:rPr>
              <w:t>SHAREHOLDERS' EQUITY</w:t>
            </w:r>
          </w:p>
        </w:tc>
        <w:tc>
          <w:tcPr>
            <w:tcW w:w="66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69,237</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(1,508)</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67,729</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132,990</w:t>
            </w:r>
          </w:p>
        </w:tc>
        <w:tc>
          <w:tcPr>
            <w:tcW w:w="260" w:type="dxa"/>
            <w:vAlign w:val="bottom"/>
          </w:tcPr>
          <w:p>
            <w:pPr>
              <w:spacing w:after="0"/>
              <w:rPr>
                <w:sz w:val="23"/>
                <w:szCs w:val="23"/>
                <w:color w:val="auto"/>
              </w:rPr>
            </w:pPr>
          </w:p>
        </w:tc>
        <w:tc>
          <w:tcPr>
            <w:tcW w:w="80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(93,474)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39,516</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gridSpan w:val="2"/>
          </w:tcPr>
          <w:p>
            <w:pPr>
              <w:ind w:left="56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660" w:type="dxa"/>
            <w:vAlign w:val="bottom"/>
          </w:tcPr>
          <w:p>
            <w:pPr>
              <w:spacing w:after="0"/>
              <w:rPr>
                <w:sz w:val="23"/>
                <w:szCs w:val="23"/>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$ 666,594</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$ 13,943</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$ 680,537</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$ 699,718</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14,414</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$ 714,132</w:t>
            </w:r>
          </w:p>
        </w:tc>
      </w:tr>
      <w:tr>
        <w:trPr>
          <w:trHeight w:val="135"/>
        </w:trPr>
        <w:tc>
          <w:tcPr>
            <w:tcW w:w="58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jc w:val="right"/>
              <w:ind w:right="282"/>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3"/>
              </w:rPr>
              <w:t>========</w:t>
            </w:r>
          </w:p>
        </w:tc>
        <w:tc>
          <w:tcPr>
            <w:tcW w:w="9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580" w:type="dxa"/>
            <w:vAlign w:val="bottom"/>
          </w:tcPr>
          <w:p>
            <w:pPr>
              <w:spacing w:after="0"/>
              <w:rPr>
                <w:sz w:val="24"/>
                <w:szCs w:val="24"/>
                <w:color w:val="auto"/>
              </w:rPr>
            </w:pPr>
          </w:p>
        </w:tc>
        <w:tc>
          <w:tcPr>
            <w:tcW w:w="3140" w:type="dxa"/>
            <w:vAlign w:val="bottom"/>
          </w:tcPr>
          <w:p>
            <w:pPr>
              <w:ind w:left="2020"/>
              <w:spacing w:after="0"/>
              <w:rPr>
                <w:sz w:val="20"/>
                <w:szCs w:val="20"/>
                <w:color w:val="auto"/>
              </w:rPr>
            </w:pPr>
            <w:r>
              <w:rPr>
                <w:rFonts w:ascii="Courier New" w:cs="Courier New" w:eastAsia="Courier New" w:hAnsi="Courier New"/>
                <w:sz w:val="12"/>
                <w:szCs w:val="12"/>
                <w:color w:val="auto"/>
              </w:rPr>
              <w:t>- 20 -</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NOTES TO UNAUDITED CONDENSED INTERIM CONSOLIDATED</w:t>
      </w:r>
    </w:p>
    <w:p>
      <w:pPr>
        <w:sectPr>
          <w:pgSz w:w="11900" w:h="16838" w:orient="portrait"/>
          <w:cols w:equalWidth="0" w:num="1">
            <w:col w:w="10239"/>
          </w:cols>
          <w:pgMar w:left="220" w:top="137" w:right="1440" w:bottom="0" w:gutter="0" w:footer="0" w:header="0"/>
        </w:sectPr>
      </w:pPr>
    </w:p>
    <w:bookmarkStart w:id="12" w:name="page13"/>
    <w:bookmarkEnd w:id="12"/>
    <w:p>
      <w:pPr>
        <w:ind w:left="1260"/>
        <w:spacing w:after="0"/>
        <w:rPr>
          <w:sz w:val="20"/>
          <w:szCs w:val="20"/>
          <w:color w:val="auto"/>
        </w:rPr>
      </w:pPr>
      <w:r>
        <w:rPr>
          <w:rFonts w:ascii="Courier New" w:cs="Courier New" w:eastAsia="Courier New" w:hAnsi="Courier New"/>
          <w:sz w:val="12"/>
          <w:szCs w:val="12"/>
          <w:color w:val="auto"/>
        </w:rPr>
        <w:t>FINANCIAL STATEMENTS AS OF SEPTEMBER 30, 2007</w:t>
      </w:r>
    </w:p>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OPERATIONS IN ACCORDANCE WITH U.S. GAAP</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FASB No. 159 (H above), SFAS 133 (C above), APB 14 (D above) and SFAS 123R (G above) would have resulted in an increase in the loss for the nine-month period ended September 30, 2007 in the amount of $3,692. The loss for the nine-month period ended September 30, 2006 would have increased in the amount of $82,396 (mainly due to the difference in accounting for the debt modification under Israeli GAAP as of September 30, 2006, prior to the early adoption of SFAS 159 effective January 1, 2007 as detailed above). Giving effect to all the above, the loss for the nine-month periods ended September 30, 2007 and 2006 would be $108,945 and $131,631.</w:t>
      </w:r>
    </w:p>
    <w:p>
      <w:pPr>
        <w:spacing w:after="0" w:line="143" w:lineRule="exact"/>
        <w:rPr>
          <w:rFonts w:ascii="Courier New" w:cs="Courier New" w:eastAsia="Courier New" w:hAnsi="Courier New"/>
          <w:sz w:val="12"/>
          <w:szCs w:val="12"/>
          <w:color w:val="auto"/>
        </w:rPr>
      </w:pPr>
    </w:p>
    <w:p>
      <w:pPr>
        <w:ind w:left="700" w:right="497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the cumulative effect adjustment to retained earnings in the amount of $65,207 following the early adoption of SFAS 159, See H above.</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IN ACCORDANCE WITH U.S. GAAP (SFAS 130)</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pacing w:after="0" w:line="139" w:lineRule="exact"/>
        <w:rPr>
          <w:sz w:val="20"/>
          <w:szCs w:val="20"/>
          <w:color w:val="auto"/>
        </w:rPr>
      </w:pPr>
    </w:p>
    <w:p>
      <w:pPr>
        <w:ind w:left="4280"/>
        <w:spacing w:after="0"/>
        <w:rPr>
          <w:sz w:val="20"/>
          <w:szCs w:val="20"/>
          <w:color w:val="auto"/>
        </w:rPr>
      </w:pPr>
      <w:r>
        <w:rPr>
          <w:rFonts w:ascii="Courier New" w:cs="Courier New" w:eastAsia="Courier New" w:hAnsi="Courier New"/>
          <w:sz w:val="12"/>
          <w:szCs w:val="12"/>
          <w:color w:val="auto"/>
        </w:rPr>
        <w:t>Nine months ended</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2"/>
          <w:szCs w:val="12"/>
          <w:color w:val="auto"/>
        </w:rPr>
        <w:t>September 30,</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4280"/>
        <w:spacing w:after="0"/>
        <w:tabs>
          <w:tab w:leader="none" w:pos="5320" w:val="left"/>
        </w:tabs>
        <w:rPr>
          <w:sz w:val="20"/>
          <w:szCs w:val="20"/>
          <w:color w:val="auto"/>
        </w:rPr>
      </w:pPr>
      <w:r>
        <w:rPr>
          <w:rFonts w:ascii="Courier New" w:cs="Courier New" w:eastAsia="Courier New" w:hAnsi="Courier New"/>
          <w:sz w:val="12"/>
          <w:szCs w:val="12"/>
          <w:color w:val="auto"/>
        </w:rPr>
        <w:t>2007</w:t>
      </w:r>
      <w:r>
        <w:rPr>
          <w:sz w:val="20"/>
          <w:szCs w:val="20"/>
          <w:color w:val="auto"/>
        </w:rPr>
        <w:tab/>
      </w:r>
      <w:r>
        <w:rPr>
          <w:rFonts w:ascii="Courier New" w:cs="Courier New" w:eastAsia="Courier New" w:hAnsi="Courier New"/>
          <w:sz w:val="12"/>
          <w:szCs w:val="12"/>
          <w:color w:val="auto"/>
        </w:rPr>
        <w:t>2006</w:t>
      </w:r>
    </w:p>
    <w:p>
      <w:pPr>
        <w:spacing w:after="0" w:line="4" w:lineRule="exact"/>
        <w:rPr>
          <w:sz w:val="20"/>
          <w:szCs w:val="20"/>
          <w:color w:val="auto"/>
        </w:rPr>
      </w:pPr>
    </w:p>
    <w:p>
      <w:pPr>
        <w:ind w:left="4060"/>
        <w:spacing w:after="0"/>
        <w:tabs>
          <w:tab w:leader="none" w:pos="510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2"/>
          <w:szCs w:val="12"/>
          <w:color w:val="auto"/>
        </w:rPr>
        <w:t>(unaudited)</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Loss for the period, according to U.S. GAAP</w:t>
      </w:r>
    </w:p>
    <w:p>
      <w:pPr>
        <w:sectPr>
          <w:pgSz w:w="11900" w:h="16838" w:orient="portrait"/>
          <w:cols w:equalWidth="0" w:num="1">
            <w:col w:w="10239"/>
          </w:cols>
          <w:pgMar w:left="220" w:top="137" w:right="1440" w:bottom="1440" w:gutter="0" w:footer="0" w:header="0"/>
        </w:sectPr>
      </w:pP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(see J above)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$(108,945)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$(131,631)</w:t>
      </w:r>
    </w:p>
    <w:p>
      <w:pPr>
        <w:spacing w:after="0" w:line="10" w:lineRule="exact"/>
        <w:rPr>
          <w:sz w:val="20"/>
          <w:szCs w:val="20"/>
          <w:color w:val="auto"/>
        </w:rPr>
      </w:pPr>
    </w:p>
    <w:p>
      <w:pPr>
        <w:sectPr>
          <w:pgSz w:w="11900" w:h="16838" w:orient="portrait"/>
          <w:cols w:equalWidth="0" w:num="3">
            <w:col w:w="3340" w:space="720"/>
            <w:col w:w="700" w:space="360"/>
            <w:col w:w="5119"/>
          </w:cols>
          <w:pgMar w:left="220" w:top="137" w:right="1440" w:bottom="1440" w:gutter="0" w:footer="0" w:header="0"/>
          <w:type w:val="continuous"/>
        </w:sectPr>
      </w:pPr>
    </w:p>
    <w:p>
      <w:pPr>
        <w:ind w:left="700"/>
        <w:spacing w:after="0"/>
        <w:rPr>
          <w:sz w:val="20"/>
          <w:szCs w:val="20"/>
          <w:color w:val="auto"/>
        </w:rPr>
      </w:pPr>
      <w:r>
        <w:rPr>
          <w:rFonts w:ascii="Courier New" w:cs="Courier New" w:eastAsia="Courier New" w:hAnsi="Courier New"/>
          <w:sz w:val="11"/>
          <w:szCs w:val="11"/>
          <w:color w:val="auto"/>
        </w:rPr>
        <w:t>Other comprehensive loss:</w:t>
      </w:r>
    </w:p>
    <w:p>
      <w:pPr>
        <w:sectPr>
          <w:pgSz w:w="11900" w:h="16838" w:orient="portrait"/>
          <w:cols w:equalWidth="0" w:num="1">
            <w:col w:w="10239"/>
          </w:cols>
          <w:pgMar w:left="220" w:top="137" w:right="1440" w:bottom="1440" w:gutter="0" w:footer="0" w:header="0"/>
          <w:type w:val="continuous"/>
        </w:sectPr>
      </w:pPr>
    </w:p>
    <w:p>
      <w:pPr>
        <w:spacing w:after="0" w:line="146"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Reclassification of unrealized losses 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derivatives</w:t>
      </w:r>
    </w:p>
    <w:p>
      <w:pPr>
        <w:ind w:left="700"/>
        <w:spacing w:after="0"/>
        <w:tabs>
          <w:tab w:leader="none" w:pos="1940" w:val="left"/>
        </w:tabs>
        <w:rPr>
          <w:sz w:val="20"/>
          <w:szCs w:val="20"/>
          <w:color w:val="auto"/>
        </w:rPr>
      </w:pPr>
      <w:r>
        <w:rPr>
          <w:rFonts w:ascii="Courier New" w:cs="Courier New" w:eastAsia="Courier New" w:hAnsi="Courier New"/>
          <w:sz w:val="12"/>
          <w:szCs w:val="12"/>
          <w:color w:val="auto"/>
        </w:rPr>
        <w:t>Unrealized gains</w:t>
      </w:r>
      <w:r>
        <w:rPr>
          <w:sz w:val="20"/>
          <w:szCs w:val="20"/>
          <w:color w:val="auto"/>
        </w:rPr>
        <w:tab/>
      </w:r>
      <w:r>
        <w:rPr>
          <w:rFonts w:ascii="Courier New" w:cs="Courier New" w:eastAsia="Courier New" w:hAnsi="Courier New"/>
          <w:sz w:val="11"/>
          <w:szCs w:val="11"/>
          <w:color w:val="auto"/>
        </w:rPr>
        <w:t>on Derivatives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420"/>
        <w:spacing w:after="0"/>
        <w:rPr>
          <w:sz w:val="20"/>
          <w:szCs w:val="20"/>
          <w:color w:val="auto"/>
        </w:rPr>
      </w:pPr>
      <w:r>
        <w:rPr>
          <w:rFonts w:ascii="Courier New" w:cs="Courier New" w:eastAsia="Courier New" w:hAnsi="Courier New"/>
          <w:sz w:val="12"/>
          <w:szCs w:val="12"/>
          <w:color w:val="auto"/>
        </w:rPr>
        <w:t>996</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1"/>
          <w:szCs w:val="11"/>
          <w:color w:val="auto"/>
        </w:rPr>
        <w:t>(1,039)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420"/>
        <w:spacing w:after="0"/>
        <w:rPr>
          <w:sz w:val="20"/>
          <w:szCs w:val="20"/>
          <w:color w:val="auto"/>
        </w:rPr>
      </w:pPr>
      <w:r>
        <w:rPr>
          <w:rFonts w:ascii="Courier New" w:cs="Courier New" w:eastAsia="Courier New" w:hAnsi="Courier New"/>
          <w:sz w:val="12"/>
          <w:szCs w:val="12"/>
          <w:color w:val="auto"/>
        </w:rPr>
        <w:t>996</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(130)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sectPr>
          <w:pgSz w:w="11900" w:h="16838" w:orient="portrait"/>
          <w:cols w:equalWidth="0" w:num="3">
            <w:col w:w="3500" w:space="560"/>
            <w:col w:w="700" w:space="360"/>
            <w:col w:w="5119"/>
          </w:cols>
          <w:pgMar w:left="220" w:top="137" w:right="1440" w:bottom="1440" w:gutter="0" w:footer="0" w:header="0"/>
          <w:type w:val="continuous"/>
        </w:sectPr>
      </w:pPr>
    </w:p>
    <w:p>
      <w:pPr>
        <w:jc w:val="center"/>
        <w:ind w:left="660"/>
        <w:spacing w:after="0"/>
        <w:rPr>
          <w:sz w:val="20"/>
          <w:szCs w:val="20"/>
          <w:color w:val="auto"/>
        </w:rPr>
      </w:pPr>
      <w:r>
        <w:rPr>
          <w:rFonts w:ascii="Courier New" w:cs="Courier New" w:eastAsia="Courier New" w:hAnsi="Courier New"/>
          <w:sz w:val="11"/>
          <w:szCs w:val="11"/>
          <w:color w:val="auto"/>
        </w:rPr>
        <w:t>Net comprehensive loss for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$(108,988)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$(130,765)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3">
            <w:col w:w="3340" w:space="720"/>
            <w:col w:w="700" w:space="360"/>
            <w:col w:w="5119"/>
          </w:cols>
          <w:pgMar w:left="220" w:top="137" w:right="1440" w:bottom="1440" w:gutter="0" w:footer="0" w:header="0"/>
          <w:type w:val="continuous"/>
        </w:sectPr>
      </w:pPr>
    </w:p>
    <w:p>
      <w:pPr>
        <w:spacing w:after="0" w:line="74"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- 21 -</w:t>
      </w:r>
    </w:p>
    <w:p>
      <w:pPr>
        <w:sectPr>
          <w:pgSz w:w="11900" w:h="16838" w:orient="portrait"/>
          <w:cols w:equalWidth="0" w:num="1">
            <w:col w:w="10239"/>
          </w:cols>
          <w:pgMar w:left="220" w:top="137" w:right="1440" w:bottom="1440" w:gutter="0" w:footer="0" w:header="0"/>
          <w:type w:val="continuous"/>
        </w:sectPr>
      </w:pPr>
    </w:p>
    <w:p>
      <w:pPr>
        <w:spacing w:after="0" w:line="393"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120"/>
        <w:spacing w:after="0"/>
        <w:rPr>
          <w:sz w:val="20"/>
          <w:szCs w:val="20"/>
          <w:color w:val="auto"/>
        </w:rPr>
      </w:pPr>
      <w:r>
        <w:rPr>
          <w:rFonts w:ascii="Courier New" w:cs="Courier New" w:eastAsia="Courier New" w:hAnsi="Courier New"/>
          <w:sz w:val="12"/>
          <w:szCs w:val="12"/>
          <w:color w:val="auto"/>
        </w:rPr>
        <w:t>NOTES TO UNAUDITED CONDENSED INTERIM CONSOLIDATED</w:t>
      </w:r>
    </w:p>
    <w:p>
      <w:pPr>
        <w:ind w:left="1260"/>
        <w:spacing w:after="0" w:line="237" w:lineRule="auto"/>
        <w:rPr>
          <w:sz w:val="20"/>
          <w:szCs w:val="20"/>
          <w:color w:val="auto"/>
        </w:rPr>
      </w:pPr>
      <w:r>
        <w:rPr>
          <w:rFonts w:ascii="Courier New" w:cs="Courier New" w:eastAsia="Courier New" w:hAnsi="Courier New"/>
          <w:sz w:val="12"/>
          <w:szCs w:val="12"/>
          <w:color w:val="auto"/>
        </w:rPr>
        <w:t>FINANCIAL STATEMENTS AS OF SEPTEMBER 30, 2007</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(dollars in thousands, except share data and per share data)</w:t>
      </w:r>
    </w:p>
    <w:p>
      <w:pPr>
        <w:sectPr>
          <w:pgSz w:w="11900" w:h="16838" w:orient="portrait"/>
          <w:cols w:equalWidth="0" w:num="1">
            <w:col w:w="10239"/>
          </w:cols>
          <w:pgMar w:left="220" w:top="137"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MATERIAL DIFFERENCES BETWEEN ISRAELI AND U.S. GAAP (CONT.)</w:t>
      </w:r>
    </w:p>
    <w:p>
      <w:pPr>
        <w:spacing w:after="0" w:line="134" w:lineRule="exact"/>
        <w:rPr>
          <w:sz w:val="20"/>
          <w:szCs w:val="20"/>
          <w:color w:val="auto"/>
        </w:rPr>
      </w:pPr>
    </w:p>
    <w:p>
      <w:pPr>
        <w:ind w:left="700" w:hanging="357"/>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SHARE IN ACCORDANCE WITH U.S. GAAP (SFAS 128)</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SFAS 128, the basic and diluted loss per share for the nine-month and the three-month periods ended September 30, 2007 would be $0.93 and $0.28, respectively (during the corresponding periods - $1.67 and $0.52, respectively).</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STATEMENTS OF CASH FLOWS IN ACCORDANCE WITH U.S. GAAP (SFAS 95)</w:t>
      </w:r>
    </w:p>
    <w:p>
      <w:pPr>
        <w:spacing w:after="0" w:line="138"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Complying with SFAS 95 would not have materially affected the cash flows of the Company for the nine-month periods ended September 30, 2007 and 2006.</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22 -</w:t>
      </w:r>
    </w:p>
    <w:p>
      <w:pPr>
        <w:sectPr>
          <w:pgSz w:w="11900" w:h="16838" w:orient="portrait"/>
          <w:cols w:equalWidth="0" w:num="1">
            <w:col w:w="10239"/>
          </w:cols>
          <w:pgMar w:left="220" w:top="137" w:right="1440" w:bottom="1440" w:gutter="0" w:footer="0" w:header="0"/>
          <w:type w:val="continuous"/>
        </w:sectPr>
      </w:pPr>
    </w:p>
    <w:bookmarkStart w:id="13" w:name="page14"/>
    <w:bookmarkEnd w:id="13"/>
    <w:p>
      <w:pPr>
        <w:jc w:val="center"/>
        <w:ind w:right="-140"/>
        <w:spacing w:after="0"/>
        <w:rPr>
          <w:sz w:val="20"/>
          <w:szCs w:val="20"/>
          <w:color w:val="auto"/>
        </w:rPr>
      </w:pPr>
      <w:r>
        <w:rPr>
          <w:rFonts w:ascii="Courier New" w:cs="Courier New" w:eastAsia="Courier New" w:hAnsi="Courier New"/>
          <w:sz w:val="11"/>
          <w:szCs w:val="11"/>
          <w:color w:val="auto"/>
        </w:rPr>
        <w:t>Exhibit 99.2</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MANAGEMENT'S DISCUSSION AND ANALYSIS OF FINANCIAL</w:t>
      </w:r>
    </w:p>
    <w:p>
      <w:pPr>
        <w:jc w:val="center"/>
        <w:ind w:right="4559"/>
        <w:spacing w:after="0"/>
        <w:rPr>
          <w:sz w:val="20"/>
          <w:szCs w:val="20"/>
          <w:color w:val="auto"/>
        </w:rPr>
      </w:pPr>
      <w:r>
        <w:rPr>
          <w:rFonts w:ascii="Courier New" w:cs="Courier New" w:eastAsia="Courier New" w:hAnsi="Courier New"/>
          <w:sz w:val="12"/>
          <w:szCs w:val="12"/>
          <w:color w:val="auto"/>
        </w:rPr>
        <w:t>CONDITION AND RESULTS OF OPERATIONS</w:t>
      </w:r>
    </w:p>
    <w:p>
      <w:pPr>
        <w:spacing w:after="0" w:line="138"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(1) OUR UNAUDITED CONDENSED INTERIM CONSOLIDATED FINANCIAL STATEMENTS AS OF SEPTEMBER 30, 2007 AND FOR THE NINE MONTHS THEN ENDED AND RELATED NOTES INCLUDED IN THIS REPORT; AND (2) OUR AUDITED CONSOLIDATED FINANCIAL STATEMENTS AND RELATED NOTES INCLUDED IN OUR ANNUAL REPORT ON FORM 20-F FOR THE YEAR ENDED DECEMBER 31, 2006 AND THE OTHER INFORMATION CONTAINED IN SUCH ANNUAL REPORT, PARTICULARLY THE INFORMATION UNDER THE CAPTION "OPERATING AND FINANCIAL REVIEW AND PROSPECTS. OUR FINANCIAL STATEMENTS HAVE BEEN PREPARED IN ACCORDANCE WITH GENERALLY ACCEPTED ACCOUNTING PRINCIPLES ("GAAP") IN ISRAEL. DIFFERENCES BETWEEN ISRAELI GAAP AND US GAAP AS THEY RELATE TO OUR FINANCIAL STATEMENTS ARE DESCRIBED IN NOTE 4 TO OUR UNAUDITED CONDENSED INTERIM CONSOLIDATED FINANCIAL STATEMENTS AS OF SEPTEMBER 30, 2007 AND IN NOTE 19 TO OUR AUDITED CONSOLIDATED FINANCIAL STATEMENTS AS OF DECEMBER 31, 2006.</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The following table sets forth certain statement of operations data as a percentage of total revenues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20" w:type="dxa"/>
            <w:vAlign w:val="bottom"/>
          </w:tcPr>
          <w:p>
            <w:pPr>
              <w:spacing w:after="0"/>
              <w:rPr>
                <w:sz w:val="11"/>
                <w:szCs w:val="11"/>
                <w:color w:val="auto"/>
              </w:rPr>
            </w:pPr>
          </w:p>
        </w:tc>
        <w:tc>
          <w:tcPr>
            <w:tcW w:w="19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NINE MONTHS ENDED</w:t>
            </w:r>
          </w:p>
        </w:tc>
      </w:tr>
      <w:tr>
        <w:trPr>
          <w:trHeight w:val="135"/>
        </w:trPr>
        <w:tc>
          <w:tcPr>
            <w:tcW w:w="3020" w:type="dxa"/>
            <w:vAlign w:val="bottom"/>
          </w:tcPr>
          <w:p>
            <w:pPr>
              <w:spacing w:after="0"/>
              <w:rPr>
                <w:sz w:val="11"/>
                <w:szCs w:val="11"/>
                <w:color w:val="auto"/>
              </w:rPr>
            </w:pPr>
          </w:p>
        </w:tc>
        <w:tc>
          <w:tcPr>
            <w:tcW w:w="1960" w:type="dxa"/>
            <w:vAlign w:val="bottom"/>
            <w:gridSpan w:val="2"/>
          </w:tcPr>
          <w:p>
            <w:pPr>
              <w:ind w:left="700"/>
              <w:spacing w:after="0"/>
              <w:rPr>
                <w:sz w:val="20"/>
                <w:szCs w:val="20"/>
                <w:color w:val="auto"/>
              </w:rPr>
            </w:pPr>
            <w:r>
              <w:rPr>
                <w:rFonts w:ascii="Courier New" w:cs="Courier New" w:eastAsia="Courier New" w:hAnsi="Courier New"/>
                <w:sz w:val="12"/>
                <w:szCs w:val="12"/>
                <w:color w:val="auto"/>
              </w:rPr>
              <w:t>SEPTEMBER 30,</w:t>
            </w:r>
          </w:p>
        </w:tc>
      </w:tr>
      <w:tr>
        <w:trPr>
          <w:trHeight w:val="135"/>
        </w:trPr>
        <w:tc>
          <w:tcPr>
            <w:tcW w:w="3020" w:type="dxa"/>
            <w:vAlign w:val="bottom"/>
          </w:tcPr>
          <w:p>
            <w:pPr>
              <w:spacing w:after="0"/>
              <w:rPr>
                <w:sz w:val="11"/>
                <w:szCs w:val="11"/>
                <w:color w:val="auto"/>
              </w:rPr>
            </w:pPr>
          </w:p>
        </w:tc>
        <w:tc>
          <w:tcPr>
            <w:tcW w:w="1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tcPr>
          <w:p>
            <w:pPr>
              <w:spacing w:after="0"/>
              <w:rPr>
                <w:sz w:val="11"/>
                <w:szCs w:val="11"/>
                <w:color w:val="auto"/>
              </w:rPr>
            </w:pPr>
          </w:p>
        </w:tc>
        <w:tc>
          <w:tcPr>
            <w:tcW w:w="1500" w:type="dxa"/>
            <w:vAlign w:val="bottom"/>
          </w:tcPr>
          <w:p>
            <w:pPr>
              <w:jc w:val="right"/>
              <w:ind w:right="821"/>
              <w:spacing w:after="0"/>
              <w:rPr>
                <w:sz w:val="20"/>
                <w:szCs w:val="20"/>
                <w:color w:val="auto"/>
              </w:rPr>
            </w:pPr>
            <w:r>
              <w:rPr>
                <w:rFonts w:ascii="Courier New" w:cs="Courier New" w:eastAsia="Courier New" w:hAnsi="Courier New"/>
                <w:sz w:val="12"/>
                <w:szCs w:val="12"/>
                <w:color w:val="auto"/>
              </w:rPr>
              <w:t>2007</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020" w:type="dxa"/>
            <w:vAlign w:val="bottom"/>
          </w:tcPr>
          <w:p>
            <w:pPr>
              <w:spacing w:after="0"/>
              <w:rPr>
                <w:sz w:val="11"/>
                <w:szCs w:val="11"/>
                <w:color w:val="auto"/>
              </w:rPr>
            </w:pP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020" w:type="dxa"/>
            <w:vAlign w:val="bottom"/>
          </w:tcPr>
          <w:p>
            <w:pPr>
              <w:spacing w:after="0"/>
              <w:rPr>
                <w:sz w:val="11"/>
                <w:szCs w:val="11"/>
                <w:color w:val="auto"/>
              </w:rPr>
            </w:pPr>
          </w:p>
        </w:tc>
        <w:tc>
          <w:tcPr>
            <w:tcW w:w="1500" w:type="dxa"/>
            <w:vAlign w:val="bottom"/>
          </w:tcPr>
          <w:p>
            <w:pPr>
              <w:ind w:left="700"/>
              <w:spacing w:after="0"/>
              <w:rPr>
                <w:sz w:val="20"/>
                <w:szCs w:val="20"/>
                <w:color w:val="auto"/>
              </w:rPr>
            </w:pPr>
            <w:r>
              <w:rPr>
                <w:rFonts w:ascii="Courier New" w:cs="Courier New" w:eastAsia="Courier New" w:hAnsi="Courier New"/>
                <w:sz w:val="12"/>
                <w:szCs w:val="12"/>
                <w:color w:val="auto"/>
                <w:w w:val="98"/>
              </w:rPr>
              <w:t>(UNAUDITED)</w:t>
            </w:r>
          </w:p>
        </w:tc>
        <w:tc>
          <w:tcPr>
            <w:tcW w:w="46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9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02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150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100.0%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100.0%</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124.8</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147.5</w:t>
            </w:r>
          </w:p>
        </w:tc>
      </w:tr>
      <w:tr>
        <w:trPr>
          <w:trHeight w:val="135"/>
        </w:trPr>
        <w:tc>
          <w:tcPr>
            <w:tcW w:w="3020" w:type="dxa"/>
            <w:vAlign w:val="bottom"/>
          </w:tcPr>
          <w:p>
            <w:pPr>
              <w:spacing w:after="0"/>
              <w:rPr>
                <w:sz w:val="11"/>
                <w:szCs w:val="11"/>
                <w:color w:val="auto"/>
              </w:rPr>
            </w:pP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150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(24.8)</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(47.5)</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Research and development expenses, net</w:t>
            </w: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6.1</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8.4</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15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expenses</w:t>
            </w: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13.5</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13.7</w:t>
            </w:r>
          </w:p>
        </w:tc>
      </w:tr>
      <w:tr>
        <w:trPr>
          <w:trHeight w:val="135"/>
        </w:trPr>
        <w:tc>
          <w:tcPr>
            <w:tcW w:w="3020" w:type="dxa"/>
            <w:vAlign w:val="bottom"/>
          </w:tcPr>
          <w:p>
            <w:pPr>
              <w:spacing w:after="0"/>
              <w:rPr>
                <w:sz w:val="11"/>
                <w:szCs w:val="11"/>
                <w:color w:val="auto"/>
              </w:rPr>
            </w:pP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150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(44.4)</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(69.7)</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150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(17.9)</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(28.8)</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Gain on debt restructuring</w:t>
            </w: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60.7</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0.0</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0.5</w:t>
            </w:r>
          </w:p>
        </w:tc>
      </w:tr>
      <w:tr>
        <w:trPr>
          <w:trHeight w:val="135"/>
        </w:trPr>
        <w:tc>
          <w:tcPr>
            <w:tcW w:w="3020" w:type="dxa"/>
            <w:vAlign w:val="bottom"/>
          </w:tcPr>
          <w:p>
            <w:pPr>
              <w:spacing w:after="0"/>
              <w:rPr>
                <w:sz w:val="11"/>
                <w:szCs w:val="11"/>
                <w:color w:val="auto"/>
              </w:rPr>
            </w:pP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w:t>
            </w:r>
          </w:p>
        </w:tc>
      </w:tr>
      <w:tr>
        <w:trPr>
          <w:trHeight w:val="135"/>
        </w:trPr>
        <w:tc>
          <w:tcPr>
            <w:tcW w:w="302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150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(62.2)%</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(37.3)</w:t>
            </w:r>
          </w:p>
        </w:tc>
      </w:tr>
      <w:tr>
        <w:trPr>
          <w:trHeight w:val="135"/>
        </w:trPr>
        <w:tc>
          <w:tcPr>
            <w:tcW w:w="3020" w:type="dxa"/>
            <w:vAlign w:val="bottom"/>
          </w:tcPr>
          <w:p>
            <w:pPr>
              <w:spacing w:after="0"/>
              <w:rPr>
                <w:sz w:val="11"/>
                <w:szCs w:val="11"/>
                <w:color w:val="auto"/>
              </w:rPr>
            </w:pPr>
          </w:p>
        </w:tc>
        <w:tc>
          <w:tcPr>
            <w:tcW w:w="1500" w:type="dxa"/>
            <w:vAlign w:val="bottom"/>
          </w:tcPr>
          <w:p>
            <w:pPr>
              <w:jc w:val="right"/>
              <w:ind w:right="741"/>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9"/>
              </w:rPr>
              <w:t>=====</w:t>
            </w:r>
          </w:p>
        </w:tc>
      </w:tr>
    </w:tbl>
    <w:p>
      <w:pPr>
        <w:spacing w:after="0" w:line="139"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NINE MONTHS ENDED SEPTEMBER 30, 2007 COMPARED TO NINE MONTHS ENDED SEPTEMBER 30, 2006</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REVENUES. Revenues for the nine months ended September 30, 2007 increased by 28.3% to $169.2 million from $131.9 million for the nine months ended September 30, 2006. This $37.3 million increase was mainly attributed to a higher volume of wafer shipments.</w:t>
      </w:r>
    </w:p>
    <w:p>
      <w:pPr>
        <w:spacing w:after="0" w:line="141"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COST OF TOTAL REVENUES. Cost of total revenues for the nine months ended September 30, 2007 amounted to $211.1 million, compared with $194.7 million for the nine months ended September 30, 2006. This increase of 8.4% in cost of revenues, which is relatively low in relation to the 28.3% increase in sales, was mainly achieved due to the Company's cost structure, according to which the Company has reasonable margins for each incremental dollar of revenue and a reduction in depreciation and amortization expenses, as described below. During the second quarter of 2007, the Company reassessed the estimated useful lives of its machinery and equipment and as a result, with effect from April 1, 2007, its machinery and equipment is to be depreciated over estimated useful lives of 7 years rather than 5 years prior to such date. The change reflects the Company's best estimate of the useful lives of its machinery and equipment and was based on experience accumulated from Fab 1 and recent trends in industry practices. The Company believes that the change better reflects the economics associated with the ownership of the equipment. This change has been accounted for as a change in estimate and was applied prospectively. Total depreciation and amortization expenses included in Cost of Total Revenues was approximately $102 million for the nine months ended September 30, 2007, as compared to approximately $114 million for the nine months ended September 30, 2006, said reduction was mainly attributed to the aforementioned change.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GROSS LOSS. Gross loss for the nine months ended September 30, 2007 was $41.9 million, compared to a gross loss of $62.7 million for the nine months ended September 30, 2006. The decrease in the gross loss was mainly attributable to the 28% increase in sales as compared to a 8% increase in Cost of Total Sales as described above.</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RESEARCH AND DEVELOPMENT EXPENSES. Research and development expenses for the nine months ended September 30, 2007 amounted to $10.3 million, compared to $11.1 million for the nine months ended September 30, 2006.</w:t>
      </w:r>
    </w:p>
    <w:p>
      <w:pPr>
        <w:spacing w:after="0" w:line="139" w:lineRule="exact"/>
        <w:rPr>
          <w:sz w:val="20"/>
          <w:szCs w:val="20"/>
          <w:color w:val="auto"/>
        </w:rPr>
      </w:pPr>
    </w:p>
    <w:p>
      <w:pPr>
        <w:ind w:right="4619" w:firstLine="351"/>
        <w:spacing w:after="0" w:line="263" w:lineRule="auto"/>
        <w:rPr>
          <w:sz w:val="20"/>
          <w:szCs w:val="20"/>
          <w:color w:val="auto"/>
        </w:rPr>
      </w:pPr>
      <w:r>
        <w:rPr>
          <w:rFonts w:ascii="Courier New" w:cs="Courier New" w:eastAsia="Courier New" w:hAnsi="Courier New"/>
          <w:sz w:val="11"/>
          <w:szCs w:val="11"/>
          <w:color w:val="auto"/>
        </w:rPr>
        <w:t>MARKETING, GENERAL AND ADMINISTRATIVE EXPENSES. Marketing, general and administrative expenses for the nine months ended September 30, 2007 amounted to $22.9 million, compared to $18.1 million for the nine months ended September 30, 2006. The increase is primarily due to stock based compensation expenses and increased expenses deriving directly from the higher revenues mentioned above.</w:t>
      </w:r>
    </w:p>
    <w:p>
      <w:pPr>
        <w:spacing w:after="0" w:line="128"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OPERATING LOSS. Operating loss for the nine months ended September 30, 2007 was $75.1 million, compared to $91.9 million for the nine months ended September 30, 2006. The decrease in the operating loss is attributable mainly to the decrease in the gross loss described above.</w:t>
      </w:r>
    </w:p>
    <w:p>
      <w:pPr>
        <w:spacing w:after="0" w:line="14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FINANCING EXPENSES, NET. Financing expenses, net, for the nine months ended September 30, 2007 were $30.2 million, compared to financing expenses, net, of $38.0 million for the nine months ended September 30, 2006. This decrease is mainly due to the consummation of the debt restructuring with our banks which was closed in the third quarter of 2006, pursuant to which, approximately 30% of our then outstanding loans were converted into capital notes and the interest rate applicable to the interest payments was reduced from the three month LIBOR rate plus 2.5% to the three month LIBOR rate plus LIBOR plus 1.1%.</w:t>
      </w:r>
    </w:p>
    <w:p>
      <w:pPr>
        <w:spacing w:after="0" w:line="128"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GAIN ON DEBT RESTRUCTURING. Gain on debt restructuring for the nine months ended September 30, 2006 was $80.1 million. This one-time gain resulted from the consummation of our debt restructuring with our banks, which was closed in the third quarter of 2006.</w:t>
      </w:r>
    </w:p>
    <w:p>
      <w:pPr>
        <w:spacing w:after="0" w:line="141"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OTHER INCOME, NET. Other income, net, for the nine months ended September 30, 2007 was $0.01 million, compared to $0.6 million for the nine months ended September 30, 2006.</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LOSS. Our loss for the nine months ended September 30, 2007 was $105.3</w:t>
      </w:r>
    </w:p>
    <w:p>
      <w:pPr>
        <w:sectPr>
          <w:pgSz w:w="11900" w:h="16838" w:orient="portrait"/>
          <w:cols w:equalWidth="0" w:num="1">
            <w:col w:w="10239"/>
          </w:cols>
          <w:pgMar w:left="220" w:top="276" w:right="1440" w:bottom="0" w:gutter="0" w:footer="0" w:header="0"/>
        </w:sectPr>
      </w:pPr>
    </w:p>
    <w:bookmarkStart w:id="14" w:name="page15"/>
    <w:bookmarkEnd w:id="14"/>
    <w:p>
      <w:pPr>
        <w:ind w:right="4619"/>
        <w:spacing w:after="0" w:line="237" w:lineRule="auto"/>
        <w:rPr>
          <w:sz w:val="20"/>
          <w:szCs w:val="20"/>
          <w:color w:val="auto"/>
        </w:rPr>
      </w:pPr>
      <w:r>
        <w:rPr>
          <w:rFonts w:ascii="Courier New" w:cs="Courier New" w:eastAsia="Courier New" w:hAnsi="Courier New"/>
          <w:sz w:val="12"/>
          <w:szCs w:val="12"/>
          <w:color w:val="auto"/>
        </w:rPr>
        <w:t>million, compared to $49.2 million for the nine months ended September 30, 2006. This increase is primarily attributable to the $80.1 million one time gain on debt restructuring with our banks which was closed in the third quarter of 2006 offset by the decrease in the operating loss of $16.8 million and a $7.8 million decrease in finance expenses.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dollar cost of our operations in Israel is influenced by the timing of any change in the rate of inflation in Israel and the extent to which such change is not offset by a change in valuation of the NIS in relation to the dollar. During the nine months ended September 30, 2007, the exchange rate of the dollar in relation to the NIS decreased by 5%, and the Israeli Consumer Price Index ("CPI") increased by 2.3%. (During the nine months ended September 30, 2006, there was a decrease of 6.5% in the exchange rate of the dollar in relation to the NIS and an increase of 0.8% in the CPI.)</w:t>
      </w:r>
    </w:p>
    <w:p>
      <w:pPr>
        <w:spacing w:after="0" w:line="142"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Almost all of the cash generated from our operations, and our financing and investing activities is denominated in U.S. dollars and NIS. Our expenses and costs are denominated in NIS, U.S. dollars, Japanese Yen and Euros. We are, therefore, exposed to the risk of currency exchange rate fluctuations.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LIQUIDITY AND CAPITAL RESOURCES</w:t>
      </w:r>
    </w:p>
    <w:p>
      <w:pPr>
        <w:spacing w:after="0" w:line="139"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As of September 30, 2007, we had an aggregate of $42.6 million in cash and cash equivalents. This compares to $61.7 million we had as of September 30, 2006 in cash and cash equivalents.</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During the nine months ended September 30, 2007, we received $63.9 million in net proceeds from the issuance of debentures, ordinary shares and warrants, $1.6 million from Investment Center grants and generated a net amount of $13.0 million from our operating activities. These liquidity resources financed the capital expenditure investments we made during the nine months ended September 30, 2007, which aggregated $68.7 million, mainly in connection with the purchase and installation of equipment and other assets for the ramp up of Fab 2 and repayment of convertible debentures in the amount of $7.1 million.</w:t>
      </w:r>
    </w:p>
    <w:p>
      <w:pPr>
        <w:spacing w:after="0" w:line="128"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As of September 30, 2007, we had long-term bank loans, at present value, in the amount of $362.2 million we obtained in connection with the establishment of Fab 2. As of such date, we also had outstanding convertible debentures in the aggregate amount of $156.5 million, of which $7.3 million are presented as current maturities and $20.0 million are presented as an equity component of the convertible debentures as part of shareholders' equity.</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
    <w:nsid w:val="1190CDE7"/>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abstractNum>
  <w:abstractNum w:abstractNumId="2">
    <w:nsid w:val="66EF438D"/>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3"/>
    </w:lvl>
    <w:lvl w:ilvl="3">
      <w:lvlJc w:val="left"/>
      <w:lvlText w:val="-"/>
      <w:numFmt w:val="bullet"/>
      <w:start w:val="1"/>
    </w:lvl>
  </w:abstractNum>
  <w:abstractNum w:abstractNumId="3">
    <w:nsid w:val="140E0F76"/>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4"/>
    </w:lvl>
  </w:abstractNum>
  <w:abstractNum w:abstractNumId="4">
    <w:nsid w:val="3352255A"/>
    <w:multiLevelType w:val="hybridMultilevel"/>
    <w:lvl w:ilvl="0">
      <w:lvlJc w:val="left"/>
      <w:lvlText w:val="%1."/>
      <w:numFmt w:val="upperLetter"/>
      <w:start w:val="5"/>
    </w:lvl>
    <w:lvl w:ilvl="1">
      <w:lvlJc w:val="left"/>
      <w:lvlText w:val="-"/>
      <w:numFmt w:val="bullet"/>
      <w:start w:val="1"/>
    </w:lvl>
  </w:abstractNum>
  <w:abstractNum w:abstractNumId="5">
    <w:nsid w:val="109CF92E"/>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5"/>
    </w:lvl>
    <w:lvl w:ilvl="3">
      <w:lvlJc w:val="left"/>
      <w:lvlText w:val="-"/>
      <w:numFmt w:val="bullet"/>
      <w:start w:val="1"/>
    </w:lvl>
  </w:abstractNum>
  <w:abstractNum w:abstractNumId="6">
    <w:nsid w:val="DED7263"/>
    <w:multiLevelType w:val="hybridMultilevel"/>
    <w:lvl w:ilvl="0">
      <w:lvlJc w:val="left"/>
      <w:lvlText w:val="%1."/>
      <w:numFmt w:val="upperLetter"/>
      <w:start w:val="1"/>
    </w:lvl>
    <w:lvl w:ilvl="1">
      <w:lvlJc w:val="left"/>
      <w:lvlText w:val="(%2)"/>
      <w:numFmt w:val="decimal"/>
      <w:start w:val="5"/>
    </w:lvl>
  </w:abstractNum>
  <w:abstractNum w:abstractNumId="7">
    <w:nsid w:val="7FDCC233"/>
    <w:multiLevelType w:val="hybridMultilevel"/>
    <w:lvl w:ilvl="0">
      <w:lvlJc w:val="left"/>
      <w:lvlText w:val="%1."/>
      <w:numFmt w:val="upperLetter"/>
      <w:start w:val="3"/>
    </w:lvl>
    <w:lvl w:ilvl="1">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upperLetter"/>
      <w:start w:val="1"/>
    </w:lvl>
    <w:lvl w:ilvl="1">
      <w:lvlJc w:val="left"/>
      <w:lvlText w:val="-"/>
      <w:numFmt w:val="bullet"/>
      <w:start w:val="1"/>
    </w:lvl>
  </w:abstractNum>
  <w:abstractNum w:abstractNumId="10">
    <w:nsid w:val="6B68079A"/>
    <w:multiLevelType w:val="hybridMultilevel"/>
    <w:lvl w:ilvl="0">
      <w:lvlJc w:val="left"/>
      <w:lvlText w:val="%1."/>
      <w:numFmt w:val="upperLetter"/>
      <w:start w:val="2"/>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upperLetter"/>
      <w:start w:val="3"/>
    </w:lvl>
    <w:lvl w:ilvl="1">
      <w:lvlJc w:val="left"/>
      <w:lvlText w:val="-"/>
      <w:numFmt w:val="bullet"/>
      <w:start w:val="1"/>
    </w:lvl>
  </w:abstractNum>
  <w:abstractNum w:abstractNumId="13">
    <w:nsid w:val="519B500D"/>
    <w:multiLevelType w:val="hybridMultilevel"/>
    <w:lvl w:ilvl="0">
      <w:lvlJc w:val="left"/>
      <w:lvlText w:val="%1."/>
      <w:numFmt w:val="upperLetter"/>
      <w:start w:val="1"/>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2"/>
    </w:lvl>
    <w:lvl w:ilvl="1">
      <w:lvlJc w:val="left"/>
      <w:lvlText w:val="-"/>
      <w:numFmt w:val="bullet"/>
      <w:start w:val="1"/>
    </w:lvl>
  </w:abstractNum>
  <w:abstractNum w:abstractNumId="16">
    <w:nsid w:val="7C83E458"/>
    <w:multiLevelType w:val="hybridMultilevel"/>
    <w:lvl w:ilvl="0">
      <w:lvlJc w:val="left"/>
      <w:lvlText w:val="%1."/>
      <w:numFmt w:val="upperLetter"/>
      <w:start w:val="3"/>
    </w:lvl>
  </w:abstractNum>
  <w:abstractNum w:abstractNumId="17">
    <w:nsid w:val="257130A3"/>
    <w:multiLevelType w:val="hybridMultilevel"/>
    <w:lvl w:ilvl="0">
      <w:lvlJc w:val="left"/>
      <w:lvlText w:val="%1."/>
      <w:numFmt w:val="upperLetter"/>
      <w:start w:val="4"/>
    </w:lvl>
    <w:lvl w:ilvl="1">
      <w:lvlJc w:val="left"/>
      <w:lvlText w:val="-"/>
      <w:numFmt w:val="bullet"/>
      <w:start w:val="1"/>
    </w:lvl>
  </w:abstractNum>
  <w:abstractNum w:abstractNumId="18">
    <w:nsid w:val="62BBD95A"/>
    <w:multiLevelType w:val="hybridMultilevel"/>
    <w:lvl w:ilvl="0">
      <w:lvlJc w:val="left"/>
      <w:lvlText w:val="%1."/>
      <w:numFmt w:val="upperLetter"/>
      <w:start w:val="8"/>
    </w:lvl>
    <w:lvl w:ilvl="1">
      <w:lvlJc w:val="left"/>
      <w:lvlText w:val="-"/>
      <w:numFmt w:val="bullet"/>
      <w:start w:val="1"/>
    </w:lvl>
  </w:abstractNum>
  <w:abstractNum w:abstractNumId="19">
    <w:nsid w:val="436C6125"/>
    <w:multiLevelType w:val="hybridMultilevel"/>
    <w:lvl w:ilvl="0">
      <w:lvlJc w:val="left"/>
      <w:lvlText w:val="%1."/>
      <w:numFmt w:val="upperLetter"/>
      <w:start w:val="10"/>
    </w:lvl>
  </w:abstractNum>
  <w:abstractNum w:abstractNumId="20">
    <w:nsid w:val="628C895D"/>
    <w:multiLevelType w:val="hybridMultilevel"/>
    <w:lvl w:ilvl="0">
      <w:lvlJc w:val="left"/>
      <w:lvlText w:val="%1."/>
      <w:numFmt w:val="upperLetter"/>
      <w:start w:val="1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2019-12-14T04:15:02Z</dcterms:created>
  <dcterms:modified xsi:type="dcterms:W3CDTF">2019-12-14T04:15:02Z</dcterms:modified>
</cp:coreProperties>
</file>