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HorizontalLine"/>
        <w:bidi w:val="0"/>
        <w:jc w:val="left"/>
        <w:rPr/>
      </w:pPr>
      <w:r>
        <w:rPr/>
      </w:r>
      <w:bookmarkStart w:id="0" w:name="zk2634271.htm"/>
      <w:bookmarkStart w:id="1" w:name="kszk2634271"/>
      <w:bookmarkStart w:id="2" w:name="zk2634271.htm"/>
      <w:bookmarkStart w:id="3" w:name="kszk2634271"/>
      <w:bookmarkEnd w:id="2"/>
      <w:bookmarkEnd w:id="3"/>
    </w:p>
    <w:p>
      <w:pPr>
        <w:pStyle w:val="TextBody"/>
        <w:bidi w:val="0"/>
        <w:spacing w:lineRule="auto" w:line="300" w:before="0" w:after="0"/>
        <w:jc w:val="center"/>
        <w:rPr>
          <w:rFonts w:ascii="Times New Roman;Times;serif" w:hAnsi="Times New Roman;Times;serif"/>
        </w:rPr>
      </w:pPr>
      <w:r>
        <w:rPr>
          <w:rFonts w:ascii="Times New Roman;Times;serif" w:hAnsi="Times New Roman;Times;serif"/>
        </w:rPr>
      </w:r>
    </w:p>
    <w:p>
      <w:pPr>
        <w:pStyle w:val="TextBody"/>
        <w:bidi w:val="0"/>
        <w:spacing w:lineRule="auto" w:line="300" w:before="0" w:after="0"/>
        <w:jc w:val="center"/>
        <w:rPr>
          <w:rFonts w:ascii="Times New Roman;Times;serif" w:hAnsi="Times New Roman;Times;serif"/>
          <w:b/>
          <w:color w:val="000000"/>
          <w:sz w:val="28"/>
        </w:rPr>
      </w:pPr>
      <w:r>
        <w:rPr>
          <w:rFonts w:ascii="Times New Roman;Times;serif" w:hAnsi="Times New Roman;Times;serif"/>
          <w:b/>
          <w:color w:val="000000"/>
          <w:sz w:val="28"/>
        </w:rPr>
        <w:t>UNITED STATES</w:t>
      </w:r>
    </w:p>
    <w:p>
      <w:pPr>
        <w:pStyle w:val="TextBody"/>
        <w:bidi w:val="0"/>
        <w:spacing w:lineRule="auto" w:line="300" w:before="0" w:after="0"/>
        <w:jc w:val="center"/>
        <w:rPr>
          <w:rFonts w:ascii="Times New Roman;Times;serif" w:hAnsi="Times New Roman;Times;serif"/>
          <w:b/>
          <w:smallCaps/>
          <w:color w:val="000000"/>
          <w:sz w:val="28"/>
        </w:rPr>
      </w:pPr>
      <w:r>
        <w:rPr>
          <w:rFonts w:ascii="Times New Roman;Times;serif" w:hAnsi="Times New Roman;Times;serif"/>
          <w:b/>
          <w:smallCaps/>
          <w:color w:val="000000"/>
          <w:sz w:val="28"/>
        </w:rPr>
        <w:t>SECURITIES AND EXCHANGE COMMISSION</w:t>
      </w:r>
    </w:p>
    <w:p>
      <w:pPr>
        <w:pStyle w:val="TextBody"/>
        <w:bidi w:val="0"/>
        <w:spacing w:lineRule="auto" w:line="300" w:before="0" w:after="0"/>
        <w:jc w:val="center"/>
        <w:rPr>
          <w:rFonts w:ascii="Times New Roman;Times;serif" w:hAnsi="Times New Roman;Times;serif"/>
          <w:color w:val="000000"/>
          <w:sz w:val="20"/>
        </w:rPr>
      </w:pPr>
      <w:r>
        <w:rPr>
          <w:rFonts w:ascii="Times New Roman;Times;serif" w:hAnsi="Times New Roman;Times;serif"/>
          <w:smallCaps/>
          <w:color w:val="000000"/>
          <w:sz w:val="20"/>
        </w:rPr>
        <w:t>W</w:t>
      </w:r>
      <w:r>
        <w:rPr>
          <w:rFonts w:ascii="Times New Roman;Times;serif" w:hAnsi="Times New Roman;Times;serif"/>
          <w:color w:val="000000"/>
          <w:sz w:val="20"/>
        </w:rPr>
        <w:t xml:space="preserve">ashington, D.C. </w:t>
      </w:r>
      <w:r>
        <w:rPr>
          <w:rFonts w:ascii="Times New Roman;Times;serif" w:hAnsi="Times New Roman;Times;serif"/>
          <w:smallCaps/>
          <w:color w:val="000000"/>
          <w:sz w:val="20"/>
        </w:rPr>
        <w:t>20549</w:t>
      </w:r>
    </w:p>
    <w:p>
      <w:pPr>
        <w:pStyle w:val="TextBody"/>
        <w:bidi w:val="0"/>
        <w:spacing w:lineRule="auto" w:line="300" w:before="0" w:after="0"/>
        <w:jc w:val="left"/>
        <w:rPr/>
      </w:pPr>
      <w:r>
        <w:rPr/>
      </w:r>
    </w:p>
    <w:p>
      <w:pPr>
        <w:pStyle w:val="TextBody"/>
        <w:bidi w:val="0"/>
        <w:spacing w:lineRule="auto" w:line="300" w:before="0" w:after="0"/>
        <w:jc w:val="center"/>
        <w:rPr>
          <w:rFonts w:ascii="Times New Roman;Times;serif" w:hAnsi="Times New Roman;Times;serif"/>
          <w:b/>
          <w:smallCaps/>
          <w:color w:val="000000"/>
          <w:sz w:val="28"/>
        </w:rPr>
      </w:pPr>
      <w:r>
        <w:rPr>
          <w:rFonts w:ascii="Times New Roman;Times;serif" w:hAnsi="Times New Roman;Times;serif"/>
          <w:b/>
          <w:smallCaps/>
          <w:color w:val="000000"/>
          <w:sz w:val="28"/>
        </w:rPr>
        <w:t>FORM 6-K</w:t>
      </w:r>
    </w:p>
    <w:p>
      <w:pPr>
        <w:pStyle w:val="TextBody"/>
        <w:bidi w:val="0"/>
        <w:spacing w:lineRule="auto" w:line="300" w:before="0" w:after="0"/>
        <w:jc w:val="center"/>
        <w:rPr>
          <w:color w:val="000000"/>
        </w:rPr>
      </w:pPr>
      <w:r>
        <w:rPr>
          <w:color w:val="000000"/>
        </w:rPr>
        <w:t> </w:t>
      </w:r>
    </w:p>
    <w:p>
      <w:pPr>
        <w:pStyle w:val="TextBody"/>
        <w:bidi w:val="0"/>
        <w:spacing w:lineRule="auto" w:line="300" w:before="0" w:after="0"/>
        <w:jc w:val="center"/>
        <w:rPr>
          <w:rFonts w:ascii="Times New Roman;Times;serif" w:hAnsi="Times New Roman;Times;serif"/>
          <w:b/>
          <w:color w:val="000000"/>
          <w:sz w:val="20"/>
        </w:rPr>
      </w:pPr>
      <w:r>
        <w:rPr>
          <w:rFonts w:ascii="Times New Roman;Times;serif" w:hAnsi="Times New Roman;Times;serif"/>
          <w:b/>
          <w:color w:val="000000"/>
          <w:sz w:val="20"/>
        </w:rPr>
        <w:t xml:space="preserve">REPORT OF FOREIGN PRIVATE ISSUER PURSUANT TO RULE 13a-16 OR 15d-16 </w:t>
      </w:r>
    </w:p>
    <w:p>
      <w:pPr>
        <w:pStyle w:val="TextBody"/>
        <w:bidi w:val="0"/>
        <w:spacing w:lineRule="auto" w:line="300" w:before="0" w:after="0"/>
        <w:jc w:val="center"/>
        <w:rPr>
          <w:rFonts w:ascii="Times New Roman;Times;serif" w:hAnsi="Times New Roman;Times;serif"/>
          <w:b/>
          <w:color w:val="000000"/>
          <w:sz w:val="20"/>
        </w:rPr>
      </w:pPr>
      <w:r>
        <w:rPr>
          <w:rFonts w:ascii="Times New Roman;Times;serif" w:hAnsi="Times New Roman;Times;serif"/>
          <w:b/>
          <w:color w:val="000000"/>
          <w:sz w:val="20"/>
        </w:rPr>
        <w:t>OF THE SECURITIES EXCHANGE ACT OF 1934</w:t>
      </w:r>
    </w:p>
    <w:p>
      <w:pPr>
        <w:pStyle w:val="TextBody"/>
        <w:bidi w:val="0"/>
        <w:spacing w:lineRule="auto" w:line="300" w:before="0" w:after="0"/>
        <w:jc w:val="center"/>
        <w:rPr>
          <w:color w:val="000000"/>
        </w:rPr>
      </w:pPr>
      <w:r>
        <w:rPr>
          <w:color w:val="000000"/>
        </w:rPr>
        <w:t> </w:t>
      </w:r>
    </w:p>
    <w:p>
      <w:pPr>
        <w:pStyle w:val="TextBody"/>
        <w:bidi w:val="0"/>
        <w:spacing w:lineRule="auto" w:line="300" w:before="0" w:after="0"/>
        <w:jc w:val="center"/>
        <w:rPr>
          <w:rFonts w:ascii="Times New Roman;Times;serif" w:hAnsi="Times New Roman;Times;serif"/>
          <w:color w:val="000000"/>
          <w:sz w:val="20"/>
        </w:rPr>
      </w:pPr>
      <w:r>
        <w:rPr>
          <w:rFonts w:ascii="Times New Roman;Times;serif" w:hAnsi="Times New Roman;Times;serif"/>
          <w:smallCaps/>
          <w:color w:val="000000"/>
          <w:sz w:val="20"/>
        </w:rPr>
        <w:t>F</w:t>
      </w:r>
      <w:r>
        <w:rPr>
          <w:rFonts w:ascii="Times New Roman;Times;serif" w:hAnsi="Times New Roman;Times;serif"/>
          <w:color w:val="000000"/>
          <w:sz w:val="20"/>
        </w:rPr>
        <w:t>or the month of January 2026 No.3</w:t>
      </w:r>
    </w:p>
    <w:p>
      <w:pPr>
        <w:pStyle w:val="TextBody"/>
        <w:bidi w:val="0"/>
        <w:spacing w:lineRule="auto" w:line="300" w:before="0" w:after="0"/>
        <w:jc w:val="left"/>
        <w:rPr/>
      </w:pPr>
      <w:r>
        <w:rPr/>
      </w:r>
    </w:p>
    <w:p>
      <w:pPr>
        <w:pStyle w:val="TextBody"/>
        <w:bidi w:val="0"/>
        <w:spacing w:lineRule="auto" w:line="300" w:before="0" w:after="0"/>
        <w:jc w:val="center"/>
        <w:rPr>
          <w:rFonts w:ascii="Times New Roman;Times;serif" w:hAnsi="Times New Roman;Times;serif"/>
          <w:color w:val="000000"/>
          <w:sz w:val="20"/>
        </w:rPr>
      </w:pPr>
      <w:r>
        <w:rPr>
          <w:rFonts w:ascii="Times New Roman;Times;serif" w:hAnsi="Times New Roman;Times;serif"/>
          <w:color w:val="000000"/>
          <w:sz w:val="20"/>
        </w:rPr>
        <w:t>Commission File Number 0-24790</w:t>
      </w:r>
    </w:p>
    <w:p>
      <w:pPr>
        <w:pStyle w:val="TextBody"/>
        <w:bidi w:val="0"/>
        <w:spacing w:lineRule="auto" w:line="300" w:before="0" w:after="0"/>
        <w:jc w:val="left"/>
        <w:rPr/>
      </w:pPr>
      <w:r>
        <w:rPr/>
      </w:r>
    </w:p>
    <w:p>
      <w:pPr>
        <w:pStyle w:val="TextBody"/>
        <w:bidi w:val="0"/>
        <w:spacing w:lineRule="auto" w:line="300" w:before="0" w:after="0"/>
        <w:jc w:val="center"/>
        <w:rPr>
          <w:rFonts w:ascii="Times New Roman;Times;serif" w:hAnsi="Times New Roman;Times;serif"/>
          <w:b/>
          <w:color w:val="000000"/>
          <w:sz w:val="32"/>
        </w:rPr>
      </w:pPr>
      <w:r>
        <w:rPr>
          <w:rFonts w:ascii="Times New Roman;Times;serif" w:hAnsi="Times New Roman;Times;serif"/>
          <w:b/>
          <w:color w:val="000000"/>
          <w:sz w:val="32"/>
        </w:rPr>
        <w:t>TOWER SEMICONDUCTOR LTD.</w:t>
      </w:r>
    </w:p>
    <w:p>
      <w:pPr>
        <w:pStyle w:val="TextBody"/>
        <w:bidi w:val="0"/>
        <w:spacing w:lineRule="auto" w:line="300" w:before="0" w:after="0"/>
        <w:jc w:val="center"/>
        <w:rPr>
          <w:rFonts w:ascii="Times New Roman;Times;serif" w:hAnsi="Times New Roman;Times;serif"/>
          <w:color w:val="000000"/>
          <w:sz w:val="20"/>
        </w:rPr>
      </w:pPr>
      <w:r>
        <w:rPr>
          <w:rFonts w:ascii="Times New Roman;Times;serif" w:hAnsi="Times New Roman;Times;serif"/>
          <w:color w:val="000000"/>
          <w:sz w:val="20"/>
        </w:rPr>
        <w:t>(Translation of registrant's name into English)</w:t>
      </w:r>
    </w:p>
    <w:p>
      <w:pPr>
        <w:pStyle w:val="TextBody"/>
        <w:bidi w:val="0"/>
        <w:spacing w:lineRule="auto" w:line="300" w:before="0" w:after="0"/>
        <w:jc w:val="left"/>
        <w:rPr/>
      </w:pPr>
      <w:r>
        <w:rPr/>
      </w:r>
    </w:p>
    <w:p>
      <w:pPr>
        <w:pStyle w:val="TextBody"/>
        <w:bidi w:val="0"/>
        <w:spacing w:lineRule="auto" w:line="300" w:before="0" w:after="0"/>
        <w:jc w:val="center"/>
        <w:rPr>
          <w:rFonts w:ascii="Times New Roman;Times;serif" w:hAnsi="Times New Roman;Times;serif"/>
          <w:b/>
          <w:color w:val="000000"/>
          <w:sz w:val="20"/>
        </w:rPr>
      </w:pPr>
      <w:r>
        <w:rPr>
          <w:rFonts w:ascii="Times New Roman;Times;serif" w:hAnsi="Times New Roman;Times;serif"/>
          <w:b/>
          <w:color w:val="000000"/>
          <w:sz w:val="20"/>
        </w:rPr>
        <w:t>Ramat Gavriel Industrial Park</w:t>
      </w:r>
    </w:p>
    <w:p>
      <w:pPr>
        <w:pStyle w:val="TextBody"/>
        <w:bidi w:val="0"/>
        <w:spacing w:lineRule="auto" w:line="300" w:before="0" w:after="0"/>
        <w:jc w:val="center"/>
        <w:rPr>
          <w:rFonts w:ascii="Times New Roman;Times;serif" w:hAnsi="Times New Roman;Times;serif"/>
          <w:b/>
          <w:color w:val="000000"/>
          <w:sz w:val="20"/>
        </w:rPr>
      </w:pPr>
      <w:r>
        <w:rPr>
          <w:rFonts w:ascii="Times New Roman;Times;serif" w:hAnsi="Times New Roman;Times;serif"/>
          <w:b/>
          <w:color w:val="000000"/>
          <w:sz w:val="20"/>
        </w:rPr>
        <w:t>P.O. Box 619, Migdal Haemek, Israel 2310502</w:t>
      </w:r>
    </w:p>
    <w:p>
      <w:pPr>
        <w:pStyle w:val="TextBody"/>
        <w:bidi w:val="0"/>
        <w:spacing w:lineRule="auto" w:line="300" w:before="0" w:after="0"/>
        <w:jc w:val="center"/>
        <w:rPr>
          <w:rFonts w:ascii="Times New Roman;Times;serif" w:hAnsi="Times New Roman;Times;serif"/>
          <w:color w:val="000000"/>
          <w:sz w:val="20"/>
        </w:rPr>
      </w:pPr>
      <w:r>
        <w:rPr>
          <w:rFonts w:ascii="Times New Roman;Times;serif" w:hAnsi="Times New Roman;Times;serif"/>
          <w:color w:val="000000"/>
          <w:sz w:val="20"/>
        </w:rPr>
        <w:t>(Address of principal executive offices)</w:t>
      </w:r>
    </w:p>
    <w:p>
      <w:pPr>
        <w:pStyle w:val="TextBody"/>
        <w:bidi w:val="0"/>
        <w:spacing w:lineRule="auto" w:line="300" w:before="0" w:after="0"/>
        <w:jc w:val="left"/>
        <w:rPr/>
      </w:pPr>
      <w:r>
        <w:rPr/>
      </w:r>
    </w:p>
    <w:p>
      <w:pPr>
        <w:pStyle w:val="TextBody"/>
        <w:bidi w:val="0"/>
        <w:spacing w:lineRule="auto" w:line="300" w:before="0" w:after="0"/>
        <w:jc w:val="center"/>
        <w:rPr>
          <w:rFonts w:ascii="Times New Roman;Times;serif" w:hAnsi="Times New Roman;Times;serif"/>
          <w:color w:val="000000"/>
          <w:sz w:val="20"/>
        </w:rPr>
      </w:pPr>
      <w:r>
        <w:rPr>
          <w:rFonts w:ascii="Times New Roman;Times;serif" w:hAnsi="Times New Roman;Times;serif"/>
          <w:color w:val="000000"/>
          <w:sz w:val="20"/>
        </w:rPr>
        <w:t>Indicate by check mark whether the registrant files or will file annual reports under cover of Form 20-F or Form 40-F.</w:t>
      </w:r>
    </w:p>
    <w:p>
      <w:pPr>
        <w:pStyle w:val="TextBody"/>
        <w:bidi w:val="0"/>
        <w:spacing w:lineRule="auto" w:line="300" w:before="0" w:after="0"/>
        <w:jc w:val="center"/>
        <w:rPr>
          <w:rFonts w:ascii="Times New Roman;Times;serif" w:hAnsi="Times New Roman;Times;serif"/>
        </w:rPr>
      </w:pPr>
      <w:r>
        <w:rPr>
          <w:rFonts w:ascii="Times New Roman;Times;serif" w:hAnsi="Times New Roman;Times;serif"/>
        </w:rPr>
      </w:r>
    </w:p>
    <w:p>
      <w:pPr>
        <w:pStyle w:val="TextBody"/>
        <w:bidi w:val="0"/>
        <w:spacing w:lineRule="auto" w:line="300" w:before="0" w:after="0"/>
        <w:jc w:val="center"/>
        <w:rPr>
          <w:rFonts w:ascii="Times New Roman;Times;serif" w:hAnsi="Times New Roman;Times;serif"/>
          <w:color w:val="000000"/>
          <w:sz w:val="20"/>
        </w:rPr>
      </w:pPr>
      <w:r>
        <w:rPr>
          <w:rFonts w:ascii="Times New Roman;Times;serif" w:hAnsi="Times New Roman;Times;serif"/>
          <w:color w:val="000000"/>
          <w:sz w:val="20"/>
        </w:rPr>
        <w:t>Form 20-F ☒     Form 40-F ☐</w:t>
      </w:r>
    </w:p>
    <w:p>
      <w:pPr>
        <w:pStyle w:val="TextBody"/>
        <w:bidi w:val="0"/>
        <w:spacing w:lineRule="auto" w:line="300" w:before="0" w:after="0"/>
        <w:jc w:val="left"/>
        <w:rPr/>
      </w:pPr>
      <w:r>
        <w:rPr/>
      </w:r>
    </w:p>
    <w:p>
      <w:pPr>
        <w:pStyle w:val="HorizontalLine"/>
        <w:pBdr>
          <w:bottom w:val="single" w:sz="12" w:space="0" w:color="808080"/>
        </w:pBdr>
        <w:bidi w:val="0"/>
        <w:spacing w:before="200" w:after="200"/>
        <w:jc w:val="left"/>
        <w:rPr/>
      </w:pPr>
      <w:r>
        <w:rPr/>
      </w:r>
    </w:p>
    <w:p>
      <w:pPr>
        <w:pStyle w:val="TextBody"/>
        <w:bidi w:val="0"/>
        <w:spacing w:lineRule="auto" w:line="300" w:before="0" w:after="0"/>
        <w:jc w:val="center"/>
        <w:rPr>
          <w:rFonts w:ascii="Times New Roman;Times;serif" w:hAnsi="Times New Roman;Times;serif"/>
          <w:b/>
          <w:color w:val="000000"/>
          <w:sz w:val="24"/>
        </w:rPr>
      </w:pPr>
      <w:r>
        <w:rPr>
          <w:rFonts w:ascii="Times New Roman;Times;serif" w:hAnsi="Times New Roman;Times;serif"/>
          <w:b/>
          <w:color w:val="000000"/>
          <w:sz w:val="24"/>
        </w:rPr>
        <w:t xml:space="preserve">On January 29, 2026, the Registrant will Attend the Susquehanna </w:t>
      </w:r>
    </w:p>
    <w:p>
      <w:pPr>
        <w:pStyle w:val="TextBody"/>
        <w:bidi w:val="0"/>
        <w:spacing w:lineRule="auto" w:line="300" w:before="0" w:after="0"/>
        <w:jc w:val="center"/>
        <w:rPr>
          <w:rFonts w:ascii="Times New Roman;Times;serif" w:hAnsi="Times New Roman;Times;serif"/>
          <w:b/>
          <w:color w:val="000000"/>
          <w:sz w:val="24"/>
        </w:rPr>
      </w:pPr>
      <w:r>
        <w:rPr>
          <w:rFonts w:ascii="Times New Roman;Times;serif" w:hAnsi="Times New Roman;Times;serif"/>
          <w:b/>
          <w:color w:val="000000"/>
          <w:sz w:val="24"/>
        </w:rPr>
        <w:t>15th Annual Technology Conference</w:t>
      </w:r>
    </w:p>
    <w:p>
      <w:pPr>
        <w:pStyle w:val="TextBody"/>
        <w:bidi w:val="0"/>
        <w:spacing w:lineRule="auto" w:line="300" w:before="0" w:after="0"/>
        <w:jc w:val="left"/>
        <w:rPr/>
      </w:pPr>
      <w:r>
        <w:rPr/>
      </w:r>
    </w:p>
    <w:p>
      <w:pPr>
        <w:pStyle w:val="HorizontalLine"/>
        <w:pBdr>
          <w:bottom w:val="single" w:sz="12" w:space="0" w:color="808080"/>
        </w:pBdr>
        <w:bidi w:val="0"/>
        <w:spacing w:before="200" w:after="200"/>
        <w:jc w:val="left"/>
        <w:rPr/>
      </w:pPr>
      <w:r>
        <w:rPr/>
      </w:r>
    </w:p>
    <w:p>
      <w:pPr>
        <w:pStyle w:val="TextBody"/>
        <w:bidi w:val="0"/>
        <w:spacing w:lineRule="auto" w:line="300" w:before="0" w:after="0"/>
        <w:jc w:val="center"/>
        <w:rPr>
          <w:rFonts w:ascii="Times New Roman;Times;serif" w:hAnsi="Times New Roman;Times;serif"/>
          <w:b/>
          <w:color w:val="000000"/>
          <w:sz w:val="20"/>
        </w:rPr>
      </w:pPr>
      <w:r>
        <w:rPr>
          <w:rFonts w:ascii="Times New Roman;Times;serif" w:hAnsi="Times New Roman;Times;serif"/>
          <w:b/>
          <w:color w:val="000000"/>
          <w:sz w:val="20"/>
        </w:rPr>
        <w:t>SIGNATURES</w:t>
      </w:r>
    </w:p>
    <w:p>
      <w:pPr>
        <w:pStyle w:val="TextBody"/>
        <w:bidi w:val="0"/>
        <w:spacing w:lineRule="auto" w:line="300" w:before="0" w:after="0"/>
        <w:jc w:val="left"/>
        <w:rPr/>
      </w:pPr>
      <w:r>
        <w:rPr/>
      </w:r>
    </w:p>
    <w:p>
      <w:pPr>
        <w:pStyle w:val="TextBody"/>
        <w:bidi w:val="0"/>
        <w:spacing w:lineRule="auto" w:line="300" w:before="0" w:after="0"/>
        <w:jc w:val="left"/>
        <w:rPr>
          <w:rFonts w:ascii="Times New Roman;Times;serif" w:hAnsi="Times New Roman;Times;serif"/>
          <w:color w:val="000000"/>
          <w:sz w:val="20"/>
        </w:rPr>
      </w:pPr>
      <w:r>
        <w:rPr>
          <w:rFonts w:ascii="Times New Roman;Times;serif" w:hAnsi="Times New Roman;Times;serif"/>
          <w:color w:val="000000"/>
          <w:sz w:val="20"/>
        </w:rPr>
        <w:t>Pursuant to the requirements of the Securities Exchange Act of 1934, the registrant has duly caused this report to be signed on its behalf by the undersigned, thereunto duly authorized.</w:t>
      </w:r>
    </w:p>
    <w:p>
      <w:pPr>
        <w:pStyle w:val="TextBody"/>
        <w:bidi w:val="0"/>
        <w:spacing w:lineRule="auto" w:line="300" w:before="0" w:after="0"/>
        <w:jc w:val="left"/>
        <w:rPr/>
      </w:pPr>
      <w:r>
        <w:rPr/>
      </w:r>
    </w:p>
    <w:tbl>
      <w:tblPr>
        <w:tblW w:w="6204" w:type="dxa"/>
        <w:jc w:val="left"/>
        <w:tblInd w:w="0" w:type="dxa"/>
        <w:tblLayout w:type="fixed"/>
        <w:tblCellMar>
          <w:top w:w="0" w:type="dxa"/>
          <w:left w:w="0" w:type="dxa"/>
          <w:bottom w:w="0" w:type="dxa"/>
          <w:right w:w="0" w:type="dxa"/>
        </w:tblCellMar>
      </w:tblPr>
      <w:tblGrid>
        <w:gridCol w:w="2285"/>
        <w:gridCol w:w="980"/>
        <w:gridCol w:w="2879"/>
        <w:gridCol w:w="60"/>
      </w:tblGrid>
      <w:tr>
        <w:trPr/>
        <w:tc>
          <w:tcPr>
            <w:tcW w:w="2285" w:type="dxa"/>
            <w:tcBorders/>
          </w:tcPr>
          <w:p>
            <w:pPr>
              <w:pStyle w:val="TableContents"/>
              <w:bidi w:val="0"/>
              <w:spacing w:before="0" w:after="283"/>
              <w:jc w:val="left"/>
              <w:rPr/>
            </w:pPr>
            <w:r>
              <w:rPr/>
              <w:t> </w:t>
            </w:r>
          </w:p>
        </w:tc>
        <w:tc>
          <w:tcPr>
            <w:tcW w:w="3859" w:type="dxa"/>
            <w:gridSpan w:val="2"/>
            <w:tcBorders/>
          </w:tcPr>
          <w:p>
            <w:pPr>
              <w:pStyle w:val="TableContents"/>
              <w:bidi w:val="0"/>
              <w:spacing w:before="0" w:after="283"/>
              <w:jc w:val="left"/>
              <w:rPr>
                <w:b/>
              </w:rPr>
            </w:pPr>
            <w:r>
              <w:rPr>
                <w:b/>
              </w:rPr>
              <w:t>TOWER SEMICONDUCTOR LTD.</w:t>
            </w:r>
          </w:p>
        </w:tc>
        <w:tc>
          <w:tcPr>
            <w:tcW w:w="60" w:type="dxa"/>
            <w:tcBorders/>
          </w:tcPr>
          <w:p>
            <w:pPr>
              <w:pStyle w:val="TableContents"/>
              <w:bidi w:val="0"/>
              <w:spacing w:before="0" w:after="283"/>
              <w:jc w:val="left"/>
              <w:rPr/>
            </w:pPr>
            <w:r>
              <w:rPr/>
              <w:t> </w:t>
            </w:r>
          </w:p>
        </w:tc>
      </w:tr>
      <w:tr>
        <w:trPr/>
        <w:tc>
          <w:tcPr>
            <w:tcW w:w="2285" w:type="dxa"/>
            <w:tcBorders/>
          </w:tcPr>
          <w:p>
            <w:pPr>
              <w:pStyle w:val="TableContents"/>
              <w:bidi w:val="0"/>
              <w:spacing w:before="0" w:after="283"/>
              <w:jc w:val="left"/>
              <w:rPr/>
            </w:pPr>
            <w:r>
              <w:rPr/>
              <w:t> </w:t>
            </w:r>
          </w:p>
        </w:tc>
        <w:tc>
          <w:tcPr>
            <w:tcW w:w="980" w:type="dxa"/>
            <w:tcBorders/>
          </w:tcPr>
          <w:p>
            <w:pPr>
              <w:pStyle w:val="TableContents"/>
              <w:bidi w:val="0"/>
              <w:spacing w:before="0" w:after="283"/>
              <w:jc w:val="left"/>
              <w:rPr/>
            </w:pPr>
            <w:r>
              <w:rPr/>
              <w:t> </w:t>
            </w:r>
          </w:p>
        </w:tc>
        <w:tc>
          <w:tcPr>
            <w:tcW w:w="2879" w:type="dxa"/>
            <w:tcBorders/>
          </w:tcPr>
          <w:p>
            <w:pPr>
              <w:pStyle w:val="TableContents"/>
              <w:bidi w:val="0"/>
              <w:spacing w:before="0" w:after="283"/>
              <w:jc w:val="left"/>
              <w:rPr/>
            </w:pPr>
            <w:r>
              <w:rPr/>
              <w:t> </w:t>
            </w:r>
          </w:p>
        </w:tc>
        <w:tc>
          <w:tcPr>
            <w:tcW w:w="60" w:type="dxa"/>
            <w:tcBorders/>
          </w:tcPr>
          <w:p>
            <w:pPr>
              <w:pStyle w:val="TableContents"/>
              <w:bidi w:val="0"/>
              <w:spacing w:before="0" w:after="283"/>
              <w:jc w:val="left"/>
              <w:rPr/>
            </w:pPr>
            <w:r>
              <w:rPr/>
              <w:t> </w:t>
            </w:r>
          </w:p>
        </w:tc>
      </w:tr>
      <w:tr>
        <w:trPr/>
        <w:tc>
          <w:tcPr>
            <w:tcW w:w="2285" w:type="dxa"/>
            <w:tcBorders/>
          </w:tcPr>
          <w:p>
            <w:pPr>
              <w:pStyle w:val="TableContents"/>
              <w:bidi w:val="0"/>
              <w:spacing w:before="0" w:after="0"/>
              <w:ind w:left="0" w:right="0" w:hanging="0"/>
              <w:jc w:val="left"/>
              <w:rPr/>
            </w:pPr>
            <w:r>
              <w:rPr/>
              <w:t xml:space="preserve">Date: January 29, 2026 </w:t>
            </w:r>
          </w:p>
        </w:tc>
        <w:tc>
          <w:tcPr>
            <w:tcW w:w="980" w:type="dxa"/>
            <w:tcBorders/>
          </w:tcPr>
          <w:p>
            <w:pPr>
              <w:pStyle w:val="TableContents"/>
              <w:bidi w:val="0"/>
              <w:spacing w:before="0" w:after="0"/>
              <w:ind w:left="0" w:right="0" w:hanging="0"/>
              <w:jc w:val="left"/>
              <w:rPr/>
            </w:pPr>
            <w:r>
              <w:rPr/>
              <w:t xml:space="preserve">By: </w:t>
            </w:r>
          </w:p>
        </w:tc>
        <w:tc>
          <w:tcPr>
            <w:tcW w:w="2879" w:type="dxa"/>
            <w:tcBorders>
              <w:bottom w:val="single" w:sz="12" w:space="0" w:color="000000"/>
            </w:tcBorders>
            <w:tcMar>
              <w:bottom w:w="28" w:type="dxa"/>
            </w:tcMar>
          </w:tcPr>
          <w:p>
            <w:pPr>
              <w:pStyle w:val="TableContents"/>
              <w:bidi w:val="0"/>
              <w:spacing w:before="0" w:after="283"/>
              <w:jc w:val="left"/>
              <w:rPr/>
            </w:pPr>
            <w:r>
              <w:rPr/>
              <w:t>/s/ Nati Somekh</w:t>
            </w:r>
          </w:p>
        </w:tc>
        <w:tc>
          <w:tcPr>
            <w:tcW w:w="60" w:type="dxa"/>
            <w:tcBorders/>
          </w:tcPr>
          <w:p>
            <w:pPr>
              <w:pStyle w:val="TableContents"/>
              <w:bidi w:val="0"/>
              <w:spacing w:before="0" w:after="283"/>
              <w:jc w:val="left"/>
              <w:rPr/>
            </w:pPr>
            <w:r>
              <w:rPr/>
              <w:t> </w:t>
            </w:r>
          </w:p>
        </w:tc>
      </w:tr>
      <w:tr>
        <w:trPr/>
        <w:tc>
          <w:tcPr>
            <w:tcW w:w="2285" w:type="dxa"/>
            <w:tcBorders/>
          </w:tcPr>
          <w:p>
            <w:pPr>
              <w:pStyle w:val="TableContents"/>
              <w:bidi w:val="0"/>
              <w:spacing w:before="0" w:after="283"/>
              <w:jc w:val="left"/>
              <w:rPr/>
            </w:pPr>
            <w:r>
              <w:rPr/>
              <w:t> </w:t>
            </w:r>
          </w:p>
        </w:tc>
        <w:tc>
          <w:tcPr>
            <w:tcW w:w="980" w:type="dxa"/>
            <w:tcBorders/>
          </w:tcPr>
          <w:p>
            <w:pPr>
              <w:pStyle w:val="TableContents"/>
              <w:bidi w:val="0"/>
              <w:spacing w:before="0" w:after="283"/>
              <w:jc w:val="left"/>
              <w:rPr/>
            </w:pPr>
            <w:r>
              <w:rPr/>
              <w:t>Name:</w:t>
            </w:r>
          </w:p>
        </w:tc>
        <w:tc>
          <w:tcPr>
            <w:tcW w:w="2879" w:type="dxa"/>
            <w:tcBorders/>
            <w:vAlign w:val="bottom"/>
          </w:tcPr>
          <w:p>
            <w:pPr>
              <w:pStyle w:val="TableContents"/>
              <w:bidi w:val="0"/>
              <w:spacing w:before="0" w:after="283"/>
              <w:jc w:val="left"/>
              <w:rPr/>
            </w:pPr>
            <w:r>
              <w:rPr/>
              <w:t>Nati Somekh</w:t>
            </w:r>
          </w:p>
        </w:tc>
        <w:tc>
          <w:tcPr>
            <w:tcW w:w="60" w:type="dxa"/>
            <w:tcBorders/>
          </w:tcPr>
          <w:p>
            <w:pPr>
              <w:pStyle w:val="TableContents"/>
              <w:bidi w:val="0"/>
              <w:spacing w:before="0" w:after="283"/>
              <w:jc w:val="left"/>
              <w:rPr/>
            </w:pPr>
            <w:r>
              <w:rPr/>
              <w:t> </w:t>
            </w:r>
          </w:p>
        </w:tc>
      </w:tr>
      <w:tr>
        <w:trPr/>
        <w:tc>
          <w:tcPr>
            <w:tcW w:w="2285" w:type="dxa"/>
            <w:tcBorders/>
          </w:tcPr>
          <w:p>
            <w:pPr>
              <w:pStyle w:val="TableContents"/>
              <w:bidi w:val="0"/>
              <w:spacing w:before="0" w:after="283"/>
              <w:jc w:val="left"/>
              <w:rPr/>
            </w:pPr>
            <w:r>
              <w:rPr/>
              <w:t> </w:t>
            </w:r>
          </w:p>
        </w:tc>
        <w:tc>
          <w:tcPr>
            <w:tcW w:w="980" w:type="dxa"/>
            <w:tcBorders/>
          </w:tcPr>
          <w:p>
            <w:pPr>
              <w:pStyle w:val="TableContents"/>
              <w:bidi w:val="0"/>
              <w:spacing w:before="0" w:after="283"/>
              <w:jc w:val="left"/>
              <w:rPr/>
            </w:pPr>
            <w:r>
              <w:rPr/>
              <w:t>Title:</w:t>
            </w:r>
          </w:p>
        </w:tc>
        <w:tc>
          <w:tcPr>
            <w:tcW w:w="2879" w:type="dxa"/>
            <w:tcBorders/>
          </w:tcPr>
          <w:p>
            <w:pPr>
              <w:pStyle w:val="TableContents"/>
              <w:bidi w:val="0"/>
              <w:spacing w:before="0" w:after="283"/>
              <w:jc w:val="left"/>
              <w:rPr/>
            </w:pPr>
            <w:r>
              <w:rPr/>
              <w:t>Corporate Secretary</w:t>
            </w:r>
          </w:p>
        </w:tc>
        <w:tc>
          <w:tcPr>
            <w:tcW w:w="60" w:type="dxa"/>
            <w:tcBorders/>
          </w:tcPr>
          <w:p>
            <w:pPr>
              <w:pStyle w:val="TableContents"/>
              <w:bidi w:val="0"/>
              <w:spacing w:before="0" w:after="283"/>
              <w:jc w:val="left"/>
              <w:rPr/>
            </w:pPr>
            <w:r>
              <w:rPr/>
              <w:t> </w:t>
            </w:r>
          </w:p>
        </w:tc>
      </w:tr>
    </w:tbl>
    <w:p>
      <w:pPr>
        <w:pStyle w:val="TextBody"/>
        <w:bidi w:val="0"/>
        <w:spacing w:before="0" w:after="0"/>
        <w:jc w:val="left"/>
        <w:rPr/>
      </w:pPr>
      <w:r>
        <w:rPr/>
      </w:r>
    </w:p>
    <w:p>
      <w:pPr>
        <w:pStyle w:val="HorizontalLine"/>
        <w:pBdr>
          <w:bottom w:val="single" w:sz="12" w:space="0" w:color="808080"/>
        </w:pBdr>
        <w:bidi w:val="0"/>
        <w:spacing w:before="200" w:after="200"/>
        <w:jc w:val="left"/>
        <w:rPr/>
      </w:pPr>
      <w:r>
        <w:rPr/>
      </w:r>
    </w:p>
    <w:p>
      <w:pPr>
        <w:pStyle w:val="TextBody"/>
        <w:bidi w:val="0"/>
        <w:spacing w:lineRule="auto" w:line="300" w:before="0" w:after="0"/>
        <w:jc w:val="left"/>
        <w:rPr>
          <w:color w:val="000000"/>
        </w:rPr>
      </w:pPr>
      <w:r>
        <w:rPr>
          <w:color w:val="000000"/>
        </w:rPr>
        <w:drawing>
          <wp:inline distT="0" distB="0" distL="0" distR="0">
            <wp:extent cx="1190625" cy="69532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1190625" cy="695325"/>
                    </a:xfrm>
                    <a:prstGeom prst="rect">
                      <a:avLst/>
                    </a:prstGeom>
                  </pic:spPr>
                </pic:pic>
              </a:graphicData>
            </a:graphic>
          </wp:inline>
        </w:drawing>
      </w:r>
      <w:r>
        <w:rPr>
          <w:color w:val="000000"/>
        </w:rPr>
        <w:t xml:space="preserve"> </w:t>
      </w:r>
    </w:p>
    <w:p>
      <w:pPr>
        <w:pStyle w:val="TextBody"/>
        <w:bidi w:val="0"/>
        <w:spacing w:lineRule="auto" w:line="300" w:before="0" w:after="0"/>
        <w:jc w:val="left"/>
        <w:rPr/>
      </w:pPr>
      <w:r>
        <w:rPr/>
      </w:r>
    </w:p>
    <w:p>
      <w:pPr>
        <w:pStyle w:val="TextBody"/>
        <w:bidi w:val="0"/>
        <w:spacing w:lineRule="auto" w:line="240" w:before="0" w:after="0"/>
        <w:jc w:val="center"/>
        <w:rPr>
          <w:rFonts w:ascii="Times New Roman;Times;serif" w:hAnsi="Times New Roman;Times;serif"/>
          <w:b/>
          <w:color w:val="000000"/>
          <w:sz w:val="24"/>
        </w:rPr>
      </w:pPr>
      <w:r>
        <w:rPr>
          <w:rFonts w:ascii="Times New Roman;Times;serif" w:hAnsi="Times New Roman;Times;serif"/>
          <w:b/>
          <w:color w:val="000000"/>
          <w:sz w:val="24"/>
        </w:rPr>
        <w:t>Tower Semiconductor to Attend the Susquehanna 15th Annual Technology Conference</w:t>
      </w:r>
    </w:p>
    <w:p>
      <w:pPr>
        <w:pStyle w:val="TextBody"/>
        <w:bidi w:val="0"/>
        <w:spacing w:lineRule="auto" w:line="300" w:before="0" w:after="0"/>
        <w:jc w:val="left"/>
        <w:rPr/>
      </w:pPr>
      <w:r>
        <w:rPr/>
      </w:r>
    </w:p>
    <w:p>
      <w:pPr>
        <w:pStyle w:val="TextBody"/>
        <w:bidi w:val="0"/>
        <w:spacing w:lineRule="auto" w:line="240" w:before="0" w:after="0"/>
        <w:jc w:val="both"/>
        <w:rPr>
          <w:rFonts w:ascii="Times New Roman;Times;serif" w:hAnsi="Times New Roman;Times;serif"/>
          <w:color w:val="000000"/>
          <w:sz w:val="20"/>
        </w:rPr>
      </w:pPr>
      <w:r>
        <w:rPr>
          <w:rFonts w:ascii="Times New Roman;Times;serif" w:hAnsi="Times New Roman;Times;serif"/>
          <w:b/>
          <w:color w:val="000000"/>
          <w:sz w:val="20"/>
        </w:rPr>
        <w:t>MIGDAL HAEMEK, Israel, January 29, 2026</w:t>
      </w:r>
      <w:r>
        <w:rPr>
          <w:rFonts w:ascii="Times New Roman;Times;serif" w:hAnsi="Times New Roman;Times;serif"/>
          <w:color w:val="000000"/>
          <w:sz w:val="20"/>
        </w:rPr>
        <w:t> – Tower Semiconductor (NASDAQ/TASE: TSEM), the leading foundry of high value analog semiconductor solutions, today announced that its company representatives will participate in the Susquehanna 15th Annual Technology Conference on Thursday, February 26th.</w:t>
      </w:r>
    </w:p>
    <w:p>
      <w:pPr>
        <w:pStyle w:val="TextBody"/>
        <w:bidi w:val="0"/>
        <w:spacing w:lineRule="auto" w:line="300" w:before="0" w:after="0"/>
        <w:jc w:val="left"/>
        <w:rPr/>
      </w:pPr>
      <w:r>
        <w:rPr/>
      </w:r>
    </w:p>
    <w:p>
      <w:pPr>
        <w:pStyle w:val="TextBody"/>
        <w:bidi w:val="0"/>
        <w:spacing w:lineRule="auto" w:line="300"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The conference will take place at the Lotte New York Palace Hotel in New York. There will be an opportunity for investors to meet one-on-one with company representatives. Interested investors should contact the conference organizers or email the investor relations team at </w:t>
      </w:r>
      <w:r>
        <w:rPr>
          <w:rFonts w:ascii="Times New Roman;Times;serif" w:hAnsi="Times New Roman;Times;serif"/>
          <w:color w:val="000000"/>
          <w:sz w:val="20"/>
          <w:u w:val="single"/>
        </w:rPr>
        <w:t>towersemi@kcsa.com</w:t>
      </w:r>
      <w:r>
        <w:rPr>
          <w:rFonts w:ascii="Times New Roman;Times;serif" w:hAnsi="Times New Roman;Times;serif"/>
          <w:color w:val="000000"/>
          <w:sz w:val="20"/>
        </w:rPr>
        <w:t>.</w:t>
      </w:r>
    </w:p>
    <w:p>
      <w:pPr>
        <w:pStyle w:val="TextBody"/>
        <w:bidi w:val="0"/>
        <w:spacing w:lineRule="auto" w:line="300" w:before="0" w:after="0"/>
        <w:jc w:val="left"/>
        <w:rPr/>
      </w:pPr>
      <w:r>
        <w:rPr/>
      </w:r>
    </w:p>
    <w:p>
      <w:pPr>
        <w:pStyle w:val="TextBody"/>
        <w:bidi w:val="0"/>
        <w:spacing w:lineRule="auto" w:line="300" w:before="0" w:after="0"/>
        <w:jc w:val="left"/>
        <w:rPr>
          <w:rFonts w:ascii="Times New Roman;Times;serif" w:hAnsi="Times New Roman;Times;serif"/>
          <w:b/>
          <w:color w:val="000000"/>
          <w:sz w:val="20"/>
        </w:rPr>
      </w:pPr>
      <w:r>
        <w:rPr>
          <w:rFonts w:ascii="Times New Roman;Times;serif" w:hAnsi="Times New Roman;Times;serif"/>
          <w:b/>
          <w:color w:val="000000"/>
          <w:sz w:val="20"/>
        </w:rPr>
        <w:t>About Tower Semiconductor</w:t>
      </w:r>
    </w:p>
    <w:p>
      <w:pPr>
        <w:pStyle w:val="TextBody"/>
        <w:bidi w:val="0"/>
        <w:spacing w:lineRule="auto" w:line="300"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Tower Semiconductor Ltd. (NASDAQ/TASE: TSEM), the leading foundry of high-value analog semiconductor solutions, provides technology, development, and process platforms for its customers in growing markets such as consumer, industrial, automotive, mobile, infrastructure, medical and aerospace and defense. Tower Semiconductor focuses on creating a positive and sustainable impact on the world through long-term partnerships and its advanced and innovative analog technology offering, comprised of a broad range of customizable process platforms such as SiGe, BiCMOS, mixed-signal/CMOS, RF CMOS, CMOS image sensor, non-imaging sensors, displays, integrated power management (BCD and 700V), photonics, and MEMS. Tower Semiconductor also provides world-class design enablement for a quick and accurate design cycle as well as process transfer services including development, transfer, and optimization, to IDMs and fabless companies. To provide multi-fab sourcing and extended capacity for its customers, Tower Semiconductor owns one operating facility in Israel (200mm), two in the U.S. (200mm), two in Japan (200mm and 300mm) which it owns through its 51% holdings in TPSCo, shares a 300mm facility in Agrate, Italy with STMicroelectronics as well as has access to a 300mm capacity corridor in Intel’s New Mexico factory. For more information, please visit: </w:t>
      </w:r>
      <w:r>
        <w:rPr>
          <w:rFonts w:ascii="Times New Roman;Times;serif" w:hAnsi="Times New Roman;Times;serif"/>
          <w:color w:val="000000"/>
          <w:sz w:val="20"/>
          <w:u w:val="single"/>
        </w:rPr>
        <w:t>www.towersemi.com</w:t>
      </w:r>
      <w:r>
        <w:rPr>
          <w:rFonts w:ascii="Times New Roman;Times;serif" w:hAnsi="Times New Roman;Times;serif"/>
          <w:color w:val="000000"/>
          <w:sz w:val="20"/>
        </w:rPr>
        <w:t>.</w:t>
      </w:r>
    </w:p>
    <w:p>
      <w:pPr>
        <w:pStyle w:val="TextBody"/>
        <w:bidi w:val="0"/>
        <w:spacing w:lineRule="auto" w:line="300" w:before="0" w:after="0"/>
        <w:jc w:val="left"/>
        <w:rPr/>
      </w:pPr>
      <w:r>
        <w:rPr/>
      </w:r>
    </w:p>
    <w:p>
      <w:pPr>
        <w:pStyle w:val="TextBody"/>
        <w:bidi w:val="0"/>
        <w:spacing w:lineRule="auto" w:line="300" w:before="0" w:after="0"/>
        <w:jc w:val="left"/>
        <w:rPr>
          <w:rFonts w:ascii="Times New Roman;Times;serif" w:hAnsi="Times New Roman;Times;serif"/>
          <w:b/>
          <w:color w:val="000000"/>
          <w:sz w:val="20"/>
        </w:rPr>
      </w:pPr>
      <w:r>
        <w:rPr>
          <w:rFonts w:ascii="Times New Roman;Times;serif" w:hAnsi="Times New Roman;Times;serif"/>
          <w:b/>
          <w:color w:val="000000"/>
          <w:sz w:val="20"/>
        </w:rPr>
        <w:t>Contact Information:</w:t>
      </w:r>
    </w:p>
    <w:p>
      <w:pPr>
        <w:pStyle w:val="TextBody"/>
        <w:bidi w:val="0"/>
        <w:spacing w:lineRule="auto" w:line="300" w:before="0" w:after="0"/>
        <w:jc w:val="left"/>
        <w:rPr>
          <w:rFonts w:ascii="Times New Roman;Times;serif" w:hAnsi="Times New Roman;Times;serif"/>
          <w:color w:val="000000"/>
          <w:sz w:val="20"/>
        </w:rPr>
      </w:pPr>
      <w:r>
        <w:rPr>
          <w:rFonts w:ascii="Times New Roman;Times;serif" w:hAnsi="Times New Roman;Times;serif"/>
          <w:color w:val="000000"/>
          <w:sz w:val="20"/>
        </w:rPr>
        <w:t>Liat Avraham</w:t>
      </w:r>
    </w:p>
    <w:p>
      <w:pPr>
        <w:pStyle w:val="TextBody"/>
        <w:bidi w:val="0"/>
        <w:spacing w:lineRule="auto" w:line="300" w:before="0" w:after="0"/>
        <w:jc w:val="left"/>
        <w:rPr>
          <w:rFonts w:ascii="Times New Roman;Times;serif" w:hAnsi="Times New Roman;Times;serif"/>
          <w:color w:val="000000"/>
          <w:sz w:val="20"/>
        </w:rPr>
      </w:pPr>
      <w:r>
        <w:rPr>
          <w:rFonts w:ascii="Times New Roman;Times;serif" w:hAnsi="Times New Roman;Times;serif"/>
          <w:color w:val="000000"/>
          <w:sz w:val="20"/>
        </w:rPr>
        <w:t>Investor Relations</w:t>
      </w:r>
    </w:p>
    <w:p>
      <w:pPr>
        <w:pStyle w:val="TextBody"/>
        <w:bidi w:val="0"/>
        <w:spacing w:lineRule="auto" w:line="300" w:before="0" w:after="0"/>
        <w:jc w:val="left"/>
        <w:rPr>
          <w:rFonts w:ascii="Times New Roman;Times;serif" w:hAnsi="Times New Roman;Times;serif"/>
          <w:color w:val="000000"/>
          <w:sz w:val="20"/>
        </w:rPr>
      </w:pPr>
      <w:r>
        <w:rPr>
          <w:rFonts w:ascii="Times New Roman;Times;serif" w:hAnsi="Times New Roman;Times;serif"/>
          <w:color w:val="000000"/>
          <w:sz w:val="20"/>
          <w:u w:val="single"/>
        </w:rPr>
        <w:t>liatavra@towersemi.com</w:t>
      </w:r>
      <w:r>
        <w:rPr>
          <w:rFonts w:ascii="Times New Roman;Times;serif" w:hAnsi="Times New Roman;Times;serif"/>
          <w:color w:val="000000"/>
          <w:sz w:val="20"/>
        </w:rPr>
        <w:t xml:space="preserve"> | +972 4 650 6154</w:t>
      </w:r>
    </w:p>
    <w:p>
      <w:pPr>
        <w:pStyle w:val="TextBody"/>
        <w:bidi w:val="0"/>
        <w:spacing w:lineRule="auto" w:line="300" w:before="0" w:after="0"/>
        <w:jc w:val="left"/>
        <w:rPr/>
      </w:pPr>
      <w:r>
        <w:rPr/>
      </w:r>
    </w:p>
    <w:p>
      <w:pPr>
        <w:pStyle w:val="TextBody"/>
        <w:bidi w:val="0"/>
        <w:spacing w:lineRule="auto" w:line="300" w:before="0" w:after="0"/>
        <w:jc w:val="left"/>
        <w:rPr>
          <w:rFonts w:ascii="Times New Roman;Times;serif" w:hAnsi="Times New Roman;Times;serif"/>
          <w:color w:val="000000"/>
          <w:sz w:val="20"/>
        </w:rPr>
      </w:pPr>
      <w:r>
        <w:rPr>
          <w:rFonts w:ascii="Times New Roman;Times;serif" w:hAnsi="Times New Roman;Times;serif"/>
          <w:color w:val="000000"/>
          <w:sz w:val="20"/>
        </w:rPr>
        <w:t>David Hanover</w:t>
      </w:r>
    </w:p>
    <w:p>
      <w:pPr>
        <w:pStyle w:val="TextBody"/>
        <w:bidi w:val="0"/>
        <w:spacing w:lineRule="auto" w:line="300" w:before="0" w:after="0"/>
        <w:jc w:val="left"/>
        <w:rPr>
          <w:rFonts w:ascii="Times New Roman;Times;serif" w:hAnsi="Times New Roman;Times;serif"/>
          <w:color w:val="000000"/>
          <w:sz w:val="20"/>
        </w:rPr>
      </w:pPr>
      <w:r>
        <w:rPr>
          <w:rFonts w:ascii="Times New Roman;Times;serif" w:hAnsi="Times New Roman;Times;serif"/>
          <w:color w:val="000000"/>
          <w:sz w:val="20"/>
        </w:rPr>
        <w:t>KCSA Strategic Communications</w:t>
      </w:r>
    </w:p>
    <w:p>
      <w:pPr>
        <w:pStyle w:val="TextBody"/>
        <w:bidi w:val="0"/>
        <w:spacing w:lineRule="auto" w:line="300" w:before="0" w:after="0"/>
        <w:jc w:val="both"/>
        <w:rPr>
          <w:rFonts w:ascii="Times New Roman;Times;serif" w:hAnsi="Times New Roman;Times;serif"/>
          <w:color w:val="000000"/>
          <w:sz w:val="20"/>
        </w:rPr>
      </w:pPr>
      <w:r>
        <w:rPr>
          <w:rFonts w:ascii="Times New Roman;Times;serif" w:hAnsi="Times New Roman;Times;serif"/>
          <w:color w:val="000000"/>
          <w:sz w:val="20"/>
          <w:u w:val="single"/>
        </w:rPr>
        <w:t>towersemi@kcsa.com</w:t>
      </w:r>
      <w:r>
        <w:rPr>
          <w:rFonts w:ascii="Times New Roman;Times;serif" w:hAnsi="Times New Roman;Times;serif"/>
          <w:color w:val="000000"/>
          <w:sz w:val="20"/>
        </w:rPr>
        <w:t xml:space="preserve"> | 212-682-6300</w:t>
      </w:r>
    </w:p>
    <w:p>
      <w:pPr>
        <w:pStyle w:val="TextBody"/>
        <w:bidi w:val="0"/>
        <w:spacing w:lineRule="auto" w:line="300" w:before="0" w:after="0"/>
        <w:jc w:val="left"/>
        <w:rPr/>
      </w:pPr>
      <w:r>
        <w:rPr/>
      </w:r>
    </w:p>
    <w:p>
      <w:pPr>
        <w:pStyle w:val="HorizontalLine"/>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Times"/>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fontTable" Target="fontTable.xml"/><Relationship Id="rId4"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3</Pages>
  <Words>459</Words>
  <Characters>2775</Characters>
  <CharactersWithSpaces>3218</CharactersWithSpaces>
  <Paragraphs>53</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