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of August 2008 (No. 6)</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4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400" w:firstLine="351"/>
        <w:spacing w:after="0" w:line="268" w:lineRule="auto"/>
        <w:rPr>
          <w:sz w:val="20"/>
          <w:szCs w:val="20"/>
          <w:color w:val="auto"/>
        </w:rPr>
      </w:pPr>
      <w:r>
        <w:rPr>
          <w:rFonts w:ascii="Arial" w:cs="Arial" w:eastAsia="Arial" w:hAnsi="Arial"/>
          <w:sz w:val="18"/>
          <w:szCs w:val="18"/>
          <w:color w:val="auto"/>
        </w:rPr>
        <w:t>On August 20, 2008, the Registrant announced its financial results for the six and three months ended June 30, 2008. Attached hereto are the following exhibits</w:t>
      </w:r>
    </w:p>
    <w:p>
      <w:pPr>
        <w:spacing w:after="0" w:line="186"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August 20, 2008</w:t>
      </w:r>
    </w:p>
    <w:p>
      <w:pPr>
        <w:spacing w:after="0" w:line="200" w:lineRule="exact"/>
        <w:rPr>
          <w:sz w:val="24"/>
          <w:szCs w:val="24"/>
          <w:color w:val="auto"/>
        </w:rPr>
      </w:pPr>
    </w:p>
    <w:p>
      <w:pPr>
        <w:spacing w:after="0" w:line="268" w:lineRule="exact"/>
        <w:rPr>
          <w:sz w:val="24"/>
          <w:szCs w:val="24"/>
          <w:color w:val="auto"/>
        </w:rPr>
      </w:pPr>
    </w:p>
    <w:p>
      <w:pPr>
        <w:ind w:firstLine="348"/>
        <w:spacing w:after="0" w:line="268" w:lineRule="auto"/>
        <w:rPr>
          <w:sz w:val="20"/>
          <w:szCs w:val="20"/>
          <w:color w:val="auto"/>
        </w:rPr>
      </w:pPr>
      <w:r>
        <w:rPr>
          <w:rFonts w:ascii="Arial" w:cs="Arial" w:eastAsia="Arial" w:hAnsi="Arial"/>
          <w:sz w:val="18"/>
          <w:szCs w:val="18"/>
          <w:color w:val="auto"/>
        </w:rPr>
        <w:t>This report on Form 6-K is not incorporated by reference into any effective Registration Statement filed by us under the Securities Act of 1933, including on Form F-4 (File No. 333-151919).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4"/>
          <w:szCs w:val="24"/>
          <w:color w:val="auto"/>
        </w:rPr>
      </w:pPr>
    </w:p>
    <w:p>
      <w:pPr>
        <w:spacing w:after="0" w:line="24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20, 2008</w:t>
      </w:r>
      <w:r>
        <w:rPr>
          <w:sz w:val="20"/>
          <w:szCs w:val="20"/>
          <w:color w:val="auto"/>
        </w:rPr>
        <w:tab/>
      </w:r>
      <w:r>
        <w:rPr>
          <w:rFonts w:ascii="Arial" w:cs="Arial" w:eastAsia="Arial" w:hAnsi="Arial"/>
          <w:sz w:val="16"/>
          <w:szCs w:val="16"/>
          <w:color w:val="auto"/>
        </w:rPr>
        <w:t>——————————————</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3409315</wp:posOffset>
            </wp:positionV>
            <wp:extent cx="726757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360"/>
          </w:cols>
          <w:pgMar w:left="240" w:top="476" w:right="299" w:bottom="1440" w:gutter="0" w:footer="0" w:header="0"/>
        </w:sectPr>
      </w:pPr>
    </w:p>
    <w:bookmarkStart w:id="1" w:name="page2"/>
    <w:bookmarkEnd w:id="1"/>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Tower Semiconductor Reports Second Quarter 2008</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Financial Results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Achieves second highest quarterly revenue in the Company’s history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$58.1 million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Signed a Memorandum of Understanding to Reduce Debt by $250 Million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Significantly Improve Balance Sheet and Financial Position</w:t>
      </w:r>
    </w:p>
    <w:p>
      <w:pPr>
        <w:spacing w:after="0" w:line="219"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MIGDAL HAEMEK, Israel – August 20, 2008 – Tower Semiconductor Ltd. (NASDAQ: TSEM, TASE: TSEM), an independent specialty foundry, today announced financial results for the second quarter ended June 30,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Achieved revenue of $58.1 million, compared to $57.6 million in the prior quarter and $57.1 million in the same period one year ago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Recorded positive cash flow from operations for the seventh consecutive quarter and positive EBITDA for the eleventh consecutive 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Decreased net loss in the first six months of 2008 by $13 million year-over-year</w:t>
      </w:r>
    </w:p>
    <w:p>
      <w:pPr>
        <w:spacing w:after="0" w:line="9" w:lineRule="exact"/>
        <w:rPr>
          <w:sz w:val="20"/>
          <w:szCs w:val="20"/>
          <w:color w:val="auto"/>
        </w:rPr>
      </w:pPr>
    </w:p>
    <w:p>
      <w:pPr>
        <w:ind w:left="580" w:right="340" w:hanging="581"/>
        <w:spacing w:after="0" w:line="250" w:lineRule="auto"/>
        <w:rPr>
          <w:sz w:val="20"/>
          <w:szCs w:val="20"/>
          <w:color w:val="auto"/>
        </w:rPr>
      </w:pPr>
      <w:r>
        <w:rPr>
          <w:rFonts w:ascii="Arial" w:cs="Arial" w:eastAsia="Arial" w:hAnsi="Arial"/>
          <w:sz w:val="18"/>
          <w:szCs w:val="18"/>
          <w:color w:val="auto"/>
        </w:rPr>
        <w:t>—Signed a Memorandum of Understanding to significantly improve balance sheet and financial position, by lowering debt $250 million and increasing shareholders equity by a similar amount</w:t>
      </w: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Announced a definitive agreement to acquire Jazz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Initiated cost reduction plan expected to result in approximately $40 million of savings annually</w:t>
      </w:r>
    </w:p>
    <w:p>
      <w:pPr>
        <w:spacing w:after="0" w:line="9" w:lineRule="exact"/>
        <w:rPr>
          <w:sz w:val="20"/>
          <w:szCs w:val="20"/>
          <w:color w:val="auto"/>
        </w:rPr>
      </w:pPr>
    </w:p>
    <w:p>
      <w:pPr>
        <w:ind w:left="580" w:right="80" w:hanging="581"/>
        <w:spacing w:after="0" w:line="261" w:lineRule="auto"/>
        <w:rPr>
          <w:sz w:val="20"/>
          <w:szCs w:val="20"/>
          <w:color w:val="auto"/>
        </w:rPr>
      </w:pPr>
      <w:r>
        <w:rPr>
          <w:rFonts w:ascii="Arial" w:cs="Arial" w:eastAsia="Arial" w:hAnsi="Arial"/>
          <w:sz w:val="18"/>
          <w:szCs w:val="18"/>
          <w:color w:val="auto"/>
        </w:rPr>
        <w:t>—Announced customer engagements and production ramps, including those with ON Semiconductor, QuickLogic, Cypress Semiconductor and Panavision Imaging</w:t>
      </w:r>
    </w:p>
    <w:p>
      <w:pPr>
        <w:spacing w:after="0" w:line="200" w:lineRule="exact"/>
        <w:rPr>
          <w:sz w:val="20"/>
          <w:szCs w:val="20"/>
          <w:color w:val="auto"/>
        </w:rPr>
      </w:pPr>
    </w:p>
    <w:p>
      <w:pPr>
        <w:spacing w:after="0" w:line="23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Revenue for the second quarter of 2008 was $58.1 million, which was slightly above the mid-point of the company’s previously stated guidance range. This compares to revenue of $57.1 million in the second quarter of 2007 and $57.6 million in the prior quarter.</w:t>
      </w:r>
    </w:p>
    <w:p>
      <w:pPr>
        <w:spacing w:after="0" w:line="18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Second quarter 2008 non-GAAP gross profit and operating profit, as described and reconciled below, totaled $20.5 million and $11.6 million, respectively, representing 35 percent gross margin and 20 percent operating margin. Calculated in accordance with Generally Accepted Accounting Principles (GAAP), net loss for the second quarter was $31.3 million, or $0.25 per share, an improvement of $2.8 million when compared to $34.1 million, or $0.28 per share, for the same period in 2007.</w:t>
      </w:r>
    </w:p>
    <w:p>
      <w:pPr>
        <w:spacing w:after="0" w:line="19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Russell Ellwanger, Tower’s chief executive officer, stated “Over the past few years, Tower has substantially improved its revenue and operational results as evidenced by becoming the number one revenue growth foundry for 2007 over 2005. Today’s announcement of a memorandum of understanding signed with our banks and Israel Corporation provides a much stronger corporate capital structure from which we can continue this momentum. We expect that these financial improvements combined with the expected closing of the Jazz merger will maintain our growth trajectory, while substantially improving EBITDA and cash generation in the course of transitioning into the worldwide leading specialty foundry.”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response from both the Jazz and Tower customers with regard to the combined product platform offerings and roadmaps has been overwhelmingly positive, and we have begun to leverage the cross-selling opportunities through joint meetings with customers of both companies. Integration efforts are well underway in anticipation of the completion of the transaction by the end of this quarter. We have established an inter-company cross-functional team tasked with ensuring a seamless transition, and we expect to realize approximately $40 million in annual cost savings from the Jazz merger.”</w:t>
      </w:r>
    </w:p>
    <w:p>
      <w:pPr>
        <w:spacing w:after="0" w:line="1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previously disclosed, Tower announced a definitive agreement to acquire Jazz Technologies, which will create a leading specialty pure-play foundry with trailing twelve month revenues of approximately $440 million. Additionally, the merger will significantly increase the Company’s scale, providing the opportunity for substantial growth in revenue, cash flow and operating results. The proposed transaction is subject to approval by Jazz’s shareholders and other customary closing conditions. Jazz announced that August 8, 2008 will serve as the record date for a special meeting of shareholders, which will be convened on September 17, 2008 to vote on, adopt and approve the proposed transaction, with the closing of the transaction expected to occur prior to the end of the third quarter of 2008.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2008 Financial Results Conference Call and Web Cast</w:t>
      </w:r>
    </w:p>
    <w:p>
      <w:pPr>
        <w:spacing w:after="0" w:line="31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 xml:space="preserve">Tower will host a conference call to discuss these results today, August 20, 2008, at 10:00 a.m. Eastern Time (ET) / 5:00 p.m. Israel time. To participate, please call: 1-888-668-9141 (U.S. toll-free number) or 972-3-918-0691 (international) and mention ID code: TOWER. Callers in Israel are invited to call locally by dialing 03-918-0691. The conference call will also be Web cast live at </w:t>
      </w:r>
      <w:r>
        <w:rPr>
          <w:rFonts w:ascii="Arial" w:cs="Arial" w:eastAsia="Arial" w:hAnsi="Arial"/>
          <w:sz w:val="16"/>
          <w:szCs w:val="16"/>
          <w:u w:val="single" w:color="auto"/>
          <w:color w:val="auto"/>
        </w:rPr>
        <w:t>http://www.earnings.com</w:t>
      </w:r>
      <w:r>
        <w:rPr>
          <w:rFonts w:ascii="Arial" w:cs="Arial" w:eastAsia="Arial" w:hAnsi="Arial"/>
          <w:sz w:val="16"/>
          <w:szCs w:val="16"/>
          <w:color w:val="auto"/>
        </w:rPr>
        <w:t xml:space="preserve"> and at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and will be available thereafter on both Web sites for replay for 90 days, starting at approximately 2 p.m. ET on the day of the call.</w:t>
      </w:r>
    </w:p>
    <w:p>
      <w:pPr>
        <w:spacing w:after="0" w:line="16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As previously announced, beginning with the fourth quarter of 2007, the Company presents its financial statements in accordance with U.S. GAAP. All historical amounts presented in this release, including the financial tables below, were recast to reflect the application of U.S. GAAP.</w:t>
      </w:r>
    </w:p>
    <w:p>
      <w:pPr>
        <w:spacing w:after="0" w:line="13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used in this release, the term Earnings Before Interest Tax Depreciation and Amortization (EBITDA) consists of loss, according to U.S. GAAP, excluding interest and financing expenses (net), tax, depreciation and amortization and stock based compensation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97"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This release, including the financial tables below, presents other financial information that may be considered “non-GAAP financial measures” under Regulation G and related reporting requirements promulgated by the Securities and Exchange Commission as they apply to our company. These non-GAAP financial measures exclude (1) depreciation and amortization expenses and (2) compensation expenses in respect of options granted to directors, officers and employees. Non-GAAP financial measures should be evaluated in conjunction with, and are not a substitute for, GAAP financial measures. The tables also present the GAAP financial measures, which are most comparable to the non-GAAP financial measures as well a reconciliation between the non-GAAP financial measures and the most comparable GAAP financial measures. The non-GAAP financial information presented herein should not be considered in isolation from or as a substitute</w:t>
      </w:r>
    </w:p>
    <w:p>
      <w:pPr>
        <w:sectPr>
          <w:pgSz w:w="11900" w:h="16920" w:orient="portrait"/>
          <w:cols w:equalWidth="0" w:num="1">
            <w:col w:w="11420"/>
          </w:cols>
          <w:pgMar w:left="240" w:top="125" w:right="239" w:bottom="0" w:gutter="0" w:footer="0" w:header="0"/>
        </w:sectPr>
      </w:pPr>
    </w:p>
    <w:bookmarkStart w:id="2" w:name="page3"/>
    <w:bookmarkEnd w:id="2"/>
    <w:p>
      <w:pPr>
        <w:ind w:right="560"/>
        <w:spacing w:after="0" w:line="268" w:lineRule="auto"/>
        <w:rPr>
          <w:sz w:val="20"/>
          <w:szCs w:val="20"/>
          <w:color w:val="auto"/>
        </w:rPr>
      </w:pPr>
      <w:r>
        <w:rPr>
          <w:rFonts w:ascii="Arial" w:cs="Arial" w:eastAsia="Arial" w:hAnsi="Arial"/>
          <w:sz w:val="18"/>
          <w:szCs w:val="18"/>
          <w:color w:val="auto"/>
        </w:rPr>
        <w:t>for operating income, net income or loss, cash flows provided by operating, investing and financing activities, or other income or cash flow statement data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31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31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and raising the funds therefore, (ii) the cyclical nature of the semiconductor industry and the resulting periodic overcapacity, fluctuations in operating results, future average selling price erosion, (iii) having sufficient funds to satisfy our short-term and long-term debt obligations and other liabilities, (iv) operating our facilities at high utilization rates which is critical in order to defray the high level of fixed costs associated with operating a foundry and reduce our losses, (v) our ability to satisfy the covenants stipulated in our amended credit facility agreement, (vi) our ability to capitalize on increases in demand for foundry services, (vii) meeting the conditions to receive Israeli government grants and tax benefits approved for Fab2, the possibility of the government requiring us to repay all or a portion of the grants already received and obtaining the approval of the Israeli Investment Center for a new expansion program, (viii) our ability to accurately forecast financial performance, which is affected by limited order backlog and lengthy sales cycles, (ix) maintaining existing customers and attracting additional customers, (x) not receiving orders from our wafer partners and customers, which can result in excess capacity, (xi) our dependence on a relatively small number of products for a significant portion of our revenue, (xii) product returns,</w:t>
      </w:r>
    </w:p>
    <w:p>
      <w:pPr>
        <w:spacing w:after="0" w:line="5" w:lineRule="exact"/>
        <w:rPr>
          <w:sz w:val="20"/>
          <w:szCs w:val="20"/>
          <w:color w:val="auto"/>
        </w:rPr>
      </w:pPr>
    </w:p>
    <w:p>
      <w:pPr>
        <w:ind w:right="60" w:firstLine="8"/>
        <w:spacing w:after="0" w:line="281" w:lineRule="auto"/>
        <w:tabs>
          <w:tab w:leader="none" w:pos="395"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maintain and develop our technology processes and services to keep pace with new technology, evolving standards, changing customer and end-user requirements, new product introductions and short product life cycles, (xiv) competing effectively, (xv) our large amount of debt and our ability to repay our short-term and long-term debt on a timely basis, (xvi) achieving acceptable device yields, product performance and delivery times, (xvii) our ability to manufacture products on a timely basis and to purchase the equipment to increase Fab2 capacity up to 30,000 wafers per month and timely installation thereof,</w:t>
      </w:r>
    </w:p>
    <w:p>
      <w:pPr>
        <w:spacing w:after="0" w:line="2" w:lineRule="exact"/>
        <w:rPr>
          <w:rFonts w:ascii="Arial" w:cs="Arial" w:eastAsia="Arial" w:hAnsi="Arial"/>
          <w:sz w:val="16"/>
          <w:szCs w:val="16"/>
          <w:color w:val="auto"/>
        </w:rPr>
      </w:pPr>
    </w:p>
    <w:p>
      <w:pPr>
        <w:ind w:right="20" w:firstLine="8"/>
        <w:spacing w:after="0" w:line="292" w:lineRule="auto"/>
        <w:tabs>
          <w:tab w:leader="none" w:pos="483"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intellectual property rights of others and our ability to operate our business without infringing others’ intellectual property rights, (xix) exposure to inflation, currency exchange and interest rate fluctuations and risks associated with doing business internationally and in Israel, (xx) the closing of the definitive agreement to acquire all of the outstanding shares of Jazz, subject to the approval of Jazz’s shareholders and other customary closing conditions, (xxi) the closing of the definitive agreement with the lender banks, Bank Hapoalim and Bank Leumi, and Israel Corporation for the debt restructuring and investment and (xxi) business interruption due to fire, the security situation in Israel and other events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and 6-K, as were filed with the Securities and Exchange Commission and the Israel Securities Authority. Future results may differ materially from those previously reported. The Company does not intend to update, and expressly disclaims any obligation to update, the information contained in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Tower Semiconductor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Limor Asif, + 972-4-650 6936</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Limoras@towersemi.com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Shelton Group</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Ryan Bright, (972) 239-5119 ext. 159</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rbright@sheltongroup.com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center"/>
              <w:ind w:right="222"/>
              <w:spacing w:after="0"/>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center"/>
              <w:ind w:right="202"/>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54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center"/>
              <w:ind w:right="202"/>
              <w:spacing w:after="0"/>
              <w:rPr>
                <w:sz w:val="20"/>
                <w:szCs w:val="20"/>
                <w:color w:val="auto"/>
              </w:rPr>
            </w:pPr>
            <w:r>
              <w:rPr>
                <w:rFonts w:ascii="Arial" w:cs="Arial" w:eastAsia="Arial" w:hAnsi="Arial"/>
                <w:sz w:val="14"/>
                <w:szCs w:val="14"/>
                <w:b w:val="1"/>
                <w:bCs w:val="1"/>
                <w:color w:val="auto"/>
                <w:w w:val="86"/>
              </w:rPr>
              <w:t>unaudited</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260" w:type="dxa"/>
            <w:vAlign w:val="bottom"/>
          </w:tcPr>
          <w:p>
            <w:pPr>
              <w:ind w:left="16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8"/>
                <w:szCs w:val="18"/>
                <w:b w:val="1"/>
                <w:bCs w:val="1"/>
                <w:color w:val="auto"/>
              </w:rPr>
              <w:t>19,833</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44,536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00"/>
              <w:spacing w:after="0"/>
              <w:rPr>
                <w:sz w:val="20"/>
                <w:szCs w:val="20"/>
                <w:color w:val="auto"/>
              </w:rPr>
            </w:pPr>
            <w:r>
              <w:rPr>
                <w:rFonts w:ascii="Arial" w:cs="Arial" w:eastAsia="Arial" w:hAnsi="Arial"/>
                <w:sz w:val="18"/>
                <w:szCs w:val="18"/>
                <w:b w:val="1"/>
                <w:bCs w:val="1"/>
                <w:color w:val="auto"/>
              </w:rPr>
              <w:t>Trade accounts receivable</w:t>
            </w:r>
          </w:p>
        </w:tc>
        <w:tc>
          <w:tcPr>
            <w:tcW w:w="28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Arial" w:cs="Arial" w:eastAsia="Arial" w:hAnsi="Arial"/>
                <w:sz w:val="18"/>
                <w:szCs w:val="18"/>
                <w:b w:val="1"/>
                <w:bCs w:val="1"/>
                <w:color w:val="auto"/>
              </w:rPr>
              <w:t>34,286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8"/>
                <w:szCs w:val="18"/>
                <w:b w:val="1"/>
                <w:bCs w:val="1"/>
                <w:color w:val="auto"/>
              </w:rPr>
              <w:t>44,977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Other receivables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8"/>
                <w:szCs w:val="18"/>
                <w:b w:val="1"/>
                <w:bCs w:val="1"/>
                <w:color w:val="auto"/>
              </w:rPr>
              <w:t>4,428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4,748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gridSpan w:val="2"/>
          </w:tcPr>
          <w:p>
            <w:pPr>
              <w:ind w:left="320"/>
              <w:spacing w:after="0"/>
              <w:rPr>
                <w:sz w:val="20"/>
                <w:szCs w:val="20"/>
                <w:color w:val="auto"/>
              </w:rPr>
            </w:pPr>
            <w:r>
              <w:rPr>
                <w:rFonts w:ascii="Arial" w:cs="Arial" w:eastAsia="Arial" w:hAnsi="Arial"/>
                <w:sz w:val="18"/>
                <w:szCs w:val="18"/>
                <w:b w:val="1"/>
                <w:bCs w:val="1"/>
                <w:color w:val="auto"/>
              </w:rPr>
              <w:t>Inventories</w:t>
            </w:r>
          </w:p>
        </w:tc>
        <w:tc>
          <w:tcPr>
            <w:tcW w:w="4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37,432</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27,806</w:t>
            </w:r>
          </w:p>
        </w:tc>
        <w:tc>
          <w:tcPr>
            <w:tcW w:w="220" w:type="dxa"/>
            <w:vAlign w:val="bottom"/>
          </w:tcPr>
          <w:p>
            <w:pPr>
              <w:spacing w:after="0"/>
              <w:rPr>
                <w:sz w:val="19"/>
                <w:szCs w:val="19"/>
                <w:color w:val="auto"/>
              </w:rPr>
            </w:pPr>
          </w:p>
        </w:tc>
      </w:tr>
      <w:tr>
        <w:trPr>
          <w:trHeight w:val="217"/>
        </w:trPr>
        <w:tc>
          <w:tcPr>
            <w:tcW w:w="82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Other current assets</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1,017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1,580</w:t>
            </w:r>
          </w:p>
        </w:tc>
        <w:tc>
          <w:tcPr>
            <w:tcW w:w="220" w:type="dxa"/>
            <w:vAlign w:val="bottom"/>
            <w:shd w:val="clear" w:color="auto" w:fill="CCEEFF"/>
          </w:tcPr>
          <w:p>
            <w:pPr>
              <w:spacing w:after="0"/>
              <w:rPr>
                <w:sz w:val="18"/>
                <w:szCs w:val="18"/>
                <w:color w:val="auto"/>
              </w:rPr>
            </w:pPr>
          </w:p>
        </w:tc>
      </w:tr>
      <w:tr>
        <w:trPr>
          <w:trHeight w:val="108"/>
        </w:trPr>
        <w:tc>
          <w:tcPr>
            <w:tcW w:w="8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82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4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96,996</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123,647</w:t>
            </w:r>
          </w:p>
        </w:tc>
        <w:tc>
          <w:tcPr>
            <w:tcW w:w="220" w:type="dxa"/>
            <w:vAlign w:val="bottom"/>
          </w:tcPr>
          <w:p>
            <w:pPr>
              <w:spacing w:after="0"/>
              <w:rPr>
                <w:sz w:val="24"/>
                <w:szCs w:val="24"/>
                <w:color w:val="auto"/>
              </w:rPr>
            </w:pPr>
          </w:p>
        </w:tc>
      </w:tr>
      <w:tr>
        <w:trPr>
          <w:trHeight w:val="110"/>
        </w:trPr>
        <w:tc>
          <w:tcPr>
            <w:tcW w:w="8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8"/>
        </w:trPr>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82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LONG-TERM INVESTMENTS</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16,767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15,093</w:t>
            </w:r>
          </w:p>
        </w:tc>
        <w:tc>
          <w:tcPr>
            <w:tcW w:w="220" w:type="dxa"/>
            <w:vAlign w:val="bottom"/>
            <w:shd w:val="clear" w:color="auto" w:fill="CCEEFF"/>
          </w:tcPr>
          <w:p>
            <w:pPr>
              <w:spacing w:after="0"/>
              <w:rPr>
                <w:sz w:val="18"/>
                <w:szCs w:val="18"/>
                <w:color w:val="auto"/>
              </w:rPr>
            </w:pPr>
          </w:p>
        </w:tc>
      </w:tr>
      <w:tr>
        <w:trPr>
          <w:trHeight w:val="108"/>
        </w:trPr>
        <w:tc>
          <w:tcPr>
            <w:tcW w:w="8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532"/>
        </w:trPr>
        <w:tc>
          <w:tcPr>
            <w:tcW w:w="826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4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510,640</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502,287</w:t>
            </w:r>
          </w:p>
        </w:tc>
        <w:tc>
          <w:tcPr>
            <w:tcW w:w="220" w:type="dxa"/>
            <w:vAlign w:val="bottom"/>
          </w:tcPr>
          <w:p>
            <w:pPr>
              <w:spacing w:after="0"/>
              <w:rPr>
                <w:sz w:val="24"/>
                <w:szCs w:val="24"/>
                <w:color w:val="auto"/>
              </w:rPr>
            </w:pPr>
          </w:p>
        </w:tc>
      </w:tr>
      <w:tr>
        <w:trPr>
          <w:trHeight w:val="110"/>
        </w:trPr>
        <w:tc>
          <w:tcPr>
            <w:tcW w:w="8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8"/>
        </w:trPr>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82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INTANGIBLE ASSETS, NET</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29,081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34,711</w:t>
            </w:r>
          </w:p>
        </w:tc>
        <w:tc>
          <w:tcPr>
            <w:tcW w:w="220" w:type="dxa"/>
            <w:vAlign w:val="bottom"/>
            <w:shd w:val="clear" w:color="auto" w:fill="CCEEFF"/>
          </w:tcPr>
          <w:p>
            <w:pPr>
              <w:spacing w:after="0"/>
              <w:rPr>
                <w:sz w:val="18"/>
                <w:szCs w:val="18"/>
                <w:color w:val="auto"/>
              </w:rPr>
            </w:pPr>
          </w:p>
        </w:tc>
      </w:tr>
      <w:tr>
        <w:trPr>
          <w:trHeight w:val="108"/>
        </w:trPr>
        <w:tc>
          <w:tcPr>
            <w:tcW w:w="8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532"/>
        </w:trPr>
        <w:tc>
          <w:tcPr>
            <w:tcW w:w="826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ASSETS, NET</w:t>
            </w:r>
          </w:p>
        </w:tc>
        <w:tc>
          <w:tcPr>
            <w:tcW w:w="4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11,521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11,044</w:t>
            </w:r>
          </w:p>
        </w:tc>
        <w:tc>
          <w:tcPr>
            <w:tcW w:w="220" w:type="dxa"/>
            <w:vAlign w:val="bottom"/>
          </w:tcPr>
          <w:p>
            <w:pPr>
              <w:spacing w:after="0"/>
              <w:rPr>
                <w:sz w:val="24"/>
                <w:szCs w:val="24"/>
                <w:color w:val="auto"/>
              </w:rPr>
            </w:pPr>
          </w:p>
        </w:tc>
      </w:tr>
      <w:tr>
        <w:trPr>
          <w:trHeight w:val="134"/>
        </w:trPr>
        <w:tc>
          <w:tcPr>
            <w:tcW w:w="8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321"/>
        </w:trPr>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826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665,005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686,782</w:t>
            </w:r>
          </w:p>
        </w:tc>
        <w:tc>
          <w:tcPr>
            <w:tcW w:w="220" w:type="dxa"/>
            <w:vAlign w:val="bottom"/>
            <w:shd w:val="clear" w:color="auto" w:fill="CCEEFF"/>
          </w:tcPr>
          <w:p>
            <w:pPr>
              <w:spacing w:after="0"/>
              <w:rPr>
                <w:sz w:val="18"/>
                <w:szCs w:val="18"/>
                <w:color w:val="auto"/>
              </w:rPr>
            </w:pPr>
          </w:p>
        </w:tc>
      </w:tr>
      <w:tr>
        <w:trPr>
          <w:trHeight w:val="132"/>
        </w:trPr>
        <w:tc>
          <w:tcPr>
            <w:tcW w:w="8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535"/>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8"/>
        </w:trPr>
        <w:tc>
          <w:tcPr>
            <w:tcW w:w="8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2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260" w:type="dxa"/>
            <w:vAlign w:val="bottom"/>
            <w:gridSpan w:val="2"/>
          </w:tcPr>
          <w:p>
            <w:pPr>
              <w:ind w:left="320"/>
              <w:spacing w:after="0"/>
              <w:rPr>
                <w:sz w:val="20"/>
                <w:szCs w:val="20"/>
                <w:color w:val="auto"/>
              </w:rPr>
            </w:pPr>
            <w:r>
              <w:rPr>
                <w:rFonts w:ascii="Arial" w:cs="Arial" w:eastAsia="Arial" w:hAnsi="Arial"/>
                <w:sz w:val="18"/>
                <w:szCs w:val="18"/>
                <w:b w:val="1"/>
                <w:bCs w:val="1"/>
                <w:color w:val="auto"/>
              </w:rPr>
              <w:t>Current maturities of convertible debenture</w:t>
            </w:r>
          </w:p>
        </w:tc>
        <w:tc>
          <w:tcPr>
            <w:tcW w:w="460" w:type="dxa"/>
            <w:vAlign w:val="bottom"/>
          </w:tcPr>
          <w:p>
            <w:pPr>
              <w:jc w:val="right"/>
              <w:ind w:right="272"/>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9,237</w:t>
            </w:r>
          </w:p>
        </w:tc>
        <w:tc>
          <w:tcPr>
            <w:tcW w:w="22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7,887</w:t>
            </w:r>
          </w:p>
        </w:tc>
        <w:tc>
          <w:tcPr>
            <w:tcW w:w="220" w:type="dxa"/>
            <w:vAlign w:val="bottom"/>
          </w:tcPr>
          <w:p>
            <w:pPr>
              <w:spacing w:after="0"/>
              <w:rPr>
                <w:sz w:val="18"/>
                <w:szCs w:val="18"/>
                <w:color w:val="auto"/>
              </w:rPr>
            </w:pPr>
          </w:p>
        </w:tc>
      </w:tr>
      <w:tr>
        <w:trPr>
          <w:trHeight w:val="216"/>
        </w:trPr>
        <w:tc>
          <w:tcPr>
            <w:tcW w:w="82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Trade accounts payable</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50,235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49,025</w:t>
            </w:r>
          </w:p>
        </w:tc>
        <w:tc>
          <w:tcPr>
            <w:tcW w:w="220" w:type="dxa"/>
            <w:vAlign w:val="bottom"/>
            <w:shd w:val="clear" w:color="auto" w:fill="CCEEFF"/>
          </w:tcPr>
          <w:p>
            <w:pPr>
              <w:spacing w:after="0"/>
              <w:rPr>
                <w:sz w:val="18"/>
                <w:szCs w:val="18"/>
                <w:color w:val="auto"/>
              </w:rPr>
            </w:pPr>
          </w:p>
        </w:tc>
      </w:tr>
      <w:tr>
        <w:trPr>
          <w:trHeight w:val="216"/>
        </w:trPr>
        <w:tc>
          <w:tcPr>
            <w:tcW w:w="8260" w:type="dxa"/>
            <w:vAlign w:val="bottom"/>
            <w:gridSpan w:val="2"/>
          </w:tcPr>
          <w:p>
            <w:pPr>
              <w:ind w:left="320"/>
              <w:spacing w:after="0"/>
              <w:rPr>
                <w:sz w:val="20"/>
                <w:szCs w:val="20"/>
                <w:color w:val="auto"/>
              </w:rPr>
            </w:pPr>
            <w:r>
              <w:rPr>
                <w:rFonts w:ascii="Arial" w:cs="Arial" w:eastAsia="Arial" w:hAnsi="Arial"/>
                <w:sz w:val="18"/>
                <w:szCs w:val="18"/>
                <w:b w:val="1"/>
                <w:bCs w:val="1"/>
                <w:color w:val="auto"/>
              </w:rPr>
              <w:t>Deferred revenue</w:t>
            </w: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8,182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6"/>
        </w:trPr>
        <w:tc>
          <w:tcPr>
            <w:tcW w:w="82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Other current liabilities</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22,799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20,024</w:t>
            </w:r>
          </w:p>
        </w:tc>
        <w:tc>
          <w:tcPr>
            <w:tcW w:w="220" w:type="dxa"/>
            <w:vAlign w:val="bottom"/>
            <w:shd w:val="clear" w:color="auto" w:fill="CCEEFF"/>
          </w:tcPr>
          <w:p>
            <w:pPr>
              <w:spacing w:after="0"/>
              <w:rPr>
                <w:sz w:val="18"/>
                <w:szCs w:val="18"/>
                <w:color w:val="auto"/>
              </w:rPr>
            </w:pPr>
          </w:p>
        </w:tc>
      </w:tr>
      <w:tr>
        <w:trPr>
          <w:trHeight w:val="108"/>
        </w:trPr>
        <w:tc>
          <w:tcPr>
            <w:tcW w:w="82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8260" w:type="dxa"/>
            <w:vAlign w:val="bottom"/>
            <w:gridSpan w:val="2"/>
          </w:tcPr>
          <w:p>
            <w:pPr>
              <w:ind w:left="540"/>
              <w:spacing w:after="0"/>
              <w:rPr>
                <w:sz w:val="20"/>
                <w:szCs w:val="20"/>
                <w:color w:val="auto"/>
              </w:rPr>
            </w:pPr>
            <w:r>
              <w:rPr>
                <w:rFonts w:ascii="Arial" w:cs="Arial" w:eastAsia="Arial" w:hAnsi="Arial"/>
                <w:sz w:val="18"/>
                <w:szCs w:val="18"/>
                <w:b w:val="1"/>
                <w:bCs w:val="1"/>
                <w:color w:val="auto"/>
              </w:rPr>
              <w:t>Total current liabilities</w:t>
            </w:r>
          </w:p>
        </w:tc>
        <w:tc>
          <w:tcPr>
            <w:tcW w:w="4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90,453</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76,936</w:t>
            </w:r>
          </w:p>
        </w:tc>
        <w:tc>
          <w:tcPr>
            <w:tcW w:w="220" w:type="dxa"/>
            <w:vAlign w:val="bottom"/>
          </w:tcPr>
          <w:p>
            <w:pPr>
              <w:spacing w:after="0"/>
              <w:rPr>
                <w:sz w:val="24"/>
                <w:szCs w:val="24"/>
                <w:color w:val="auto"/>
              </w:rPr>
            </w:pPr>
          </w:p>
        </w:tc>
      </w:tr>
      <w:tr>
        <w:trPr>
          <w:trHeight w:val="218"/>
        </w:trPr>
        <w:tc>
          <w:tcPr>
            <w:tcW w:w="8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2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LONG-TERM DEBT FROM BANKS</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386,336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379,314</w:t>
            </w:r>
          </w:p>
        </w:tc>
        <w:tc>
          <w:tcPr>
            <w:tcW w:w="220" w:type="dxa"/>
            <w:vAlign w:val="bottom"/>
            <w:shd w:val="clear" w:color="auto" w:fill="CCEEFF"/>
          </w:tcPr>
          <w:p>
            <w:pPr>
              <w:spacing w:after="0"/>
              <w:rPr>
                <w:sz w:val="18"/>
                <w:szCs w:val="18"/>
                <w:color w:val="auto"/>
              </w:rPr>
            </w:pPr>
          </w:p>
        </w:tc>
      </w:tr>
      <w:tr>
        <w:trPr>
          <w:trHeight w:val="430"/>
        </w:trPr>
        <w:tc>
          <w:tcPr>
            <w:tcW w:w="8260" w:type="dxa"/>
            <w:vAlign w:val="bottom"/>
            <w:gridSpan w:val="2"/>
          </w:tcPr>
          <w:p>
            <w:pPr>
              <w:ind w:left="180"/>
              <w:spacing w:after="0"/>
              <w:rPr>
                <w:sz w:val="20"/>
                <w:szCs w:val="20"/>
                <w:color w:val="auto"/>
              </w:rPr>
            </w:pPr>
            <w:r>
              <w:rPr>
                <w:rFonts w:ascii="Arial" w:cs="Arial" w:eastAsia="Arial" w:hAnsi="Arial"/>
                <w:sz w:val="18"/>
                <w:szCs w:val="18"/>
                <w:b w:val="1"/>
                <w:bCs w:val="1"/>
                <w:color w:val="auto"/>
              </w:rPr>
              <w:t>DEBENTURES</w:t>
            </w:r>
          </w:p>
        </w:tc>
        <w:tc>
          <w:tcPr>
            <w:tcW w:w="4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120,048</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117,460</w:t>
            </w:r>
          </w:p>
        </w:tc>
        <w:tc>
          <w:tcPr>
            <w:tcW w:w="220" w:type="dxa"/>
            <w:vAlign w:val="bottom"/>
          </w:tcPr>
          <w:p>
            <w:pPr>
              <w:spacing w:after="0"/>
              <w:rPr>
                <w:sz w:val="24"/>
                <w:szCs w:val="24"/>
                <w:color w:val="auto"/>
              </w:rPr>
            </w:pPr>
          </w:p>
        </w:tc>
      </w:tr>
      <w:tr>
        <w:trPr>
          <w:trHeight w:val="218"/>
        </w:trPr>
        <w:tc>
          <w:tcPr>
            <w:tcW w:w="8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2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LONG-TERM CUSTOMERS' ADVANCES</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14,360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27,983</w:t>
            </w:r>
          </w:p>
        </w:tc>
        <w:tc>
          <w:tcPr>
            <w:tcW w:w="220" w:type="dxa"/>
            <w:vAlign w:val="bottom"/>
            <w:shd w:val="clear" w:color="auto" w:fill="CCEEFF"/>
          </w:tcPr>
          <w:p>
            <w:pPr>
              <w:spacing w:after="0"/>
              <w:rPr>
                <w:sz w:val="18"/>
                <w:szCs w:val="18"/>
                <w:color w:val="auto"/>
              </w:rPr>
            </w:pPr>
          </w:p>
        </w:tc>
      </w:tr>
      <w:tr>
        <w:trPr>
          <w:trHeight w:val="430"/>
        </w:trPr>
        <w:tc>
          <w:tcPr>
            <w:tcW w:w="826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LONG-TERM LIABILITIES</w:t>
            </w:r>
          </w:p>
        </w:tc>
        <w:tc>
          <w:tcPr>
            <w:tcW w:w="4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57,648</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40,380</w:t>
            </w:r>
          </w:p>
        </w:tc>
        <w:tc>
          <w:tcPr>
            <w:tcW w:w="220" w:type="dxa"/>
            <w:vAlign w:val="bottom"/>
          </w:tcPr>
          <w:p>
            <w:pPr>
              <w:spacing w:after="0"/>
              <w:rPr>
                <w:sz w:val="24"/>
                <w:szCs w:val="24"/>
                <w:color w:val="auto"/>
              </w:rPr>
            </w:pPr>
          </w:p>
        </w:tc>
      </w:tr>
      <w:tr>
        <w:trPr>
          <w:trHeight w:val="110"/>
        </w:trPr>
        <w:tc>
          <w:tcPr>
            <w:tcW w:w="8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8"/>
        </w:trPr>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826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668,845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642,073</w:t>
            </w:r>
          </w:p>
        </w:tc>
        <w:tc>
          <w:tcPr>
            <w:tcW w:w="220" w:type="dxa"/>
            <w:vAlign w:val="bottom"/>
            <w:shd w:val="clear" w:color="auto" w:fill="CCEEFF"/>
          </w:tcPr>
          <w:p>
            <w:pPr>
              <w:spacing w:after="0"/>
              <w:rPr>
                <w:sz w:val="18"/>
                <w:szCs w:val="18"/>
                <w:color w:val="auto"/>
              </w:rPr>
            </w:pPr>
          </w:p>
        </w:tc>
      </w:tr>
      <w:tr>
        <w:trPr>
          <w:trHeight w:val="108"/>
        </w:trPr>
        <w:tc>
          <w:tcPr>
            <w:tcW w:w="82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532"/>
        </w:trPr>
        <w:tc>
          <w:tcPr>
            <w:tcW w:w="826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SHAREHOLDERS' EQUITY (DEFICIT)</w:t>
            </w:r>
          </w:p>
        </w:tc>
        <w:tc>
          <w:tcPr>
            <w:tcW w:w="460" w:type="dxa"/>
            <w:vAlign w:val="bottom"/>
          </w:tcPr>
          <w:p>
            <w:pPr>
              <w:spacing w:after="0"/>
              <w:rPr>
                <w:sz w:val="24"/>
                <w:szCs w:val="24"/>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(3,840)</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44,709</w:t>
            </w:r>
          </w:p>
        </w:tc>
        <w:tc>
          <w:tcPr>
            <w:tcW w:w="220" w:type="dxa"/>
            <w:vAlign w:val="bottom"/>
          </w:tcPr>
          <w:p>
            <w:pPr>
              <w:spacing w:after="0"/>
              <w:rPr>
                <w:sz w:val="24"/>
                <w:szCs w:val="24"/>
                <w:color w:val="auto"/>
              </w:rPr>
            </w:pPr>
          </w:p>
        </w:tc>
      </w:tr>
      <w:tr>
        <w:trPr>
          <w:trHeight w:val="134"/>
        </w:trPr>
        <w:tc>
          <w:tcPr>
            <w:tcW w:w="8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321"/>
        </w:trPr>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826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TOTAL LIABILITIES AND SHAREHOLDERS' EQUITY</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665,005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686,782</w:t>
            </w:r>
          </w:p>
        </w:tc>
        <w:tc>
          <w:tcPr>
            <w:tcW w:w="220" w:type="dxa"/>
            <w:vAlign w:val="bottom"/>
            <w:shd w:val="clear" w:color="auto" w:fill="CCEEFF"/>
          </w:tcPr>
          <w:p>
            <w:pPr>
              <w:spacing w:after="0"/>
              <w:rPr>
                <w:sz w:val="18"/>
                <w:szCs w:val="18"/>
                <w:color w:val="auto"/>
              </w:rPr>
            </w:pPr>
          </w:p>
        </w:tc>
      </w:tr>
      <w:tr>
        <w:trPr>
          <w:trHeight w:val="132"/>
        </w:trPr>
        <w:tc>
          <w:tcPr>
            <w:tcW w:w="8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-4385945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-4385945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-4385945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-4385945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-3948430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-3948430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-3948430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-3948430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-466725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-466725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-466725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Six months ended</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85"/>
              </w:rPr>
              <w:t>Three months ended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800" w:type="dxa"/>
            <w:vAlign w:val="bottom"/>
          </w:tcPr>
          <w:p>
            <w:pPr>
              <w:jc w:val="right"/>
              <w:ind w:right="58"/>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2"/>
                <w:szCs w:val="22"/>
                <w:color w:val="auto"/>
              </w:rPr>
            </w:pPr>
          </w:p>
        </w:tc>
        <w:tc>
          <w:tcPr>
            <w:tcW w:w="820" w:type="dxa"/>
            <w:vAlign w:val="bottom"/>
            <w:gridSpan w:val="2"/>
          </w:tcPr>
          <w:p>
            <w:pPr>
              <w:jc w:val="center"/>
              <w:ind w:left="178"/>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22"/>
                <w:szCs w:val="22"/>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2"/>
                <w:szCs w:val="22"/>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22"/>
                <w:szCs w:val="22"/>
                <w:color w:val="auto"/>
              </w:rPr>
            </w:pPr>
          </w:p>
        </w:tc>
        <w:tc>
          <w:tcPr>
            <w:tcW w:w="920" w:type="dxa"/>
            <w:vAlign w:val="bottom"/>
            <w:gridSpan w:val="4"/>
          </w:tcPr>
          <w:p>
            <w:pPr>
              <w:jc w:val="center"/>
              <w:ind w:left="278"/>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58"/>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22"/>
                <w:szCs w:val="22"/>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GAAP</w:t>
            </w:r>
          </w:p>
        </w:tc>
        <w:tc>
          <w:tcPr>
            <w:tcW w:w="20" w:type="dxa"/>
            <w:vAlign w:val="bottom"/>
          </w:tcPr>
          <w:p>
            <w:pPr>
              <w:spacing w:after="0"/>
              <w:rPr>
                <w:sz w:val="22"/>
                <w:szCs w:val="22"/>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GAAP</w:t>
            </w:r>
          </w:p>
        </w:tc>
        <w:tc>
          <w:tcPr>
            <w:tcW w:w="20" w:type="dxa"/>
            <w:vAlign w:val="bottom"/>
          </w:tcPr>
          <w:p>
            <w:pPr>
              <w:spacing w:after="0"/>
              <w:rPr>
                <w:sz w:val="22"/>
                <w:szCs w:val="22"/>
                <w:color w:val="auto"/>
              </w:rPr>
            </w:pPr>
          </w:p>
        </w:tc>
        <w:tc>
          <w:tcPr>
            <w:tcW w:w="88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93"/>
              </w:rPr>
              <w:t>GAAP</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GAAP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3"/>
          </w:tcPr>
          <w:p>
            <w:pPr>
              <w:ind w:left="120"/>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115,679</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  112,666</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80,430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58,072</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57,062</w:t>
            </w: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COST OF SALES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139,307</w:t>
            </w:r>
          </w:p>
        </w:tc>
        <w:tc>
          <w:tcPr>
            <w:tcW w:w="2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142,931</w:t>
            </w:r>
          </w:p>
        </w:tc>
        <w:tc>
          <w:tcPr>
            <w:tcW w:w="220" w:type="dxa"/>
            <w:vAlign w:val="bottom"/>
          </w:tcPr>
          <w:p>
            <w:pPr>
              <w:spacing w:after="0"/>
              <w:rPr>
                <w:sz w:val="24"/>
                <w:szCs w:val="2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126,492</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71,052</w:t>
            </w:r>
          </w:p>
        </w:tc>
        <w:tc>
          <w:tcPr>
            <w:tcW w:w="920" w:type="dxa"/>
            <w:vAlign w:val="bottom"/>
            <w:gridSpan w:val="4"/>
          </w:tcPr>
          <w:p>
            <w:pPr>
              <w:jc w:val="right"/>
              <w:spacing w:after="0"/>
              <w:rPr>
                <w:sz w:val="20"/>
                <w:szCs w:val="20"/>
                <w:color w:val="auto"/>
              </w:rPr>
            </w:pPr>
            <w:r>
              <w:rPr>
                <w:rFonts w:ascii="Arial" w:cs="Arial" w:eastAsia="Arial" w:hAnsi="Arial"/>
                <w:sz w:val="18"/>
                <w:szCs w:val="18"/>
                <w:b w:val="1"/>
                <w:bCs w:val="1"/>
                <w:color w:val="auto"/>
              </w:rPr>
              <w:t>71,412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65,161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GROSS LOSS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(23,628)</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(30,265)</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(46,062)</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(12,980)</w:t>
            </w: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(14,350)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(20,606)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8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Research and development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6,979</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6,962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3,214</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3,370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b w:val="1"/>
                <w:bCs w:val="1"/>
                <w:color w:val="auto"/>
              </w:rPr>
              <w:t>Marketing, general and administrative</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14,957</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15,713</w:t>
            </w:r>
          </w:p>
        </w:tc>
        <w:tc>
          <w:tcPr>
            <w:tcW w:w="22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11,511</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7,189</w:t>
            </w:r>
          </w:p>
        </w:tc>
        <w:tc>
          <w:tcPr>
            <w:tcW w:w="920" w:type="dxa"/>
            <w:vAlign w:val="bottom"/>
            <w:gridSpan w:val="4"/>
          </w:tcPr>
          <w:p>
            <w:pPr>
              <w:jc w:val="right"/>
              <w:spacing w:after="0"/>
              <w:rPr>
                <w:sz w:val="20"/>
                <w:szCs w:val="20"/>
                <w:color w:val="auto"/>
              </w:rPr>
            </w:pPr>
            <w:r>
              <w:rPr>
                <w:rFonts w:ascii="Arial" w:cs="Arial" w:eastAsia="Arial" w:hAnsi="Arial"/>
                <w:sz w:val="18"/>
                <w:szCs w:val="18"/>
                <w:b w:val="1"/>
                <w:bCs w:val="1"/>
                <w:color w:val="auto"/>
              </w:rPr>
              <w:t>7,636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5,662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260" w:type="dxa"/>
            <w:vAlign w:val="bottom"/>
          </w:tcPr>
          <w:p>
            <w:pPr>
              <w:ind w:left="300"/>
              <w:spacing w:after="0"/>
              <w:rPr>
                <w:sz w:val="20"/>
                <w:szCs w:val="20"/>
                <w:color w:val="auto"/>
              </w:rPr>
            </w:pPr>
            <w:r>
              <w:rPr>
                <w:rFonts w:ascii="Arial" w:cs="Arial" w:eastAsia="Arial" w:hAnsi="Arial"/>
                <w:sz w:val="18"/>
                <w:szCs w:val="18"/>
                <w:b w:val="1"/>
                <w:bCs w:val="1"/>
                <w:color w:val="auto"/>
              </w:rPr>
              <w:t>OPERATING LOSS</w:t>
            </w:r>
          </w:p>
        </w:tc>
        <w:tc>
          <w:tcPr>
            <w:tcW w:w="1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(44,775)</w:t>
            </w:r>
          </w:p>
        </w:tc>
        <w:tc>
          <w:tcPr>
            <w:tcW w:w="1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(52,957)</w:t>
            </w:r>
          </w:p>
        </w:tc>
        <w:tc>
          <w:tcPr>
            <w:tcW w:w="2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(64,535)</w:t>
            </w: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(23,383)</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(25,356)</w:t>
            </w:r>
          </w:p>
        </w:tc>
        <w:tc>
          <w:tcPr>
            <w:tcW w:w="1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(29,851)</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EXPENSE,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(15,611)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(21,414)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5"/>
              </w:rPr>
              <w:t>(23,781)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(7,811)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(8,704)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(17,719)</w:t>
            </w:r>
          </w:p>
        </w:tc>
        <w:tc>
          <w:tcPr>
            <w:tcW w:w="0" w:type="dxa"/>
            <w:vAlign w:val="bottom"/>
          </w:tcPr>
          <w:p>
            <w:pPr>
              <w:spacing w:after="0"/>
              <w:rPr>
                <w:sz w:val="1"/>
                <w:szCs w:val="1"/>
                <w:color w:val="auto"/>
              </w:rPr>
            </w:pPr>
          </w:p>
        </w:tc>
      </w:tr>
      <w:tr>
        <w:trPr>
          <w:trHeight w:val="430"/>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1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(529)</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591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(101)</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LOSS FOR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(60,915)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(74,298)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5"/>
              </w:rPr>
              <w:t>(87,725)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(31,295)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(34,056)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(47,530)</w:t>
            </w:r>
          </w:p>
        </w:tc>
        <w:tc>
          <w:tcPr>
            <w:tcW w:w="0" w:type="dxa"/>
            <w:vAlign w:val="bottom"/>
          </w:tcPr>
          <w:p>
            <w:pPr>
              <w:spacing w:after="0"/>
              <w:rPr>
                <w:sz w:val="1"/>
                <w:szCs w:val="1"/>
                <w:color w:val="auto"/>
              </w:rPr>
            </w:pPr>
          </w:p>
        </w:tc>
      </w:tr>
      <w:tr>
        <w:trPr>
          <w:trHeight w:val="132"/>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LOSS PER ORDINARY SHARE</w:t>
            </w: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5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(0.60)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Weighted average number of ordinary</w:t>
            </w: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60" w:type="dxa"/>
            <w:vAlign w:val="bottom"/>
          </w:tcPr>
          <w:p>
            <w:pPr>
              <w:ind w:left="300"/>
              <w:spacing w:after="0"/>
              <w:rPr>
                <w:sz w:val="20"/>
                <w:szCs w:val="20"/>
                <w:color w:val="auto"/>
              </w:rPr>
            </w:pPr>
            <w:r>
              <w:rPr>
                <w:rFonts w:ascii="Arial" w:cs="Arial" w:eastAsia="Arial" w:hAnsi="Arial"/>
                <w:sz w:val="18"/>
                <w:szCs w:val="18"/>
                <w:b w:val="1"/>
                <w:bCs w:val="1"/>
                <w:color w:val="auto"/>
              </w:rPr>
              <w:t>shares outstanding - in thousands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124,777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113,584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75,313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125,327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122,014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78,716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-2722245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-2722245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-2722245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-2722245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-2722245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-2722245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-2722245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-2722245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-2722245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-2722245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-2722245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-2722245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-1315720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-1315720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-1315720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-1315720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-1315720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-1315720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-1315720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-1315720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-1315720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-1315720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-1315720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-1315720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-603885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-603885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-603885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-603885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-603885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-603885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-603885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-603885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-603885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-603885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-603885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-603885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330200</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SUBSIDIARY</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REPORTED GAAP TO NON-GAAP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Six months ended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Three months ended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June 30, 2008</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June 30, 2008</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Depreciation,</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Depreciation,</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stock based</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stock based</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78"/>
              </w:rPr>
              <w:t>expenses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78"/>
              </w:rPr>
              <w:t>expenses</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non-GAAP</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(see a, b, c below)</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non-GAAP</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(see a, b, c below)</w:t>
            </w:r>
          </w:p>
        </w:tc>
        <w:tc>
          <w:tcPr>
            <w:tcW w:w="260" w:type="dxa"/>
            <w:vAlign w:val="bottom"/>
          </w:tcPr>
          <w:p>
            <w:pPr>
              <w:spacing w:after="0"/>
              <w:rPr>
                <w:sz w:val="15"/>
                <w:szCs w:val="15"/>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115,679</w:t>
            </w: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115,679</w:t>
            </w:r>
          </w:p>
        </w:tc>
        <w:tc>
          <w:tcPr>
            <w:tcW w:w="2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58,072</w:t>
            </w: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40" w:type="dxa"/>
            <w:vAlign w:val="bottom"/>
            <w:gridSpan w:val="4"/>
          </w:tcPr>
          <w:p>
            <w:pPr>
              <w:spacing w:after="0"/>
              <w:rPr>
                <w:sz w:val="20"/>
                <w:szCs w:val="20"/>
                <w:color w:val="auto"/>
              </w:rPr>
            </w:pPr>
            <w:r>
              <w:rPr>
                <w:rFonts w:ascii="Arial" w:cs="Arial" w:eastAsia="Arial" w:hAnsi="Arial"/>
                <w:sz w:val="18"/>
                <w:szCs w:val="18"/>
                <w:b w:val="1"/>
                <w:bCs w:val="1"/>
                <w:color w:val="auto"/>
              </w:rPr>
              <w:t>COST OF SALES</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74,173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65,134(a)</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139,307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37,523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33,529(a)</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71,052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rPr>
              <w:t>GROSS PROFIT (LOSS)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(65,134)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(23,628)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(33,529)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9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3940" w:type="dxa"/>
            <w:vAlign w:val="bottom"/>
            <w:gridSpan w:val="4"/>
          </w:tcPr>
          <w:p>
            <w:pPr>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Research and development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452(b)</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220(b)</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gridSpan w:val="3"/>
          </w:tcPr>
          <w:p>
            <w:pPr>
              <w:ind w:left="200"/>
              <w:spacing w:after="0"/>
              <w:rPr>
                <w:sz w:val="20"/>
                <w:szCs w:val="20"/>
                <w:color w:val="auto"/>
              </w:rPr>
            </w:pPr>
            <w:r>
              <w:rPr>
                <w:rFonts w:ascii="Arial" w:cs="Arial" w:eastAsia="Arial" w:hAnsi="Arial"/>
                <w:sz w:val="18"/>
                <w:szCs w:val="18"/>
                <w:b w:val="1"/>
                <w:bCs w:val="1"/>
                <w:color w:val="auto"/>
              </w:rPr>
              <w:t>Marketing, general &amp; administrative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12,163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2,794(c)</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5,994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1,195(c)</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7,189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21,147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40" w:type="dxa"/>
            <w:vAlign w:val="bottom"/>
            <w:tcBorders>
              <w:bottom w:val="single" w:sz="8" w:color="808080"/>
            </w:tcBorders>
            <w:gridSpan w:val="2"/>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gridSpan w:val="2"/>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bottom w:val="single" w:sz="8" w:color="808080"/>
            </w:tcBorders>
            <w:gridSpan w:val="2"/>
          </w:tcPr>
          <w:p>
            <w:pPr>
              <w:spacing w:after="0"/>
              <w:rPr>
                <w:sz w:val="11"/>
                <w:szCs w:val="11"/>
                <w:color w:val="auto"/>
              </w:rPr>
            </w:pPr>
          </w:p>
        </w:tc>
        <w:tc>
          <w:tcPr>
            <w:tcW w:w="760" w:type="dxa"/>
            <w:vAlign w:val="bottom"/>
            <w:tcBorders>
              <w:bottom w:val="single" w:sz="8" w:color="808080"/>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bottom w:val="single" w:sz="8" w:color="808080"/>
            </w:tcBorders>
            <w:gridSpan w:val="2"/>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gridSpan w:val="2"/>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920" w:type="dxa"/>
            <w:vAlign w:val="bottom"/>
            <w:gridSpan w:val="3"/>
          </w:tcPr>
          <w:p>
            <w:pPr>
              <w:ind w:left="300"/>
              <w:spacing w:after="0"/>
              <w:rPr>
                <w:sz w:val="20"/>
                <w:szCs w:val="20"/>
                <w:color w:val="auto"/>
              </w:rPr>
            </w:pPr>
            <w:r>
              <w:rPr>
                <w:rFonts w:ascii="Arial" w:cs="Arial" w:eastAsia="Arial" w:hAnsi="Arial"/>
                <w:sz w:val="18"/>
                <w:szCs w:val="18"/>
                <w:b w:val="1"/>
                <w:bCs w:val="1"/>
                <w:color w:val="auto"/>
              </w:rPr>
              <w:t>OPERATING PROFIT (LOSS)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23,605</w:t>
            </w:r>
          </w:p>
        </w:tc>
        <w:tc>
          <w:tcPr>
            <w:tcW w:w="200" w:type="dxa"/>
            <w:vAlign w:val="bottom"/>
          </w:tcPr>
          <w:p>
            <w:pPr>
              <w:spacing w:after="0"/>
              <w:rPr>
                <w:sz w:val="24"/>
                <w:szCs w:val="24"/>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(68,380)</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(44,775)</w:t>
            </w:r>
          </w:p>
        </w:tc>
        <w:tc>
          <w:tcPr>
            <w:tcW w:w="2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11,561</w:t>
            </w:r>
          </w:p>
        </w:tc>
        <w:tc>
          <w:tcPr>
            <w:tcW w:w="200" w:type="dxa"/>
            <w:vAlign w:val="bottom"/>
          </w:tcPr>
          <w:p>
            <w:pPr>
              <w:spacing w:after="0"/>
              <w:rPr>
                <w:sz w:val="24"/>
                <w:szCs w:val="24"/>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(34,944)</w:t>
            </w:r>
          </w:p>
        </w:tc>
        <w:tc>
          <w:tcPr>
            <w:tcW w:w="2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(23,383)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-466725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-466725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-466725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-466725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-466725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-466725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-466725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-466725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-466725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-466725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-466725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580" w:right="120" w:hanging="572"/>
        <w:spacing w:after="0" w:line="275" w:lineRule="auto"/>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$64,592 and $33,264 and stock based compensation expenses in the amounts of $542 and $265 for the six and three months periods ended June 30, 2008, respectively.</w:t>
      </w:r>
    </w:p>
    <w:p>
      <w:pPr>
        <w:spacing w:after="0" w:line="200" w:lineRule="exact"/>
        <w:rPr>
          <w:rFonts w:ascii="Arial" w:cs="Arial" w:eastAsia="Arial" w:hAnsi="Arial"/>
          <w:sz w:val="18"/>
          <w:szCs w:val="18"/>
          <w:b w:val="1"/>
          <w:bCs w:val="1"/>
          <w:color w:val="auto"/>
        </w:rPr>
      </w:pPr>
    </w:p>
    <w:p>
      <w:pPr>
        <w:ind w:left="580" w:right="60" w:hanging="572"/>
        <w:spacing w:after="0" w:line="275" w:lineRule="auto"/>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$122 and $64 and stock based compensation expenses in the amounts of $330 and $156 for the six and three months periods ended June 30, 2008, respectively.</w:t>
      </w:r>
    </w:p>
    <w:p>
      <w:pPr>
        <w:spacing w:after="0" w:line="200" w:lineRule="exact"/>
        <w:rPr>
          <w:rFonts w:ascii="Arial" w:cs="Arial" w:eastAsia="Arial" w:hAnsi="Arial"/>
          <w:sz w:val="18"/>
          <w:szCs w:val="18"/>
          <w:b w:val="1"/>
          <w:bCs w:val="1"/>
          <w:color w:val="auto"/>
        </w:rPr>
      </w:pPr>
    </w:p>
    <w:p>
      <w:pPr>
        <w:ind w:left="580" w:right="20" w:hanging="572"/>
        <w:spacing w:after="0" w:line="275" w:lineRule="auto"/>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$29 and $13 and stock based compensation expenses in the amounts of $2,765 and $1,182 for the six and three months periods ended June 30, 2008,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504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emdash "/>
      <w:numFmt w:val="bullet"/>
      <w:start w:val="1"/>
    </w:lvl>
  </w:abstractNum>
  <w:abstractNum w:abstractNumId="1">
    <w:nsid w:val="19495CFF"/>
    <w:multiLevelType w:val="hybridMultilevel"/>
    <w:lvl w:ilvl="0">
      <w:lvlJc w:val="left"/>
      <w:lvlText w:val="(%1)"/>
      <w:numFmt w:val="lowerRoman"/>
      <w:start w:val="13"/>
    </w:lvl>
  </w:abstractNum>
  <w:abstractNum w:abstractNumId="2">
    <w:nsid w:val="2AE8944A"/>
    <w:multiLevelType w:val="hybridMultilevel"/>
    <w:lvl w:ilvl="0">
      <w:lvlJc w:val="left"/>
      <w:lvlText w:val="(%1)"/>
      <w:numFmt w:val="lowerRoman"/>
      <w:start w:val="18"/>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2019-12-14T04:22:11Z</dcterms:created>
  <dcterms:modified xsi:type="dcterms:W3CDTF">2019-12-14T04:22:11Z</dcterms:modified>
</cp:coreProperties>
</file>