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255905</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t>FORM 6-K</w:t>
      </w:r>
    </w:p>
    <w:p>
      <w:pPr>
        <w:spacing w:after="0" w:line="172" w:lineRule="exact"/>
        <w:rPr>
          <w:sz w:val="24"/>
          <w:szCs w:val="24"/>
          <w:color w:val="auto"/>
        </w:rPr>
      </w:pPr>
    </w:p>
    <w:p>
      <w:pPr>
        <w:jc w:val="center"/>
        <w:ind w:right="-4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For the month of August 2021 No.2</w:t>
      </w:r>
    </w:p>
    <w:p>
      <w:pPr>
        <w:spacing w:after="0" w:line="22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000-24790</w:t>
      </w:r>
    </w:p>
    <w:p>
      <w:pPr>
        <w:spacing w:after="0" w:line="207" w:lineRule="exact"/>
        <w:rPr>
          <w:sz w:val="24"/>
          <w:szCs w:val="24"/>
          <w:color w:val="auto"/>
        </w:rPr>
      </w:pPr>
    </w:p>
    <w:p>
      <w:pPr>
        <w:jc w:val="center"/>
        <w:ind w:right="-460"/>
        <w:spacing w:after="0"/>
        <w:rPr>
          <w:sz w:val="20"/>
          <w:szCs w:val="20"/>
          <w:color w:val="auto"/>
        </w:rPr>
      </w:pPr>
      <w:r>
        <w:rPr>
          <w:rFonts w:ascii="Arial" w:cs="Arial" w:eastAsia="Arial" w:hAnsi="Arial"/>
          <w:sz w:val="29"/>
          <w:szCs w:val="29"/>
          <w:b w:val="1"/>
          <w:bCs w:val="1"/>
          <w:color w:val="auto"/>
        </w:rPr>
        <w:t>TOWER SEMICONDUCTOR LTD.</w:t>
      </w:r>
    </w:p>
    <w:p>
      <w:pPr>
        <w:spacing w:after="0" w:line="6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(Translation of registrant's name into English)</w:t>
      </w:r>
    </w:p>
    <w:p>
      <w:pPr>
        <w:spacing w:after="0" w:line="194"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(Address of principal executive offices)</w:t>
      </w:r>
    </w:p>
    <w:p>
      <w:pPr>
        <w:spacing w:after="0" w:line="197" w:lineRule="exact"/>
        <w:rPr>
          <w:sz w:val="24"/>
          <w:szCs w:val="24"/>
          <w:color w:val="auto"/>
        </w:rPr>
      </w:pPr>
    </w:p>
    <w:p>
      <w:pPr>
        <w:ind w:left="3800" w:right="1199" w:hanging="3805"/>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-426085</wp:posOffset>
            </wp:positionH>
            <wp:positionV relativeFrom="paragraph">
              <wp:posOffset>153670</wp:posOffset>
            </wp:positionV>
            <wp:extent cx="715772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9479"/>
          </w:cols>
          <w:pgMar w:left="980" w:top="859"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August 9, 2021, the Registrant issued unaudited condensed interim consolidated financial statements as of June 30, 2021, and for the six- and three-month periods then ended. Attached hereto are the following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Exhibit 99.1</w:t>
              </w:r>
            </w:hyperlink>
          </w:p>
        </w:tc>
        <w:tc>
          <w:tcPr>
            <w:tcW w:w="800" w:type="dxa"/>
            <w:vAlign w:val="bottom"/>
          </w:tcPr>
          <w:p>
            <w:pPr>
              <w:spacing w:after="0"/>
              <w:rPr>
                <w:sz w:val="17"/>
                <w:szCs w:val="17"/>
                <w:color w:val="auto"/>
              </w:rPr>
            </w:pPr>
          </w:p>
        </w:tc>
        <w:tc>
          <w:tcPr>
            <w:tcW w:w="8960" w:type="dxa"/>
            <w:vAlign w:val="bottom"/>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Registrant’s consolidated financial statements as of June 30, 2021 and the report thereon dated August 9, 2021 of Brightman</w:t>
              </w:r>
            </w:hyperlink>
          </w:p>
        </w:tc>
      </w:tr>
      <w:tr>
        <w:trPr>
          <w:trHeight w:val="196"/>
        </w:trPr>
        <w:tc>
          <w:tcPr>
            <w:tcW w:w="90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Almagor Zohar &amp; Co.</w:t>
              </w:r>
            </w:hyperlink>
          </w:p>
        </w:tc>
        <w:tc>
          <w:tcPr>
            <w:tcW w:w="73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Exhibit 99.2</w:t>
              </w:r>
            </w:hyperlink>
          </w:p>
        </w:tc>
        <w:tc>
          <w:tcPr>
            <w:tcW w:w="800" w:type="dxa"/>
            <w:vAlign w:val="bottom"/>
          </w:tcPr>
          <w:p>
            <w:pPr>
              <w:spacing w:after="0"/>
              <w:rPr>
                <w:sz w:val="17"/>
                <w:szCs w:val="17"/>
                <w:color w:val="auto"/>
              </w:rPr>
            </w:pPr>
          </w:p>
        </w:tc>
        <w:tc>
          <w:tcPr>
            <w:tcW w:w="65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2460" w:type="dxa"/>
            <w:vAlign w:val="bottom"/>
            <w:gridSpan w:val="2"/>
          </w:tcPr>
          <w:p>
            <w:pPr>
              <w:spacing w:after="0"/>
              <w:rPr>
                <w:sz w:val="17"/>
                <w:szCs w:val="17"/>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5720" w:type="dxa"/>
            <w:vAlign w:val="bottom"/>
            <w:gridSpan w:val="2"/>
          </w:tcPr>
          <w:p>
            <w:pPr>
              <w:ind w:left="2040"/>
              <w:spacing w:after="0"/>
              <w:rPr>
                <w:sz w:val="20"/>
                <w:szCs w:val="20"/>
                <w:color w:val="auto"/>
              </w:rPr>
            </w:pPr>
            <w:r>
              <w:rPr>
                <w:rFonts w:ascii="Arial" w:cs="Arial" w:eastAsia="Arial" w:hAnsi="Arial"/>
                <w:sz w:val="18"/>
                <w:szCs w:val="18"/>
                <w:b w:val="1"/>
                <w:bCs w:val="1"/>
                <w:color w:val="auto"/>
              </w:rPr>
              <w:t>TOWER SEMICONDUCTOR LTD.</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9, 2021</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Nati Somekh</w:t>
            </w: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7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3020" w:type="dxa"/>
            <w:vAlign w:val="bottom"/>
          </w:tcPr>
          <w:p>
            <w:pPr>
              <w:spacing w:after="0" w:line="195" w:lineRule="exact"/>
              <w:rPr>
                <w:sz w:val="20"/>
                <w:szCs w:val="20"/>
                <w:color w:val="auto"/>
              </w:rPr>
            </w:pPr>
            <w:r>
              <w:rPr>
                <w:rFonts w:ascii="Arial" w:cs="Arial" w:eastAsia="Arial" w:hAnsi="Arial"/>
                <w:sz w:val="18"/>
                <w:szCs w:val="18"/>
                <w:color w:val="auto"/>
              </w:rPr>
              <w:t>Nati Somekh</w:t>
            </w: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3020" w:type="dxa"/>
            <w:vAlign w:val="bottom"/>
          </w:tcPr>
          <w:p>
            <w:pPr>
              <w:spacing w:after="0"/>
              <w:rPr>
                <w:sz w:val="20"/>
                <w:szCs w:val="20"/>
                <w:color w:val="auto"/>
              </w:rPr>
            </w:pPr>
            <w:r>
              <w:rPr>
                <w:rFonts w:ascii="Arial" w:cs="Arial" w:eastAsia="Arial" w:hAnsi="Arial"/>
                <w:sz w:val="18"/>
                <w:szCs w:val="18"/>
                <w:color w:val="auto"/>
              </w:rPr>
              <w:t>Corporate Secretary</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3600" w:type="dxa"/>
            <w:vAlign w:val="bottom"/>
            <w:tcBorders>
              <w:bottom w:val="single" w:sz="8" w:color="EEEEEE"/>
            </w:tcBorders>
          </w:tcPr>
          <w:p>
            <w:pPr>
              <w:spacing w:after="0"/>
              <w:rPr>
                <w:sz w:val="16"/>
                <w:szCs w:val="16"/>
                <w:color w:val="auto"/>
              </w:rPr>
            </w:pPr>
          </w:p>
        </w:tc>
        <w:tc>
          <w:tcPr>
            <w:tcW w:w="2700" w:type="dxa"/>
            <w:vAlign w:val="bottom"/>
            <w:tcBorders>
              <w:bottom w:val="single" w:sz="8" w:color="EEEEEE"/>
            </w:tcBorders>
          </w:tcPr>
          <w:p>
            <w:pPr>
              <w:spacing w:after="0"/>
              <w:rPr>
                <w:sz w:val="16"/>
                <w:szCs w:val="16"/>
                <w:color w:val="auto"/>
              </w:rPr>
            </w:pPr>
          </w:p>
        </w:tc>
        <w:tc>
          <w:tcPr>
            <w:tcW w:w="3020" w:type="dxa"/>
            <w:vAlign w:val="bottom"/>
            <w:tcBorders>
              <w:bottom w:val="single" w:sz="8" w:color="EEEEEE"/>
            </w:tcBorders>
          </w:tcPr>
          <w:p>
            <w:pPr>
              <w:spacing w:after="0"/>
              <w:rPr>
                <w:sz w:val="16"/>
                <w:szCs w:val="16"/>
                <w:color w:val="auto"/>
              </w:rPr>
            </w:pPr>
          </w:p>
        </w:tc>
        <w:tc>
          <w:tcPr>
            <w:tcW w:w="1940" w:type="dxa"/>
            <w:vAlign w:val="bottom"/>
            <w:tcBorders>
              <w:bottom w:val="single" w:sz="8" w:color="EEEEEE"/>
            </w:tcBorders>
          </w:tcPr>
          <w:p>
            <w:pPr>
              <w:spacing w:after="0"/>
              <w:rPr>
                <w:sz w:val="16"/>
                <w:szCs w:val="16"/>
                <w:color w:val="auto"/>
              </w:rPr>
            </w:pPr>
          </w:p>
        </w:tc>
        <w:tc>
          <w:tcPr>
            <w:tcW w:w="20" w:type="dxa"/>
            <w:vAlign w:val="bottom"/>
          </w:tcPr>
          <w:p>
            <w:pPr>
              <w:spacing w:after="0"/>
              <w:rPr>
                <w:sz w:val="16"/>
                <w:szCs w:val="16"/>
                <w:color w:val="auto"/>
              </w:rPr>
            </w:pPr>
          </w:p>
        </w:tc>
      </w:tr>
      <w:tr>
        <w:trPr>
          <w:trHeight w:val="155"/>
        </w:trPr>
        <w:tc>
          <w:tcPr>
            <w:tcW w:w="3600" w:type="dxa"/>
            <w:vAlign w:val="bottom"/>
            <w:tcBorders>
              <w:bottom w:val="single" w:sz="8" w:color="EEEEEE"/>
            </w:tcBorders>
          </w:tcPr>
          <w:p>
            <w:pPr>
              <w:spacing w:after="0"/>
              <w:rPr>
                <w:sz w:val="13"/>
                <w:szCs w:val="13"/>
                <w:color w:val="auto"/>
              </w:rPr>
            </w:pPr>
          </w:p>
        </w:tc>
        <w:tc>
          <w:tcPr>
            <w:tcW w:w="2700" w:type="dxa"/>
            <w:vAlign w:val="bottom"/>
            <w:tcBorders>
              <w:bottom w:val="single" w:sz="8" w:color="EEEEEE"/>
            </w:tcBorders>
          </w:tcPr>
          <w:p>
            <w:pPr>
              <w:spacing w:after="0"/>
              <w:rPr>
                <w:sz w:val="13"/>
                <w:szCs w:val="13"/>
                <w:color w:val="auto"/>
              </w:rPr>
            </w:pPr>
          </w:p>
        </w:tc>
        <w:tc>
          <w:tcPr>
            <w:tcW w:w="3020" w:type="dxa"/>
            <w:vAlign w:val="bottom"/>
            <w:tcBorders>
              <w:bottom w:val="single" w:sz="8" w:color="EEEEEE"/>
            </w:tcBorders>
          </w:tcPr>
          <w:p>
            <w:pPr>
              <w:spacing w:after="0"/>
              <w:rPr>
                <w:sz w:val="13"/>
                <w:szCs w:val="13"/>
                <w:color w:val="auto"/>
              </w:rPr>
            </w:pPr>
          </w:p>
        </w:tc>
        <w:tc>
          <w:tcPr>
            <w:tcW w:w="19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7174865"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ectPr>
          <w:pgSz w:w="11900" w:h="16838" w:orient="portrait"/>
          <w:cols w:equalWidth="0" w:num="1">
            <w:col w:w="11260"/>
          </w:cols>
          <w:pgMar w:left="320" w:top="283"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187960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t>Exhibit 99.1</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 CONDENSED INTERIM</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130175</wp:posOffset>
            </wp:positionV>
            <wp:extent cx="715772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60" w:type="dxa"/>
            <w:vAlign w:val="bottom"/>
            <w:gridSpan w:val="3"/>
          </w:tcPr>
          <w:p>
            <w:pPr>
              <w:jc w:val="center"/>
              <w:ind w:right="1850"/>
              <w:spacing w:after="0"/>
              <w:rPr>
                <w:sz w:val="20"/>
                <w:szCs w:val="20"/>
                <w:color w:val="auto"/>
              </w:rPr>
            </w:pPr>
            <w:r>
              <w:rPr>
                <w:rFonts w:ascii="Arial" w:cs="Arial" w:eastAsia="Arial" w:hAnsi="Arial"/>
                <w:sz w:val="18"/>
                <w:szCs w:val="18"/>
                <w:b w:val="1"/>
                <w:bCs w:val="1"/>
                <w:color w:val="auto"/>
              </w:rPr>
              <w:t>TOWER SEMICONDUCTOR LTD. AND SUBSIDIARIES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60" w:type="dxa"/>
            <w:vAlign w:val="bottom"/>
            <w:gridSpan w:val="3"/>
          </w:tcPr>
          <w:p>
            <w:pPr>
              <w:jc w:val="center"/>
              <w:ind w:right="1850"/>
              <w:spacing w:after="0"/>
              <w:rPr>
                <w:sz w:val="20"/>
                <w:szCs w:val="20"/>
                <w:color w:val="auto"/>
              </w:rPr>
            </w:pPr>
            <w:r>
              <w:rPr>
                <w:rFonts w:ascii="Arial" w:cs="Arial" w:eastAsia="Arial" w:hAnsi="Arial"/>
                <w:sz w:val="18"/>
                <w:szCs w:val="18"/>
                <w:b w:val="1"/>
                <w:bCs w:val="1"/>
                <w:color w:val="auto"/>
              </w:rPr>
              <w:t>INDEX TO UNAUDITED CONDENSED INTERIM</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rPr>
              <w:t>CONSOLIDATED FINANCIAL STATEMENTS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6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AS OF JUNE 30, 2021</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351"/>
        </w:trPr>
        <w:tc>
          <w:tcPr>
            <w:tcW w:w="1012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BALANCE SHEETS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F-2</w:t>
            </w:r>
          </w:p>
        </w:tc>
      </w:tr>
      <w:tr>
        <w:trPr>
          <w:trHeight w:val="20"/>
        </w:trPr>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72"/>
        </w:trPr>
        <w:tc>
          <w:tcPr>
            <w:tcW w:w="1012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OPERATIONS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F-3</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71"/>
        </w:trPr>
        <w:tc>
          <w:tcPr>
            <w:tcW w:w="1012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STATEMENTS OF COMPREHENSIVE INCOME</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F-4</w:t>
            </w: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72"/>
        </w:trPr>
        <w:tc>
          <w:tcPr>
            <w:tcW w:w="4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STATEMENT OF CHANGES IN SHAREHOLDERS' EQUITY</w:t>
              </w:r>
            </w:hyperlink>
          </w:p>
        </w:tc>
        <w:tc>
          <w:tcPr>
            <w:tcW w:w="546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F-5</w:t>
            </w:r>
          </w:p>
        </w:tc>
      </w:tr>
      <w:tr>
        <w:trPr>
          <w:trHeight w:val="372"/>
        </w:trPr>
        <w:tc>
          <w:tcPr>
            <w:tcW w:w="26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STATEMENTS OF CASH FLOWS</w:t>
              </w:r>
            </w:hyperlink>
          </w:p>
        </w:tc>
        <w:tc>
          <w:tcPr>
            <w:tcW w:w="7520" w:type="dxa"/>
            <w:vAlign w:val="bottom"/>
            <w:gridSpan w:val="4"/>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F-6 - F-7</w:t>
            </w:r>
          </w:p>
        </w:tc>
      </w:tr>
      <w:tr>
        <w:trPr>
          <w:trHeight w:val="372"/>
        </w:trPr>
        <w:tc>
          <w:tcPr>
            <w:tcW w:w="10120" w:type="dxa"/>
            <w:vAlign w:val="bottom"/>
            <w:gridSpan w:val="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FINANCIAL STATEMENTS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F-8</w:t>
            </w:r>
          </w:p>
        </w:tc>
      </w:tr>
      <w:tr>
        <w:trPr>
          <w:trHeight w:val="263"/>
        </w:trPr>
        <w:tc>
          <w:tcPr>
            <w:tcW w:w="1560" w:type="dxa"/>
            <w:vAlign w:val="bottom"/>
            <w:tcBorders>
              <w:top w:val="single" w:sz="8" w:color="0000EE"/>
              <w:bottom w:val="single" w:sz="8" w:color="EEEEEE"/>
            </w:tcBorders>
          </w:tcPr>
          <w:p>
            <w:pPr>
              <w:spacing w:after="0"/>
              <w:rPr>
                <w:sz w:val="22"/>
                <w:szCs w:val="22"/>
                <w:color w:val="auto"/>
              </w:rPr>
            </w:pPr>
          </w:p>
        </w:tc>
        <w:tc>
          <w:tcPr>
            <w:tcW w:w="1000" w:type="dxa"/>
            <w:vAlign w:val="bottom"/>
            <w:tcBorders>
              <w:top w:val="single" w:sz="8" w:color="0000EE"/>
              <w:bottom w:val="single" w:sz="8" w:color="EEEEEE"/>
            </w:tcBorders>
          </w:tcPr>
          <w:p>
            <w:pPr>
              <w:spacing w:after="0"/>
              <w:rPr>
                <w:sz w:val="22"/>
                <w:szCs w:val="22"/>
                <w:color w:val="auto"/>
              </w:rPr>
            </w:pPr>
          </w:p>
        </w:tc>
        <w:tc>
          <w:tcPr>
            <w:tcW w:w="40" w:type="dxa"/>
            <w:vAlign w:val="bottom"/>
            <w:tcBorders>
              <w:top w:val="single" w:sz="8" w:color="0000EE"/>
              <w:bottom w:val="single" w:sz="8" w:color="EEEEEE"/>
            </w:tcBorders>
          </w:tcPr>
          <w:p>
            <w:pPr>
              <w:spacing w:after="0"/>
              <w:rPr>
                <w:sz w:val="22"/>
                <w:szCs w:val="22"/>
                <w:color w:val="auto"/>
              </w:rPr>
            </w:pPr>
          </w:p>
        </w:tc>
        <w:tc>
          <w:tcPr>
            <w:tcW w:w="460" w:type="dxa"/>
            <w:vAlign w:val="bottom"/>
            <w:tcBorders>
              <w:top w:val="single" w:sz="8" w:color="0000EE"/>
              <w:bottom w:val="single" w:sz="8" w:color="EEEEEE"/>
            </w:tcBorders>
          </w:tcPr>
          <w:p>
            <w:pPr>
              <w:spacing w:after="0"/>
              <w:rPr>
                <w:sz w:val="22"/>
                <w:szCs w:val="22"/>
                <w:color w:val="auto"/>
              </w:rPr>
            </w:pPr>
          </w:p>
        </w:tc>
        <w:tc>
          <w:tcPr>
            <w:tcW w:w="660" w:type="dxa"/>
            <w:vAlign w:val="bottom"/>
            <w:tcBorders>
              <w:bottom w:val="single" w:sz="8" w:color="EEEEEE"/>
            </w:tcBorders>
          </w:tcPr>
          <w:p>
            <w:pPr>
              <w:spacing w:after="0"/>
              <w:rPr>
                <w:sz w:val="22"/>
                <w:szCs w:val="22"/>
                <w:color w:val="auto"/>
              </w:rPr>
            </w:pPr>
          </w:p>
        </w:tc>
        <w:tc>
          <w:tcPr>
            <w:tcW w:w="940" w:type="dxa"/>
            <w:vAlign w:val="bottom"/>
            <w:tcBorders>
              <w:bottom w:val="single" w:sz="8" w:color="EEEEEE"/>
            </w:tcBorders>
          </w:tcPr>
          <w:p>
            <w:pPr>
              <w:spacing w:after="0"/>
              <w:rPr>
                <w:sz w:val="22"/>
                <w:szCs w:val="22"/>
                <w:color w:val="auto"/>
              </w:rPr>
            </w:pPr>
          </w:p>
        </w:tc>
        <w:tc>
          <w:tcPr>
            <w:tcW w:w="5460" w:type="dxa"/>
            <w:vAlign w:val="bottom"/>
            <w:tcBorders>
              <w:bottom w:val="single" w:sz="8" w:color="EEEEEE"/>
            </w:tcBorders>
          </w:tcPr>
          <w:p>
            <w:pPr>
              <w:spacing w:after="0"/>
              <w:rPr>
                <w:sz w:val="22"/>
                <w:szCs w:val="22"/>
                <w:color w:val="auto"/>
              </w:rPr>
            </w:pPr>
          </w:p>
        </w:tc>
        <w:tc>
          <w:tcPr>
            <w:tcW w:w="1100" w:type="dxa"/>
            <w:vAlign w:val="bottom"/>
            <w:tcBorders>
              <w:bottom w:val="single" w:sz="8" w:color="EEEEEE"/>
            </w:tcBorders>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BALANCE SHEETS (UNAUDITED) </w:t>
      </w:r>
      <w:r>
        <w:rPr>
          <w:rFonts w:ascii="Arial" w:cs="Arial" w:eastAsia="Arial" w:hAnsi="Arial"/>
          <w:sz w:val="18"/>
          <w:szCs w:val="18"/>
          <w:color w:val="auto"/>
        </w:rPr>
        <w:t>(dollars and shares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215,755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211,683</w:t>
            </w: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Short-term interest-bearing deposits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323,713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310,230</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Marketable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189,489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188,967</w:t>
            </w: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Trade accounts receivables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144,868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162,100</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209,306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199,126</w:t>
            </w:r>
          </w:p>
        </w:tc>
      </w:tr>
      <w:tr>
        <w:trPr>
          <w:trHeight w:val="223"/>
        </w:trPr>
        <w:tc>
          <w:tcPr>
            <w:tcW w:w="8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39,929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30,810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1,123,060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1,102,916</w:t>
            </w: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41,453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40,699</w:t>
            </w: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859,589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839,171</w:t>
            </w: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GOODWILL AND OTHER INTANGIBLE ASSETS,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16,978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17,962</w:t>
            </w: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91,312</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93,401</w:t>
            </w:r>
          </w:p>
        </w:tc>
      </w:tr>
      <w:tr>
        <w:trPr>
          <w:trHeight w:val="20"/>
        </w:trPr>
        <w:tc>
          <w:tcPr>
            <w:tcW w:w="8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2,132,392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2,094,149</w:t>
            </w:r>
          </w:p>
        </w:tc>
      </w:tr>
      <w:tr>
        <w:trPr>
          <w:trHeight w:val="20"/>
        </w:trPr>
        <w:tc>
          <w:tcPr>
            <w:tcW w:w="8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Current maturities of 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106,513</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Trade accounts payables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100,426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96,940</w:t>
            </w:r>
          </w:p>
        </w:tc>
      </w:tr>
      <w:tr>
        <w:trPr>
          <w:trHeight w:val="216"/>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Deferred revenue and customers' advances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19,608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10,027</w:t>
            </w:r>
          </w:p>
        </w:tc>
      </w:tr>
      <w:tr>
        <w:trPr>
          <w:trHeight w:val="216"/>
        </w:trPr>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Employee related liabilities</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63,650</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51,527</w:t>
            </w:r>
          </w:p>
        </w:tc>
      </w:tr>
      <w:tr>
        <w:trPr>
          <w:trHeight w:val="223"/>
        </w:trPr>
        <w:tc>
          <w:tcPr>
            <w:tcW w:w="8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14,761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302,507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272,912</w:t>
            </w: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234,500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283,765</w:t>
            </w: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32,047</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25,451</w:t>
            </w: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EMPLOYEE RELATED LIABILITIES</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15,958</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15,833</w:t>
            </w: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LIABILITIES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29,771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41,286</w:t>
            </w: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614,783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639,247</w:t>
            </w: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160"/>
              <w:spacing w:after="0"/>
              <w:rPr>
                <w:sz w:val="20"/>
                <w:szCs w:val="20"/>
                <w:color w:val="auto"/>
              </w:rPr>
            </w:pPr>
            <w:r>
              <w:rPr>
                <w:rFonts w:ascii="Arial" w:cs="Arial" w:eastAsia="Arial" w:hAnsi="Arial"/>
                <w:sz w:val="18"/>
                <w:szCs w:val="18"/>
                <w:b w:val="1"/>
                <w:bCs w:val="1"/>
                <w:color w:val="auto"/>
              </w:rPr>
              <w:t>THE COMPANY'S SHAREHOLDERS' EQUITY</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1,522,540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1,457,812</w:t>
            </w:r>
          </w:p>
        </w:tc>
      </w:tr>
      <w:tr>
        <w:trPr>
          <w:trHeight w:val="223"/>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Non-controlling interest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(4,931)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(2,910)</w:t>
            </w:r>
          </w:p>
        </w:tc>
      </w:tr>
      <w:tr>
        <w:trPr>
          <w:trHeight w:val="216"/>
        </w:trPr>
        <w:tc>
          <w:tcPr>
            <w:tcW w:w="8440" w:type="dxa"/>
            <w:vAlign w:val="bottom"/>
            <w:tcBorders>
              <w:top w:val="single" w:sz="8" w:color="CCEEFF"/>
            </w:tcBorders>
          </w:tcPr>
          <w:p>
            <w:pPr>
              <w:ind w:left="44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1,517,609</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1,454,902</w:t>
            </w:r>
          </w:p>
        </w:tc>
        <w:tc>
          <w:tcPr>
            <w:tcW w:w="120" w:type="dxa"/>
            <w:vAlign w:val="bottom"/>
            <w:tcBorders>
              <w:top w:val="single" w:sz="8" w:color="CCEEFF"/>
            </w:tcBorders>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r>
      <w:tr>
        <w:trPr>
          <w:trHeight w:val="216"/>
        </w:trPr>
        <w:tc>
          <w:tcPr>
            <w:tcW w:w="8440" w:type="dxa"/>
            <w:vAlign w:val="bottom"/>
          </w:tcPr>
          <w:p>
            <w:pPr>
              <w:ind w:left="58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2,132,392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2,094,149</w:t>
            </w:r>
          </w:p>
        </w:tc>
      </w:tr>
      <w:tr>
        <w:trPr>
          <w:trHeight w:val="20"/>
        </w:trPr>
        <w:tc>
          <w:tcPr>
            <w:tcW w:w="8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8"/>
        <w:spacing w:after="0" w:line="282" w:lineRule="auto"/>
        <w:tabs>
          <w:tab w:leader="none" w:pos="25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 are available-for-sale securities; the amortized cost of such marketable securities of $188,361 and $187,719 as of June 30, 2021 and December 31, 2020, respectively, is presented net of an immaterial allowance for credit losses.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jc w:val="center"/>
        <w:ind w:left="340" w:right="1860"/>
        <w:spacing w:after="0" w:line="266"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OPERATIONS (UNAUDITED) </w:t>
      </w:r>
      <w:r>
        <w:rPr>
          <w:rFonts w:ascii="Arial" w:cs="Arial" w:eastAsia="Arial" w:hAnsi="Arial"/>
          <w:sz w:val="18"/>
          <w:szCs w:val="18"/>
          <w:color w:val="auto"/>
        </w:rPr>
        <w:t>(dollars and shares in thousands, except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5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709,352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610,261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362,138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310,090</w:t>
            </w:r>
          </w:p>
        </w:tc>
      </w:tr>
      <w:tr>
        <w:trPr>
          <w:trHeight w:val="216"/>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565,783</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500,013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288,383</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252,385</w:t>
            </w:r>
          </w:p>
        </w:tc>
      </w:tr>
      <w:tr>
        <w:trPr>
          <w:trHeight w:val="216"/>
        </w:trPr>
        <w:tc>
          <w:tcPr>
            <w:tcW w:w="5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23"/>
        </w:trPr>
        <w:tc>
          <w:tcPr>
            <w:tcW w:w="51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143,569</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110,248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73,755</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57,705</w:t>
            </w:r>
          </w:p>
        </w:tc>
      </w:tr>
      <w:tr>
        <w:trPr>
          <w:trHeight w:val="216"/>
        </w:trPr>
        <w:tc>
          <w:tcPr>
            <w:tcW w:w="5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41,424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38,838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21,081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19,424</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35,662</w:t>
            </w: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32,845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18,671</w:t>
            </w:r>
          </w:p>
        </w:tc>
        <w:tc>
          <w:tcPr>
            <w:tcW w:w="3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16,154</w:t>
            </w: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77,086</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71,683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39,752</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35,578</w:t>
            </w:r>
          </w:p>
        </w:tc>
      </w:tr>
      <w:tr>
        <w:trPr>
          <w:trHeight w:val="20"/>
        </w:trPr>
        <w:tc>
          <w:tcPr>
            <w:tcW w:w="5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r>
      <w:tr>
        <w:trPr>
          <w:trHeight w:val="216"/>
        </w:trPr>
        <w:tc>
          <w:tcPr>
            <w:tcW w:w="5180" w:type="dxa"/>
            <w:vAlign w:val="bottom"/>
          </w:tcPr>
          <w:p>
            <w:pPr>
              <w:ind w:left="30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66,483</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38,565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34,003</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22,127</w:t>
            </w: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(8,326)</w:t>
            </w: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( 484)</w:t>
            </w:r>
          </w:p>
        </w:tc>
        <w:tc>
          <w:tcPr>
            <w:tcW w:w="3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1,831</w:t>
            </w: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ind w:left="580"/>
              <w:spacing w:after="0"/>
              <w:rPr>
                <w:sz w:val="20"/>
                <w:szCs w:val="20"/>
                <w:color w:val="auto"/>
              </w:rPr>
            </w:pPr>
            <w:r>
              <w:rPr>
                <w:rFonts w:ascii="Arial" w:cs="Arial" w:eastAsia="Arial" w:hAnsi="Arial"/>
                <w:sz w:val="18"/>
                <w:szCs w:val="18"/>
                <w:b w:val="1"/>
                <w:bCs w:val="1"/>
                <w:color w:val="auto"/>
              </w:rPr>
              <w:t>PROFIT BEFORE INCOME TAX</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58,157</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38,283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33,519</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23,958</w:t>
            </w: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3,674</w:t>
            </w: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(2,202)</w:t>
            </w:r>
          </w:p>
        </w:tc>
        <w:tc>
          <w:tcPr>
            <w:tcW w:w="3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(2,484)</w:t>
            </w: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ind w:left="580"/>
              <w:spacing w:after="0"/>
              <w:rPr>
                <w:sz w:val="20"/>
                <w:szCs w:val="20"/>
                <w:color w:val="auto"/>
              </w:rPr>
            </w:pPr>
            <w:r>
              <w:rPr>
                <w:rFonts w:ascii="Arial" w:cs="Arial" w:eastAsia="Arial" w:hAnsi="Arial"/>
                <w:sz w:val="18"/>
                <w:szCs w:val="18"/>
                <w:b w:val="1"/>
                <w:bCs w:val="1"/>
                <w:color w:val="auto"/>
              </w:rPr>
              <w:t>NET PROFIT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61,831</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37,505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31,317</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21,474</w:t>
            </w: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(2,643)</w:t>
            </w: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(451)</w:t>
            </w:r>
          </w:p>
        </w:tc>
        <w:tc>
          <w:tcPr>
            <w:tcW w:w="3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(2,422)</w:t>
            </w: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ind w:left="580"/>
              <w:spacing w:after="0"/>
              <w:rPr>
                <w:sz w:val="20"/>
                <w:szCs w:val="20"/>
                <w:color w:val="auto"/>
              </w:rPr>
            </w:pPr>
            <w:r>
              <w:rPr>
                <w:rFonts w:ascii="Arial" w:cs="Arial" w:eastAsia="Arial" w:hAnsi="Arial"/>
                <w:sz w:val="18"/>
                <w:szCs w:val="18"/>
                <w:b w:val="1"/>
                <w:bCs w:val="1"/>
                <w:color w:val="auto"/>
              </w:rPr>
              <w:t>NET PROFIT ATTRIBUTABLE TO THE COMPANY</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59,188</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36,072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30,866</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19,052</w:t>
            </w:r>
          </w:p>
        </w:tc>
      </w:tr>
      <w:tr>
        <w:trPr>
          <w:trHeight w:val="20"/>
        </w:trPr>
        <w:tc>
          <w:tcPr>
            <w:tcW w:w="5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BASIC EARNINGS PER ORDINARY SHARE: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18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0.29</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0.18</w:t>
            </w:r>
          </w:p>
        </w:tc>
      </w:tr>
      <w:tr>
        <w:trPr>
          <w:trHeight w:val="20"/>
        </w:trPr>
        <w:tc>
          <w:tcPr>
            <w:tcW w:w="5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r>
      <w:tr>
        <w:trPr>
          <w:trHeight w:val="216"/>
        </w:trPr>
        <w:tc>
          <w:tcPr>
            <w:tcW w:w="5180" w:type="dxa"/>
            <w:vAlign w:val="bottom"/>
          </w:tcPr>
          <w:p>
            <w:pPr>
              <w:ind w:left="160"/>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107,992</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106,885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108,043</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106,956</w:t>
            </w:r>
          </w:p>
        </w:tc>
      </w:tr>
      <w:tr>
        <w:trPr>
          <w:trHeight w:val="20"/>
        </w:trPr>
        <w:tc>
          <w:tcPr>
            <w:tcW w:w="5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DILUTED EARNINGS PER ORDINARY SHARE: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Earnings per share</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profit used for diluted earnings per share</w:t>
      </w:r>
    </w:p>
    <w:p>
      <w:pPr>
        <w:spacing w:after="0" w:line="225" w:lineRule="exact"/>
        <w:rPr>
          <w:sz w:val="20"/>
          <w:szCs w:val="20"/>
          <w:color w:val="auto"/>
        </w:rPr>
      </w:pPr>
    </w:p>
    <w:p>
      <w:pPr>
        <w:ind w:left="300" w:hanging="143"/>
        <w:spacing w:after="0" w:line="282" w:lineRule="auto"/>
        <w:rPr>
          <w:sz w:val="20"/>
          <w:szCs w:val="20"/>
          <w:color w:val="auto"/>
        </w:rPr>
      </w:pPr>
      <w:r>
        <w:rPr>
          <w:rFonts w:ascii="Arial" w:cs="Arial" w:eastAsia="Arial" w:hAnsi="Arial"/>
          <w:sz w:val="18"/>
          <w:szCs w:val="18"/>
          <w:b w:val="1"/>
          <w:bCs w:val="1"/>
          <w:color w:val="auto"/>
        </w:rPr>
        <w:t>Weighted average number of ordinary shares outstanding used for diluted earnings per share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0.54</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0.28</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0.18</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59,188</w:t>
            </w:r>
          </w:p>
        </w:tc>
        <w:tc>
          <w:tcPr>
            <w:tcW w:w="2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36,072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30,866</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19,052</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588"/>
        </w:trPr>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109,545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108,213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109,629</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108,277</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-710565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-410845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113665</wp:posOffset>
            </wp:positionV>
            <wp:extent cx="71577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2">
            <w:col w:w="5260" w:space="200"/>
            <w:col w:w="5780"/>
          </w:cols>
          <w:pgMar w:left="320" w:top="283" w:right="339" w:bottom="1440" w:gutter="0" w:footer="0" w:header="0"/>
          <w:type w:val="continuous"/>
        </w:sectPr>
      </w:pPr>
    </w:p>
    <w:bookmarkStart w:id="7" w:name="page8"/>
    <w:bookmarkEnd w:id="7"/>
    <w:p>
      <w:pPr>
        <w:jc w:val="center"/>
        <w:ind w:left="340" w:right="1240"/>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COMPREHENSIVE INCOME (UNAUDITED) </w:t>
      </w:r>
      <w:r>
        <w:rPr>
          <w:rFonts w:ascii="Arial" w:cs="Arial" w:eastAsia="Arial" w:hAnsi="Arial"/>
          <w:sz w:val="18"/>
          <w:szCs w:val="18"/>
          <w:color w:val="auto"/>
        </w:rPr>
        <w:t>(dollars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61,831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37,505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31,317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21,474</w:t>
            </w:r>
          </w:p>
        </w:tc>
        <w:tc>
          <w:tcPr>
            <w:tcW w:w="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 net of tax:</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Foreign currency translation adjustment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(9,741)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1,209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544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b w:val="1"/>
                <w:bCs w:val="1"/>
                <w:color w:val="auto"/>
                <w:w w:val="93"/>
              </w:rPr>
              <w:t>Change in employees plan assets and benefit obligations, net of</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taxes</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w:t>
            </w:r>
          </w:p>
        </w:tc>
        <w:tc>
          <w:tcPr>
            <w:tcW w:w="20" w:type="dxa"/>
            <w:vAlign w:val="bottom"/>
            <w:shd w:val="clear" w:color="auto" w:fill="CCEEFF"/>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Unrealized gain (loss) on derivatives</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(523)</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1,134</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4,662</w:t>
            </w:r>
          </w:p>
        </w:tc>
        <w:tc>
          <w:tcPr>
            <w:tcW w:w="20" w:type="dxa"/>
            <w:vAlign w:val="bottom"/>
            <w:shd w:val="clear" w:color="auto" w:fill="CCEEFF"/>
          </w:tcPr>
          <w:p>
            <w:pPr>
              <w:spacing w:after="0"/>
              <w:rPr>
                <w:sz w:val="19"/>
                <w:szCs w:val="19"/>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51,467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35,778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33,610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26,627</w:t>
            </w:r>
          </w:p>
        </w:tc>
        <w:tc>
          <w:tcPr>
            <w:tcW w:w="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89"/>
              </w:rPr>
              <w:t>Comprehensive loss (income) attributable to non-controlling interest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2,021</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(552)</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(3,091)</w:t>
            </w:r>
          </w:p>
        </w:tc>
        <w:tc>
          <w:tcPr>
            <w:tcW w:w="20" w:type="dxa"/>
            <w:vAlign w:val="bottom"/>
            <w:shd w:val="clear" w:color="auto" w:fill="CCEEFF"/>
          </w:tcPr>
          <w:p>
            <w:pPr>
              <w:spacing w:after="0"/>
              <w:rPr>
                <w:sz w:val="19"/>
                <w:szCs w:val="19"/>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the Company</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53,488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33,819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33,058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23,536</w:t>
            </w:r>
          </w:p>
        </w:tc>
        <w:tc>
          <w:tcPr>
            <w:tcW w:w="20" w:type="dxa"/>
            <w:vAlign w:val="bottom"/>
            <w:shd w:val="clear" w:color="auto" w:fill="CCEEFF"/>
          </w:tcPr>
          <w:p>
            <w:pPr>
              <w:spacing w:after="0"/>
              <w:rPr>
                <w:sz w:val="22"/>
                <w:szCs w:val="22"/>
                <w:color w:val="auto"/>
              </w:rPr>
            </w:pPr>
          </w:p>
        </w:tc>
      </w:tr>
      <w:tr>
        <w:trPr>
          <w:trHeight w:val="494"/>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32"/>
        </w:trPr>
        <w:tc>
          <w:tcPr>
            <w:tcW w:w="544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F - 4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54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INTERIM 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data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14"/>
          </w:tcPr>
          <w:p>
            <w:pPr>
              <w:jc w:val="right"/>
              <w:ind w:right="199"/>
              <w:spacing w:after="0"/>
              <w:rPr>
                <w:sz w:val="20"/>
                <w:szCs w:val="20"/>
                <w:color w:val="auto"/>
              </w:rPr>
            </w:pPr>
            <w:r>
              <w:rPr>
                <w:rFonts w:ascii="Arial" w:cs="Arial" w:eastAsia="Arial" w:hAnsi="Arial"/>
                <w:sz w:val="14"/>
                <w:szCs w:val="14"/>
                <w:b w:val="1"/>
                <w:bCs w:val="1"/>
                <w:color w:val="auto"/>
              </w:rPr>
              <w:t>THE COMPANY'S SHAREHOLDERS' EQUITY</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9"/>
              </w:rPr>
              <w:t>Ordinary</w:t>
            </w:r>
          </w:p>
        </w:tc>
        <w:tc>
          <w:tcPr>
            <w:tcW w:w="7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9"/>
              </w:rPr>
              <w:t>Ordinary</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59"/>
              <w:spacing w:after="0" w:line="126" w:lineRule="exact"/>
              <w:rPr>
                <w:sz w:val="20"/>
                <w:szCs w:val="20"/>
                <w:color w:val="auto"/>
              </w:rPr>
            </w:pPr>
            <w:r>
              <w:rPr>
                <w:rFonts w:ascii="Arial" w:cs="Arial" w:eastAsia="Arial" w:hAnsi="Arial"/>
                <w:sz w:val="14"/>
                <w:szCs w:val="14"/>
                <w:b w:val="1"/>
                <w:bCs w:val="1"/>
                <w:color w:val="auto"/>
                <w:w w:val="93"/>
              </w:rPr>
              <w:t>Foreign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Unearned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currency</w:t>
            </w:r>
          </w:p>
        </w:tc>
        <w:tc>
          <w:tcPr>
            <w:tcW w:w="10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Treasury  Comprehensive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shares</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2"/>
                <w:szCs w:val="12"/>
                <w:color w:val="auto"/>
              </w:rPr>
            </w:pPr>
          </w:p>
        </w:tc>
        <w:tc>
          <w:tcPr>
            <w:tcW w:w="840" w:type="dxa"/>
            <w:vAlign w:val="bottom"/>
            <w:gridSpan w:val="3"/>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0" w:type="dxa"/>
            <w:vAlign w:val="bottom"/>
            <w:gridSpan w:val="4"/>
            <w:vMerge w:val="continue"/>
          </w:tcPr>
          <w:p>
            <w:pPr>
              <w:spacing w:after="0"/>
              <w:rPr>
                <w:sz w:val="12"/>
                <w:szCs w:val="12"/>
                <w:color w:val="auto"/>
              </w:rPr>
            </w:pPr>
          </w:p>
        </w:tc>
        <w:tc>
          <w:tcPr>
            <w:tcW w:w="176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9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adjustments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76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w w:val="87"/>
              </w:rPr>
              <w:t>stock</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86"/>
              </w:rPr>
              <w:t>interest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BALANCE AS OF</w:t>
            </w: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108,010</w:t>
            </w:r>
          </w:p>
        </w:tc>
        <w:tc>
          <w:tcPr>
            <w:tcW w:w="4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$ 430,996</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9"/>
              </w:rPr>
              <w:t>$ 1,393,095</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124,762</w:t>
            </w: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b w:val="1"/>
                <w:bCs w:val="1"/>
                <w:color w:val="auto"/>
              </w:rPr>
              <w:t>(262)</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(16,247)</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b w:val="1"/>
                <w:bCs w:val="1"/>
                <w:color w:val="auto"/>
              </w:rPr>
              <w:t>(465,460)</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b w:val="1"/>
                <w:bCs w:val="1"/>
                <w:color w:val="auto"/>
              </w:rPr>
              <w:t>(2,910)</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$ 1,454,902</w:t>
            </w: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JANUARY 1, 2021</w:t>
            </w: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Changes during the</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Exercise of options and</w:t>
            </w: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296</w:t>
            </w:r>
          </w:p>
        </w:tc>
        <w:tc>
          <w:tcPr>
            <w:tcW w:w="4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1,358</w:t>
            </w: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(995)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363</w:t>
            </w: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RSUs</w:t>
            </w: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line="126" w:lineRule="exact"/>
              <w:rPr>
                <w:sz w:val="20"/>
                <w:szCs w:val="20"/>
                <w:color w:val="auto"/>
              </w:rPr>
            </w:pPr>
            <w:r>
              <w:rPr>
                <w:rFonts w:ascii="Arial" w:cs="Arial" w:eastAsia="Arial" w:hAnsi="Arial"/>
                <w:sz w:val="14"/>
                <w:szCs w:val="14"/>
                <w:b w:val="1"/>
                <w:bCs w:val="1"/>
                <w:color w:val="auto"/>
              </w:rPr>
              <w:t>Employee stock-based</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10,877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10,877</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160"/>
              <w:spacing w:after="0" w:line="126" w:lineRule="exact"/>
              <w:rPr>
                <w:sz w:val="20"/>
                <w:szCs w:val="20"/>
                <w:color w:val="auto"/>
              </w:rPr>
            </w:pPr>
            <w:r>
              <w:rPr>
                <w:rFonts w:ascii="Arial" w:cs="Arial" w:eastAsia="Arial" w:hAnsi="Arial"/>
                <w:sz w:val="14"/>
                <w:szCs w:val="14"/>
                <w:b w:val="1"/>
                <w:bCs w:val="1"/>
                <w:color w:val="auto"/>
              </w:rPr>
              <w:t>Other comprehensive</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income:</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Profit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b w:val="1"/>
                <w:bCs w:val="1"/>
                <w:color w:val="auto"/>
              </w:rPr>
              <w:t>59,188</w:t>
            </w:r>
          </w:p>
        </w:tc>
        <w:tc>
          <w:tcPr>
            <w:tcW w:w="100" w:type="dxa"/>
            <w:vAlign w:val="bottom"/>
          </w:tcPr>
          <w:p>
            <w:pPr>
              <w:spacing w:after="0"/>
              <w:rPr>
                <w:sz w:val="12"/>
                <w:szCs w:val="12"/>
                <w:color w:val="auto"/>
              </w:rPr>
            </w:pPr>
          </w:p>
        </w:tc>
        <w:tc>
          <w:tcPr>
            <w:tcW w:w="760" w:type="dxa"/>
            <w:vAlign w:val="bottom"/>
            <w:gridSpan w:val="3"/>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59,188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99"/>
              <w:spacing w:after="0" w:line="149" w:lineRule="exact"/>
              <w:rPr>
                <w:sz w:val="20"/>
                <w:szCs w:val="20"/>
                <w:color w:val="auto"/>
              </w:rPr>
            </w:pPr>
            <w:r>
              <w:rPr>
                <w:rFonts w:ascii="Arial" w:cs="Arial" w:eastAsia="Arial" w:hAnsi="Arial"/>
                <w:sz w:val="14"/>
                <w:szCs w:val="14"/>
                <w:b w:val="1"/>
                <w:bCs w:val="1"/>
                <w:color w:val="auto"/>
              </w:rPr>
              <w:t>2,643</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61,831</w:t>
            </w: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Foreign currency</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translation</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(5,077)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(5,077)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b w:val="1"/>
                <w:bCs w:val="1"/>
                <w:color w:val="auto"/>
              </w:rPr>
              <w:t>(4,664)</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(9,741)</w:t>
            </w: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adjustments</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300"/>
              <w:spacing w:after="0" w:line="126" w:lineRule="exact"/>
              <w:rPr>
                <w:sz w:val="20"/>
                <w:szCs w:val="20"/>
                <w:color w:val="auto"/>
              </w:rPr>
            </w:pPr>
            <w:r>
              <w:rPr>
                <w:rFonts w:ascii="Arial" w:cs="Arial" w:eastAsia="Arial" w:hAnsi="Arial"/>
                <w:sz w:val="14"/>
                <w:szCs w:val="14"/>
                <w:b w:val="1"/>
                <w:bCs w:val="1"/>
                <w:color w:val="auto"/>
                <w:w w:val="98"/>
              </w:rPr>
              <w:t>Change in employees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00"/>
              <w:spacing w:after="0" w:line="149" w:lineRule="exact"/>
              <w:rPr>
                <w:sz w:val="20"/>
                <w:szCs w:val="20"/>
                <w:color w:val="auto"/>
              </w:rPr>
            </w:pPr>
            <w:r>
              <w:rPr>
                <w:rFonts w:ascii="Arial" w:cs="Arial" w:eastAsia="Arial" w:hAnsi="Arial"/>
                <w:sz w:val="14"/>
                <w:szCs w:val="14"/>
                <w:b w:val="1"/>
                <w:bCs w:val="1"/>
                <w:color w:val="auto"/>
                <w:w w:val="91"/>
              </w:rPr>
              <w:t>plan assets and benefit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(100)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71"/>
        </w:trPr>
        <w:tc>
          <w:tcPr>
            <w:tcW w:w="1740" w:type="dxa"/>
            <w:vAlign w:val="bottom"/>
          </w:tcPr>
          <w:p>
            <w:pPr>
              <w:ind w:left="300"/>
              <w:spacing w:after="0"/>
              <w:rPr>
                <w:sz w:val="20"/>
                <w:szCs w:val="20"/>
                <w:color w:val="auto"/>
              </w:rPr>
            </w:pPr>
            <w:r>
              <w:rPr>
                <w:rFonts w:ascii="Arial" w:cs="Arial" w:eastAsia="Arial" w:hAnsi="Arial"/>
                <w:sz w:val="14"/>
                <w:szCs w:val="14"/>
                <w:b w:val="1"/>
                <w:bCs w:val="1"/>
                <w:color w:val="auto"/>
              </w:rPr>
              <w:t>obligations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Unrealized loss on</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b w:val="1"/>
                <w:bCs w:val="1"/>
                <w:color w:val="auto"/>
              </w:rPr>
              <w:t>(523)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(523)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(523)</w:t>
            </w:r>
          </w:p>
        </w:tc>
        <w:tc>
          <w:tcPr>
            <w:tcW w:w="0" w:type="dxa"/>
            <w:vAlign w:val="bottom"/>
          </w:tcPr>
          <w:p>
            <w:pPr>
              <w:spacing w:after="0"/>
              <w:rPr>
                <w:sz w:val="1"/>
                <w:szCs w:val="1"/>
                <w:color w:val="auto"/>
              </w:rPr>
            </w:pPr>
          </w:p>
        </w:tc>
      </w:tr>
      <w:tr>
        <w:trPr>
          <w:trHeight w:val="151"/>
        </w:trPr>
        <w:tc>
          <w:tcPr>
            <w:tcW w:w="1740" w:type="dxa"/>
            <w:vAlign w:val="bottom"/>
            <w:shd w:val="clear" w:color="auto" w:fill="CCEEFF"/>
          </w:tcPr>
          <w:p>
            <w:pPr>
              <w:ind w:left="300"/>
              <w:spacing w:after="0" w:line="125" w:lineRule="exact"/>
              <w:rPr>
                <w:sz w:val="20"/>
                <w:szCs w:val="20"/>
                <w:color w:val="auto"/>
              </w:rPr>
            </w:pPr>
            <w:r>
              <w:rPr>
                <w:rFonts w:ascii="Arial" w:cs="Arial" w:eastAsia="Arial" w:hAnsi="Arial"/>
                <w:sz w:val="14"/>
                <w:szCs w:val="14"/>
                <w:b w:val="1"/>
                <w:bCs w:val="1"/>
                <w:color w:val="auto"/>
              </w:rPr>
              <w:t>derivatives</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4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Comprehensive income</w:t>
            </w:r>
          </w:p>
        </w:tc>
        <w:tc>
          <w:tcPr>
            <w:tcW w:w="5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0" w:type="dxa"/>
            <w:vAlign w:val="bottom"/>
            <w:tcBorders>
              <w:top w:val="single" w:sz="8" w:color="CCEEFF"/>
              <w:bottom w:val="single" w:sz="8" w:color="CCEEFF"/>
            </w:tcBorders>
            <w:gridSpan w:val="2"/>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53,488</w:t>
            </w:r>
          </w:p>
        </w:tc>
        <w:tc>
          <w:tcPr>
            <w:tcW w:w="10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7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BALANCE AS OF</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108,306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$ 432,354</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$ 1,392,100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135,639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2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73"/>
              </w:rPr>
              <w:t>(885)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(21,324</w:t>
            </w:r>
          </w:p>
        </w:tc>
        <w:tc>
          <w:tcPr>
            <w:tcW w:w="100" w:type="dxa"/>
            <w:vAlign w:val="bottom"/>
            <w:vMerge w:val="restart"/>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(406,272</w:t>
            </w:r>
          </w:p>
        </w:tc>
        <w:tc>
          <w:tcPr>
            <w:tcW w:w="140" w:type="dxa"/>
            <w:vAlign w:val="bottom"/>
            <w:vMerge w:val="restart"/>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(9,072</w:t>
            </w:r>
          </w:p>
        </w:tc>
        <w:tc>
          <w:tcPr>
            <w:tcW w:w="140" w:type="dxa"/>
            <w:vAlign w:val="bottom"/>
            <w:vMerge w:val="restart"/>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(4,931</w:t>
            </w:r>
          </w:p>
        </w:tc>
        <w:tc>
          <w:tcPr>
            <w:tcW w:w="140" w:type="dxa"/>
            <w:vAlign w:val="bottom"/>
            <w:vMerge w:val="restart"/>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$ 1,517,609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40" w:type="dxa"/>
            <w:vAlign w:val="bottom"/>
          </w:tcPr>
          <w:p>
            <w:pPr>
              <w:ind w:left="300"/>
              <w:spacing w:after="0" w:line="125" w:lineRule="exact"/>
              <w:rPr>
                <w:sz w:val="20"/>
                <w:szCs w:val="20"/>
                <w:color w:val="auto"/>
              </w:rPr>
            </w:pPr>
            <w:r>
              <w:rPr>
                <w:rFonts w:ascii="Arial" w:cs="Arial" w:eastAsia="Arial" w:hAnsi="Arial"/>
                <w:sz w:val="14"/>
                <w:szCs w:val="14"/>
                <w:b w:val="1"/>
                <w:bCs w:val="1"/>
                <w:color w:val="auto"/>
              </w:rPr>
              <w:t>JUNE 30, 2021</w:t>
            </w:r>
          </w:p>
        </w:tc>
        <w:tc>
          <w:tcPr>
            <w:tcW w:w="58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OUTSTANDING</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SHARES, NET OF</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TREASURY STOCK</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108,219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40" w:type="dxa"/>
            <w:vAlign w:val="bottom"/>
          </w:tcPr>
          <w:p>
            <w:pPr>
              <w:ind w:left="300"/>
              <w:spacing w:after="0" w:line="125" w:lineRule="exact"/>
              <w:rPr>
                <w:sz w:val="20"/>
                <w:szCs w:val="20"/>
                <w:color w:val="auto"/>
              </w:rPr>
            </w:pPr>
            <w:r>
              <w:rPr>
                <w:rFonts w:ascii="Arial" w:cs="Arial" w:eastAsia="Arial" w:hAnsi="Arial"/>
                <w:sz w:val="14"/>
                <w:szCs w:val="14"/>
                <w:b w:val="1"/>
                <w:bCs w:val="1"/>
                <w:color w:val="auto"/>
                <w:w w:val="99"/>
              </w:rPr>
              <w:t>AS OF JUNE 30, 2021</w:t>
            </w:r>
          </w:p>
        </w:tc>
        <w:tc>
          <w:tcPr>
            <w:tcW w:w="600" w:type="dxa"/>
            <w:vAlign w:val="bottom"/>
            <w:tcBorders>
              <w:bottom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CASH FLOWS (UNAUDITED) </w:t>
      </w:r>
      <w:r>
        <w:rPr>
          <w:rFonts w:ascii="Arial" w:cs="Arial" w:eastAsia="Arial" w:hAnsi="Arial"/>
          <w:sz w:val="18"/>
          <w:szCs w:val="18"/>
          <w:color w:val="auto"/>
        </w:rPr>
        <w:t>(dollars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4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3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3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61,831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37,505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Adjustments to reconcile net profit for the period</w:t>
            </w:r>
          </w:p>
        </w:tc>
        <w:tc>
          <w:tcPr>
            <w:tcW w:w="3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 net cash provided by operating activities:</w:t>
            </w:r>
          </w:p>
        </w:tc>
        <w:tc>
          <w:tcPr>
            <w:tcW w:w="3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Depreciation and amortization</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127,535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117,299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8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(1,994)</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Other income, net</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(3,227)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Changes in assets and liabilities: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Trade accounts receivable</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12,722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80"/>
              <w:spacing w:after="0"/>
              <w:rPr>
                <w:sz w:val="20"/>
                <w:szCs w:val="20"/>
                <w:color w:val="auto"/>
              </w:rPr>
            </w:pPr>
            <w:r>
              <w:rPr>
                <w:rFonts w:ascii="Arial" w:cs="Arial" w:eastAsia="Arial" w:hAnsi="Arial"/>
                <w:sz w:val="18"/>
                <w:szCs w:val="18"/>
                <w:b w:val="1"/>
                <w:bCs w:val="1"/>
                <w:color w:val="auto"/>
              </w:rPr>
              <w:t>Other current assets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(8,983)</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Inventories</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(15,484)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(17,380)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80"/>
              <w:spacing w:after="0"/>
              <w:rPr>
                <w:sz w:val="20"/>
                <w:szCs w:val="20"/>
                <w:color w:val="auto"/>
              </w:rPr>
            </w:pPr>
            <w:r>
              <w:rPr>
                <w:rFonts w:ascii="Arial" w:cs="Arial" w:eastAsia="Arial" w:hAnsi="Arial"/>
                <w:sz w:val="18"/>
                <w:szCs w:val="18"/>
                <w:b w:val="1"/>
                <w:bCs w:val="1"/>
                <w:color w:val="auto"/>
              </w:rPr>
              <w:t>Trade accounts payable</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(14,568</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(12,950</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Deferred revenue and customers' advances</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16,207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80"/>
              <w:spacing w:after="0"/>
              <w:rPr>
                <w:sz w:val="20"/>
                <w:szCs w:val="20"/>
                <w:color w:val="auto"/>
              </w:rPr>
            </w:pPr>
            <w:r>
              <w:rPr>
                <w:rFonts w:ascii="Arial" w:cs="Arial" w:eastAsia="Arial" w:hAnsi="Arial"/>
                <w:sz w:val="18"/>
                <w:szCs w:val="18"/>
                <w:b w:val="1"/>
                <w:bCs w:val="1"/>
                <w:color w:val="auto"/>
              </w:rPr>
              <w:t>Employee related liabilities and other current liabilities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19,696</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Long-term employee related liabilities</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8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3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(13,212</w:t>
            </w: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(1,870</w:t>
            </w: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180,663</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134,939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(105,599</w:t>
            </w: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(125,444</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b w:val="1"/>
                <w:bCs w:val="1"/>
                <w:color w:val="auto"/>
                <w:w w:val="90"/>
              </w:rPr>
              <w:t>Investments in deposits, marketable securities and other assets, net</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(18,666</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(78,786</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3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(124,265)</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(204,230)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b w:val="1"/>
                <w:bCs w:val="1"/>
                <w:color w:val="auto"/>
              </w:rPr>
              <w:t>Loans repayment</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(11,163)</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Principal payments on account of capital lease obligation</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(17,903)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b w:val="1"/>
                <w:bCs w:val="1"/>
                <w:color w:val="auto"/>
              </w:rPr>
              <w:t>Debentures repayment</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(20,078)</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financing activities</w:t>
            </w:r>
          </w:p>
        </w:tc>
        <w:tc>
          <w:tcPr>
            <w:tcW w:w="3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(48,780)</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(27,983)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3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(3,546)</w:t>
            </w:r>
          </w:p>
        </w:tc>
        <w:tc>
          <w:tcPr>
            <w:tcW w:w="3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40" w:type="dxa"/>
            <w:vAlign w:val="bottom"/>
            <w:tcBorders>
              <w:top w:val="single" w:sz="8" w:color="CCEEFF"/>
            </w:tcBorders>
          </w:tcPr>
          <w:p>
            <w:pPr>
              <w:spacing w:after="0"/>
              <w:rPr>
                <w:sz w:val="17"/>
                <w:szCs w:val="17"/>
                <w:color w:val="auto"/>
              </w:rPr>
            </w:pPr>
          </w:p>
        </w:tc>
        <w:tc>
          <w:tcPr>
            <w:tcW w:w="3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4,072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(96,768)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3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211,683</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355,561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3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215,755</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3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440" w:type="dxa"/>
            <w:vAlign w:val="bottom"/>
            <w:vMerge w:val="continue"/>
          </w:tcPr>
          <w:p>
            <w:pPr>
              <w:spacing w:after="0"/>
              <w:rPr>
                <w:sz w:val="24"/>
                <w:szCs w:val="24"/>
                <w:color w:val="auto"/>
              </w:rPr>
            </w:pPr>
          </w:p>
        </w:tc>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4"/>
                <w:szCs w:val="24"/>
                <w:color w:val="auto"/>
              </w:rPr>
            </w:pPr>
          </w:p>
        </w:tc>
        <w:tc>
          <w:tcPr>
            <w:tcW w:w="3260" w:type="dxa"/>
            <w:vAlign w:val="bottom"/>
            <w:gridSpan w:val="2"/>
          </w:tcPr>
          <w:p>
            <w:pPr>
              <w:jc w:val="right"/>
              <w:ind w:right="2920"/>
              <w:spacing w:after="0"/>
              <w:rPr>
                <w:sz w:val="20"/>
                <w:szCs w:val="20"/>
                <w:color w:val="auto"/>
              </w:rPr>
            </w:pPr>
            <w:r>
              <w:rPr>
                <w:rFonts w:ascii="Arial" w:cs="Arial" w:eastAsia="Arial" w:hAnsi="Arial"/>
                <w:sz w:val="18"/>
                <w:szCs w:val="18"/>
                <w:color w:val="auto"/>
                <w:w w:val="86"/>
              </w:rPr>
              <w:t>F - 6</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tcBorders>
              <w:bottom w:val="single" w:sz="8" w:color="EEEEEE"/>
            </w:tcBorders>
          </w:tcPr>
          <w:p>
            <w:pPr>
              <w:spacing w:after="0"/>
              <w:rPr>
                <w:sz w:val="17"/>
                <w:szCs w:val="17"/>
                <w:color w:val="auto"/>
              </w:rPr>
            </w:pPr>
          </w:p>
        </w:tc>
        <w:tc>
          <w:tcPr>
            <w:tcW w:w="30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CASH FLOWS (UNAUDITED) </w:t>
      </w:r>
      <w:r>
        <w:rPr>
          <w:rFonts w:ascii="Arial" w:cs="Arial" w:eastAsia="Arial" w:hAnsi="Arial"/>
          <w:sz w:val="18"/>
          <w:szCs w:val="18"/>
          <w:color w:val="auto"/>
        </w:rPr>
        <w:t>(dollars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8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16"/>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56"/>
        </w:trPr>
        <w:tc>
          <w:tcPr>
            <w:tcW w:w="8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74,142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71,967</w:t>
            </w:r>
          </w:p>
        </w:tc>
      </w:tr>
      <w:tr>
        <w:trPr>
          <w:trHeight w:val="197"/>
        </w:trPr>
        <w:tc>
          <w:tcPr>
            <w:tcW w:w="84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56"/>
        </w:trPr>
        <w:tc>
          <w:tcPr>
            <w:tcW w:w="8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Cash received during the period from interest,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197"/>
        </w:trPr>
        <w:tc>
          <w:tcPr>
            <w:tcW w:w="844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Cash paid during the period for income taxes, net</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5,016</w:t>
            </w:r>
          </w:p>
        </w:tc>
        <w:tc>
          <w:tcPr>
            <w:tcW w:w="20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2,149</w:t>
            </w:r>
          </w:p>
        </w:tc>
      </w:tr>
      <w:tr>
        <w:trPr>
          <w:trHeight w:val="20"/>
        </w:trPr>
        <w:tc>
          <w:tcPr>
            <w:tcW w:w="8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1</w:t>
        <w:tab/>
        <w:t>-</w:t>
      </w:r>
      <w:r>
        <w:rPr>
          <w:sz w:val="20"/>
          <w:szCs w:val="20"/>
          <w:color w:val="auto"/>
        </w:rPr>
        <w:tab/>
      </w:r>
      <w:r>
        <w:rPr>
          <w:rFonts w:ascii="Arial" w:cs="Arial" w:eastAsia="Arial" w:hAnsi="Arial"/>
          <w:sz w:val="17"/>
          <w:szCs w:val="17"/>
          <w:b w:val="1"/>
          <w:bCs w:val="1"/>
          <w:color w:val="auto"/>
        </w:rPr>
        <w:t>GENERAL</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Basis for Presentation</w:t>
      </w:r>
    </w:p>
    <w:p>
      <w:pPr>
        <w:spacing w:after="0" w:line="216"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The unaudited condensed interim consolidated financial statements of Tower Semiconductor Ltd. (“Tower”) as of June 30, 2021 include the financial statements of Tower and (i) its wholly-owned subsidiary Tower US Holdings Inc., the sole owner of: (1) Tower Semiconductor NPB Holdings, Inc. and its wholly-owned subsidiary, Tower Semiconductor Newport Beach, Inc. and (2) Tower Semiconductor San Antonio, Inc. and (ii) its 51% owned subsidiary, Tower Partners Semiconductor Co., Ltd. (“TPSCo”). Tower and its subsidiaries are collectively referred to as the “Company”.</w:t>
      </w:r>
    </w:p>
    <w:p>
      <w:pPr>
        <w:spacing w:after="0" w:line="174" w:lineRule="exact"/>
        <w:rPr>
          <w:sz w:val="20"/>
          <w:szCs w:val="20"/>
          <w:color w:val="auto"/>
        </w:rPr>
      </w:pPr>
    </w:p>
    <w:p>
      <w:pPr>
        <w:jc w:val="both"/>
        <w:ind w:left="1080"/>
        <w:spacing w:after="0" w:line="308" w:lineRule="auto"/>
        <w:rPr>
          <w:sz w:val="20"/>
          <w:szCs w:val="20"/>
          <w:color w:val="auto"/>
        </w:rPr>
      </w:pPr>
      <w:r>
        <w:rPr>
          <w:rFonts w:ascii="Arial" w:cs="Arial" w:eastAsia="Arial" w:hAnsi="Arial"/>
          <w:sz w:val="17"/>
          <w:szCs w:val="17"/>
          <w:color w:val="auto"/>
        </w:rPr>
        <w:t>The Company’s unaudited condensed interim consolidated financial statements are presented after elimination of inter-company transactions and balances and are presented in accordance with U.S. generally accepted accounting principles (“US GAAP”).</w:t>
      </w:r>
    </w:p>
    <w:p>
      <w:pPr>
        <w:spacing w:after="0" w:line="119" w:lineRule="exact"/>
        <w:rPr>
          <w:sz w:val="20"/>
          <w:szCs w:val="20"/>
          <w:color w:val="auto"/>
        </w:rPr>
      </w:pPr>
    </w:p>
    <w:p>
      <w:pPr>
        <w:jc w:val="both"/>
        <w:ind w:left="1080"/>
        <w:spacing w:after="0" w:line="308" w:lineRule="auto"/>
        <w:rPr>
          <w:sz w:val="20"/>
          <w:szCs w:val="20"/>
          <w:color w:val="auto"/>
        </w:rPr>
      </w:pPr>
      <w:r>
        <w:rPr>
          <w:rFonts w:ascii="Arial" w:cs="Arial" w:eastAsia="Arial" w:hAnsi="Arial"/>
          <w:sz w:val="17"/>
          <w:szCs w:val="17"/>
          <w:color w:val="auto"/>
        </w:rPr>
        <w:t>The unaudited condensed interim consolidated financial statements of the Company should be read in conjunction with the audited consolidated financial statements of the Company as of December 31, 2020 and for the year then ended, including the notes thereto.</w:t>
      </w:r>
    </w:p>
    <w:p>
      <w:pPr>
        <w:spacing w:after="0" w:line="133"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In the opinion of the Company's management, the unaudited condensed interim consolidated financial statements include all adjustments necessary for a fair presentation of the Company’s financial position as of the dates presented and results of operations for the interim periods presented. The results of operations for the interim periods are not necessarily indicative of the results to be expected on a full-year basis.</w:t>
      </w:r>
    </w:p>
    <w:p>
      <w:pPr>
        <w:spacing w:after="0" w:line="169"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INITIAL ADOPTION OF NEW STANDARDS</w:t>
      </w:r>
    </w:p>
    <w:p>
      <w:pPr>
        <w:spacing w:after="0" w:line="202" w:lineRule="exact"/>
        <w:rPr>
          <w:sz w:val="20"/>
          <w:szCs w:val="20"/>
          <w:color w:val="auto"/>
        </w:rPr>
      </w:pPr>
    </w:p>
    <w:p>
      <w:pPr>
        <w:jc w:val="both"/>
        <w:ind w:left="1080"/>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 Simplifying the Accounting for Income Taxes”</w:t>
      </w:r>
      <w:r>
        <w:rPr>
          <w:rFonts w:ascii="Arial" w:cs="Arial" w:eastAsia="Arial" w:hAnsi="Arial"/>
          <w:sz w:val="17"/>
          <w:szCs w:val="17"/>
          <w:color w:val="auto"/>
        </w:rPr>
        <w:t xml:space="preserve"> (“Topic 740”).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became effective on January 1, 2021 and has been initially adopted by the Company on such date, which adoption resulted in no material effect on the Company’s consolidated financial statements.</w:t>
      </w:r>
    </w:p>
    <w:p>
      <w:pPr>
        <w:spacing w:after="0" w:line="159"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3</w:t>
        <w:tab/>
        <w:t>-</w:t>
        <w:tab/>
        <w:t>RECENT DEVELOPMENTS</w:t>
      </w:r>
    </w:p>
    <w:p>
      <w:pPr>
        <w:spacing w:after="0" w:line="216" w:lineRule="exact"/>
        <w:rPr>
          <w:sz w:val="20"/>
          <w:szCs w:val="20"/>
          <w:color w:val="auto"/>
        </w:rPr>
      </w:pPr>
    </w:p>
    <w:p>
      <w:pPr>
        <w:jc w:val="both"/>
        <w:ind w:left="1080"/>
        <w:spacing w:after="0" w:line="271" w:lineRule="auto"/>
        <w:rPr>
          <w:sz w:val="20"/>
          <w:szCs w:val="20"/>
          <w:color w:val="auto"/>
        </w:rPr>
      </w:pPr>
      <w:r>
        <w:rPr>
          <w:rFonts w:ascii="Arial" w:cs="Arial" w:eastAsia="Arial" w:hAnsi="Arial"/>
          <w:sz w:val="17"/>
          <w:szCs w:val="17"/>
          <w:color w:val="auto"/>
        </w:rPr>
        <w:t>In June 2021, the Company signed a definitive agreement with STMicroelectronics, an independent device manufacturer and a global semiconductor company serving customers across the spectrum of electronics applications ("ST"), to collaborate for an accelerated ramp-up of a 12-inch (300mm) state-of-the-art manufacturing facility, which is under construction in Agrate Brianza site in Italy. To implement this project, Tower is establishing a fully owned subsidiary in Italy (“TSIT”). ST and TSIT will share the clean room space and the facility infrastructure, with TSIT installing its own equipment in one third of the total space. Both companies will make significant investments in their respective process equipment and work together on the acceleration of the fab technology and equipment qualifications and subsequent manufacturing ramp-up, a key factor to reach a high utilization level and therefore a competitive wafer cost structure. Operations will continue to be managed by ST and the fab’s cost will be shared between the parties.</w:t>
      </w:r>
    </w:p>
    <w:p>
      <w:pPr>
        <w:spacing w:after="0" w:line="151" w:lineRule="exact"/>
        <w:rPr>
          <w:sz w:val="20"/>
          <w:szCs w:val="20"/>
          <w:color w:val="auto"/>
        </w:rPr>
      </w:pPr>
    </w:p>
    <w:p>
      <w:pPr>
        <w:jc w:val="both"/>
        <w:ind w:left="1080"/>
        <w:spacing w:after="0" w:line="263" w:lineRule="auto"/>
        <w:rPr>
          <w:sz w:val="20"/>
          <w:szCs w:val="20"/>
          <w:color w:val="auto"/>
        </w:rPr>
      </w:pPr>
      <w:r>
        <w:rPr>
          <w:rFonts w:ascii="Arial" w:cs="Arial" w:eastAsia="Arial" w:hAnsi="Arial"/>
          <w:sz w:val="18"/>
          <w:szCs w:val="18"/>
          <w:color w:val="auto"/>
        </w:rPr>
        <w:t>The products of the fab will be used in automotive, industrial and personal electronics applications and markets, and the manufacturing technologies of the fab are expected to include 130, 90 and 65nm processes for smart power, analog mixed signal, displays and analog RF processes.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ind w:left="101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MANAGEMENT’S DISCUSSION AND ANALYSIS OF FINANCIAL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 AND RESULTS OF OPERATIONS</w:t>
      </w:r>
    </w:p>
    <w:p>
      <w:pPr>
        <w:spacing w:after="0" w:line="29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i w:val="1"/>
          <w:iCs w:val="1"/>
          <w:color w:val="auto"/>
        </w:rPr>
        <w:t>The information contained in this section should be read in conjunction with (1) our unaudited condensed interim consolidated financial statements as of June 30, 2021 and for the six months then ended and related notes included in this report and (2) our audited consolidated financial statements and related notes included in our Annual Report on Form 20-F for the year ended December 31, 2020 and the other information contained in such annual report, particularly the information in Item 5 - “Operating and Financial Review and Prospects”. Our financial statements have been prepared in accordance with generally accepted accounting principles in the United States (“US GAAP”).</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following table sets forth certain statement of operations data as a percentage of total revenues for the periods indicated:</w:t>
      </w:r>
    </w:p>
    <w:p>
      <w:pPr>
        <w:spacing w:after="0" w:line="218"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79.8</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81.9</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20.2</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23"/>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Financing and other expense, net</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Profit before income tax</w:t>
            </w: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tcPr>
          <w:p>
            <w:pPr>
              <w:spacing w:after="0"/>
              <w:rPr>
                <w:sz w:val="18"/>
                <w:szCs w:val="18"/>
                <w:color w:val="auto"/>
              </w:rPr>
            </w:pPr>
          </w:p>
        </w:tc>
      </w:tr>
      <w:tr>
        <w:trPr>
          <w:trHeight w:val="223"/>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net</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profit</w:t>
            </w: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86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profit attributable to the company</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0"/>
        </w:trPr>
        <w:tc>
          <w:tcPr>
            <w:tcW w:w="8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certain statement of operations data for the periods indicated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610,261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565,783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500,013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143,569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38,838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38,565</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and other expense,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Profit before income tax</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58,157</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38,283</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profit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61,831</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37,505</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(1,433)</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profit attributable to the company</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59,188</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36,072</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23"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Six months ended June 30, 2021 compared to six months ended June 30, 2020</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i w:val="1"/>
          <w:iCs w:val="1"/>
          <w:color w:val="auto"/>
        </w:rPr>
        <w:t xml:space="preserve">Revenues. </w:t>
      </w:r>
      <w:r>
        <w:rPr>
          <w:rFonts w:ascii="Arial" w:cs="Arial" w:eastAsia="Arial" w:hAnsi="Arial"/>
          <w:sz w:val="22"/>
          <w:szCs w:val="22"/>
          <w:color w:val="auto"/>
        </w:rPr>
        <w:t>Revenues for the six months ended June 30, 2021 were $709.4 million, as compared to $610.3 million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six months ended June 30, 2020. The $99.1 million revenue increase is attributed mainly to an increased quantity of products (CMOS silicon wafers) manufactured for our foundry customers from our factories, while our average selling price per product for the six months ended June 30, 2021 was similar to our average selling price per product for the six months ended June 30, 2020.</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Cost of Revenues</w:t>
      </w:r>
      <w:r>
        <w:rPr>
          <w:rFonts w:ascii="Arial" w:cs="Arial" w:eastAsia="Arial" w:hAnsi="Arial"/>
          <w:sz w:val="22"/>
          <w:szCs w:val="22"/>
          <w:color w:val="auto"/>
        </w:rPr>
        <w:t>. Cost of revenues for the six months ended June 30, 2021 amounted to $565.8 million as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$500.0 million for the six months ended June 30, 2020. The $65.8 million increase in manufacturing cost is mainly due to increased quantity of wafers manufactured and shipped to our foundry customers from our factories as described above,which resulted in additional variable and other manufacturing cost.</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Gross Profit</w:t>
      </w:r>
      <w:r>
        <w:rPr>
          <w:rFonts w:ascii="Arial" w:cs="Arial" w:eastAsia="Arial" w:hAnsi="Arial"/>
          <w:sz w:val="22"/>
          <w:szCs w:val="22"/>
          <w:color w:val="auto"/>
        </w:rPr>
        <w:t>. Gross profit for the six months ended June 30, 2021 amounted to $143.6 million as compared to $110.2</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for the six months ended June 30, 2020. The $33.4 million increase in gross profit resulted mainly from the $99.1 million revenue increase, net of the $65.8 million increased cost of revenues, as described above.</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Research and Development</w:t>
      </w:r>
      <w:r>
        <w:rPr>
          <w:rFonts w:ascii="Arial" w:cs="Arial" w:eastAsia="Arial" w:hAnsi="Arial"/>
          <w:sz w:val="22"/>
          <w:szCs w:val="22"/>
          <w:color w:val="auto"/>
        </w:rPr>
        <w:t>. Research and development expense for the six months ended June 30, 2021, amounted to</w:t>
      </w:r>
      <w:r>
        <w:rPr>
          <w:rFonts w:ascii="Arial" w:cs="Arial" w:eastAsia="Arial" w:hAnsi="Arial"/>
          <w:sz w:val="22"/>
          <w:szCs w:val="22"/>
          <w:i w:val="1"/>
          <w:iCs w:val="1"/>
          <w:color w:val="auto"/>
        </w:rPr>
        <w:t xml:space="preserve"> </w:t>
      </w:r>
      <w:r>
        <w:rPr>
          <w:rFonts w:ascii="Arial" w:cs="Arial" w:eastAsia="Arial" w:hAnsi="Arial"/>
          <w:sz w:val="22"/>
          <w:szCs w:val="22"/>
          <w:color w:val="auto"/>
        </w:rPr>
        <w:t>$41.4 million as compared to $38.8 million in the six months ended June 30, 2020. The $2.6 million increase in research and development expense reflects our continuous focus on enhancing our mid-term and long-term products’ development funnel, technology capabilities and future design wins.</w:t>
      </w: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i w:val="1"/>
          <w:iCs w:val="1"/>
          <w:color w:val="auto"/>
        </w:rPr>
        <w:t>Marketing, General and Administrative</w:t>
      </w:r>
      <w:r>
        <w:rPr>
          <w:rFonts w:ascii="Arial" w:cs="Arial" w:eastAsia="Arial" w:hAnsi="Arial"/>
          <w:sz w:val="21"/>
          <w:szCs w:val="21"/>
          <w:color w:val="auto"/>
        </w:rPr>
        <w:t>. Marketing, general and administrative expense for the six months ended June 30,</w:t>
      </w:r>
      <w:r>
        <w:rPr>
          <w:rFonts w:ascii="Arial" w:cs="Arial" w:eastAsia="Arial" w:hAnsi="Arial"/>
          <w:sz w:val="21"/>
          <w:szCs w:val="21"/>
          <w:i w:val="1"/>
          <w:iCs w:val="1"/>
          <w:color w:val="auto"/>
        </w:rPr>
        <w:t xml:space="preserve"> </w:t>
      </w:r>
      <w:r>
        <w:rPr>
          <w:rFonts w:ascii="Arial" w:cs="Arial" w:eastAsia="Arial" w:hAnsi="Arial"/>
          <w:sz w:val="21"/>
          <w:szCs w:val="21"/>
          <w:color w:val="auto"/>
        </w:rPr>
        <w:t>2021 amounted to $35.7 million, an increase of $2.9 million as compared to $32.8 million recorded in the six months ended June 30, 2020, reflecting a reduction in these cost items as a percentage of revenue from 5.4% of revenues for the six months ended June 30, 2020, to 5% of revenues for the six months ended June 30, 2021.</w:t>
      </w:r>
    </w:p>
    <w:p>
      <w:pPr>
        <w:spacing w:after="0" w:line="22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i w:val="1"/>
          <w:iCs w:val="1"/>
          <w:color w:val="auto"/>
        </w:rPr>
        <w:t xml:space="preserve">Operating Profit. </w:t>
      </w:r>
      <w:r>
        <w:rPr>
          <w:rFonts w:ascii="Arial" w:cs="Arial" w:eastAsia="Arial" w:hAnsi="Arial"/>
          <w:sz w:val="19"/>
          <w:szCs w:val="19"/>
          <w:color w:val="auto"/>
        </w:rPr>
        <w:t>Operating profit for the six months ended June 30, 2021 amounted to $66.5 million as compared to</w:t>
      </w:r>
      <w:r>
        <w:rPr>
          <w:rFonts w:ascii="Arial" w:cs="Arial" w:eastAsia="Arial" w:hAnsi="Arial"/>
          <w:sz w:val="19"/>
          <w:szCs w:val="19"/>
          <w:i w:val="1"/>
          <w:iCs w:val="1"/>
          <w:color w:val="auto"/>
        </w:rPr>
        <w:t xml:space="preserve"> </w:t>
      </w:r>
      <w:r>
        <w:rPr>
          <w:rFonts w:ascii="Arial" w:cs="Arial" w:eastAsia="Arial" w:hAnsi="Arial"/>
          <w:sz w:val="19"/>
          <w:szCs w:val="19"/>
          <w:color w:val="auto"/>
        </w:rPr>
        <w:t>$38.6 million for the six months ended June 30, 2020. The $27.9 million increase in operating profit resulted mainly from the $33.4 million increase in gross profit described above, offset by the $2.6 million increase in research and development expense described above and the $2.9 million increase in marketing, general and administrative expense described above.</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 xml:space="preserve">Financing and Other Expense, Net. </w:t>
      </w:r>
      <w:r>
        <w:rPr>
          <w:rFonts w:ascii="Arial" w:cs="Arial" w:eastAsia="Arial" w:hAnsi="Arial"/>
          <w:sz w:val="22"/>
          <w:szCs w:val="22"/>
          <w:color w:val="auto"/>
        </w:rPr>
        <w:t>Financing and other expense, net for the six months ended June 30, 2021 amounted to</w:t>
      </w:r>
      <w:r>
        <w:rPr>
          <w:rFonts w:ascii="Arial" w:cs="Arial" w:eastAsia="Arial" w:hAnsi="Arial"/>
          <w:sz w:val="22"/>
          <w:szCs w:val="22"/>
          <w:i w:val="1"/>
          <w:iCs w:val="1"/>
          <w:color w:val="auto"/>
        </w:rPr>
        <w:t xml:space="preserve"> </w:t>
      </w:r>
      <w:r>
        <w:rPr>
          <w:rFonts w:ascii="Arial" w:cs="Arial" w:eastAsia="Arial" w:hAnsi="Arial"/>
          <w:sz w:val="22"/>
          <w:szCs w:val="22"/>
          <w:color w:val="auto"/>
        </w:rPr>
        <w:t>$8.3 million as compared to $0.3 million for the six months ended June 30, 2020. The increase was mainly due to non-cash financing expenses recorded in the six months ended June 30, 2021 due to JPY-to-USD exchange rate fluctuations during this period, which impacted a JPY denominated balance sheet item.</w:t>
      </w:r>
    </w:p>
    <w:p>
      <w:pPr>
        <w:spacing w:after="0" w:line="2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i w:val="1"/>
          <w:iCs w:val="1"/>
          <w:color w:val="auto"/>
        </w:rPr>
        <w:t>Income Tax Benefit (Expense), Net</w:t>
      </w:r>
      <w:r>
        <w:rPr>
          <w:rFonts w:ascii="Arial" w:cs="Arial" w:eastAsia="Arial" w:hAnsi="Arial"/>
          <w:sz w:val="22"/>
          <w:szCs w:val="22"/>
          <w:color w:val="auto"/>
        </w:rPr>
        <w:t>. Income tax benefit, net for the six months ended June 30, 2021 amounted to $3.7</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as compared to $0.8 million income tax expense, net in the six months ended June 30, 2020. This difference between the income tax benefit (expense), net is associated mainly with the expiration of a deferred tax liability recorded in prior years, offset by higher tax expenses resulting from the higher profit before tax in the six months ended June 30, 2021 as compared to the six months ended June 30, 2020.</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i w:val="1"/>
          <w:iCs w:val="1"/>
          <w:color w:val="auto"/>
        </w:rPr>
        <w:t xml:space="preserve">Net profit. </w:t>
      </w:r>
      <w:r>
        <w:rPr>
          <w:rFonts w:ascii="Arial" w:cs="Arial" w:eastAsia="Arial" w:hAnsi="Arial"/>
          <w:sz w:val="22"/>
          <w:szCs w:val="22"/>
          <w:color w:val="auto"/>
        </w:rPr>
        <w:t>Net profit for the six months ended June 30, 2021 amounted to $61.8 million as compared to a net profit of</w:t>
      </w:r>
      <w:r>
        <w:rPr>
          <w:rFonts w:ascii="Arial" w:cs="Arial" w:eastAsia="Arial" w:hAnsi="Arial"/>
          <w:sz w:val="22"/>
          <w:szCs w:val="22"/>
          <w:i w:val="1"/>
          <w:iCs w:val="1"/>
          <w:color w:val="auto"/>
        </w:rPr>
        <w:t xml:space="preserve"> </w:t>
      </w:r>
      <w:r>
        <w:rPr>
          <w:rFonts w:ascii="Arial" w:cs="Arial" w:eastAsia="Arial" w:hAnsi="Arial"/>
          <w:sz w:val="22"/>
          <w:szCs w:val="22"/>
          <w:color w:val="auto"/>
        </w:rPr>
        <w:t>$37.5 million for the six months ended June 30, 2020. The increase in net profit in the amount of $24.3 million was mainly due to the increase in operating profit and in the tax benefit (expense), net as described above, offset by the increase in financing and other expense, net as described above.</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 xml:space="preserve">Net income attributable to non-controlling interest. </w:t>
      </w:r>
      <w:r>
        <w:rPr>
          <w:rFonts w:ascii="Arial" w:cs="Arial" w:eastAsia="Arial" w:hAnsi="Arial"/>
          <w:sz w:val="22"/>
          <w:szCs w:val="22"/>
          <w:color w:val="auto"/>
        </w:rPr>
        <w:t>Net income attributable to non-controlling interest for the six months</w:t>
      </w:r>
      <w:r>
        <w:rPr>
          <w:rFonts w:ascii="Arial" w:cs="Arial" w:eastAsia="Arial" w:hAnsi="Arial"/>
          <w:sz w:val="22"/>
          <w:szCs w:val="22"/>
          <w:i w:val="1"/>
          <w:iCs w:val="1"/>
          <w:color w:val="auto"/>
        </w:rPr>
        <w:t xml:space="preserve"> </w:t>
      </w:r>
      <w:r>
        <w:rPr>
          <w:rFonts w:ascii="Arial" w:cs="Arial" w:eastAsia="Arial" w:hAnsi="Arial"/>
          <w:sz w:val="22"/>
          <w:szCs w:val="22"/>
          <w:color w:val="auto"/>
        </w:rPr>
        <w:t>ended June 30, 2021 amounted to $2.6 million as compared to $1.4 million in the six months ended June 30, 2020, reflecting an increase in TPSCo’s profitability, of which we hold 51%.</w:t>
      </w:r>
    </w:p>
    <w:p>
      <w:pPr>
        <w:spacing w:after="0" w:line="23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i w:val="1"/>
          <w:iCs w:val="1"/>
          <w:color w:val="auto"/>
        </w:rPr>
        <w:t>Net Profit attributable to the company</w:t>
      </w:r>
      <w:r>
        <w:rPr>
          <w:rFonts w:ascii="Arial" w:cs="Arial" w:eastAsia="Arial" w:hAnsi="Arial"/>
          <w:sz w:val="19"/>
          <w:szCs w:val="19"/>
          <w:color w:val="auto"/>
        </w:rPr>
        <w:t>. Net profit attributable to the company for the six months ended June 30, 2021</w:t>
      </w:r>
      <w:r>
        <w:rPr>
          <w:rFonts w:ascii="Arial" w:cs="Arial" w:eastAsia="Arial" w:hAnsi="Arial"/>
          <w:sz w:val="19"/>
          <w:szCs w:val="19"/>
          <w:i w:val="1"/>
          <w:iCs w:val="1"/>
          <w:color w:val="auto"/>
        </w:rPr>
        <w:t xml:space="preserve"> </w:t>
      </w:r>
      <w:r>
        <w:rPr>
          <w:rFonts w:ascii="Arial" w:cs="Arial" w:eastAsia="Arial" w:hAnsi="Arial"/>
          <w:sz w:val="19"/>
          <w:szCs w:val="19"/>
          <w:color w:val="auto"/>
        </w:rPr>
        <w:t>amounted to $59.2 million as compared to a net profit of $36.1 million for the six months ended June 30, 2020. The increase in net profit attributable to the company in the amount of $23.1 million was mainly due to the increase in the net profit of $24.3 million, offset by the increase in net income attributable to non-controlling interest, of $1.2 million, as described above.</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For details with regards to risks associated with the COVID-19 pandemic and/or risks that may result from the pandemic, see our disclosure under Note 1 to our consolidated financial statements as of December 31, 2020 and the risk factors section in ITEM 3 in our Form 20-F filed on April 30, 2021.</w:t>
      </w:r>
    </w:p>
    <w:p>
      <w:pPr>
        <w:sectPr>
          <w:pgSz w:w="11900" w:h="16838" w:orient="portrait"/>
          <w:cols w:equalWidth="0" w:num="1">
            <w:col w:w="11240"/>
          </w:cols>
          <w:pgMar w:left="320" w:top="126" w:right="339" w:bottom="0" w:gutter="0" w:footer="0" w:header="0"/>
        </w:sectPr>
      </w:pPr>
    </w:p>
    <w:bookmarkStart w:id="14" w:name="page15"/>
    <w:bookmarkEnd w:id="14"/>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Impact of Currency Fluctuations</w:t>
      </w:r>
    </w:p>
    <w:p>
      <w:pPr>
        <w:spacing w:after="0" w:line="293" w:lineRule="exact"/>
        <w:rPr>
          <w:sz w:val="20"/>
          <w:szCs w:val="20"/>
          <w:color w:val="auto"/>
        </w:rPr>
      </w:pPr>
    </w:p>
    <w:p>
      <w:pPr>
        <w:jc w:val="both"/>
        <w:ind w:firstLine="698"/>
        <w:spacing w:after="0" w:line="260" w:lineRule="auto"/>
        <w:rPr>
          <w:sz w:val="20"/>
          <w:szCs w:val="20"/>
          <w:color w:val="auto"/>
        </w:rPr>
      </w:pPr>
      <w:r>
        <w:rPr>
          <w:rFonts w:ascii="Arial" w:cs="Arial" w:eastAsia="Arial" w:hAnsi="Arial"/>
          <w:sz w:val="22"/>
          <w:szCs w:val="22"/>
          <w:color w:val="auto"/>
        </w:rPr>
        <w:t>The Company currently operates in three different regions: Japan, the United States and Israel. The functional currency of our entities in the United States and Israel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4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USD cost of our operations in Israel is influenced by changes in the USD to NIS exchange rate, with respect to costs that are denominated in NIS. During the six months ended June 30, 2021, the USD appreciated against the NIS by 1.4%, as compared to 0.3% appreciation during the six months ended June 30, 2020.</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fluctuation of USD against the NIS can affect our results of operations as it relates to the entity in Israel. Appreciation of the NIS has the effect of increasing the cost, in USD terms, of some of the purchases and labor costs that are denominated in NIS,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USD against the NIS to the extent it relates to non-convertible Series G debentures, which are denominated in NIS.</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majority of TPSCo revenues are denominated in JPY and the majority of TPSCo expenses are in JPY, which limits the exposure to fluctuations of the USD / JPY exchange rate on TPSCo’s results of operations. In order to mitigate a portion of the net exposure to the USD / JPY exchange rate, the Company has engaged in cylinder hedging transactions to contain the currency’s fluctuation within a pre-defined fixed range.</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During the six months ended June 30, 2021, the USD appreciated against the JPY by 7.2%, as compared to 0.7% depreciation during the six months ended June 30, 2020. The net effect of USD appreciation against the JPY on TPSCo’s assets and liabilities denominated in JPY is presented in the Cumulative Translation Adjustment (“CTA”) as part of Other Comprehensive Income (“OCI”) in the balance sheet.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As of June 30, 2021, the Company had an aggregate amount of $215.8 million in cash and cash equivalents, as compared to $211.7 million as of December 31, 2020. The main cash activities during the six months ended June 30, 2021, were: $180.7 million net cash provided by operating activities; $105.6 million invested in property and equipment, net; $18.7 million invested in short-term deposits, marketable securities and other assets, net; and $49.1 million repayment of debt.</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Short-term and long-term debt presented in the balance sheet as of June 30, 2021, included bank loans, debentures, operating leases and capital leases, amounted to $104.1 million and $234.5 million, respectively. As of June 30, 2021, the aggregate principal amount of debentures was $82.0 million and its carrying amount in the balance sheet was $81.1 million, of which $40.4 million was presented as a short-term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2021-08-09T15:47:52Z</dcterms:created>
  <dcterms:modified xsi:type="dcterms:W3CDTF">2021-08-09T15:47:52Z</dcterms:modified>
</cp:coreProperties>
</file>