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June 2008 (No. 3)</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60" w:firstLine="348"/>
        <w:spacing w:after="0" w:line="256" w:lineRule="auto"/>
        <w:rPr>
          <w:sz w:val="20"/>
          <w:szCs w:val="20"/>
          <w:color w:val="auto"/>
        </w:rPr>
      </w:pPr>
      <w:r>
        <w:rPr>
          <w:rFonts w:ascii="Arial" w:cs="Arial" w:eastAsia="Arial" w:hAnsi="Arial"/>
          <w:sz w:val="18"/>
          <w:szCs w:val="18"/>
          <w:color w:val="auto"/>
        </w:rPr>
        <w:t>The Registrant will hold its Special General Meeting of Shareholders on August 7, 2008 at 11:00 a.m. (Israel time) at the Registrant’s offices in Migdal Haemek, Israel. In connection with the meeting, on or about July 1, 2008, the Registrant will mail to shareholders (i) a Notice of Special General Meeting and Proxy Statement and (ii) a Proxy Card. Attached hereto as Exhibits 99.1 and 99.2 are, respectively, the Notice of Special General Meeting and Proxy Statement; Proxy Card.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60" w:type="dxa"/>
            <w:vAlign w:val="bottom"/>
          </w:tcPr>
          <w:p>
            <w:pPr>
              <w:spacing w:after="0"/>
              <w:rPr>
                <w:sz w:val="20"/>
                <w:szCs w:val="20"/>
                <w:color w:val="auto"/>
              </w:rPr>
            </w:pPr>
            <w:r>
              <w:rPr>
                <w:rFonts w:ascii="Arial" w:cs="Arial" w:eastAsia="Arial" w:hAnsi="Arial"/>
                <w:sz w:val="18"/>
                <w:szCs w:val="18"/>
                <w:color w:val="auto"/>
              </w:rPr>
              <w:t>Date: June 26, 2008</w:t>
            </w:r>
          </w:p>
        </w:tc>
        <w:tc>
          <w:tcPr>
            <w:tcW w:w="7860" w:type="dxa"/>
            <w:vAlign w:val="bottom"/>
          </w:tcPr>
          <w:p>
            <w:pPr>
              <w:ind w:left="216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Nati Somekh Gilboa</w:t>
            </w:r>
          </w:p>
        </w:tc>
      </w:tr>
      <w:tr>
        <w:trPr>
          <w:trHeight w:val="222"/>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417"/>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1"/>
        </w:trPr>
        <w:tc>
          <w:tcPr>
            <w:tcW w:w="356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3803650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GENERAL MEETING OF SHAREHOLDERS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7, 2008</w:t>
      </w:r>
    </w:p>
    <w:p>
      <w:pPr>
        <w:spacing w:after="0" w:line="299"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Notice is hereby given that a Special General Meeting (the “Meeting”) of the shareholders of Tower Semiconductor Ltd. (“Tower” or the “Company”), an Israeli company, will be held at the offices of the Company, Shaul Amor Street, Ramat Gavriel Industrial Park, Migdal Haemek, Israel, on Thursday, August 7, 2008, at 11:00 (Israel time) for the following purposes:</w:t>
      </w:r>
    </w:p>
    <w:p>
      <w:pPr>
        <w:spacing w:after="0" w:line="194"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Alex Kornhauser to a three-year term as an external director.</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terms of compensation and the performance-based bonus of our chief executive officer and director Mr. Russell Ellwanger.</w:t>
      </w:r>
    </w:p>
    <w:p>
      <w:pPr>
        <w:spacing w:after="0" w:line="275"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00" w:lineRule="exact"/>
        <w:rPr>
          <w:sz w:val="20"/>
          <w:szCs w:val="20"/>
          <w:color w:val="auto"/>
        </w:rPr>
      </w:pPr>
    </w:p>
    <w:p>
      <w:pPr>
        <w:spacing w:after="0" w:line="26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Shareholders of record at the close of business on July 1, 2008, are entitled to notice of, and to vote at the Meeting. All shareholders are cordially invited to attend the Meeting in person.</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Corporate Secretary.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Dov Moran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June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Migdal Haemek 23105, Israel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GENERAL MEETING OF SHAREHOLDERS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7, 2008</w:t>
      </w:r>
    </w:p>
    <w:p>
      <w:pPr>
        <w:spacing w:after="0" w:line="29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enclosed proxy is being solicited by the board of directors (the “Board of Directors”) of Tower Semiconductor Ltd. (the “Company” or “Tower”) for use at our Special General Meeting of Shareholders (the “Meeting”) to be held on Thursday, August 7, 2008, or at any postponement or adjournment thereof. The record date for determining shareholders entitled to notice of, and to vote at, the Meeting is established as of the close of business on July 1, 2008.</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May 31, 2008, we had outstanding 125,364,021 of our ordinary shares, nominal value New Israeli Shekels (“NIS”) 1.00 (the “Ordinary Shares”).</w:t>
      </w:r>
    </w:p>
    <w:p>
      <w:pPr>
        <w:spacing w:after="0" w:line="248"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We expect to solicit proxies by mail and to mail this proxy statement and the accompanying proxy card to shareholders on or about July 1, 2008.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70"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 Israel, Attention: Corporate Secretary.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w:t>
      </w:r>
    </w:p>
    <w:p>
      <w:pPr>
        <w:sectPr>
          <w:pgSz w:w="11900" w:h="16854" w:orient="portrait"/>
          <w:cols w:equalWidth="0" w:num="1">
            <w:col w:w="11420"/>
          </w:cols>
          <w:pgMar w:left="240" w:top="125" w:right="239" w:bottom="0" w:gutter="0" w:footer="0" w:header="0"/>
        </w:sectPr>
      </w:pPr>
    </w:p>
    <w:bookmarkStart w:id="2" w:name="page3"/>
    <w:bookmarkEnd w:id="2"/>
    <w:p>
      <w:pPr>
        <w:ind w:right="100"/>
        <w:spacing w:after="0" w:line="306" w:lineRule="auto"/>
        <w:rPr>
          <w:sz w:val="20"/>
          <w:szCs w:val="20"/>
          <w:color w:val="auto"/>
        </w:rPr>
      </w:pPr>
      <w:r>
        <w:rPr>
          <w:rFonts w:ascii="Arial" w:cs="Arial" w:eastAsia="Arial" w:hAnsi="Arial"/>
          <w:sz w:val="16"/>
          <w:szCs w:val="16"/>
          <w:color w:val="auto"/>
        </w:rPr>
        <w:t>Meeting. If within half an hour from the time scheduled for the Meeting a quorum is not present, the Meeting shall stand adjourned for one week, to August 14, 2008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Proposal 1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Proposal 2 to be presented at the Meeting requires the affirmative vote of shareholders present in person or by proxy and holding Ordinary Shares amounting in the aggregate to at least a majority of the votes actually cast with respect to such proposal.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SHAREHOLDERS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table and notes thereto set forth information, as of May 31, 2008, concerning the beneficial ownership (as defined in Rule 13d-3 under the Securities Exchange Act of 1934, as amended), and on a diluted basis, of Ordinary Shares by any person who is known to own at least 5% of our Ordinary Shares. On such date, 125,364,021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Percent of Class (Diluted)</w:t>
            </w:r>
          </w:p>
        </w:tc>
      </w:tr>
      <w:tr>
        <w:trPr>
          <w:trHeight w:val="174"/>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Identity of Person or Group</w:t>
            </w:r>
          </w:p>
        </w:tc>
        <w:tc>
          <w:tcPr>
            <w:tcW w:w="160" w:type="dxa"/>
            <w:vAlign w:val="bottom"/>
          </w:tcPr>
          <w:p>
            <w:pPr>
              <w:spacing w:after="0"/>
              <w:rPr>
                <w:sz w:val="15"/>
                <w:szCs w:val="15"/>
                <w:color w:val="auto"/>
              </w:rPr>
            </w:pPr>
          </w:p>
        </w:tc>
        <w:tc>
          <w:tcPr>
            <w:tcW w:w="1560" w:type="dxa"/>
            <w:vAlign w:val="bottom"/>
          </w:tcPr>
          <w:p>
            <w:pPr>
              <w:ind w:left="220"/>
              <w:spacing w:after="0"/>
              <w:rPr>
                <w:sz w:val="20"/>
                <w:szCs w:val="20"/>
                <w:color w:val="auto"/>
              </w:rPr>
            </w:pPr>
            <w:r>
              <w:rPr>
                <w:rFonts w:ascii="Arial" w:cs="Arial" w:eastAsia="Arial" w:hAnsi="Arial"/>
                <w:sz w:val="14"/>
                <w:szCs w:val="14"/>
                <w:b w:val="1"/>
                <w:bCs w:val="1"/>
                <w:color w:val="auto"/>
              </w:rPr>
              <w:t>Amount Owned (1)</w:t>
            </w:r>
          </w:p>
        </w:tc>
        <w:tc>
          <w:tcPr>
            <w:tcW w:w="60" w:type="dxa"/>
            <w:vAlign w:val="bottom"/>
          </w:tcPr>
          <w:p>
            <w:pPr>
              <w:spacing w:after="0"/>
              <w:rPr>
                <w:sz w:val="15"/>
                <w:szCs w:val="15"/>
                <w:color w:val="auto"/>
              </w:rPr>
            </w:pP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w w:val="99"/>
              </w:rPr>
              <w:t>Percent of Class (1)</w:t>
            </w:r>
          </w:p>
        </w:tc>
        <w:tc>
          <w:tcPr>
            <w:tcW w:w="15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w:t>
            </w:r>
          </w:p>
        </w:tc>
      </w:tr>
      <w:tr>
        <w:trPr>
          <w:trHeight w:val="95"/>
        </w:trPr>
        <w:tc>
          <w:tcPr>
            <w:tcW w:w="160" w:type="dxa"/>
            <w:vAlign w:val="bottom"/>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Israel Corporation Ltd.(3)</w:t>
            </w:r>
          </w:p>
        </w:tc>
        <w:tc>
          <w:tcPr>
            <w:tcW w:w="3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101,231,883(4)</w:t>
            </w:r>
          </w:p>
        </w:tc>
        <w:tc>
          <w:tcPr>
            <w:tcW w:w="15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47.68%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SanDisk Corporation(3)</w:t>
            </w:r>
          </w:p>
        </w:tc>
        <w:tc>
          <w:tcPr>
            <w:tcW w:w="3920" w:type="dxa"/>
            <w:vAlign w:val="bottom"/>
          </w:tcPr>
          <w:p>
            <w:pPr>
              <w:jc w:val="right"/>
              <w:ind w:right="412"/>
              <w:spacing w:after="0"/>
              <w:rPr>
                <w:sz w:val="20"/>
                <w:szCs w:val="20"/>
                <w:color w:val="auto"/>
              </w:rPr>
            </w:pPr>
            <w:r>
              <w:rPr>
                <w:rFonts w:ascii="Arial" w:cs="Arial" w:eastAsia="Arial" w:hAnsi="Arial"/>
                <w:sz w:val="18"/>
                <w:szCs w:val="18"/>
                <w:color w:val="auto"/>
              </w:rPr>
              <w:t>19,060,790(5)</w:t>
            </w:r>
          </w:p>
        </w:tc>
        <w:tc>
          <w:tcPr>
            <w:tcW w:w="1560" w:type="dxa"/>
            <w:vAlign w:val="bottom"/>
          </w:tcPr>
          <w:p>
            <w:pPr>
              <w:jc w:val="right"/>
              <w:ind w:right="412"/>
              <w:spacing w:after="0"/>
              <w:rPr>
                <w:sz w:val="20"/>
                <w:szCs w:val="20"/>
                <w:color w:val="auto"/>
              </w:rPr>
            </w:pPr>
            <w:r>
              <w:rPr>
                <w:rFonts w:ascii="Arial" w:cs="Arial" w:eastAsia="Arial" w:hAnsi="Arial"/>
                <w:sz w:val="18"/>
                <w:szCs w:val="18"/>
                <w:color w:val="auto"/>
              </w:rPr>
              <w:t>14.83%</w:t>
            </w:r>
          </w:p>
        </w:tc>
        <w:tc>
          <w:tcPr>
            <w:tcW w:w="11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Macronix International Co. Ltd.(3)</w:t>
            </w:r>
          </w:p>
        </w:tc>
        <w:tc>
          <w:tcPr>
            <w:tcW w:w="3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9,682,485(6)</w:t>
            </w:r>
          </w:p>
        </w:tc>
        <w:tc>
          <w:tcPr>
            <w:tcW w:w="15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Bank Leumi Le-Israel, B.M</w:t>
            </w:r>
          </w:p>
        </w:tc>
        <w:tc>
          <w:tcPr>
            <w:tcW w:w="3920" w:type="dxa"/>
            <w:vAlign w:val="bottom"/>
          </w:tcPr>
          <w:p>
            <w:pPr>
              <w:jc w:val="right"/>
              <w:ind w:right="412"/>
              <w:spacing w:after="0"/>
              <w:rPr>
                <w:sz w:val="20"/>
                <w:szCs w:val="20"/>
                <w:color w:val="auto"/>
              </w:rPr>
            </w:pPr>
            <w:r>
              <w:rPr>
                <w:rFonts w:ascii="Arial" w:cs="Arial" w:eastAsia="Arial" w:hAnsi="Arial"/>
                <w:sz w:val="18"/>
                <w:szCs w:val="18"/>
                <w:color w:val="auto"/>
              </w:rPr>
              <w:t>31,567,372(7)</w:t>
            </w:r>
          </w:p>
        </w:tc>
        <w:tc>
          <w:tcPr>
            <w:tcW w:w="1560" w:type="dxa"/>
            <w:vAlign w:val="bottom"/>
          </w:tcPr>
          <w:p>
            <w:pPr>
              <w:jc w:val="right"/>
              <w:ind w:right="412"/>
              <w:spacing w:after="0"/>
              <w:rPr>
                <w:sz w:val="20"/>
                <w:szCs w:val="20"/>
                <w:color w:val="auto"/>
              </w:rPr>
            </w:pPr>
            <w:r>
              <w:rPr>
                <w:rFonts w:ascii="Arial" w:cs="Arial" w:eastAsia="Arial" w:hAnsi="Arial"/>
                <w:sz w:val="18"/>
                <w:szCs w:val="18"/>
                <w:color w:val="auto"/>
              </w:rPr>
              <w:t>20.12%</w:t>
            </w:r>
          </w:p>
        </w:tc>
        <w:tc>
          <w:tcPr>
            <w:tcW w:w="114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Bank Hapoalim, B.M</w:t>
            </w:r>
          </w:p>
        </w:tc>
        <w:tc>
          <w:tcPr>
            <w:tcW w:w="3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32,037,960(8)</w:t>
            </w:r>
          </w:p>
        </w:tc>
        <w:tc>
          <w:tcPr>
            <w:tcW w:w="15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20.35%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Prisma Investment House Ltd</w:t>
            </w:r>
          </w:p>
        </w:tc>
        <w:tc>
          <w:tcPr>
            <w:tcW w:w="3920" w:type="dxa"/>
            <w:vAlign w:val="bottom"/>
          </w:tcPr>
          <w:p>
            <w:pPr>
              <w:jc w:val="right"/>
              <w:ind w:right="412"/>
              <w:spacing w:after="0"/>
              <w:rPr>
                <w:sz w:val="20"/>
                <w:szCs w:val="20"/>
                <w:color w:val="auto"/>
              </w:rPr>
            </w:pPr>
            <w:r>
              <w:rPr>
                <w:rFonts w:ascii="Arial" w:cs="Arial" w:eastAsia="Arial" w:hAnsi="Arial"/>
                <w:sz w:val="18"/>
                <w:szCs w:val="18"/>
                <w:color w:val="auto"/>
              </w:rPr>
              <w:t>10,055,527(9)</w:t>
            </w:r>
          </w:p>
        </w:tc>
        <w:tc>
          <w:tcPr>
            <w:tcW w:w="1560" w:type="dxa"/>
            <w:vAlign w:val="bottom"/>
          </w:tcPr>
          <w:p>
            <w:pPr>
              <w:jc w:val="right"/>
              <w:ind w:right="412"/>
              <w:spacing w:after="0"/>
              <w:rPr>
                <w:sz w:val="20"/>
                <w:szCs w:val="20"/>
                <w:color w:val="auto"/>
              </w:rPr>
            </w:pPr>
            <w:r>
              <w:rPr>
                <w:rFonts w:ascii="Arial" w:cs="Arial" w:eastAsia="Arial" w:hAnsi="Arial"/>
                <w:sz w:val="18"/>
                <w:szCs w:val="18"/>
                <w:color w:val="auto"/>
              </w:rPr>
              <w:t>7.81%</w:t>
            </w: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holder’s beneficial ownership of all ordinary shares and all securities that the holder has a right to purchase within 60 days.</w:t>
      </w:r>
    </w:p>
    <w:p>
      <w:pPr>
        <w:spacing w:after="0" w:line="252" w:lineRule="exact"/>
        <w:rPr>
          <w:rFonts w:ascii="Arial" w:cs="Arial" w:eastAsia="Arial" w:hAnsi="Arial"/>
          <w:sz w:val="18"/>
          <w:szCs w:val="18"/>
          <w:color w:val="auto"/>
        </w:rPr>
      </w:pPr>
    </w:p>
    <w:p>
      <w:pPr>
        <w:ind w:left="580" w:right="84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other than those which cannot be calculated as of the date of this registration statement, have been exercised by all holders.</w:t>
      </w:r>
    </w:p>
    <w:p>
      <w:pPr>
        <w:spacing w:after="0" w:line="212" w:lineRule="exact"/>
        <w:rPr>
          <w:rFonts w:ascii="Arial" w:cs="Arial" w:eastAsia="Arial" w:hAnsi="Arial"/>
          <w:sz w:val="18"/>
          <w:szCs w:val="18"/>
          <w:color w:val="auto"/>
        </w:rPr>
      </w:pPr>
    </w:p>
    <w:p>
      <w:pPr>
        <w:ind w:left="580" w:right="240" w:hanging="572"/>
        <w:spacing w:after="0" w:line="33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66" w:lineRule="exact"/>
        <w:rPr>
          <w:rFonts w:ascii="Arial" w:cs="Arial" w:eastAsia="Arial" w:hAnsi="Arial"/>
          <w:sz w:val="16"/>
          <w:szCs w:val="16"/>
          <w:color w:val="auto"/>
        </w:rPr>
      </w:pPr>
    </w:p>
    <w:p>
      <w:pPr>
        <w:ind w:left="580" w:right="40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87" w:lineRule="exact"/>
        <w:rPr>
          <w:rFonts w:ascii="Arial" w:cs="Arial" w:eastAsia="Arial" w:hAnsi="Arial"/>
          <w:sz w:val="16"/>
          <w:szCs w:val="16"/>
          <w:color w:val="auto"/>
        </w:rPr>
      </w:pPr>
    </w:p>
    <w:p>
      <w:pPr>
        <w:ind w:left="580" w:right="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SanDisk, represents 15,878,972 shares currently owned by SanDisk and 3,181,818 shares issuable upon conversion of debentures.</w:t>
      </w:r>
    </w:p>
    <w:p>
      <w:pPr>
        <w:spacing w:after="0" w:line="212"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Macronix, represents 8,773,395 shares currently owned by Macronix and 909,090 shares issuable upon conversion of debentures.</w:t>
      </w:r>
    </w:p>
    <w:p>
      <w:pPr>
        <w:spacing w:after="0" w:line="212" w:lineRule="exact"/>
        <w:rPr>
          <w:rFonts w:ascii="Arial" w:cs="Arial" w:eastAsia="Arial" w:hAnsi="Arial"/>
          <w:sz w:val="18"/>
          <w:szCs w:val="18"/>
          <w:color w:val="auto"/>
        </w:rPr>
      </w:pPr>
    </w:p>
    <w:p>
      <w:pPr>
        <w:ind w:left="580" w:right="2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60" w:hanging="572"/>
        <w:spacing w:after="0" w:line="256"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224" w:lineRule="exact"/>
        <w:rPr>
          <w:rFonts w:ascii="Arial" w:cs="Arial" w:eastAsia="Arial" w:hAnsi="Arial"/>
          <w:sz w:val="18"/>
          <w:szCs w:val="18"/>
          <w:color w:val="auto"/>
        </w:rPr>
      </w:pPr>
    </w:p>
    <w:p>
      <w:pPr>
        <w:ind w:left="580" w:right="44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information provided by Prisma represents 6,596,526 shares currently owned by Prisma and 3,459,001 shares issuable upon conversion of debentures.</w:t>
      </w:r>
    </w:p>
    <w:p>
      <w:pPr>
        <w:spacing w:after="0" w:line="200" w:lineRule="exact"/>
        <w:rPr>
          <w:sz w:val="20"/>
          <w:szCs w:val="20"/>
          <w:color w:val="auto"/>
        </w:rPr>
      </w:pPr>
    </w:p>
    <w:p>
      <w:pPr>
        <w:spacing w:after="0" w:line="229"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certain nominees recommended by the Board, the election of a designee of the Israel Corp. to serve as Chairman of the Board (unless agreed to otherwise), and against the election of any other persons to the Board of Directors. In addition, subject to certain exceptions, each party to the agreement agreed to restrictions on the transfer of its shares, including certain rights of first refusal. Nothing in this proxy statement shall be construed as an admission that any of the aforementioned</w:t>
      </w:r>
    </w:p>
    <w:p>
      <w:pPr>
        <w:sectPr>
          <w:pgSz w:w="11900" w:h="16838" w:orient="portrait"/>
          <w:cols w:equalWidth="0" w:num="1">
            <w:col w:w="11420"/>
          </w:cols>
          <w:pgMar w:left="240" w:top="131" w:right="239" w:bottom="0" w:gutter="0" w:footer="0" w:header="0"/>
        </w:sectPr>
      </w:pPr>
    </w:p>
    <w:bookmarkStart w:id="3" w:name="page4"/>
    <w:bookmarkEnd w:id="3"/>
    <w:p>
      <w:pPr>
        <w:ind w:right="380"/>
        <w:spacing w:after="0" w:line="259" w:lineRule="auto"/>
        <w:rPr>
          <w:sz w:val="20"/>
          <w:szCs w:val="20"/>
          <w:color w:val="auto"/>
        </w:rPr>
      </w:pPr>
      <w:r>
        <w:rPr>
          <w:rFonts w:ascii="Arial" w:cs="Arial" w:eastAsia="Arial" w:hAnsi="Arial"/>
          <w:sz w:val="18"/>
          <w:szCs w:val="18"/>
          <w:color w:val="auto"/>
        </w:rPr>
        <w:t>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RELATING TO THE SPECIAL GENERAL MEETING</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EXTERNAL DIRECTOR TO THE BOARD OF DIRECTORS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 FOR A THREE-YEAR TERM</w:t>
      </w:r>
    </w:p>
    <w:p>
      <w:pPr>
        <w:spacing w:after="0" w:line="28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Israeli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employment relationship;</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business or professional relationship maintained on a regular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control;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service as an office holder.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person shall be qualified to serve as an external director only if he or she possesses accounting and financial expertise or professional qualifications. The conditions and criteria for possessing accounting and financial expertise or professional qualifications were recently enacted in regulations promulgated under the Israel Companies Law (Companies Law Regulations (Conditions and Tests for Determining whether a Director has Expertise in Finance and Accounting and whether a Director is Professionally Qualified) – 2005 (the “External Director Qualification Regulations”)).</w:t>
      </w:r>
    </w:p>
    <w:p>
      <w:pPr>
        <w:spacing w:after="0" w:line="167"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14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initial term of an external director is three years and may be extended for additional three-year periods.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Company’s Board of Directors has nominated Mr. Alex Kornhauser for election as an external director to fill the vacancy that was created by the expiration of Mr. Hans Rohrer’s appointment (effective April 21, 2008) to serve for a period of three years. Set forth below is certain information concerning Mr. Alex Kornhauser:</w:t>
      </w:r>
    </w:p>
    <w:p>
      <w:pPr>
        <w:spacing w:after="0" w:line="188"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Alex Kornhauser</w:t>
      </w:r>
      <w:r>
        <w:rPr>
          <w:rFonts w:ascii="Arial" w:cs="Arial" w:eastAsia="Arial" w:hAnsi="Arial"/>
          <w:sz w:val="16"/>
          <w:szCs w:val="16"/>
          <w:color w:val="auto"/>
        </w:rPr>
        <w:t>, age 62, has been serving as Senior VP, GM of Manufacturing at Numonyx Corporation, since March 2008. From January 1978 to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2008, Mr. Kornhauser held many positions at Intel Corporation from design engineer, project manager, department manager, engineering manager and general manager of certain groups, segments and plants. More specifically, from August 2000 to May 2007 he served as Intel Israel Site GM, from January 2006 until March 2008 he served as VP of the Flash Memory Group, from December 2004 to December 2005 Mr. Kornhauser served as VP of TMG NVM Strategic Segment, from January 2001 to November 2004 he served as VP of TMG F18 Plant Manager and from January 1996 to December 2000 he served as F18 General Manager. Mr. Kornhauser holds a B.S. in Electronics from Bucharest Polytechnic Institute in Romania.</w:t>
      </w:r>
    </w:p>
    <w:p>
      <w:pPr>
        <w:spacing w:after="0" w:line="17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Board of Directors has determined that Mr. Alex Kornhauser has the requisite professional qualifications under the External Director Qualification Regulations. Mr. Alex Kornhauser qualifies as an independent director under Nasdaq.</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“RESOLVED to elect Mr. Alex Kornhauseras an external director of the Company for a three-year term commencing August 7, 2008.”</w:t>
      </w:r>
    </w:p>
    <w:p>
      <w:pPr>
        <w:spacing w:after="0" w:line="200" w:lineRule="exact"/>
        <w:rPr>
          <w:sz w:val="20"/>
          <w:szCs w:val="20"/>
          <w:color w:val="auto"/>
        </w:rPr>
      </w:pPr>
    </w:p>
    <w:p>
      <w:pPr>
        <w:spacing w:after="0" w:line="32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election of Mr. Kornhauser as an external director of the Company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right="560"/>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election of Mr. Alex Kornhauser as an external director of the Company for a three-year term commencing August 7, 2008.</w:t>
      </w:r>
    </w:p>
    <w:p>
      <w:pPr>
        <w:sectPr>
          <w:pgSz w:w="11900" w:h="16838" w:orient="portrait"/>
          <w:cols w:equalWidth="0" w:num="1">
            <w:col w:w="11400"/>
          </w:cols>
          <w:pgMar w:left="240" w:top="131" w:right="259" w:bottom="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293" w:lineRule="exact"/>
        <w:rPr>
          <w:sz w:val="20"/>
          <w:szCs w:val="20"/>
          <w:color w:val="auto"/>
        </w:rPr>
      </w:pPr>
    </w:p>
    <w:p>
      <w:pPr>
        <w:jc w:val="center"/>
        <w:ind w:left="260" w:right="2500"/>
        <w:spacing w:after="0" w:line="262" w:lineRule="auto"/>
        <w:rPr>
          <w:sz w:val="20"/>
          <w:szCs w:val="20"/>
          <w:color w:val="auto"/>
        </w:rPr>
      </w:pPr>
      <w:r>
        <w:rPr>
          <w:rFonts w:ascii="Arial" w:cs="Arial" w:eastAsia="Arial" w:hAnsi="Arial"/>
          <w:sz w:val="18"/>
          <w:szCs w:val="18"/>
          <w:b w:val="1"/>
          <w:bCs w:val="1"/>
          <w:color w:val="auto"/>
        </w:rPr>
        <w:t>PROPOSAL TO APPROVE THE TERMS OF COMPENSATION AND THE PERFORMANCE-BASED BONUS OF OUR CHIEF EXECUTIVE OFFICER AND DIRECTOR</w:t>
      </w:r>
    </w:p>
    <w:p>
      <w:pPr>
        <w:spacing w:after="0" w:line="27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Mr. Russell Ellwanger has served as the Company’s Chief Executive Officer and director and as Chief Executive Officer and Chairman of the Board of Directors of the Company’s wholly-owned subsidiary, Tower Semiconductor USA, Inc., since May 2005. Under Israeli law, the terms of service of officers which also serve as members of the Board of Directors of the Company and modifications to such terms of service, require the approval of the Audit Committee, Board of Directors and shareholders of the Company, in such order.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Audit Committee and the Board of Directors of the Company approved:</w:t>
      </w:r>
    </w:p>
    <w:p>
      <w:pPr>
        <w:spacing w:after="0" w:line="225" w:lineRule="exact"/>
        <w:rPr>
          <w:sz w:val="20"/>
          <w:szCs w:val="20"/>
          <w:color w:val="auto"/>
        </w:rPr>
      </w:pPr>
    </w:p>
    <w:p>
      <w:pPr>
        <w:ind w:left="1160" w:right="120" w:hanging="567"/>
        <w:spacing w:after="0" w:line="268" w:lineRule="auto"/>
        <w:rPr>
          <w:sz w:val="20"/>
          <w:szCs w:val="20"/>
          <w:color w:val="auto"/>
        </w:rPr>
      </w:pPr>
      <w:r>
        <w:rPr>
          <w:rFonts w:ascii="Arial" w:cs="Arial" w:eastAsia="Arial" w:hAnsi="Arial"/>
          <w:sz w:val="18"/>
          <w:szCs w:val="18"/>
          <w:color w:val="auto"/>
        </w:rPr>
        <w:t>—an increase in Mr. Ellwanger’s annual base salary from $505,950 (including social benefits) to $546,765 (including social benefits), effective as of January 1, 2008.</w:t>
      </w:r>
    </w:p>
    <w:p>
      <w:pPr>
        <w:spacing w:after="0" w:line="212" w:lineRule="exact"/>
        <w:rPr>
          <w:sz w:val="20"/>
          <w:szCs w:val="20"/>
          <w:color w:val="auto"/>
        </w:rPr>
      </w:pPr>
    </w:p>
    <w:p>
      <w:pPr>
        <w:ind w:left="1160" w:right="500" w:hanging="567"/>
        <w:spacing w:after="0" w:line="268" w:lineRule="auto"/>
        <w:rPr>
          <w:sz w:val="20"/>
          <w:szCs w:val="20"/>
          <w:color w:val="auto"/>
        </w:rPr>
      </w:pPr>
      <w:r>
        <w:rPr>
          <w:rFonts w:ascii="Arial" w:cs="Arial" w:eastAsia="Arial" w:hAnsi="Arial"/>
          <w:sz w:val="18"/>
          <w:szCs w:val="18"/>
          <w:color w:val="auto"/>
        </w:rPr>
        <w:t>—a performance-based bonus for Mr. Ellwanger up to $673,596 for the year ending December 31, 2008, which shall be calculated as per the following formula using Mr. Ellwanger’s 2008 base salary as a multiplier:</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0.7 (A) (2008 base salary) + 0.3 (B) (2008 base salary), where:</w:t>
      </w:r>
    </w:p>
    <w:p>
      <w:pPr>
        <w:spacing w:after="0" w:line="22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Corporate MBO score as per an MBO plan approved by the Board of Directors of the Company, which score can range from 0.5 to 1.5.</w:t>
      </w:r>
    </w:p>
    <w:p>
      <w:pPr>
        <w:spacing w:after="0" w:line="25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Score to be determined by the Chairman of the Board of Directors of the Company which can range from 0.5 to 1.5.</w:t>
      </w:r>
    </w:p>
    <w:p>
      <w:pPr>
        <w:spacing w:after="0" w:line="200" w:lineRule="exact"/>
        <w:rPr>
          <w:sz w:val="20"/>
          <w:szCs w:val="20"/>
          <w:color w:val="auto"/>
        </w:rPr>
      </w:pPr>
    </w:p>
    <w:p>
      <w:pPr>
        <w:spacing w:after="0" w:line="26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Except as otherwise set forth hereinabove, the terms of compensation of Mr. Ellwanger which were previously approved by the Company’s shareholders shall remain unchanged.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right="540"/>
        <w:spacing w:after="0" w:line="275" w:lineRule="auto"/>
        <w:rPr>
          <w:sz w:val="20"/>
          <w:szCs w:val="20"/>
          <w:color w:val="auto"/>
        </w:rPr>
      </w:pPr>
      <w:r>
        <w:rPr>
          <w:rFonts w:ascii="Arial" w:cs="Arial" w:eastAsia="Arial" w:hAnsi="Arial"/>
          <w:sz w:val="18"/>
          <w:szCs w:val="18"/>
          <w:b w:val="1"/>
          <w:bCs w:val="1"/>
          <w:color w:val="auto"/>
        </w:rPr>
        <w:t>“RESOLVED to approve (i) the terms of compensation; and (ii) the performance-based bonus for 2008, of our chief executive officer and director.”</w:t>
      </w:r>
    </w:p>
    <w:p>
      <w:pPr>
        <w:spacing w:after="0" w:line="200" w:lineRule="exact"/>
        <w:rPr>
          <w:sz w:val="20"/>
          <w:szCs w:val="20"/>
          <w:color w:val="auto"/>
        </w:rPr>
      </w:pPr>
    </w:p>
    <w:p>
      <w:pPr>
        <w:spacing w:after="0" w:line="223"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the terms of compensation and the performance-based bonus of Mr. Russell Ellwanger.</w:t>
      </w:r>
    </w:p>
    <w:p>
      <w:pPr>
        <w:spacing w:after="0" w:line="180"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terms of compensation and the performance-based bonus of Mr. Russell Ellwanger.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United States Securities Exchange Act of 1934 (the “Exchange Act”),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w:t>
      </w:r>
    </w:p>
    <w:p>
      <w:pPr>
        <w:spacing w:after="0" w:line="174" w:lineRule="exact"/>
        <w:rPr>
          <w:sz w:val="20"/>
          <w:szCs w:val="20"/>
          <w:color w:val="auto"/>
        </w:rPr>
      </w:pPr>
    </w:p>
    <w:p>
      <w:pPr>
        <w:ind w:right="260" w:firstLine="341"/>
        <w:spacing w:after="0" w:line="255" w:lineRule="auto"/>
        <w:rPr>
          <w:sz w:val="20"/>
          <w:szCs w:val="20"/>
          <w:color w:val="auto"/>
        </w:rPr>
      </w:pPr>
      <w:r>
        <w:rPr>
          <w:rFonts w:ascii="Arial" w:cs="Arial" w:eastAsia="Arial" w:hAnsi="Arial"/>
          <w:sz w:val="18"/>
          <w:szCs w:val="18"/>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ISA Exemption. </w:t>
      </w:r>
      <w:r>
        <w:rPr>
          <w:rFonts w:ascii="Arial" w:cs="Arial" w:eastAsia="Arial" w:hAnsi="Arial"/>
          <w:sz w:val="16"/>
          <w:szCs w:val="16"/>
          <w:color w:val="auto"/>
        </w:rPr>
        <w:t>With the exception of the reporting obligations applicable to a company organized under the laws of the State of Israel whose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Israel.</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June 26, 2008</w:t>
      </w:r>
    </w:p>
    <w:p>
      <w:pPr>
        <w:sectPr>
          <w:pgSz w:w="11900" w:h="16838" w:orient="portrait"/>
          <w:cols w:equalWidth="0" w:num="1">
            <w:col w:w="11360"/>
          </w:cols>
          <w:pgMar w:left="240" w:top="125" w:right="299" w:bottom="383"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60"/>
          </w:cols>
          <w:pgMar w:left="240" w:top="125" w:right="299" w:bottom="383"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GENERAL MEETING OF SHAREHOLDERS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7, 2008</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Please sign, date and mail</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72020" cy="615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6153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THE BOARD OF DIRECTORS RECOMMENDS A VOTE “FOR” ALL PROPOSALS PLEASE SIGN, DATE AND RETURN PROMPTLY IN THE ENCLOSED ENVELOPE. PLEASE MARK YOUR VOTE IN BLUE OR BLACK INK AS SHOWN HERE</w:t>
      </w:r>
    </w:p>
    <w:p>
      <w:pPr>
        <w:spacing w:after="0" w:line="200" w:lineRule="exact"/>
        <w:rPr>
          <w:sz w:val="20"/>
          <w:szCs w:val="20"/>
          <w:color w:val="auto"/>
        </w:rPr>
      </w:pPr>
    </w:p>
    <w:p>
      <w:pPr>
        <w:spacing w:after="0" w:line="293" w:lineRule="exact"/>
        <w:rPr>
          <w:sz w:val="20"/>
          <w:szCs w:val="20"/>
          <w:color w:val="auto"/>
        </w:rPr>
      </w:pPr>
    </w:p>
    <w:p>
      <w:pPr>
        <w:ind w:left="8400"/>
        <w:spacing w:after="0"/>
        <w:tabs>
          <w:tab w:leader="none" w:pos="9300" w:val="left"/>
          <w:tab w:leader="none" w:pos="10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25" w:lineRule="exact"/>
        <w:rPr>
          <w:sz w:val="20"/>
          <w:szCs w:val="20"/>
          <w:color w:val="auto"/>
        </w:rPr>
      </w:pPr>
    </w:p>
    <w:p>
      <w:pPr>
        <w:ind w:left="4580" w:right="3460" w:hanging="574"/>
        <w:spacing w:after="0" w:line="271" w:lineRule="auto"/>
        <w:tabs>
          <w:tab w:leader="none" w:pos="4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 APPOINT </w:t>
      </w:r>
      <w:r>
        <w:rPr>
          <w:rFonts w:ascii="Arial" w:cs="Arial" w:eastAsia="Arial" w:hAnsi="Arial"/>
          <w:sz w:val="16"/>
          <w:szCs w:val="16"/>
          <w:color w:val="auto"/>
        </w:rPr>
        <w:t>Mr. Alex Kornhauser to a three-year term as an external director of the</w:t>
      </w:r>
    </w:p>
    <w:p>
      <w:pPr>
        <w:spacing w:after="0" w:line="1" w:lineRule="exact"/>
        <w:rPr>
          <w:sz w:val="20"/>
          <w:szCs w:val="20"/>
          <w:color w:val="auto"/>
        </w:rPr>
      </w:pPr>
    </w:p>
    <w:p>
      <w:pPr>
        <w:ind w:left="4580"/>
        <w:spacing w:after="0"/>
        <w:tabs>
          <w:tab w:leader="none" w:pos="8500" w:val="left"/>
          <w:tab w:leader="none" w:pos="9640" w:val="left"/>
          <w:tab w:leader="none" w:pos="107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195" w:lineRule="exact"/>
        <w:rPr>
          <w:sz w:val="20"/>
          <w:szCs w:val="20"/>
          <w:color w:val="auto"/>
        </w:rPr>
      </w:pPr>
    </w:p>
    <w:p>
      <w:pPr>
        <w:ind w:left="4580" w:hanging="574"/>
        <w:spacing w:after="0"/>
        <w:tabs>
          <w:tab w:leader="none" w:pos="4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terms of compensation and</w:t>
      </w:r>
    </w:p>
    <w:p>
      <w:pPr>
        <w:spacing w:after="0" w:line="21" w:lineRule="exact"/>
        <w:rPr>
          <w:sz w:val="20"/>
          <w:szCs w:val="20"/>
          <w:color w:val="auto"/>
        </w:rPr>
      </w:pPr>
    </w:p>
    <w:tbl>
      <w:tblPr>
        <w:tblLayout w:type="fixed"/>
        <w:tblInd w:w="4580" w:type="dxa"/>
        <w:tblCellMar>
          <w:top w:w="0" w:type="dxa"/>
          <w:left w:w="0" w:type="dxa"/>
          <w:bottom w:w="0" w:type="dxa"/>
          <w:right w:w="0" w:type="dxa"/>
        </w:tblCellMar>
      </w:tblP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the performance-based bonus of our chief</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executive officer and director Mr. Russell</w:t>
            </w:r>
          </w:p>
        </w:tc>
        <w:tc>
          <w:tcPr>
            <w:tcW w:w="1140" w:type="dxa"/>
            <w:vAlign w:val="bottom"/>
            <w:vMerge w:val="restart"/>
          </w:tcPr>
          <w:p>
            <w:pPr>
              <w:ind w:left="500"/>
              <w:spacing w:after="0"/>
              <w:rPr>
                <w:sz w:val="20"/>
                <w:szCs w:val="20"/>
                <w:color w:val="auto"/>
              </w:rPr>
            </w:pPr>
            <w:r>
              <w:rPr>
                <w:rFonts w:ascii="Arial" w:cs="Arial" w:eastAsia="Arial" w:hAnsi="Arial"/>
                <w:sz w:val="22"/>
                <w:szCs w:val="22"/>
                <w:color w:val="auto"/>
              </w:rPr>
              <w:t>o</w:t>
            </w:r>
          </w:p>
        </w:tc>
        <w:tc>
          <w:tcPr>
            <w:tcW w:w="1120" w:type="dxa"/>
            <w:vAlign w:val="bottom"/>
            <w:vMerge w:val="restart"/>
          </w:tcPr>
          <w:p>
            <w:pPr>
              <w:ind w:left="500"/>
              <w:spacing w:after="0"/>
              <w:rPr>
                <w:sz w:val="20"/>
                <w:szCs w:val="20"/>
                <w:color w:val="auto"/>
              </w:rPr>
            </w:pPr>
            <w:r>
              <w:rPr>
                <w:rFonts w:ascii="Arial" w:cs="Arial" w:eastAsia="Arial" w:hAnsi="Arial"/>
                <w:sz w:val="22"/>
                <w:szCs w:val="22"/>
                <w:color w:val="auto"/>
              </w:rPr>
              <w:t>o</w:t>
            </w:r>
          </w:p>
        </w:tc>
        <w:tc>
          <w:tcPr>
            <w:tcW w:w="620" w:type="dxa"/>
            <w:vAlign w:val="bottom"/>
            <w:vMerge w:val="restart"/>
          </w:tcPr>
          <w:p>
            <w:pPr>
              <w:ind w:left="52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color w:val="auto"/>
              </w:rPr>
              <w:t>Ellwanger.</w:t>
            </w:r>
          </w:p>
        </w:tc>
        <w:tc>
          <w:tcPr>
            <w:tcW w:w="1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To change the address on your account, please check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box at right and indicate your new address in the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space above. Please note that changes to the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name(s) on the account may not be submitted via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6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of Shareholder: ______________ Date:_______</w:t>
      </w:r>
    </w:p>
    <w:p>
      <w:pPr>
        <w:spacing w:after="0" w:line="225" w:lineRule="exact"/>
        <w:rPr>
          <w:sz w:val="20"/>
          <w:szCs w:val="20"/>
          <w:color w:val="auto"/>
        </w:rPr>
      </w:pPr>
    </w:p>
    <w:p>
      <w:pPr>
        <w:ind w:left="580" w:right="100" w:hanging="580"/>
        <w:spacing w:after="0" w:line="306" w:lineRule="auto"/>
        <w:rPr>
          <w:sz w:val="20"/>
          <w:szCs w:val="20"/>
          <w:color w:val="auto"/>
        </w:rPr>
      </w:pPr>
      <w:r>
        <w:rPr>
          <w:rFonts w:ascii="Arial" w:cs="Arial" w:eastAsia="Arial" w:hAnsi="Arial"/>
          <w:sz w:val="16"/>
          <w:szCs w:val="16"/>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For the Special General Meeting of Shareholders</w:t>
      </w:r>
    </w:p>
    <w:p>
      <w:pPr>
        <w:spacing w:after="0" w:line="14"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To Be Held On Thursday, August 7, 2008</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9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undersigned shareholder of Tower Semiconductor Ltd. (the “Company”) hereby appoints each of Oren Shirazi, Nati Somekh Gilboa and Dina Back Frimer of the Company, each with full power of substitution, the true and lawful attorney, agent and proxy of the undersigned, to vote, as designated on the reverse side, all of the Ordinary Shares of the Company which the undersigned is entitled in any capacity to vote at the Special General Meeting of Shareholders of the Company to be held at the offices of the Company located at Shaul Amor Street, Ramat Gavriel Industrial Park, Migdal Haemek, Israel, on Thursday, August 7, 2008 at 11:00 a.m. (local time) and all adjournments and postponements thereof.</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undersigned hereby acknowledges receipt of the Notice of an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Proposals 1 and 2.</w:t>
      </w:r>
    </w:p>
    <w:p>
      <w:pPr>
        <w:spacing w:after="0" w:line="18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w:t>
      </w:r>
    </w:p>
    <w:p>
      <w:pPr>
        <w:sectPr>
          <w:pgSz w:w="11900" w:h="16838" w:orient="portrait"/>
          <w:cols w:equalWidth="0" w:num="1">
            <w:col w:w="11420"/>
          </w:cols>
          <w:pgMar w:left="240" w:top="125" w:right="239" w:bottom="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t>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18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860"/>
      </w:cols>
      <w:pgMar w:left="240" w:top="13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8"/>
    </w:lvl>
  </w:abstractNum>
  <w:abstractNum w:abstractNumId="3">
    <w:nsid w:val="3D1B58BA"/>
    <w:multiLevelType w:val="hybridMultilevel"/>
    <w:lvl w:ilvl="0">
      <w:lvlJc w:val="left"/>
      <w:lvlText w:val="\emdash "/>
      <w:numFmt w:val="bullet"/>
      <w:start w:val="1"/>
    </w:lvl>
  </w:abstractNum>
  <w:abstractNum w:abstractNumId="4">
    <w:nsid w:val="507ED7AB"/>
    <w:multiLevelType w:val="hybridMultilevel"/>
    <w:lvl w:ilvl="0">
      <w:lvlJc w:val="left"/>
      <w:lvlText w:val="\emdash "/>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2019-12-14T04:14:40Z</dcterms:created>
  <dcterms:modified xsi:type="dcterms:W3CDTF">2019-12-14T04:14:40Z</dcterms:modified>
</cp:coreProperties>
</file>