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month of July 2004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740"/>
        <w:spacing w:after="0"/>
        <w:tabs>
          <w:tab w:leader="none" w:pos="430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2" w:lineRule="exact"/>
        <w:rPr>
          <w:sz w:val="24"/>
          <w:szCs w:val="24"/>
          <w:color w:val="auto"/>
        </w:rPr>
      </w:pP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4"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385" w:lineRule="exact"/>
        <w:rPr>
          <w:sz w:val="24"/>
          <w:szCs w:val="24"/>
          <w:color w:val="auto"/>
        </w:rPr>
      </w:pPr>
    </w:p>
    <w:p>
      <w:pPr>
        <w:jc w:val="both"/>
        <w:ind w:right="2099" w:firstLine="632"/>
        <w:spacing w:after="0" w:line="236" w:lineRule="auto"/>
        <w:rPr>
          <w:sz w:val="20"/>
          <w:szCs w:val="20"/>
          <w:color w:val="auto"/>
        </w:rPr>
      </w:pPr>
      <w:r>
        <w:rPr>
          <w:rFonts w:ascii="Courier New" w:cs="Courier New" w:eastAsia="Courier New" w:hAnsi="Courier New"/>
          <w:sz w:val="18"/>
          <w:szCs w:val="18"/>
          <w:color w:val="auto"/>
        </w:rPr>
        <w:t>On July 13, 2004, the Registrant announced that it is moving forward on 0.13-micron technology with toolset purchase. A copy of the press release is attached hereto.</w:t>
      </w:r>
    </w:p>
    <w:p>
      <w:pPr>
        <w:spacing w:after="0" w:line="209" w:lineRule="exact"/>
        <w:rPr>
          <w:sz w:val="24"/>
          <w:szCs w:val="24"/>
          <w:color w:val="auto"/>
        </w:rPr>
      </w:pPr>
    </w:p>
    <w:p>
      <w:pPr>
        <w:ind w:right="2519" w:firstLine="632"/>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pacing w:after="0" w:line="367"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44" w:right="1440" w:bottom="144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13, 2004</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Tamar Cohen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Tamar Cohen</w:t>
      </w:r>
    </w:p>
    <w:p>
      <w:pPr>
        <w:ind w:left="320"/>
        <w:spacing w:after="0" w:line="238" w:lineRule="auto"/>
        <w:rPr>
          <w:sz w:val="20"/>
          <w:szCs w:val="20"/>
          <w:color w:val="auto"/>
        </w:rPr>
      </w:pPr>
      <w:r>
        <w:rPr>
          <w:rFonts w:ascii="Courier New" w:cs="Courier New" w:eastAsia="Courier New" w:hAnsi="Courier New"/>
          <w:sz w:val="18"/>
          <w:szCs w:val="18"/>
          <w:color w:val="auto"/>
        </w:rPr>
        <w:t>Title: Corporate Secretary</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17" w:right="1440" w:bottom="1440" w:gutter="0" w:footer="0" w:header="0"/>
          <w:type w:val="continuous"/>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TOWER SEMICONDUCTOR MOVES FORWARD ON 0.13-MICRON TECHNOLOGY</w:t>
      </w:r>
    </w:p>
    <w:p>
      <w:pPr>
        <w:jc w:val="center"/>
        <w:ind w:right="1879"/>
        <w:spacing w:after="0" w:line="238" w:lineRule="auto"/>
        <w:rPr>
          <w:sz w:val="20"/>
          <w:szCs w:val="20"/>
          <w:color w:val="auto"/>
        </w:rPr>
      </w:pPr>
      <w:r>
        <w:rPr>
          <w:rFonts w:ascii="Courier New" w:cs="Courier New" w:eastAsia="Courier New" w:hAnsi="Courier New"/>
          <w:sz w:val="18"/>
          <w:szCs w:val="18"/>
          <w:color w:val="auto"/>
        </w:rPr>
        <w:t>WITH TOOLSET PURCHASE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MIGDAL HAEMEK, Israel - July 13, 2004 - Tower Semiconductor Ltd. (NASDAQ: TSEM;</w:t>
      </w:r>
    </w:p>
    <w:p>
      <w:pPr>
        <w:spacing w:after="0" w:line="2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TASE: TSEM) today announced that it expects to ramp production of 0.13-micron technology node in Fab 2 early next year. The company has ordered the first toolset to equip Fab 2 to manufacture next-generation devices.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"Tower is firmly on course for a timely migration to the 0.13-micron industry standard technology node," said Doron Simon, president of Tower USA. "We have proven silicon and stable yield performance at Motorola's fab and our team has begun transferring the technology to Tower. We are now qualifying initial IP's and are in discussions with lead customers for ramping this technology node at Tower's Fab 2."</w:t>
      </w: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advanced-systems purchases include a 193nm scanner and additional tools, supporting all-copper process technology with the capability to manufacture 0.13-micron and below technology nodes.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Including the previously ordered tools to increase 0.18-micron production capacity for Fab 2 and an initial ramp of 0.13-micron capacity, Tower expects capital-equipment expenditures to be between $150 million and $200 million this year.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16,000 150mm wafers per month. Fab 2 features 0.18-micron and below process technologies, including foundry-standard technology. When complete, Fab 2 is expected to offer full production capacity of 33,000 200mm wafers per month. The Tower Web site is located at www.towersemi.com.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press release includes forward-looking statements, which are subject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and uncertainties. Actual results may vary from those projected or implied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such forward-looking statements. Potential risks and uncertainties include,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without limitation, risks and uncertainties associated with: (i) the successful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completion of the 0.13 micron process technology transfer (ii) market demand 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0.13 micron technology manufacturing services; (iii) final qualification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0.13 micron process (iv) timely and successful installation and qualification of</w:t>
      </w:r>
    </w:p>
    <w:p>
      <w:pPr>
        <w:spacing w:after="0" w:line="2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0.13 micron production equipment; A more complete discussion of risks and uncertainties that may affect the accuracy of forward-looking statements included in this press release or which may otherwise affect our business is included under the heading "Risk Factors" in our most recent Annual Report on Form 20-F and in our Form F-3, as amended, as were filed with the Securities and Exchange Commission and the Israel Securities Authority.</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Agency Contact</w:t>
            </w:r>
          </w:p>
        </w:tc>
        <w:tc>
          <w:tcPr>
            <w:tcW w:w="3280" w:type="dxa"/>
            <w:vAlign w:val="bottom"/>
          </w:tcPr>
          <w:p>
            <w:pPr>
              <w:ind w:left="320"/>
              <w:spacing w:after="0"/>
              <w:rPr>
                <w:sz w:val="20"/>
                <w:szCs w:val="20"/>
                <w:color w:val="auto"/>
              </w:rPr>
            </w:pPr>
            <w:r>
              <w:rPr>
                <w:rFonts w:ascii="Courier New" w:cs="Courier New" w:eastAsia="Courier New" w:hAnsi="Courier New"/>
                <w:sz w:val="18"/>
                <w:szCs w:val="18"/>
                <w:color w:val="auto"/>
              </w:rPr>
              <w:t>Tower Contact</w:t>
            </w:r>
          </w:p>
        </w:tc>
        <w:tc>
          <w:tcPr>
            <w:tcW w:w="2620" w:type="dxa"/>
            <w:vAlign w:val="bottom"/>
          </w:tcPr>
          <w:p>
            <w:pPr>
              <w:ind w:left="300"/>
              <w:spacing w:after="0"/>
              <w:rPr>
                <w:sz w:val="20"/>
                <w:szCs w:val="20"/>
                <w:color w:val="auto"/>
              </w:rPr>
            </w:pPr>
            <w:r>
              <w:rPr>
                <w:rFonts w:ascii="Courier New" w:cs="Courier New" w:eastAsia="Courier New" w:hAnsi="Courier New"/>
                <w:sz w:val="18"/>
                <w:szCs w:val="18"/>
                <w:color w:val="auto"/>
              </w:rPr>
              <w:t>Investor Relations</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Julie Lass</w:t>
            </w:r>
          </w:p>
        </w:tc>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Michael Axelrod</w:t>
            </w: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Sheldon Lutch</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Loomis Group</w:t>
            </w:r>
          </w:p>
        </w:tc>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Tower USA</w:t>
            </w: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Fusion IR</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512.328.8855</w:t>
            </w:r>
          </w:p>
        </w:tc>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408.330.6871</w:t>
            </w: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212.268.1816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lassj@loomisgroup.com</w:t>
            </w:r>
          </w:p>
        </w:tc>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michaelax@towersemi.com</w:t>
            </w: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sheldon@fusionir.com</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2740" w:type="dxa"/>
            <w:vAlign w:val="bottom"/>
          </w:tcPr>
          <w:p>
            <w:pPr>
              <w:spacing w:after="0"/>
              <w:rPr>
                <w:sz w:val="24"/>
                <w:szCs w:val="24"/>
                <w:color w:val="auto"/>
              </w:rPr>
            </w:pPr>
          </w:p>
        </w:tc>
        <w:tc>
          <w:tcPr>
            <w:tcW w:w="3280" w:type="dxa"/>
            <w:vAlign w:val="bottom"/>
          </w:tcPr>
          <w:p>
            <w:pPr>
              <w:ind w:left="1380"/>
              <w:spacing w:after="0"/>
              <w:rPr>
                <w:sz w:val="20"/>
                <w:szCs w:val="20"/>
                <w:color w:val="auto"/>
              </w:rPr>
            </w:pPr>
            <w:r>
              <w:rPr>
                <w:rFonts w:ascii="Courier New" w:cs="Courier New" w:eastAsia="Courier New" w:hAnsi="Courier New"/>
                <w:sz w:val="18"/>
                <w:szCs w:val="18"/>
                <w:color w:val="auto"/>
              </w:rPr>
              <w:t>5</w:t>
            </w:r>
          </w:p>
        </w:tc>
        <w:tc>
          <w:tcPr>
            <w:tcW w:w="26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2019-12-14T04:16:12Z</dcterms:created>
  <dcterms:modified xsi:type="dcterms:W3CDTF">2019-12-14T04:16:12Z</dcterms:modified>
</cp:coreProperties>
</file>