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 the month of July 2012 No. 4</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20"/>
        <w:spacing w:after="0"/>
        <w:tabs>
          <w:tab w:leader="none" w:pos="60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549"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On July 30, 2012, the registrant issued a press release announcing the ratio for its reverse share split.</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This Form 6-K is being incorporated by reference into all effective registration statements filed by us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438785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40"/>
          </w:cols>
          <w:pgMar w:left="900" w:top="49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July 30, 2012</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3"/>
          <w:szCs w:val="23"/>
          <w:b w:val="1"/>
          <w:bCs w:val="1"/>
          <w:color w:val="auto"/>
        </w:rPr>
        <w:t>TowerJazz Announces Reverse Share Split Ratio</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MIGDAL HAEMEK, Israel – July 30, 2012 </w:t>
      </w:r>
      <w:r>
        <w:rPr>
          <w:rFonts w:ascii="Arial" w:cs="Arial" w:eastAsia="Arial" w:hAnsi="Arial"/>
          <w:sz w:val="18"/>
          <w:szCs w:val="18"/>
          <w:color w:val="auto"/>
        </w:rPr>
        <w:t>– TowerJazz (Nasdaq: TSEM; TASE: TSEM), the global specialty foundry leader, today announced that its</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has approved a reverse split of its ordinary shares at a ratio of 1-for-15. The reverse split will reduce the number of outstanding ordinary shares of the Company to approximately 22 million shares. Fractional shares as a result of the reverse share split will be rounded up to the next whole number. Proportional adjustments will be made to all of TowerJazz’s outstanding convertible securities.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reverse share split is intended to enable TowerJazz to regain compliance with the NASDAQ minimum bid requirement to maintain the Company's stock listing on NASDAQ.</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ordinary shares will begin trading on a split-adjusted basis on NASDAQ commencing August 6, 2012 and on the Tel Aviv Stock Exchange commencing August 5, 2012, subject to the approval of the company’s shareholders on Thursday, August 2, 2012.</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Russell Ellwanger, CEO of TowerJazz, commented: “The reverse split action is being done for the benefit of our shareholders - it is intended to enable continued US investment and analysts' coverage by regaining our listing on NASDAQ, while continuing to be traded on the Tel Aviv Stock Exchange. We as well expect this action to create new opportunities for us with large size institutional investors and analysts as we continue to extend our leadership as the number one global specialty foundry”.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the global specialty foundry leader, its fully owned U.S. subsidiary Jazz Semiconductor Ltd., and its fully owned Japanese subsidiary TowerJazz Japan, LTD,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multi-fab sourcing, TowerJazz maintains two manufacturing facilities in Israel, one in the U.S., and one in Japan with additional capacity available in China through manufacturing partnerships.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92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445"/>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TowerJazz Investor Relations</w:t>
            </w:r>
          </w:p>
        </w:tc>
        <w:tc>
          <w:tcPr>
            <w:tcW w:w="5700" w:type="dxa"/>
            <w:vAlign w:val="bottom"/>
            <w:gridSpan w:val="2"/>
          </w:tcPr>
          <w:p>
            <w:pPr>
              <w:spacing w:after="0"/>
              <w:rPr>
                <w:sz w:val="20"/>
                <w:szCs w:val="20"/>
                <w:color w:val="auto"/>
              </w:rPr>
            </w:pPr>
            <w:r>
              <w:rPr>
                <w:rFonts w:ascii="Arial" w:cs="Arial" w:eastAsia="Arial" w:hAnsi="Arial"/>
                <w:sz w:val="18"/>
                <w:szCs w:val="18"/>
                <w:color w:val="auto"/>
              </w:rPr>
              <w:t>CCG Investor Relations</w:t>
            </w:r>
          </w:p>
        </w:tc>
      </w:tr>
      <w:tr>
        <w:trPr>
          <w:trHeight w:val="216"/>
        </w:trPr>
        <w:tc>
          <w:tcPr>
            <w:tcW w:w="24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Noit Levi, +972 4 604 7066</w:t>
            </w:r>
          </w:p>
        </w:tc>
        <w:tc>
          <w:tcPr>
            <w:tcW w:w="5700" w:type="dxa"/>
            <w:vAlign w:val="bottom"/>
            <w:gridSpan w:val="2"/>
          </w:tcPr>
          <w:p>
            <w:pPr>
              <w:spacing w:after="0"/>
              <w:rPr>
                <w:sz w:val="20"/>
                <w:szCs w:val="20"/>
                <w:color w:val="auto"/>
              </w:rPr>
            </w:pPr>
            <w:r>
              <w:rPr>
                <w:rFonts w:ascii="Arial" w:cs="Arial" w:eastAsia="Arial" w:hAnsi="Arial"/>
                <w:sz w:val="18"/>
                <w:szCs w:val="18"/>
                <w:color w:val="auto"/>
              </w:rPr>
              <w:t>Ehud Helft / Kenny Green, (646) 201 9246</w:t>
            </w:r>
          </w:p>
        </w:tc>
      </w:tr>
      <w:tr>
        <w:trPr>
          <w:trHeight w:val="190"/>
        </w:trPr>
        <w:tc>
          <w:tcPr>
            <w:tcW w:w="240" w:type="dxa"/>
            <w:vAlign w:val="bottom"/>
          </w:tcPr>
          <w:p>
            <w:pPr>
              <w:spacing w:after="0"/>
              <w:rPr>
                <w:sz w:val="16"/>
                <w:szCs w:val="16"/>
                <w:color w:val="auto"/>
              </w:rPr>
            </w:pPr>
          </w:p>
        </w:tc>
        <w:tc>
          <w:tcPr>
            <w:tcW w:w="548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Noit.levi@towerjazz.com</w:t>
            </w: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towersemi@ccgisrael.com</w:t>
            </w:r>
          </w:p>
        </w:tc>
      </w:tr>
      <w:tr>
        <w:trPr>
          <w:trHeight w:val="355"/>
        </w:trPr>
        <w:tc>
          <w:tcPr>
            <w:tcW w:w="24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780" w:type="dxa"/>
            <w:vAlign w:val="bottom"/>
          </w:tcPr>
          <w:p>
            <w:pPr>
              <w:spacing w:after="0"/>
              <w:rPr>
                <w:sz w:val="24"/>
                <w:szCs w:val="24"/>
                <w:color w:val="auto"/>
              </w:rPr>
            </w:pPr>
          </w:p>
        </w:tc>
      </w:tr>
      <w:tr>
        <w:trPr>
          <w:trHeight w:val="71"/>
        </w:trPr>
        <w:tc>
          <w:tcPr>
            <w:tcW w:w="240" w:type="dxa"/>
            <w:vAlign w:val="bottom"/>
            <w:shd w:val="clear" w:color="auto" w:fill="808080"/>
          </w:tcPr>
          <w:p>
            <w:pPr>
              <w:spacing w:after="0"/>
              <w:rPr>
                <w:sz w:val="6"/>
                <w:szCs w:val="6"/>
                <w:color w:val="auto"/>
              </w:rPr>
            </w:pPr>
          </w:p>
        </w:tc>
        <w:tc>
          <w:tcPr>
            <w:tcW w:w="1840" w:type="dxa"/>
            <w:vAlign w:val="bottom"/>
            <w:shd w:val="clear" w:color="auto" w:fill="808080"/>
          </w:tcPr>
          <w:p>
            <w:pPr>
              <w:spacing w:after="0"/>
              <w:rPr>
                <w:sz w:val="6"/>
                <w:szCs w:val="6"/>
                <w:color w:val="auto"/>
              </w:rPr>
            </w:pPr>
          </w:p>
        </w:tc>
        <w:tc>
          <w:tcPr>
            <w:tcW w:w="3640" w:type="dxa"/>
            <w:vAlign w:val="bottom"/>
            <w:shd w:val="clear" w:color="auto" w:fill="808080"/>
          </w:tcPr>
          <w:p>
            <w:pPr>
              <w:spacing w:after="0"/>
              <w:rPr>
                <w:sz w:val="6"/>
                <w:szCs w:val="6"/>
                <w:color w:val="auto"/>
              </w:rPr>
            </w:pPr>
          </w:p>
        </w:tc>
        <w:tc>
          <w:tcPr>
            <w:tcW w:w="1920" w:type="dxa"/>
            <w:vAlign w:val="bottom"/>
            <w:shd w:val="clear" w:color="auto" w:fill="808080"/>
          </w:tcPr>
          <w:p>
            <w:pPr>
              <w:spacing w:after="0"/>
              <w:rPr>
                <w:sz w:val="6"/>
                <w:szCs w:val="6"/>
                <w:color w:val="auto"/>
              </w:rPr>
            </w:pPr>
          </w:p>
        </w:tc>
        <w:tc>
          <w:tcPr>
            <w:tcW w:w="378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4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2019-12-09T11:06:17Z</dcterms:created>
  <dcterms:modified xsi:type="dcterms:W3CDTF">2019-12-09T11:06:17Z</dcterms:modified>
</cp:coreProperties>
</file>