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17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Tower Semiconductor Ltd.</w:t>
      </w:r>
    </w:p>
    <w:p>
      <w:pPr>
        <w:spacing w:after="0" w:line="6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3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Ordinary Shares, NIS 15.00 par value per share</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9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M87915-10-0</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9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Ronen Meidan</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Bank Hapoalim B.M.</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45 Rothschild Blvd.</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Tel Aviv 6578403, Israel</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972-3-5674174</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9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July 22, 2013</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224790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28" w:lineRule="exact"/>
        <w:rPr>
          <w:sz w:val="24"/>
          <w:szCs w:val="24"/>
          <w:color w:val="auto"/>
        </w:rPr>
      </w:pPr>
    </w:p>
    <w:p>
      <w:pPr>
        <w:ind w:right="20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§240.13d-7 for other parties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whom copies are to be sent.</w:t>
      </w:r>
    </w:p>
    <w:p>
      <w:pPr>
        <w:spacing w:after="0" w:line="159" w:lineRule="exact"/>
        <w:rPr>
          <w:sz w:val="24"/>
          <w:szCs w:val="24"/>
          <w:color w:val="auto"/>
        </w:rPr>
      </w:pPr>
    </w:p>
    <w:p>
      <w:pPr>
        <w:ind w:left="460" w:right="80" w:hanging="452"/>
        <w:spacing w:after="0" w:line="275"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20" w:lineRule="exact"/>
        <w:rPr>
          <w:sz w:val="24"/>
          <w:szCs w:val="24"/>
          <w:color w:val="auto"/>
        </w:rPr>
      </w:pPr>
    </w:p>
    <w:p>
      <w:pPr>
        <w:ind w:right="180"/>
        <w:spacing w:after="0" w:line="339" w:lineRule="auto"/>
        <w:rPr>
          <w:sz w:val="20"/>
          <w:szCs w:val="20"/>
          <w:color w:val="auto"/>
        </w:rPr>
      </w:pPr>
      <w:r>
        <w:rPr>
          <w:rFonts w:ascii="Times New Roman" w:cs="Times New Roman" w:eastAsia="Times New Roman" w:hAnsi="Times New Roman"/>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72" w:lineRule="exact"/>
        <w:rPr>
          <w:sz w:val="24"/>
          <w:szCs w:val="24"/>
          <w:color w:val="auto"/>
        </w:rPr>
      </w:pPr>
    </w:p>
    <w:p>
      <w:pPr>
        <w:spacing w:after="0" w:line="277" w:lineRule="auto"/>
        <w:rPr>
          <w:sz w:val="20"/>
          <w:szCs w:val="20"/>
          <w:color w:val="auto"/>
        </w:rPr>
      </w:pPr>
      <w:r>
        <w:rPr>
          <w:rFonts w:ascii="Times New Roman" w:cs="Times New Roman" w:eastAsia="Times New Roman" w:hAnsi="Times New Roman"/>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416" w:right="319" w:bottom="1440" w:gutter="0" w:footer="0" w:header="0"/>
        </w:sectPr>
      </w:pPr>
    </w:p>
    <w:bookmarkStart w:id="1" w:name="page2"/>
    <w:bookmarkEnd w:id="1"/>
    <w:p>
      <w:pPr>
        <w:spacing w:after="0"/>
        <w:tabs>
          <w:tab w:leader="none" w:pos="5620" w:val="left"/>
          <w:tab w:leader="none" w:pos="10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M87915-10-0</w:t>
      </w:r>
      <w:r>
        <w:rPr>
          <w:sz w:val="20"/>
          <w:szCs w:val="20"/>
          <w:color w:val="auto"/>
        </w:rPr>
        <w:tab/>
      </w:r>
      <w:r>
        <w:rPr>
          <w:rFonts w:ascii="Times New Roman" w:cs="Times New Roman" w:eastAsia="Times New Roman" w:hAnsi="Times New Roman"/>
          <w:sz w:val="18"/>
          <w:szCs w:val="18"/>
          <w:color w:val="auto"/>
        </w:rPr>
        <w:t>13D</w:t>
      </w:r>
      <w:r>
        <w:rPr>
          <w:sz w:val="20"/>
          <w:szCs w:val="20"/>
          <w:color w:val="auto"/>
        </w:rPr>
        <w:tab/>
      </w:r>
      <w:r>
        <w:rPr>
          <w:rFonts w:ascii="Times New Roman" w:cs="Times New Roman" w:eastAsia="Times New Roman" w:hAnsi="Times New Roman"/>
          <w:sz w:val="16"/>
          <w:szCs w:val="16"/>
          <w:color w:val="auto"/>
        </w:rPr>
        <w:t>Page 2 of 5</w:t>
      </w:r>
    </w:p>
    <w:p>
      <w:pPr>
        <w:spacing w:after="0" w:line="225" w:lineRule="exact"/>
        <w:rPr>
          <w:sz w:val="20"/>
          <w:szCs w:val="20"/>
          <w:color w:val="auto"/>
        </w:rPr>
      </w:pPr>
    </w:p>
    <w:p>
      <w:pPr>
        <w:ind w:left="500" w:right="8880" w:hanging="283"/>
        <w:spacing w:after="0" w:line="339" w:lineRule="auto"/>
        <w:tabs>
          <w:tab w:leader="none" w:pos="5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Names of Reporting Persons. Bank Hapoalim B.M.</w:t>
      </w:r>
    </w:p>
    <w:p>
      <w:pPr>
        <w:spacing w:after="0" w:line="114" w:lineRule="exact"/>
        <w:rPr>
          <w:rFonts w:ascii="Times New Roman" w:cs="Times New Roman" w:eastAsia="Times New Roman" w:hAnsi="Times New Roman"/>
          <w:sz w:val="16"/>
          <w:szCs w:val="16"/>
          <w:color w:val="auto"/>
        </w:rPr>
      </w:pPr>
    </w:p>
    <w:p>
      <w:pPr>
        <w:ind w:left="500" w:right="6860"/>
        <w:spacing w:after="0" w:line="26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I.R.S. Identification Nos. of above persons (entities only). Not applicable.</w:t>
      </w:r>
    </w:p>
    <w:p>
      <w:pPr>
        <w:ind w:left="500" w:hanging="283"/>
        <w:spacing w:after="0"/>
        <w:tabs>
          <w:tab w:leader="none" w:pos="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63" w:lineRule="exact"/>
        <w:rPr>
          <w:rFonts w:ascii="Times New Roman" w:cs="Times New Roman" w:eastAsia="Times New Roman" w:hAnsi="Times New Roman"/>
          <w:sz w:val="18"/>
          <w:szCs w:val="18"/>
          <w:color w:val="auto"/>
        </w:rPr>
      </w:pPr>
    </w:p>
    <w:p>
      <w:pPr>
        <w:ind w:left="800" w:hanging="292"/>
        <w:spacing w:after="0" w:line="207" w:lineRule="exact"/>
        <w:tabs>
          <w:tab w:leader="none" w:pos="80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0" w:lineRule="exact"/>
        <w:rPr>
          <w:rFonts w:ascii="Times New Roman" w:cs="Times New Roman" w:eastAsia="Times New Roman" w:hAnsi="Times New Roman"/>
          <w:sz w:val="18"/>
          <w:szCs w:val="18"/>
          <w:color w:val="auto"/>
        </w:rPr>
      </w:pPr>
    </w:p>
    <w:p>
      <w:pPr>
        <w:ind w:left="800" w:hanging="292"/>
        <w:spacing w:after="0" w:line="207" w:lineRule="exact"/>
        <w:tabs>
          <w:tab w:leader="none" w:pos="80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1" w:lineRule="exact"/>
        <w:rPr>
          <w:rFonts w:ascii="Times New Roman" w:cs="Times New Roman" w:eastAsia="Times New Roman" w:hAnsi="Times New Roman"/>
          <w:sz w:val="18"/>
          <w:szCs w:val="18"/>
          <w:color w:val="auto"/>
        </w:rPr>
      </w:pPr>
    </w:p>
    <w:p>
      <w:pPr>
        <w:ind w:left="500" w:hanging="283"/>
        <w:spacing w:after="0"/>
        <w:tabs>
          <w:tab w:leader="none" w:pos="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38" w:lineRule="exact"/>
        <w:rPr>
          <w:rFonts w:ascii="Times New Roman" w:cs="Times New Roman" w:eastAsia="Times New Roman" w:hAnsi="Times New Roman"/>
          <w:sz w:val="18"/>
          <w:szCs w:val="18"/>
          <w:color w:val="auto"/>
        </w:rPr>
      </w:pPr>
    </w:p>
    <w:p>
      <w:pPr>
        <w:ind w:left="500" w:hanging="283"/>
        <w:spacing w:after="0"/>
        <w:tabs>
          <w:tab w:leader="none" w:pos="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11"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500" w:hanging="283"/>
        <w:spacing w:after="0"/>
        <w:tabs>
          <w:tab w:leader="none" w:pos="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185" w:lineRule="exact"/>
        <w:rPr>
          <w:rFonts w:ascii="Times New Roman" w:cs="Times New Roman" w:eastAsia="Times New Roman" w:hAnsi="Times New Roman"/>
          <w:sz w:val="18"/>
          <w:szCs w:val="18"/>
          <w:color w:val="auto"/>
        </w:rPr>
      </w:pPr>
    </w:p>
    <w:p>
      <w:pPr>
        <w:ind w:left="50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4" w:lineRule="exact"/>
        <w:rPr>
          <w:rFonts w:ascii="Times New Roman" w:cs="Times New Roman" w:eastAsia="Times New Roman" w:hAnsi="Times New Roman"/>
          <w:sz w:val="18"/>
          <w:szCs w:val="18"/>
          <w:color w:val="auto"/>
        </w:rPr>
      </w:pPr>
    </w:p>
    <w:p>
      <w:pPr>
        <w:ind w:left="500" w:hanging="283"/>
        <w:spacing w:after="0"/>
        <w:tabs>
          <w:tab w:leader="none" w:pos="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-2577465</wp:posOffset>
            </wp:positionV>
            <wp:extent cx="7254875" cy="60972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6097270"/>
                    </a:xfrm>
                    <a:prstGeom prst="rect">
                      <a:avLst/>
                    </a:prstGeom>
                    <a:noFill/>
                  </pic:spPr>
                </pic:pic>
              </a:graphicData>
            </a:graphic>
          </wp:anchor>
        </w:drawing>
      </w:r>
    </w:p>
    <w:p>
      <w:pPr>
        <w:spacing w:after="0" w:line="213" w:lineRule="exact"/>
        <w:rPr>
          <w:sz w:val="20"/>
          <w:szCs w:val="20"/>
          <w:color w:val="auto"/>
        </w:rPr>
      </w:pPr>
    </w:p>
    <w:tbl>
      <w:tblPr>
        <w:tblLayout w:type="fixed"/>
        <w:tblInd w:w="160" w:type="dxa"/>
        <w:tblCellMar>
          <w:top w:w="0" w:type="dxa"/>
          <w:left w:w="0" w:type="dxa"/>
          <w:bottom w:w="0" w:type="dxa"/>
          <w:right w:w="0" w:type="dxa"/>
        </w:tblCellMar>
      </w:tblPr>
      <w:tr>
        <w:trPr>
          <w:trHeight w:val="228"/>
        </w:trPr>
        <w:tc>
          <w:tcPr>
            <w:tcW w:w="9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9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67"/>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Number of</w:t>
            </w:r>
          </w:p>
        </w:tc>
        <w:tc>
          <w:tcPr>
            <w:tcW w:w="400" w:type="dxa"/>
            <w:vAlign w:val="bottom"/>
          </w:tcPr>
          <w:p>
            <w:pPr>
              <w:spacing w:after="0"/>
              <w:rPr>
                <w:sz w:val="24"/>
                <w:szCs w:val="24"/>
                <w:color w:val="auto"/>
              </w:rPr>
            </w:pPr>
          </w:p>
        </w:tc>
        <w:tc>
          <w:tcPr>
            <w:tcW w:w="9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7,107,084</w:t>
            </w:r>
          </w:p>
        </w:tc>
        <w:tc>
          <w:tcPr>
            <w:tcW w:w="0" w:type="dxa"/>
            <w:vAlign w:val="bottom"/>
          </w:tcPr>
          <w:p>
            <w:pPr>
              <w:spacing w:after="0"/>
              <w:rPr>
                <w:sz w:val="1"/>
                <w:szCs w:val="1"/>
                <w:color w:val="auto"/>
              </w:rPr>
            </w:pPr>
          </w:p>
        </w:tc>
      </w:tr>
      <w:tr>
        <w:trPr>
          <w:trHeight w:val="68"/>
        </w:trPr>
        <w:tc>
          <w:tcPr>
            <w:tcW w:w="900" w:type="dxa"/>
            <w:vAlign w:val="bottom"/>
            <w:vMerge w:val="restart"/>
          </w:tcPr>
          <w:p>
            <w:pPr>
              <w:jc w:val="center"/>
              <w:spacing w:after="0" w:line="201" w:lineRule="exact"/>
              <w:rPr>
                <w:sz w:val="20"/>
                <w:szCs w:val="20"/>
                <w:color w:val="auto"/>
              </w:rPr>
            </w:pPr>
            <w:r>
              <w:rPr>
                <w:rFonts w:ascii="Times New Roman" w:cs="Times New Roman" w:eastAsia="Times New Roman" w:hAnsi="Times New Roman"/>
                <w:sz w:val="18"/>
                <w:szCs w:val="18"/>
                <w:color w:val="auto"/>
                <w:w w:val="95"/>
              </w:rPr>
              <w:t>Shares</w:t>
            </w:r>
          </w:p>
        </w:tc>
        <w:tc>
          <w:tcPr>
            <w:tcW w:w="400" w:type="dxa"/>
            <w:vAlign w:val="bottom"/>
            <w:tcBorders>
              <w:bottom w:val="single" w:sz="8" w:color="auto"/>
            </w:tcBorders>
          </w:tcPr>
          <w:p>
            <w:pPr>
              <w:spacing w:after="0"/>
              <w:rPr>
                <w:sz w:val="5"/>
                <w:szCs w:val="5"/>
                <w:color w:val="auto"/>
              </w:rPr>
            </w:pPr>
          </w:p>
        </w:tc>
        <w:tc>
          <w:tcPr>
            <w:tcW w:w="9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900" w:type="dxa"/>
            <w:vAlign w:val="bottom"/>
            <w:vMerge w:val="continue"/>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9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8"/>
        </w:trPr>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Owned by</w:t>
            </w:r>
          </w:p>
        </w:tc>
        <w:tc>
          <w:tcPr>
            <w:tcW w:w="400" w:type="dxa"/>
            <w:vAlign w:val="bottom"/>
          </w:tcPr>
          <w:p>
            <w:pPr>
              <w:spacing w:after="0"/>
              <w:rPr>
                <w:sz w:val="18"/>
                <w:szCs w:val="18"/>
                <w:color w:val="auto"/>
              </w:rPr>
            </w:pPr>
          </w:p>
        </w:tc>
        <w:tc>
          <w:tcPr>
            <w:tcW w:w="99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29,887</w:t>
            </w:r>
          </w:p>
        </w:tc>
        <w:tc>
          <w:tcPr>
            <w:tcW w:w="0" w:type="dxa"/>
            <w:vAlign w:val="bottom"/>
          </w:tcPr>
          <w:p>
            <w:pPr>
              <w:spacing w:after="0"/>
              <w:rPr>
                <w:sz w:val="1"/>
                <w:szCs w:val="1"/>
                <w:color w:val="auto"/>
              </w:rPr>
            </w:pPr>
          </w:p>
        </w:tc>
      </w:tr>
      <w:tr>
        <w:trPr>
          <w:trHeight w:val="89"/>
        </w:trPr>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00" w:type="dxa"/>
            <w:vAlign w:val="bottom"/>
            <w:tcBorders>
              <w:bottom w:val="single" w:sz="8" w:color="auto"/>
            </w:tcBorders>
          </w:tcPr>
          <w:p>
            <w:pPr>
              <w:spacing w:after="0"/>
              <w:rPr>
                <w:sz w:val="7"/>
                <w:szCs w:val="7"/>
                <w:color w:val="auto"/>
              </w:rPr>
            </w:pPr>
          </w:p>
        </w:tc>
        <w:tc>
          <w:tcPr>
            <w:tcW w:w="99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900" w:type="dxa"/>
            <w:vAlign w:val="bottom"/>
            <w:vMerge w:val="continue"/>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99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21"/>
        </w:trPr>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Reporting</w:t>
            </w:r>
          </w:p>
        </w:tc>
        <w:tc>
          <w:tcPr>
            <w:tcW w:w="400" w:type="dxa"/>
            <w:vAlign w:val="bottom"/>
            <w:vMerge w:val="continue"/>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90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9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00" w:type="dxa"/>
            <w:vAlign w:val="bottom"/>
          </w:tcPr>
          <w:p>
            <w:pPr>
              <w:spacing w:after="0"/>
              <w:rPr>
                <w:sz w:val="18"/>
                <w:szCs w:val="18"/>
                <w:color w:val="auto"/>
              </w:rPr>
            </w:pPr>
          </w:p>
        </w:tc>
        <w:tc>
          <w:tcPr>
            <w:tcW w:w="99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7,107,084</w:t>
            </w:r>
          </w:p>
        </w:tc>
        <w:tc>
          <w:tcPr>
            <w:tcW w:w="0" w:type="dxa"/>
            <w:vAlign w:val="bottom"/>
          </w:tcPr>
          <w:p>
            <w:pPr>
              <w:spacing w:after="0"/>
              <w:rPr>
                <w:sz w:val="1"/>
                <w:szCs w:val="1"/>
                <w:color w:val="auto"/>
              </w:rPr>
            </w:pPr>
          </w:p>
        </w:tc>
      </w:tr>
      <w:tr>
        <w:trPr>
          <w:trHeight w:val="102"/>
        </w:trPr>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With</w:t>
            </w:r>
          </w:p>
        </w:tc>
        <w:tc>
          <w:tcPr>
            <w:tcW w:w="400" w:type="dxa"/>
            <w:vAlign w:val="bottom"/>
            <w:tcBorders>
              <w:bottom w:val="single" w:sz="8" w:color="auto"/>
            </w:tcBorders>
          </w:tcPr>
          <w:p>
            <w:pPr>
              <w:spacing w:after="0"/>
              <w:rPr>
                <w:sz w:val="8"/>
                <w:szCs w:val="8"/>
                <w:color w:val="auto"/>
              </w:rPr>
            </w:pPr>
          </w:p>
        </w:tc>
        <w:tc>
          <w:tcPr>
            <w:tcW w:w="99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900" w:type="dxa"/>
            <w:vAlign w:val="bottom"/>
            <w:vMerge w:val="continue"/>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99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29,887</w:t>
      </w:r>
    </w:p>
    <w:p>
      <w:pPr>
        <w:spacing w:after="0" w:line="36" w:lineRule="exact"/>
        <w:rPr>
          <w:sz w:val="20"/>
          <w:szCs w:val="20"/>
          <w:color w:val="auto"/>
        </w:rPr>
      </w:pPr>
    </w:p>
    <w:p>
      <w:pPr>
        <w:ind w:left="500" w:right="6240" w:hanging="370"/>
        <w:spacing w:after="0" w:line="383" w:lineRule="auto"/>
        <w:tabs>
          <w:tab w:leader="none" w:pos="5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7,136,971</w:t>
      </w:r>
    </w:p>
    <w:p>
      <w:pPr>
        <w:spacing w:after="0" w:line="1" w:lineRule="exact"/>
        <w:rPr>
          <w:rFonts w:ascii="Times New Roman" w:cs="Times New Roman" w:eastAsia="Times New Roman" w:hAnsi="Times New Roman"/>
          <w:sz w:val="18"/>
          <w:szCs w:val="18"/>
          <w:color w:val="auto"/>
        </w:rPr>
      </w:pPr>
    </w:p>
    <w:p>
      <w:pPr>
        <w:ind w:left="500" w:hanging="370"/>
        <w:spacing w:after="0"/>
        <w:tabs>
          <w:tab w:leader="none" w:pos="5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185" w:lineRule="exact"/>
        <w:rPr>
          <w:rFonts w:ascii="Times New Roman" w:cs="Times New Roman" w:eastAsia="Times New Roman" w:hAnsi="Times New Roman"/>
          <w:sz w:val="18"/>
          <w:szCs w:val="18"/>
          <w:color w:val="auto"/>
        </w:rPr>
      </w:pPr>
    </w:p>
    <w:p>
      <w:pPr>
        <w:ind w:left="50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4" w:lineRule="exact"/>
        <w:rPr>
          <w:rFonts w:ascii="Times New Roman" w:cs="Times New Roman" w:eastAsia="Times New Roman" w:hAnsi="Times New Roman"/>
          <w:sz w:val="18"/>
          <w:szCs w:val="18"/>
          <w:color w:val="auto"/>
        </w:rPr>
      </w:pPr>
    </w:p>
    <w:p>
      <w:pPr>
        <w:ind w:left="500" w:hanging="370"/>
        <w:spacing w:after="0"/>
        <w:tabs>
          <w:tab w:leader="none" w:pos="5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06"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13.4% (1)</w:t>
      </w:r>
    </w:p>
    <w:p>
      <w:pPr>
        <w:spacing w:after="0" w:line="36" w:lineRule="exact"/>
        <w:rPr>
          <w:rFonts w:ascii="Times New Roman" w:cs="Times New Roman" w:eastAsia="Times New Roman" w:hAnsi="Times New Roman"/>
          <w:sz w:val="18"/>
          <w:szCs w:val="18"/>
          <w:color w:val="auto"/>
        </w:rPr>
      </w:pPr>
    </w:p>
    <w:p>
      <w:pPr>
        <w:ind w:left="500" w:hanging="370"/>
        <w:spacing w:after="0"/>
        <w:tabs>
          <w:tab w:leader="none" w:pos="5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11"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BK</w:t>
      </w:r>
    </w:p>
    <w:p>
      <w:pPr>
        <w:spacing w:after="0" w:line="238" w:lineRule="exact"/>
        <w:rPr>
          <w:rFonts w:ascii="Times New Roman" w:cs="Times New Roman" w:eastAsia="Times New Roman" w:hAnsi="Times New Roman"/>
          <w:sz w:val="18"/>
          <w:szCs w:val="18"/>
          <w:color w:val="auto"/>
        </w:rPr>
      </w:pPr>
    </w:p>
    <w:p>
      <w:pPr>
        <w:ind w:left="460" w:right="220" w:hanging="452"/>
        <w:spacing w:after="0" w:line="275"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number of Ordinary Shares outstanding as at July 23, 2013, as reported by Tower to the Securities and Exchange Commission on Form 6-K for the month of July 2013, No. 8 (the “July 23, 2013 Form 6-K”), and calculated in accordance with rule 13d-3(d)(1)(i).</w:t>
      </w:r>
    </w:p>
    <w:p>
      <w:pPr>
        <w:sectPr>
          <w:pgSz w:w="11900" w:h="16838" w:orient="portrait"/>
          <w:cols w:equalWidth="0" w:num="1">
            <w:col w:w="11440"/>
          </w:cols>
          <w:pgMar w:left="240" w:top="274" w:right="219" w:bottom="1440" w:gutter="0" w:footer="0" w:header="0"/>
        </w:sectPr>
      </w:pPr>
    </w:p>
    <w:bookmarkStart w:id="2" w:name="page3"/>
    <w:bookmarkEnd w:id="2"/>
    <w:p>
      <w:pPr>
        <w:spacing w:after="0"/>
        <w:tabs>
          <w:tab w:leader="none" w:pos="5620" w:val="left"/>
          <w:tab w:leader="none" w:pos="10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M87915-10-0</w:t>
      </w:r>
      <w:r>
        <w:rPr>
          <w:sz w:val="20"/>
          <w:szCs w:val="20"/>
          <w:color w:val="auto"/>
        </w:rPr>
        <w:tab/>
      </w:r>
      <w:r>
        <w:rPr>
          <w:rFonts w:ascii="Times New Roman" w:cs="Times New Roman" w:eastAsia="Times New Roman" w:hAnsi="Times New Roman"/>
          <w:sz w:val="18"/>
          <w:szCs w:val="18"/>
          <w:color w:val="auto"/>
        </w:rPr>
        <w:t>13D</w:t>
      </w:r>
      <w:r>
        <w:rPr>
          <w:sz w:val="20"/>
          <w:szCs w:val="20"/>
          <w:color w:val="auto"/>
        </w:rPr>
        <w:tab/>
      </w:r>
      <w:r>
        <w:rPr>
          <w:rFonts w:ascii="Times New Roman" w:cs="Times New Roman" w:eastAsia="Times New Roman" w:hAnsi="Times New Roman"/>
          <w:sz w:val="16"/>
          <w:szCs w:val="16"/>
          <w:color w:val="auto"/>
        </w:rPr>
        <w:t>Page 3 of 5</w:t>
      </w:r>
    </w:p>
    <w:p>
      <w:pPr>
        <w:spacing w:after="0" w:line="225" w:lineRule="exact"/>
        <w:rPr>
          <w:sz w:val="20"/>
          <w:szCs w:val="20"/>
          <w:color w:val="auto"/>
        </w:rPr>
      </w:pPr>
    </w:p>
    <w:p>
      <w:pPr>
        <w:ind w:left="500" w:hanging="283"/>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1"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Tarshish Hahzakot Vehashkaot Hapoalim Ltd.</w:t>
      </w:r>
    </w:p>
    <w:p>
      <w:pPr>
        <w:spacing w:after="0" w:line="199" w:lineRule="exact"/>
        <w:rPr>
          <w:rFonts w:ascii="Times New Roman" w:cs="Times New Roman" w:eastAsia="Times New Roman" w:hAnsi="Times New Roman"/>
          <w:sz w:val="18"/>
          <w:szCs w:val="18"/>
          <w:color w:val="auto"/>
        </w:rPr>
      </w:pPr>
    </w:p>
    <w:p>
      <w:pPr>
        <w:ind w:left="500" w:right="68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Not applicable.</w:t>
      </w:r>
    </w:p>
    <w:p>
      <w:pPr>
        <w:ind w:left="500" w:hanging="283"/>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63" w:lineRule="exact"/>
        <w:rPr>
          <w:rFonts w:ascii="Times New Roman" w:cs="Times New Roman" w:eastAsia="Times New Roman" w:hAnsi="Times New Roman"/>
          <w:sz w:val="18"/>
          <w:szCs w:val="18"/>
          <w:color w:val="auto"/>
        </w:rPr>
      </w:pPr>
    </w:p>
    <w:p>
      <w:pPr>
        <w:ind w:left="800" w:hanging="292"/>
        <w:spacing w:after="0" w:line="207" w:lineRule="exact"/>
        <w:tabs>
          <w:tab w:leader="none" w:pos="80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0" w:lineRule="exact"/>
        <w:rPr>
          <w:rFonts w:ascii="Times New Roman" w:cs="Times New Roman" w:eastAsia="Times New Roman" w:hAnsi="Times New Roman"/>
          <w:sz w:val="18"/>
          <w:szCs w:val="18"/>
          <w:color w:val="auto"/>
        </w:rPr>
      </w:pPr>
    </w:p>
    <w:p>
      <w:pPr>
        <w:ind w:left="800" w:hanging="292"/>
        <w:spacing w:after="0" w:line="207" w:lineRule="exact"/>
        <w:tabs>
          <w:tab w:leader="none" w:pos="80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1" w:lineRule="exact"/>
        <w:rPr>
          <w:rFonts w:ascii="Times New Roman" w:cs="Times New Roman" w:eastAsia="Times New Roman" w:hAnsi="Times New Roman"/>
          <w:sz w:val="18"/>
          <w:szCs w:val="18"/>
          <w:color w:val="auto"/>
        </w:rPr>
      </w:pPr>
    </w:p>
    <w:p>
      <w:pPr>
        <w:ind w:left="500" w:hanging="283"/>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38" w:lineRule="exact"/>
        <w:rPr>
          <w:rFonts w:ascii="Times New Roman" w:cs="Times New Roman" w:eastAsia="Times New Roman" w:hAnsi="Times New Roman"/>
          <w:sz w:val="18"/>
          <w:szCs w:val="18"/>
          <w:color w:val="auto"/>
        </w:rPr>
      </w:pPr>
    </w:p>
    <w:p>
      <w:pPr>
        <w:ind w:left="500" w:hanging="283"/>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11"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500" w:hanging="283"/>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185" w:lineRule="exact"/>
        <w:rPr>
          <w:rFonts w:ascii="Times New Roman" w:cs="Times New Roman" w:eastAsia="Times New Roman" w:hAnsi="Times New Roman"/>
          <w:sz w:val="18"/>
          <w:szCs w:val="18"/>
          <w:color w:val="auto"/>
        </w:rPr>
      </w:pPr>
    </w:p>
    <w:p>
      <w:pPr>
        <w:ind w:left="50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4" w:lineRule="exact"/>
        <w:rPr>
          <w:rFonts w:ascii="Times New Roman" w:cs="Times New Roman" w:eastAsia="Times New Roman" w:hAnsi="Times New Roman"/>
          <w:sz w:val="18"/>
          <w:szCs w:val="18"/>
          <w:color w:val="auto"/>
        </w:rPr>
      </w:pPr>
    </w:p>
    <w:p>
      <w:pPr>
        <w:ind w:left="500" w:hanging="283"/>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-2577465</wp:posOffset>
            </wp:positionV>
            <wp:extent cx="7254875" cy="6097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6097270"/>
                    </a:xfrm>
                    <a:prstGeom prst="rect">
                      <a:avLst/>
                    </a:prstGeom>
                    <a:noFill/>
                  </pic:spPr>
                </pic:pic>
              </a:graphicData>
            </a:graphic>
          </wp:anchor>
        </w:drawing>
      </w:r>
    </w:p>
    <w:p>
      <w:pPr>
        <w:spacing w:after="0" w:line="213" w:lineRule="exact"/>
        <w:rPr>
          <w:sz w:val="20"/>
          <w:szCs w:val="20"/>
          <w:color w:val="auto"/>
        </w:rPr>
      </w:pPr>
    </w:p>
    <w:tbl>
      <w:tblPr>
        <w:tblLayout w:type="fixed"/>
        <w:tblInd w:w="160" w:type="dxa"/>
        <w:tblCellMar>
          <w:top w:w="0" w:type="dxa"/>
          <w:left w:w="0" w:type="dxa"/>
          <w:bottom w:w="0" w:type="dxa"/>
          <w:right w:w="0" w:type="dxa"/>
        </w:tblCellMar>
      </w:tblPr>
      <w:tr>
        <w:trPr>
          <w:trHeight w:val="228"/>
        </w:trPr>
        <w:tc>
          <w:tcPr>
            <w:tcW w:w="9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9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67"/>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Number of</w:t>
            </w:r>
          </w:p>
        </w:tc>
        <w:tc>
          <w:tcPr>
            <w:tcW w:w="400" w:type="dxa"/>
            <w:vAlign w:val="bottom"/>
          </w:tcPr>
          <w:p>
            <w:pPr>
              <w:spacing w:after="0"/>
              <w:rPr>
                <w:sz w:val="24"/>
                <w:szCs w:val="24"/>
                <w:color w:val="auto"/>
              </w:rPr>
            </w:pPr>
          </w:p>
        </w:tc>
        <w:tc>
          <w:tcPr>
            <w:tcW w:w="9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00" w:type="dxa"/>
            <w:vAlign w:val="bottom"/>
            <w:vMerge w:val="restart"/>
          </w:tcPr>
          <w:p>
            <w:pPr>
              <w:jc w:val="center"/>
              <w:spacing w:after="0" w:line="201" w:lineRule="exact"/>
              <w:rPr>
                <w:sz w:val="20"/>
                <w:szCs w:val="20"/>
                <w:color w:val="auto"/>
              </w:rPr>
            </w:pPr>
            <w:r>
              <w:rPr>
                <w:rFonts w:ascii="Times New Roman" w:cs="Times New Roman" w:eastAsia="Times New Roman" w:hAnsi="Times New Roman"/>
                <w:sz w:val="18"/>
                <w:szCs w:val="18"/>
                <w:color w:val="auto"/>
                <w:w w:val="95"/>
              </w:rPr>
              <w:t>Shares</w:t>
            </w:r>
          </w:p>
        </w:tc>
        <w:tc>
          <w:tcPr>
            <w:tcW w:w="400" w:type="dxa"/>
            <w:vAlign w:val="bottom"/>
            <w:tcBorders>
              <w:bottom w:val="single" w:sz="8" w:color="auto"/>
            </w:tcBorders>
          </w:tcPr>
          <w:p>
            <w:pPr>
              <w:spacing w:after="0"/>
              <w:rPr>
                <w:sz w:val="5"/>
                <w:szCs w:val="5"/>
                <w:color w:val="auto"/>
              </w:rPr>
            </w:pPr>
          </w:p>
        </w:tc>
        <w:tc>
          <w:tcPr>
            <w:tcW w:w="9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900" w:type="dxa"/>
            <w:vAlign w:val="bottom"/>
            <w:vMerge w:val="continue"/>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9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8"/>
        </w:trPr>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Owned by</w:t>
            </w:r>
          </w:p>
        </w:tc>
        <w:tc>
          <w:tcPr>
            <w:tcW w:w="400" w:type="dxa"/>
            <w:vAlign w:val="bottom"/>
          </w:tcPr>
          <w:p>
            <w:pPr>
              <w:spacing w:after="0"/>
              <w:rPr>
                <w:sz w:val="18"/>
                <w:szCs w:val="18"/>
                <w:color w:val="auto"/>
              </w:rPr>
            </w:pPr>
          </w:p>
        </w:tc>
        <w:tc>
          <w:tcPr>
            <w:tcW w:w="99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29,887</w:t>
            </w:r>
          </w:p>
        </w:tc>
        <w:tc>
          <w:tcPr>
            <w:tcW w:w="0" w:type="dxa"/>
            <w:vAlign w:val="bottom"/>
          </w:tcPr>
          <w:p>
            <w:pPr>
              <w:spacing w:after="0"/>
              <w:rPr>
                <w:sz w:val="1"/>
                <w:szCs w:val="1"/>
                <w:color w:val="auto"/>
              </w:rPr>
            </w:pPr>
          </w:p>
        </w:tc>
      </w:tr>
      <w:tr>
        <w:trPr>
          <w:trHeight w:val="89"/>
        </w:trPr>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00" w:type="dxa"/>
            <w:vAlign w:val="bottom"/>
            <w:tcBorders>
              <w:bottom w:val="single" w:sz="8" w:color="auto"/>
            </w:tcBorders>
          </w:tcPr>
          <w:p>
            <w:pPr>
              <w:spacing w:after="0"/>
              <w:rPr>
                <w:sz w:val="7"/>
                <w:szCs w:val="7"/>
                <w:color w:val="auto"/>
              </w:rPr>
            </w:pPr>
          </w:p>
        </w:tc>
        <w:tc>
          <w:tcPr>
            <w:tcW w:w="99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900" w:type="dxa"/>
            <w:vAlign w:val="bottom"/>
            <w:vMerge w:val="continue"/>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99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21"/>
        </w:trPr>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Reporting</w:t>
            </w:r>
          </w:p>
        </w:tc>
        <w:tc>
          <w:tcPr>
            <w:tcW w:w="400" w:type="dxa"/>
            <w:vAlign w:val="bottom"/>
            <w:vMerge w:val="continue"/>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90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9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00" w:type="dxa"/>
            <w:vAlign w:val="bottom"/>
          </w:tcPr>
          <w:p>
            <w:pPr>
              <w:spacing w:after="0"/>
              <w:rPr>
                <w:sz w:val="18"/>
                <w:szCs w:val="18"/>
                <w:color w:val="auto"/>
              </w:rPr>
            </w:pPr>
          </w:p>
        </w:tc>
        <w:tc>
          <w:tcPr>
            <w:tcW w:w="99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02"/>
        </w:trPr>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With</w:t>
            </w:r>
          </w:p>
        </w:tc>
        <w:tc>
          <w:tcPr>
            <w:tcW w:w="400" w:type="dxa"/>
            <w:vAlign w:val="bottom"/>
            <w:tcBorders>
              <w:bottom w:val="single" w:sz="8" w:color="auto"/>
            </w:tcBorders>
          </w:tcPr>
          <w:p>
            <w:pPr>
              <w:spacing w:after="0"/>
              <w:rPr>
                <w:sz w:val="8"/>
                <w:szCs w:val="8"/>
                <w:color w:val="auto"/>
              </w:rPr>
            </w:pPr>
          </w:p>
        </w:tc>
        <w:tc>
          <w:tcPr>
            <w:tcW w:w="99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900" w:type="dxa"/>
            <w:vAlign w:val="bottom"/>
            <w:vMerge w:val="continue"/>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99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29,887</w:t>
      </w:r>
    </w:p>
    <w:p>
      <w:pPr>
        <w:spacing w:after="0" w:line="36" w:lineRule="exact"/>
        <w:rPr>
          <w:sz w:val="20"/>
          <w:szCs w:val="20"/>
          <w:color w:val="auto"/>
        </w:rPr>
      </w:pPr>
    </w:p>
    <w:p>
      <w:pPr>
        <w:ind w:left="500" w:right="6240" w:hanging="370"/>
        <w:spacing w:after="0" w:line="383" w:lineRule="auto"/>
        <w:tabs>
          <w:tab w:leader="none" w:pos="5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29,887</w:t>
      </w:r>
    </w:p>
    <w:p>
      <w:pPr>
        <w:spacing w:after="0" w:line="1" w:lineRule="exact"/>
        <w:rPr>
          <w:rFonts w:ascii="Times New Roman" w:cs="Times New Roman" w:eastAsia="Times New Roman" w:hAnsi="Times New Roman"/>
          <w:sz w:val="18"/>
          <w:szCs w:val="18"/>
          <w:color w:val="auto"/>
        </w:rPr>
      </w:pPr>
    </w:p>
    <w:p>
      <w:pPr>
        <w:ind w:left="500" w:hanging="370"/>
        <w:spacing w:after="0"/>
        <w:tabs>
          <w:tab w:leader="none" w:pos="5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185" w:lineRule="exact"/>
        <w:rPr>
          <w:rFonts w:ascii="Times New Roman" w:cs="Times New Roman" w:eastAsia="Times New Roman" w:hAnsi="Times New Roman"/>
          <w:sz w:val="18"/>
          <w:szCs w:val="18"/>
          <w:color w:val="auto"/>
        </w:rPr>
      </w:pPr>
    </w:p>
    <w:p>
      <w:pPr>
        <w:ind w:left="50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4" w:lineRule="exact"/>
        <w:rPr>
          <w:rFonts w:ascii="Times New Roman" w:cs="Times New Roman" w:eastAsia="Times New Roman" w:hAnsi="Times New Roman"/>
          <w:sz w:val="18"/>
          <w:szCs w:val="18"/>
          <w:color w:val="auto"/>
        </w:rPr>
      </w:pPr>
    </w:p>
    <w:p>
      <w:pPr>
        <w:ind w:left="500" w:right="7160" w:hanging="370"/>
        <w:spacing w:after="0" w:line="380" w:lineRule="auto"/>
        <w:tabs>
          <w:tab w:leader="none" w:pos="5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less than 0.01% (1)</w:t>
      </w:r>
    </w:p>
    <w:p>
      <w:pPr>
        <w:ind w:left="500" w:hanging="370"/>
        <w:spacing w:after="0"/>
        <w:tabs>
          <w:tab w:leader="none" w:pos="5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11"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238" w:lineRule="exact"/>
        <w:rPr>
          <w:rFonts w:ascii="Times New Roman" w:cs="Times New Roman" w:eastAsia="Times New Roman" w:hAnsi="Times New Roman"/>
          <w:sz w:val="18"/>
          <w:szCs w:val="18"/>
          <w:color w:val="auto"/>
        </w:rPr>
      </w:pPr>
    </w:p>
    <w:p>
      <w:pPr>
        <w:ind w:left="460" w:right="340" w:hanging="452"/>
        <w:spacing w:after="0" w:line="275"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number of Ordinary Shares outstanding as at July 23, 2013, as reported by Tower in its July 23, 2013 Form 6-K, and calculated in accordance with rule 13d-3(d)(1)(i).</w:t>
      </w:r>
    </w:p>
    <w:p>
      <w:pPr>
        <w:sectPr>
          <w:pgSz w:w="11900" w:h="16838" w:orient="portrait"/>
          <w:cols w:equalWidth="0" w:num="1">
            <w:col w:w="11440"/>
          </w:cols>
          <w:pgMar w:left="240" w:top="274" w:right="219" w:bottom="1440" w:gutter="0" w:footer="0" w:header="0"/>
        </w:sectPr>
      </w:pPr>
    </w:p>
    <w:bookmarkStart w:id="3" w:name="page4"/>
    <w:bookmarkEnd w:id="3"/>
    <w:p>
      <w:pPr>
        <w:spacing w:after="0"/>
        <w:tabs>
          <w:tab w:leader="none" w:pos="5780" w:val="left"/>
          <w:tab w:leader="none" w:pos="10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M87915-10-0</w:t>
      </w:r>
      <w:r>
        <w:rPr>
          <w:sz w:val="20"/>
          <w:szCs w:val="20"/>
          <w:color w:val="auto"/>
        </w:rPr>
        <w:tab/>
      </w:r>
      <w:r>
        <w:rPr>
          <w:rFonts w:ascii="Times New Roman" w:cs="Times New Roman" w:eastAsia="Times New Roman" w:hAnsi="Times New Roman"/>
          <w:sz w:val="18"/>
          <w:szCs w:val="18"/>
          <w:color w:val="auto"/>
        </w:rPr>
        <w:t>13D</w:t>
      </w:r>
      <w:r>
        <w:rPr>
          <w:sz w:val="20"/>
          <w:szCs w:val="20"/>
          <w:color w:val="auto"/>
        </w:rPr>
        <w:tab/>
      </w:r>
      <w:r>
        <w:rPr>
          <w:rFonts w:ascii="Times New Roman" w:cs="Times New Roman" w:eastAsia="Times New Roman" w:hAnsi="Times New Roman"/>
          <w:sz w:val="16"/>
          <w:szCs w:val="16"/>
          <w:color w:val="auto"/>
        </w:rPr>
        <w:t>Page 4 of 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statement on Schedule 13D, dated February 3, 2011, of Bank Hapoalim B.M. (</w:t>
      </w:r>
      <w:r>
        <w:rPr>
          <w:rFonts w:ascii="Times New Roman" w:cs="Times New Roman" w:eastAsia="Times New Roman" w:hAnsi="Times New Roman"/>
          <w:sz w:val="18"/>
          <w:szCs w:val="18"/>
          <w:b w:val="1"/>
          <w:bCs w:val="1"/>
          <w:color w:val="auto"/>
        </w:rPr>
        <w:t>“Hapoalim”</w:t>
      </w:r>
      <w:r>
        <w:rPr>
          <w:rFonts w:ascii="Times New Roman" w:cs="Times New Roman" w:eastAsia="Times New Roman" w:hAnsi="Times New Roman"/>
          <w:sz w:val="18"/>
          <w:szCs w:val="18"/>
          <w:color w:val="auto"/>
        </w:rPr>
        <w:t>) and Tarshish Hahzakot Vehashkaot Hapoalim Ltd.</w:t>
      </w:r>
    </w:p>
    <w:p>
      <w:pPr>
        <w:spacing w:after="0" w:line="2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“Tarshish”</w:t>
      </w:r>
      <w:r>
        <w:rPr>
          <w:rFonts w:ascii="Times New Roman" w:cs="Times New Roman" w:eastAsia="Times New Roman" w:hAnsi="Times New Roman"/>
          <w:sz w:val="18"/>
          <w:szCs w:val="18"/>
          <w:color w:val="auto"/>
        </w:rPr>
        <w:t>), as amended by Amendment No. 1 thereto, dated June 10, 2013, and Amendment No. 2 thereto, dated June 24, 2013, is hereby further amended as follows:</w:t>
      </w:r>
    </w:p>
    <w:p>
      <w:pPr>
        <w:spacing w:after="0" w:line="25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Interest in Securities of the Issuer</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5(a)-(c) is hereby amended to read in its entirety as follows:</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knowledge of the Reporting Persons:</w:t>
      </w:r>
    </w:p>
    <w:p>
      <w:pPr>
        <w:spacing w:after="0" w:line="90" w:lineRule="exact"/>
        <w:rPr>
          <w:sz w:val="20"/>
          <w:szCs w:val="20"/>
          <w:color w:val="auto"/>
        </w:rPr>
      </w:pPr>
    </w:p>
    <w:p>
      <w:pPr>
        <w:ind w:left="900" w:right="100" w:hanging="446"/>
        <w:spacing w:after="0" w:line="255"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Hapoalim is the beneficial owner of 7,136,971 Ordinary Shares, including 4,510,626 Ordinary Shares issuable upon conversion of its currently convertible capital notes, 170,374 Ordinary Shares issuable upon exercise of currently exercisable warrants (including warrants to purchase 140,487 Ordinary Shares held by Hapoalim and a warrant to purchase 29,887 Ordinary Shares held by Tarshish, its wholly-owned subsidiary) expiring on December 31, 2016 and 437,665 Series 9 Warrants expiring on June 27, 2017. Hapoalim (and Tarshish’s) ownership, as aforesaid collectively represents approximately 13.4% of the Ordinary Shares outstanding as at July 23, 2013, as reported by Tower in its July 23, 2013 Form 6-K, and calculated in accordance with rule 13d-3(d)(1)(i).</w:t>
      </w:r>
    </w:p>
    <w:p>
      <w:pPr>
        <w:spacing w:after="0" w:line="58" w:lineRule="exact"/>
        <w:rPr>
          <w:rFonts w:ascii="Times New Roman" w:cs="Times New Roman" w:eastAsia="Times New Roman" w:hAnsi="Times New Roman"/>
          <w:sz w:val="18"/>
          <w:szCs w:val="18"/>
          <w:color w:val="auto"/>
        </w:rPr>
      </w:pPr>
    </w:p>
    <w:p>
      <w:pPr>
        <w:ind w:left="1480" w:right="80" w:hanging="567"/>
        <w:spacing w:after="0" w:line="262" w:lineRule="auto"/>
        <w:tabs>
          <w:tab w:leader="none" w:pos="148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Tarshish is the beneficial owner of 29,887 Ordinary Shares issuable upon exercise of its currently exercisable warrant, representing less than 0.01% of the Ordinary Shares outstanding as at July 23, 2013 as reported by Tower in its July 23, 2013 Form 6-K and calculated in accordance with rule 13d-3(d)(1)(i).</w:t>
      </w:r>
    </w:p>
    <w:p>
      <w:pPr>
        <w:spacing w:after="0" w:line="51" w:lineRule="exact"/>
        <w:rPr>
          <w:rFonts w:ascii="Times New Roman" w:cs="Times New Roman" w:eastAsia="Times New Roman" w:hAnsi="Times New Roman"/>
          <w:sz w:val="18"/>
          <w:szCs w:val="18"/>
          <w:color w:val="auto"/>
        </w:rPr>
      </w:pPr>
    </w:p>
    <w:p>
      <w:pPr>
        <w:ind w:left="1140" w:right="20" w:hanging="565"/>
        <w:spacing w:after="0" w:line="301" w:lineRule="auto"/>
        <w:tabs>
          <w:tab w:leader="none" w:pos="114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Hapoalim has sole voting and dispositive power over 7,107,084 Ordinary Shares, including 4,510,626 Ordinary Shares issuable upon conversion of currently convertible capital notes, 140,487 Ordinary Shares issuable upon exercise of currently exercisable warrants expiring on December 31, 2016 and 437,665 Series 9 Warrants expiring on June 27, 2017 and Hapoalim and Tarshish share voting and dispositive power over 29,887 Ordinary Shares issuable upon exercise of a currently exercisable warrant held by Tarshish expiring on December 31, 2016.</w:t>
      </w:r>
    </w:p>
    <w:p>
      <w:pPr>
        <w:spacing w:after="0" w:line="22" w:lineRule="exact"/>
        <w:rPr>
          <w:rFonts w:ascii="Times New Roman" w:cs="Times New Roman" w:eastAsia="Times New Roman" w:hAnsi="Times New Roman"/>
          <w:sz w:val="16"/>
          <w:szCs w:val="16"/>
          <w:color w:val="auto"/>
        </w:rPr>
      </w:pPr>
    </w:p>
    <w:p>
      <w:pPr>
        <w:ind w:left="1140" w:right="1260" w:hanging="565"/>
        <w:spacing w:after="0" w:line="369" w:lineRule="auto"/>
        <w:tabs>
          <w:tab w:leader="none" w:pos="113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for the following , neither Hapoalim nor Tarshish has effected any transactions in the Ordinary Shares since June 24, 2013: On July 22, 2013, the 525,198 Series 8 Warrants held by Hapoalim expired in accordance with their terms.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5(d) is hereby amended by deleting the last sentence thereof and substituting the following therefor:</w:t>
      </w:r>
    </w:p>
    <w:p>
      <w:pPr>
        <w:spacing w:after="0" w:line="90" w:lineRule="exact"/>
        <w:rPr>
          <w:sz w:val="20"/>
          <w:szCs w:val="20"/>
          <w:color w:val="auto"/>
        </w:rPr>
      </w:pPr>
    </w:p>
    <w:p>
      <w:pPr>
        <w:ind w:left="460" w:right="140"/>
        <w:spacing w:after="0" w:line="262" w:lineRule="auto"/>
        <w:rPr>
          <w:sz w:val="20"/>
          <w:szCs w:val="20"/>
          <w:color w:val="auto"/>
        </w:rPr>
      </w:pPr>
      <w:r>
        <w:rPr>
          <w:rFonts w:ascii="Times New Roman" w:cs="Times New Roman" w:eastAsia="Times New Roman" w:hAnsi="Times New Roman"/>
          <w:sz w:val="18"/>
          <w:szCs w:val="18"/>
          <w:color w:val="auto"/>
        </w:rPr>
        <w:t>“Amendment No. 3 to Leumi’s Statement on Schedule 13D filed with the Commission on July 11, 2013 reported that Leumi was the owner of 5,997,736 Ordinary Shares, including 3,931,280 Ordinary Shares issuable upon conversion of its capital note and 139,001 Ordinary Shares issuable upon exercise of its warrants.”</w:t>
      </w:r>
    </w:p>
    <w:p>
      <w:pPr>
        <w:sectPr>
          <w:pgSz w:w="11900" w:h="16838" w:orient="portrait"/>
          <w:cols w:equalWidth="0" w:num="1">
            <w:col w:w="11420"/>
          </w:cols>
          <w:pgMar w:left="240" w:top="274" w:right="239" w:bottom="1440" w:gutter="0" w:footer="0" w:header="0"/>
        </w:sectPr>
      </w:pPr>
    </w:p>
    <w:bookmarkStart w:id="4" w:name="page5"/>
    <w:bookmarkEnd w:id="4"/>
    <w:p>
      <w:pPr>
        <w:spacing w:after="0"/>
        <w:tabs>
          <w:tab w:leader="none" w:pos="5780" w:val="left"/>
          <w:tab w:leader="none" w:pos="10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M87915-10-0</w:t>
      </w:r>
      <w:r>
        <w:rPr>
          <w:sz w:val="20"/>
          <w:szCs w:val="20"/>
          <w:color w:val="auto"/>
        </w:rPr>
        <w:tab/>
      </w:r>
      <w:r>
        <w:rPr>
          <w:rFonts w:ascii="Times New Roman" w:cs="Times New Roman" w:eastAsia="Times New Roman" w:hAnsi="Times New Roman"/>
          <w:sz w:val="18"/>
          <w:szCs w:val="18"/>
          <w:color w:val="auto"/>
        </w:rPr>
        <w:t>13D</w:t>
      </w:r>
      <w:r>
        <w:rPr>
          <w:sz w:val="20"/>
          <w:szCs w:val="20"/>
          <w:color w:val="auto"/>
        </w:rPr>
        <w:tab/>
      </w:r>
      <w:r>
        <w:rPr>
          <w:rFonts w:ascii="Times New Roman" w:cs="Times New Roman" w:eastAsia="Times New Roman" w:hAnsi="Times New Roman"/>
          <w:sz w:val="16"/>
          <w:szCs w:val="16"/>
          <w:color w:val="auto"/>
        </w:rPr>
        <w:t>Page 5 of 5</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3"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5th,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Arie Stainfeld</w:t>
            </w:r>
          </w:p>
        </w:tc>
        <w:tc>
          <w:tcPr>
            <w:tcW w:w="8140" w:type="dxa"/>
            <w:vAlign w:val="bottom"/>
            <w:tcBorders>
              <w:bottom w:val="single" w:sz="8" w:color="auto"/>
            </w:tcBorders>
          </w:tcPr>
          <w:p>
            <w:pPr>
              <w:ind w:left="2780"/>
              <w:spacing w:after="0"/>
              <w:rPr>
                <w:sz w:val="20"/>
                <w:szCs w:val="20"/>
                <w:color w:val="auto"/>
              </w:rPr>
            </w:pPr>
            <w:r>
              <w:rPr>
                <w:rFonts w:ascii="Times New Roman" w:cs="Times New Roman" w:eastAsia="Times New Roman" w:hAnsi="Times New Roman"/>
                <w:sz w:val="18"/>
                <w:szCs w:val="18"/>
                <w:color w:val="auto"/>
              </w:rPr>
              <w:t>/s/ Ronen Meidan</w:t>
            </w: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8140" w:type="dxa"/>
            <w:vAlign w:val="bottom"/>
          </w:tcPr>
          <w:p>
            <w:pPr>
              <w:spacing w:after="0"/>
              <w:rPr>
                <w:sz w:val="19"/>
                <w:szCs w:val="19"/>
                <w:color w:val="auto"/>
              </w:rPr>
            </w:pPr>
          </w:p>
        </w:tc>
      </w:tr>
      <w:tr>
        <w:trPr>
          <w:trHeight w:val="526"/>
        </w:trPr>
        <w:tc>
          <w:tcPr>
            <w:tcW w:w="3280" w:type="dxa"/>
            <w:vAlign w:val="bottom"/>
          </w:tcPr>
          <w:p>
            <w:pPr>
              <w:spacing w:after="0"/>
              <w:rPr>
                <w:sz w:val="24"/>
                <w:szCs w:val="24"/>
                <w:color w:val="auto"/>
              </w:rPr>
            </w:pPr>
          </w:p>
        </w:tc>
        <w:tc>
          <w:tcPr>
            <w:tcW w:w="814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Bank Hapoalim B.M.</w:t>
            </w:r>
          </w:p>
        </w:tc>
      </w:tr>
      <w:tr>
        <w:trPr>
          <w:trHeight w:val="40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Arie Stainfeld, Head of Exposures</w:t>
            </w:r>
          </w:p>
        </w:tc>
        <w:tc>
          <w:tcPr>
            <w:tcW w:w="814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Ronen Meidan, Head of</w:t>
            </w:r>
          </w:p>
        </w:tc>
      </w:tr>
      <w:tr>
        <w:trPr>
          <w:trHeight w:val="229"/>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and Risk Management Department</w:t>
            </w:r>
          </w:p>
        </w:tc>
        <w:tc>
          <w:tcPr>
            <w:tcW w:w="8140" w:type="dxa"/>
            <w:vAlign w:val="bottom"/>
            <w:tcBorders>
              <w:bottom w:val="single" w:sz="8" w:color="auto"/>
            </w:tcBorders>
          </w:tcPr>
          <w:p>
            <w:pPr>
              <w:ind w:left="2780"/>
              <w:spacing w:after="0"/>
              <w:rPr>
                <w:sz w:val="20"/>
                <w:szCs w:val="20"/>
                <w:color w:val="auto"/>
              </w:rPr>
            </w:pPr>
            <w:r>
              <w:rPr>
                <w:rFonts w:ascii="Times New Roman" w:cs="Times New Roman" w:eastAsia="Times New Roman" w:hAnsi="Times New Roman"/>
                <w:sz w:val="18"/>
                <w:szCs w:val="18"/>
                <w:color w:val="auto"/>
              </w:rPr>
              <w:t>Equity Investments Unit</w:t>
            </w: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Name/Title</w:t>
            </w:r>
          </w:p>
        </w:tc>
        <w:tc>
          <w:tcPr>
            <w:tcW w:w="8140" w:type="dxa"/>
            <w:vAlign w:val="bottom"/>
          </w:tcPr>
          <w:p>
            <w:pPr>
              <w:spacing w:after="0"/>
              <w:rPr>
                <w:sz w:val="19"/>
                <w:szCs w:val="19"/>
                <w:color w:val="auto"/>
              </w:rPr>
            </w:pPr>
          </w:p>
        </w:tc>
      </w:tr>
      <w:tr>
        <w:trPr>
          <w:trHeight w:val="419"/>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August 5th, 2013</w:t>
            </w:r>
          </w:p>
        </w:tc>
        <w:tc>
          <w:tcPr>
            <w:tcW w:w="8140" w:type="dxa"/>
            <w:vAlign w:val="bottom"/>
            <w:tcBorders>
              <w:bottom w:val="single" w:sz="8" w:color="auto"/>
            </w:tcBorders>
          </w:tcPr>
          <w:p>
            <w:pPr>
              <w:spacing w:after="0"/>
              <w:rPr>
                <w:sz w:val="24"/>
                <w:szCs w:val="24"/>
                <w:color w:val="auto"/>
              </w:rPr>
            </w:pP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8140" w:type="dxa"/>
            <w:vAlign w:val="bottom"/>
          </w:tcPr>
          <w:p>
            <w:pPr>
              <w:spacing w:after="0"/>
              <w:rPr>
                <w:sz w:val="19"/>
                <w:szCs w:val="19"/>
                <w:color w:val="auto"/>
              </w:rPr>
            </w:pPr>
          </w:p>
        </w:tc>
      </w:tr>
      <w:tr>
        <w:trPr>
          <w:trHeight w:val="419"/>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Arie Stainfeld</w:t>
            </w:r>
          </w:p>
        </w:tc>
        <w:tc>
          <w:tcPr>
            <w:tcW w:w="8140" w:type="dxa"/>
            <w:vAlign w:val="bottom"/>
            <w:tcBorders>
              <w:bottom w:val="single" w:sz="8" w:color="auto"/>
            </w:tcBorders>
          </w:tcPr>
          <w:p>
            <w:pPr>
              <w:ind w:left="2780"/>
              <w:spacing w:after="0"/>
              <w:rPr>
                <w:sz w:val="20"/>
                <w:szCs w:val="20"/>
                <w:color w:val="auto"/>
              </w:rPr>
            </w:pPr>
            <w:r>
              <w:rPr>
                <w:rFonts w:ascii="Times New Roman" w:cs="Times New Roman" w:eastAsia="Times New Roman" w:hAnsi="Times New Roman"/>
                <w:sz w:val="18"/>
                <w:szCs w:val="18"/>
                <w:color w:val="auto"/>
              </w:rPr>
              <w:t>/s/ Ronen Meidan</w:t>
            </w: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8140" w:type="dxa"/>
            <w:vAlign w:val="bottom"/>
          </w:tcPr>
          <w:p>
            <w:pPr>
              <w:spacing w:after="0"/>
              <w:rPr>
                <w:sz w:val="19"/>
                <w:szCs w:val="19"/>
                <w:color w:val="auto"/>
              </w:rPr>
            </w:pPr>
          </w:p>
        </w:tc>
      </w:tr>
      <w:tr>
        <w:trPr>
          <w:trHeight w:val="526"/>
        </w:trPr>
        <w:tc>
          <w:tcPr>
            <w:tcW w:w="3280" w:type="dxa"/>
            <w:vAlign w:val="bottom"/>
          </w:tcPr>
          <w:p>
            <w:pPr>
              <w:spacing w:after="0"/>
              <w:rPr>
                <w:sz w:val="24"/>
                <w:szCs w:val="24"/>
                <w:color w:val="auto"/>
              </w:rPr>
            </w:pPr>
          </w:p>
        </w:tc>
        <w:tc>
          <w:tcPr>
            <w:tcW w:w="8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Tarshish Hahzakot Vehashkaot Hapoalim Ltd.</w:t>
            </w:r>
          </w:p>
        </w:tc>
      </w:tr>
      <w:tr>
        <w:trPr>
          <w:trHeight w:val="420"/>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Arie Stainfeld, Director</w:t>
            </w:r>
          </w:p>
        </w:tc>
        <w:tc>
          <w:tcPr>
            <w:tcW w:w="8140" w:type="dxa"/>
            <w:vAlign w:val="bottom"/>
            <w:tcBorders>
              <w:bottom w:val="single" w:sz="8" w:color="auto"/>
            </w:tcBorders>
          </w:tcPr>
          <w:p>
            <w:pPr>
              <w:ind w:left="2780"/>
              <w:spacing w:after="0"/>
              <w:rPr>
                <w:sz w:val="20"/>
                <w:szCs w:val="20"/>
                <w:color w:val="auto"/>
              </w:rPr>
            </w:pPr>
            <w:r>
              <w:rPr>
                <w:rFonts w:ascii="Times New Roman" w:cs="Times New Roman" w:eastAsia="Times New Roman" w:hAnsi="Times New Roman"/>
                <w:sz w:val="18"/>
                <w:szCs w:val="18"/>
                <w:color w:val="auto"/>
              </w:rPr>
              <w:t>Ronen Meidan, Director</w:t>
            </w: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Name/Title</w:t>
            </w:r>
          </w:p>
        </w:tc>
        <w:tc>
          <w:tcPr>
            <w:tcW w:w="814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lvl w:ilvl="1">
      <w:lvlJc w:val="left"/>
      <w:lvlText w:val="(%2)"/>
      <w:numFmt w:val="lowerLetter"/>
      <w:start w:val="1"/>
    </w:lvl>
  </w:abstractNum>
  <w:abstractNum w:abstractNumId="2">
    <w:nsid w:val="3D1B58BA"/>
    <w:multiLevelType w:val="hybridMultilevel"/>
    <w:lvl w:ilvl="0">
      <w:lvlJc w:val="left"/>
      <w:lvlText w:val="%1"/>
      <w:numFmt w:val="decimal"/>
      <w:start w:val="1"/>
    </w:lvl>
    <w:lvl w:ilvl="1">
      <w:lvlJc w:val="left"/>
      <w:lvlText w:val="%2."/>
      <w:numFmt w:val="decimal"/>
      <w:start w:val="11"/>
    </w:lvl>
  </w:abstractNum>
  <w:abstractNum w:abstractNumId="3">
    <w:nsid w:val="507ED7AB"/>
    <w:multiLevelType w:val="hybridMultilevel"/>
    <w:lvl w:ilvl="0">
      <w:lvlJc w:val="left"/>
      <w:lvlText w:val="(%1)"/>
      <w:numFmt w:val="decimal"/>
      <w:start w:val="1"/>
    </w:lvl>
    <w:lvl w:ilvl="1">
      <w:lvlJc w:val="left"/>
      <w:lvlText w:val="%2"/>
      <w:numFmt w:val="decimal"/>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decimal"/>
      <w:start w:val="11"/>
    </w:lvl>
  </w:abstractNum>
  <w:abstractNum w:abstractNumId="6">
    <w:nsid w:val="79E2A9E3"/>
    <w:multiLevelType w:val="hybridMultilevel"/>
    <w:lvl w:ilvl="0">
      <w:lvlJc w:val="left"/>
      <w:lvlText w:val="(%1)"/>
      <w:numFmt w:val="decimal"/>
      <w:start w:val="1"/>
    </w:lvl>
    <w:lvl w:ilvl="1">
      <w:lvlJc w:val="left"/>
      <w:lvlText w:val="%2"/>
      <w:numFmt w:val="decimal"/>
      <w:start w:val="1"/>
    </w:lvl>
  </w:abstractNum>
  <w:abstractNum w:abstractNumId="7">
    <w:nsid w:val="7545E146"/>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2019-12-06T11:50:08Z</dcterms:created>
  <dcterms:modified xsi:type="dcterms:W3CDTF">2019-12-06T11:50:08Z</dcterms:modified>
</cp:coreProperties>
</file>