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For the month of February 2022 No.2</w:t>
      </w: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Commission File Number 0-24790</w:t>
      </w:r>
    </w:p>
    <w:p>
      <w:pPr>
        <w:spacing w:after="0" w:line="27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399"/>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82" w:lineRule="exact"/>
        <w:rPr>
          <w:sz w:val="24"/>
          <w:szCs w:val="24"/>
          <w:color w:val="auto"/>
        </w:rPr>
      </w:pPr>
    </w:p>
    <w:p>
      <w:pPr>
        <w:jc w:val="center"/>
        <w:ind w:right="-179"/>
        <w:spacing w:after="0" w:line="253" w:lineRule="exact"/>
        <w:tabs>
          <w:tab w:leader="none" w:pos="24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(1): ____</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87" w:right="499" w:bottom="1440" w:gutter="0" w:footer="0" w:header="0"/>
        </w:sectPr>
      </w:pPr>
    </w:p>
    <w:bookmarkStart w:id="1" w:name="page2"/>
    <w:bookmarkEnd w:id="1"/>
    <w:p>
      <w:pPr>
        <w:ind w:firstLine="639"/>
        <w:spacing w:after="0" w:line="276" w:lineRule="auto"/>
        <w:rPr>
          <w:sz w:val="20"/>
          <w:szCs w:val="20"/>
          <w:color w:val="auto"/>
        </w:rPr>
      </w:pPr>
      <w:r>
        <w:rPr>
          <w:rFonts w:ascii="Arial" w:cs="Arial" w:eastAsia="Arial" w:hAnsi="Arial"/>
          <w:sz w:val="22"/>
          <w:szCs w:val="22"/>
          <w:color w:val="auto"/>
        </w:rPr>
        <w:t>On February 17, 2022, the Registrant announced its fourth quarter and full year 2021 results. Attached hereto is the following exhibit.</w:t>
      </w:r>
    </w:p>
    <w:p>
      <w:pPr>
        <w:spacing w:after="0" w:line="222"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February 17,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17, 2022</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60"/>
          </w:cols>
          <w:pgMar w:left="320" w:top="126"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Reports 2021 Fourth Quarter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Full Year Financial Results</w:t>
      </w: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MIGDAL HAEMEK, ISRAEL – February 17, 2022 – </w:t>
      </w:r>
      <w:r>
        <w:rPr>
          <w:rFonts w:ascii="Arial" w:cs="Arial" w:eastAsia="Arial" w:hAnsi="Arial"/>
          <w:sz w:val="22"/>
          <w:szCs w:val="22"/>
          <w:color w:val="auto"/>
        </w:rPr>
        <w:t>Tower Semiconductor (NASDAQ: TSEM &amp; TASE: TSEM) reports</w:t>
      </w:r>
      <w:r>
        <w:rPr>
          <w:rFonts w:ascii="Arial" w:cs="Arial" w:eastAsia="Arial" w:hAnsi="Arial"/>
          <w:sz w:val="22"/>
          <w:szCs w:val="22"/>
          <w:b w:val="1"/>
          <w:bCs w:val="1"/>
          <w:color w:val="auto"/>
        </w:rPr>
        <w:t xml:space="preserve"> </w:t>
      </w:r>
      <w:r>
        <w:rPr>
          <w:rFonts w:ascii="Arial" w:cs="Arial" w:eastAsia="Arial" w:hAnsi="Arial"/>
          <w:sz w:val="22"/>
          <w:szCs w:val="22"/>
          <w:color w:val="auto"/>
        </w:rPr>
        <w:t>today its results for the fourth quarter and for the year ended December 31, 2021.</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of 2021 Results Overview</w:t>
      </w: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for the fourth quarter of 2021 was $412 million, as compared to $345 million and $387 million in the fourth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2020 and in the third quarter of 2021, respectively, reflecting 19% and 7% of revenue growth, respectively. Organic revenue for the fourth quarter of 2021, defined as total revenue excluding revenues from Nuvoton in the Japanese fabs and from Maxim in the San Antonio fab, grew by 28% year over year.</w:t>
      </w:r>
    </w:p>
    <w:p>
      <w:pPr>
        <w:spacing w:after="0" w:line="237" w:lineRule="exact"/>
        <w:rPr>
          <w:sz w:val="20"/>
          <w:szCs w:val="20"/>
          <w:color w:val="auto"/>
        </w:rPr>
      </w:pPr>
    </w:p>
    <w:p>
      <w:pPr>
        <w:jc w:val="both"/>
        <w:ind w:right="20"/>
        <w:spacing w:after="0" w:line="282" w:lineRule="auto"/>
        <w:rPr>
          <w:sz w:val="20"/>
          <w:szCs w:val="20"/>
          <w:color w:val="auto"/>
        </w:rPr>
      </w:pPr>
      <w:r>
        <w:rPr>
          <w:rFonts w:ascii="Arial" w:cs="Arial" w:eastAsia="Arial" w:hAnsi="Arial"/>
          <w:sz w:val="22"/>
          <w:szCs w:val="22"/>
          <w:b w:val="1"/>
          <w:bCs w:val="1"/>
          <w:color w:val="auto"/>
        </w:rPr>
        <w:t xml:space="preserve">Gross profit </w:t>
      </w:r>
      <w:r>
        <w:rPr>
          <w:rFonts w:ascii="Arial" w:cs="Arial" w:eastAsia="Arial" w:hAnsi="Arial"/>
          <w:sz w:val="22"/>
          <w:szCs w:val="22"/>
          <w:color w:val="auto"/>
        </w:rPr>
        <w:t>for the fourth quarter of 2021 was $100 million, 44% higher than $70 million recorded in the fourth quarter of 2020</w:t>
      </w:r>
      <w:r>
        <w:rPr>
          <w:rFonts w:ascii="Arial" w:cs="Arial" w:eastAsia="Arial" w:hAnsi="Arial"/>
          <w:sz w:val="22"/>
          <w:szCs w:val="22"/>
          <w:b w:val="1"/>
          <w:bCs w:val="1"/>
          <w:color w:val="auto"/>
        </w:rPr>
        <w:t xml:space="preserve"> </w:t>
      </w:r>
      <w:r>
        <w:rPr>
          <w:rFonts w:ascii="Arial" w:cs="Arial" w:eastAsia="Arial" w:hAnsi="Arial"/>
          <w:sz w:val="22"/>
          <w:szCs w:val="22"/>
          <w:color w:val="auto"/>
        </w:rPr>
        <w:t>and 17% higher than $85 million recorded in the third quarter of 2021.</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Operating profit </w:t>
      </w:r>
      <w:r>
        <w:rPr>
          <w:rFonts w:ascii="Arial" w:cs="Arial" w:eastAsia="Arial" w:hAnsi="Arial"/>
          <w:sz w:val="22"/>
          <w:szCs w:val="22"/>
          <w:color w:val="auto"/>
        </w:rPr>
        <w:t>for the fourth quarter of 2021 was $56 million, 67% higher than the $33 million recorded in the fourth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of 2020 and 26% higher than $44 million recorded in the third quarter of 2021.</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Net profit </w:t>
      </w:r>
      <w:r>
        <w:rPr>
          <w:rFonts w:ascii="Arial" w:cs="Arial" w:eastAsia="Arial" w:hAnsi="Arial"/>
          <w:sz w:val="22"/>
          <w:szCs w:val="22"/>
          <w:color w:val="auto"/>
        </w:rPr>
        <w:t>for the fourth quarter of 2021 was $52 million, or $0.48 basic and $0.47 diluted earnings per share, 67% higher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the $31 million or $0.29 basic and $0.28 diluted earnings per share recorded in the fourth quarter of 2020. This net profit of $52 million is 32% higher than $39 million recorded in the third quarter of 2021, which represented $0.36 basic and diluted earnings per share.</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Adjusted net profit </w:t>
      </w:r>
      <w:r>
        <w:rPr>
          <w:rFonts w:ascii="Arial" w:cs="Arial" w:eastAsia="Arial" w:hAnsi="Arial"/>
          <w:sz w:val="22"/>
          <w:szCs w:val="22"/>
          <w:color w:val="auto"/>
        </w:rPr>
        <w:t>for the fourth quarter of 2021 was $61 million (as reconciled in the tables below), resulting in adjusted basic</w:t>
      </w:r>
      <w:r>
        <w:rPr>
          <w:rFonts w:ascii="Arial" w:cs="Arial" w:eastAsia="Arial" w:hAnsi="Arial"/>
          <w:sz w:val="22"/>
          <w:szCs w:val="22"/>
          <w:b w:val="1"/>
          <w:bCs w:val="1"/>
          <w:color w:val="auto"/>
        </w:rPr>
        <w:t xml:space="preserve"> </w:t>
      </w:r>
      <w:r>
        <w:rPr>
          <w:rFonts w:ascii="Arial" w:cs="Arial" w:eastAsia="Arial" w:hAnsi="Arial"/>
          <w:sz w:val="22"/>
          <w:szCs w:val="22"/>
          <w:color w:val="auto"/>
        </w:rPr>
        <w:t>and diluted earnings per share of $0.56 and $0.55, respectively, as compared to adjusted basic and diluted earnings per share of $0.34 for the fourth quarter of 2020, and as compared to adjusted basic and diluted earnings per share of $0.42 and $0.41, respectively, for the third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4" w:name="page5"/>
    <w:bookmarkEnd w:id="4"/>
    <w:p>
      <w:pPr>
        <w:jc w:val="both"/>
        <w:spacing w:after="0" w:line="269" w:lineRule="auto"/>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generated from operating activities in the fourth quarter of 2021 was $134 million with investment in fixed assets of</w:t>
      </w:r>
      <w:r>
        <w:rPr>
          <w:rFonts w:ascii="Arial" w:cs="Arial" w:eastAsia="Arial" w:hAnsi="Arial"/>
          <w:sz w:val="22"/>
          <w:szCs w:val="22"/>
          <w:b w:val="1"/>
          <w:bCs w:val="1"/>
          <w:color w:val="auto"/>
        </w:rPr>
        <w:t xml:space="preserve"> </w:t>
      </w:r>
      <w:r>
        <w:rPr>
          <w:rFonts w:ascii="Arial" w:cs="Arial" w:eastAsia="Arial" w:hAnsi="Arial"/>
          <w:sz w:val="22"/>
          <w:szCs w:val="22"/>
          <w:color w:val="auto"/>
        </w:rPr>
        <w:t>$86 million, net. During the fourth quarter of 2021, the company invested $47 million in short term deposits and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2021 Results Overview</w:t>
      </w:r>
    </w:p>
    <w:p>
      <w:pPr>
        <w:spacing w:after="0" w:line="28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for the full year of 2021 was $1.508 billion, as compared to $1.266 billion in 2020, reflecting 19% year over year</w:t>
      </w:r>
      <w:r>
        <w:rPr>
          <w:rFonts w:ascii="Arial" w:cs="Arial" w:eastAsia="Arial" w:hAnsi="Arial"/>
          <w:sz w:val="22"/>
          <w:szCs w:val="22"/>
          <w:b w:val="1"/>
          <w:bCs w:val="1"/>
          <w:color w:val="auto"/>
        </w:rPr>
        <w:t xml:space="preserve"> </w:t>
      </w:r>
      <w:r>
        <w:rPr>
          <w:rFonts w:ascii="Arial" w:cs="Arial" w:eastAsia="Arial" w:hAnsi="Arial"/>
          <w:sz w:val="22"/>
          <w:szCs w:val="22"/>
          <w:color w:val="auto"/>
        </w:rPr>
        <w:t>revenue growth and 29% year over year organic revenue (as defined above) growth.</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Gross profit </w:t>
      </w:r>
      <w:r>
        <w:rPr>
          <w:rFonts w:ascii="Arial" w:cs="Arial" w:eastAsia="Arial" w:hAnsi="Arial"/>
          <w:sz w:val="22"/>
          <w:szCs w:val="22"/>
          <w:color w:val="auto"/>
        </w:rPr>
        <w:t>for the full year of 2021 was $329 million, 41% higher than $233 million in 2020.</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Operating profit </w:t>
      </w:r>
      <w:r>
        <w:rPr>
          <w:rFonts w:ascii="Arial" w:cs="Arial" w:eastAsia="Arial" w:hAnsi="Arial"/>
          <w:sz w:val="22"/>
          <w:szCs w:val="22"/>
          <w:color w:val="auto"/>
        </w:rPr>
        <w:t>for the full year of 2021 was $167 million, 83% higher than the $91 million in 2020.</w:t>
      </w:r>
    </w:p>
    <w:p>
      <w:pPr>
        <w:spacing w:after="0" w:line="28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Net profit </w:t>
      </w:r>
      <w:r>
        <w:rPr>
          <w:rFonts w:ascii="Arial" w:cs="Arial" w:eastAsia="Arial" w:hAnsi="Arial"/>
          <w:sz w:val="22"/>
          <w:szCs w:val="22"/>
          <w:color w:val="auto"/>
        </w:rPr>
        <w:t>for the full year of 2021 was $150 million, or $1.39 basic and $1.37 diluted earnings per share, 82% higher than the</w:t>
      </w:r>
      <w:r>
        <w:rPr>
          <w:rFonts w:ascii="Arial" w:cs="Arial" w:eastAsia="Arial" w:hAnsi="Arial"/>
          <w:sz w:val="22"/>
          <w:szCs w:val="22"/>
          <w:b w:val="1"/>
          <w:bCs w:val="1"/>
          <w:color w:val="auto"/>
        </w:rPr>
        <w:t xml:space="preserve"> </w:t>
      </w:r>
      <w:r>
        <w:rPr>
          <w:rFonts w:ascii="Arial" w:cs="Arial" w:eastAsia="Arial" w:hAnsi="Arial"/>
          <w:sz w:val="22"/>
          <w:szCs w:val="22"/>
          <w:color w:val="auto"/>
        </w:rPr>
        <w:t>$82 million or $0.77 basic and $0.76 diluted earnings per share in 2020.</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generated from operating activities for full year of 2021 was $421 million with investment in fixed assets of $279</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net. During the year ended December 31, 2021, the company repaid $77 million of its debt and invested $60 million in short term deposits, marketable securities and other assets, net.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Refinance</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During the fourth quarter of 2021, TPSCo refinanced its loan from its lenders’ consortium led by JA Mitsui (a Japanese financial institution), resulting in a JPY 11 billion long-term loan payable in seven semi-annual installments from 2024 to 2027, with a fixed interest rate of 1.95%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Guidance and Conference Call</w:t>
      </w:r>
    </w:p>
    <w:p>
      <w:pPr>
        <w:spacing w:after="0" w:line="27" w:lineRule="exact"/>
        <w:rPr>
          <w:sz w:val="20"/>
          <w:szCs w:val="20"/>
          <w:color w:val="auto"/>
        </w:rPr>
      </w:pPr>
    </w:p>
    <w:p>
      <w:pPr>
        <w:jc w:val="both"/>
        <w:spacing w:after="0" w:line="353" w:lineRule="auto"/>
        <w:rPr>
          <w:sz w:val="20"/>
          <w:szCs w:val="20"/>
          <w:color w:val="auto"/>
        </w:rPr>
      </w:pPr>
      <w:r>
        <w:rPr>
          <w:rFonts w:ascii="Arial" w:cs="Arial" w:eastAsia="Arial" w:hAnsi="Arial"/>
          <w:sz w:val="19"/>
          <w:szCs w:val="19"/>
          <w:color w:val="auto"/>
        </w:rPr>
        <w:t>As stated in the Company’s announcement on February 15, 2022 of its definitive agreement with Intel Corporation, the Company is not providing herewith revenue guidance for the first quarter 2022 and will not host an earnings conference call.</w:t>
      </w:r>
    </w:p>
    <w:p>
      <w:pPr>
        <w:spacing w:after="0" w:line="16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i w:val="1"/>
          <w:iCs w:val="1"/>
          <w:color w:val="auto"/>
        </w:rPr>
        <w:t>The Company presents its financial statements in accordance with U.S. GAAP. The financial information included in the tables below includes unaudited condensed financial data. Some of the financial information in this release and/ or in related public disclosures or filings with respect to the financial statements and/ or results of the Company, which we describe in this release as “adjusted” financial measures, are non-GAAP financial measures as defined in Regulation G and related reporting requirements promulgated by the Securities and Exchange Commission as they apply to our Company. These adjusted financial measures are calculated excluding one or both of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in related public disclosures or filings with respect to the financial statements and/ or results of the Company, as well as calculated in the tables herein, the term Earnings Before Interest Tax Depreciation and Amortization (EBITDA) consists of operating profit in accordance with GAAP, excluding (i) depreciation expenses, which include depreciation recorded in cost of revenues and in operating cost and expenses lines (e.g, research and development related equipment and/ or fixed other assets depreciation), (ii) stock-based compensation expense and (iii) amortization of acquired intangible assets. EBITDA is reconciled in the tables below from GAAP operating profit. EBITDA is not a required GAAP financial measure and may not be comparable to a similarly titled measure employed by other companies. EBITDA and the adjusted financial information presented herein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 or presented in this release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in related public disclosures or filings with respect to the financial statements and/ or results of the Company, is calculated to be net cash provided by operating activities (in the amounts of $134 million, $107 million and $73 million for the three months periods ended December 31, 2021, September 30, 2021 and December 31, 2020, respectively and in the amount of $421 million for the year ended December 31, 2021) less cash used for investments in property and equipment, net (in the amounts of $86 million, $88 million and $64 million for the three months periods ended December 31, 2021, September 30, 2021 and December 31, 2020, respectively and in the amount of $279 million for the year ended December 31, 2021).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three facilities in Japan (two 200mm and one 300mm) which it owns through its 51% holdings in TPSCo and is sharing a 300mm manufacturing facility being established in Italy by STMicroelectronics. For more information, please visit: </w:t>
      </w:r>
      <w:r>
        <w:rPr>
          <w:rFonts w:ascii="Arial" w:cs="Arial" w:eastAsia="Arial" w:hAnsi="Arial"/>
          <w:sz w:val="21"/>
          <w:szCs w:val="21"/>
          <w:u w:val="single" w:color="auto"/>
          <w:color w:val="auto"/>
        </w:rPr>
        <w:t>www.towersemi.com</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 | Investor Relations | +972 74 737 7556 |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764" w:gutter="0" w:footer="0" w:header="0"/>
        </w:sectPr>
      </w:pPr>
    </w:p>
    <w:bookmarkStart w:id="6" w:name="page7"/>
    <w:bookmarkEnd w:id="6"/>
    <w:p>
      <w:pPr>
        <w:jc w:val="both"/>
        <w:spacing w:after="0" w:line="297" w:lineRule="auto"/>
        <w:rPr>
          <w:sz w:val="20"/>
          <w:szCs w:val="20"/>
          <w:color w:val="auto"/>
        </w:rPr>
      </w:pPr>
      <w:r>
        <w:rPr>
          <w:rFonts w:ascii="Arial" w:cs="Arial" w:eastAsia="Arial" w:hAnsi="Arial"/>
          <w:sz w:val="19"/>
          <w:szCs w:val="19"/>
          <w:color w:val="auto"/>
        </w:rPr>
        <w:t>This press release, including our revenue guidance and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w:t>
      </w:r>
    </w:p>
    <w:p>
      <w:pPr>
        <w:spacing w:after="0" w:line="1" w:lineRule="exact"/>
        <w:rPr>
          <w:sz w:val="20"/>
          <w:szCs w:val="20"/>
          <w:color w:val="auto"/>
        </w:rPr>
      </w:pPr>
    </w:p>
    <w:p>
      <w:pPr>
        <w:jc w:val="both"/>
        <w:ind w:firstLine="8"/>
        <w:spacing w:after="0" w:line="296" w:lineRule="auto"/>
        <w:tabs>
          <w:tab w:leader="none" w:pos="505" w:val="left"/>
        </w:tabs>
        <w:numPr>
          <w:ilvl w:val="0"/>
          <w:numId w:val="1"/>
        </w:numPr>
        <w:rPr>
          <w:rFonts w:ascii="Arial" w:cs="Arial" w:eastAsia="Arial" w:hAnsi="Arial"/>
          <w:sz w:val="19"/>
          <w:szCs w:val="19"/>
          <w:color w:val="auto"/>
        </w:rPr>
      </w:pPr>
      <w:r>
        <w:rPr>
          <w:rFonts w:ascii="Arial" w:cs="Arial" w:eastAsia="Arial" w:hAnsi="Arial"/>
          <w:sz w:val="19"/>
          <w:szCs w:val="19"/>
          <w:color w:val="auto"/>
        </w:rPr>
        <w:t>fluctuations in cash flow, (ix) our ability to satisfy the covenants stipulated in our agreements with our lender banks, (x) pending litigation, (xi) new customer engagements, qualification and production ramp-up at our facilities,(xii)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other fundraising activities to enable the service of our debt and/or other liabilities and/or for strategic opportunities, including to fund Agrate fab’s significant 300mm capacity investments, in addition to other previously announced capacity expansion plans , and the possible unavailability of such financing and/ or the availability of such financing on unfavorable terms, (xxi) operating our facilities at high utilization rates which is critical in order to cover a portion or all of the high level of fixed costs associated with operating a foundry, and our debt, in order to improve our results,</w:t>
      </w:r>
    </w:p>
    <w:p>
      <w:pPr>
        <w:spacing w:after="0" w:line="7" w:lineRule="exact"/>
        <w:rPr>
          <w:rFonts w:ascii="Arial" w:cs="Arial" w:eastAsia="Arial" w:hAnsi="Arial"/>
          <w:sz w:val="19"/>
          <w:szCs w:val="19"/>
          <w:color w:val="auto"/>
        </w:rPr>
      </w:pPr>
    </w:p>
    <w:p>
      <w:pPr>
        <w:jc w:val="both"/>
        <w:ind w:firstLine="8"/>
        <w:spacing w:after="0" w:line="296" w:lineRule="auto"/>
        <w:tabs>
          <w:tab w:leader="none" w:pos="555"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purchase of equipment to increase capacity, the timely completion of the equipment installation, technology transfer and raising the funds therefor, (xxiii) the concentration of our business in the semiconductor industry, (xxiv) product returns,</w:t>
      </w:r>
    </w:p>
    <w:p>
      <w:pPr>
        <w:spacing w:after="0" w:line="1" w:lineRule="exact"/>
        <w:rPr>
          <w:rFonts w:ascii="Arial" w:cs="Arial" w:eastAsia="Arial" w:hAnsi="Arial"/>
          <w:sz w:val="19"/>
          <w:szCs w:val="19"/>
          <w:color w:val="auto"/>
        </w:rPr>
      </w:pPr>
    </w:p>
    <w:p>
      <w:pPr>
        <w:jc w:val="both"/>
        <w:ind w:firstLine="8"/>
        <w:spacing w:after="0" w:line="298" w:lineRule="auto"/>
        <w:tabs>
          <w:tab w:leader="none" w:pos="548"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including risks and uncertainties associated with Agrate fab establishment project, its qualification schedule, technology, equipment and process qualification and production facility ramp-up, customer engagements, cost structure and investment amounts and other terms, which may require additional funding to cover its significant capacity investment needs and other payments, the availability of which funding cannot be assured on favorable terms, if at all, (xxxvi) potential impact on TPSCo and the Company due to the purchase of 49% of TPSCo by NTCJ (previously named PSCS) from Panasonic, (xxxvii) industry and market impact due to the coronavirus and its potential impact on our business, operational continuity, supply chain, revenue and profitability, (xxxviii) potential security, cyber and privacy breaches, (xxxix) our ability to satisfy the covenants stipulated in our agreements with the series G bondholders (as of December 31, 2021, we are in compliance with this indenture’s covenants), (xxxx) risks associated with the transaction announced on February 15, 2022, including the timely receipt of certain governmental and other regulatory approvals, the potential for regulatory authorities to require divestitures, behavioral remedies or other concessions in order to obtain their approval of the proposed transaction, the occurrence of any event, change or other circumstance that could give rise to a termination of the merger agreement, the effect of the announcement or pendency of the transaction on business relationships, operating results and business generally, delays, disruptions or increased costs due to the integration process with the acquirer, the potential that our shareholders may not approve the transaction, litigation related to or resulting from the transaction, difficulties to retain key personnel and customers, diverting management’s attention from the ongoing business operations, potential negative reactions or changes to business relationships resulting from the announcement or completion of the transaction, and (xxxxi) business interruption due to fire, earthquake and other natural disasters, the security situation in Israel, global trade “war”, COVID-19 pandemic, including its impact on global supply chain to the fabs and from the fabs, power interruptions and other events beyond our control.</w:t>
      </w:r>
    </w:p>
    <w:p>
      <w:pPr>
        <w:sectPr>
          <w:pgSz w:w="11900" w:h="16838" w:orient="portrait"/>
          <w:cols w:equalWidth="0" w:num="1">
            <w:col w:w="11240"/>
          </w:cols>
          <w:pgMar w:left="320" w:top="402" w:right="339" w:bottom="165" w:gutter="0" w:footer="0" w:header="0"/>
        </w:sectPr>
      </w:pPr>
    </w:p>
    <w:bookmarkStart w:id="7" w:name="page8"/>
    <w:bookmarkEnd w:id="7"/>
    <w:p>
      <w:pPr>
        <w:jc w:val="both"/>
        <w:spacing w:after="0" w:line="297"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3"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  #</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22"/>
          <w:szCs w:val="22"/>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210,930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211,503</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211,683</w:t>
            </w:r>
          </w:p>
        </w:tc>
      </w:tr>
      <w:tr>
        <w:trPr>
          <w:trHeight w:val="216"/>
        </w:trPr>
        <w:tc>
          <w:tcPr>
            <w:tcW w:w="7320" w:type="dxa"/>
            <w:vAlign w:val="bottom"/>
          </w:tcPr>
          <w:p>
            <w:pPr>
              <w:ind w:left="520"/>
              <w:spacing w:after="0"/>
              <w:rPr>
                <w:sz w:val="20"/>
                <w:szCs w:val="20"/>
                <w:color w:val="auto"/>
              </w:rPr>
            </w:pPr>
            <w:r>
              <w:rPr>
                <w:rFonts w:ascii="Arial" w:cs="Arial" w:eastAsia="Arial" w:hAnsi="Arial"/>
                <w:sz w:val="18"/>
                <w:szCs w:val="18"/>
                <w:b w:val="1"/>
                <w:bCs w:val="1"/>
                <w:color w:val="auto"/>
              </w:rPr>
              <w:t>Short-term deposits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363,648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315,964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310,230</w:t>
            </w:r>
          </w:p>
        </w:tc>
      </w:tr>
      <w:tr>
        <w:trPr>
          <w:trHeight w:val="216"/>
        </w:trPr>
        <w:tc>
          <w:tcPr>
            <w:tcW w:w="73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190,068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190,523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188,967</w:t>
            </w:r>
          </w:p>
        </w:tc>
      </w:tr>
      <w:tr>
        <w:trPr>
          <w:trHeight w:val="216"/>
        </w:trPr>
        <w:tc>
          <w:tcPr>
            <w:tcW w:w="7320" w:type="dxa"/>
            <w:vAlign w:val="bottom"/>
          </w:tcPr>
          <w:p>
            <w:pPr>
              <w:ind w:left="52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142,228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144,878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162,100</w:t>
            </w:r>
          </w:p>
        </w:tc>
      </w:tr>
      <w:tr>
        <w:trPr>
          <w:trHeight w:val="216"/>
        </w:trPr>
        <w:tc>
          <w:tcPr>
            <w:tcW w:w="73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Inventories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234,512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220,668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199,126</w:t>
            </w:r>
          </w:p>
        </w:tc>
      </w:tr>
      <w:tr>
        <w:trPr>
          <w:trHeight w:val="223"/>
        </w:trPr>
        <w:tc>
          <w:tcPr>
            <w:tcW w:w="7320" w:type="dxa"/>
            <w:vAlign w:val="bottom"/>
          </w:tcPr>
          <w:p>
            <w:pPr>
              <w:ind w:left="520"/>
              <w:spacing w:after="0"/>
              <w:rPr>
                <w:sz w:val="20"/>
                <w:szCs w:val="20"/>
                <w:color w:val="auto"/>
              </w:rPr>
            </w:pPr>
            <w:r>
              <w:rPr>
                <w:rFonts w:ascii="Arial" w:cs="Arial" w:eastAsia="Arial" w:hAnsi="Arial"/>
                <w:sz w:val="18"/>
                <w:szCs w:val="18"/>
                <w:b w:val="1"/>
                <w:bCs w:val="1"/>
                <w:color w:val="auto"/>
              </w:rPr>
              <w:t>Other current assets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54,817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43,653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30,810</w:t>
            </w:r>
          </w:p>
        </w:tc>
      </w:tr>
      <w:tr>
        <w:trPr>
          <w:trHeight w:val="216"/>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1,196,203</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87"/>
              </w:rPr>
              <w:t>1,127,189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1,102,916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LONG-TERM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39,597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39,157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40,699</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876,683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879,323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839,171</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GOODWILL AND OTHER INTANGIBLE ASSETS,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18,820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17,962</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DEFERRED TAX AND OTHER LONG-TERM ASSETS, NET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99,938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91,786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93,401</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2,231,241</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2,155,036</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2,094,149</w:t>
            </w:r>
          </w:p>
        </w:tc>
      </w:tr>
      <w:tr>
        <w:trPr>
          <w:trHeight w:val="209"/>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Short-term debt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83,868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105,414</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106,513</w:t>
            </w:r>
          </w:p>
        </w:tc>
      </w:tr>
      <w:tr>
        <w:trPr>
          <w:trHeight w:val="216"/>
        </w:trPr>
        <w:tc>
          <w:tcPr>
            <w:tcW w:w="7320" w:type="dxa"/>
            <w:vAlign w:val="bottom"/>
          </w:tcPr>
          <w:p>
            <w:pPr>
              <w:ind w:left="52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78,712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92,989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96,940</w:t>
            </w:r>
          </w:p>
        </w:tc>
      </w:tr>
      <w:tr>
        <w:trPr>
          <w:trHeight w:val="216"/>
        </w:trPr>
        <w:tc>
          <w:tcPr>
            <w:tcW w:w="73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39,992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31,866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10,027</w:t>
            </w:r>
          </w:p>
        </w:tc>
      </w:tr>
      <w:tr>
        <w:trPr>
          <w:trHeight w:val="223"/>
        </w:trPr>
        <w:tc>
          <w:tcPr>
            <w:tcW w:w="7320" w:type="dxa"/>
            <w:vAlign w:val="bottom"/>
          </w:tcPr>
          <w:p>
            <w:pPr>
              <w:ind w:left="52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73,756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69,796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59,432</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276,328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300,065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272,912</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230,972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212,271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283,765</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LONG-TERM CUSTOMERS' ADVANCES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69,968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39,074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25,451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EMPLOYEE RELATED LIABILITIES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14,622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15,833</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DEFERRED TAX AND OTHER LONG-TERM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23,962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28,211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41,286</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76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615,852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595,580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639,247</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ind w:left="76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1,615,389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1,559,456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1,454,902</w:t>
            </w:r>
          </w:p>
        </w:tc>
      </w:tr>
      <w:tr>
        <w:trPr>
          <w:trHeight w:val="257"/>
        </w:trPr>
        <w:tc>
          <w:tcPr>
            <w:tcW w:w="73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2,231,241</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87"/>
              </w:rPr>
              <w:t>2,155,036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2,094,149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rPr>
              <w:t>T h r e e  m o n t h s  e n d e d</w:t>
            </w:r>
          </w:p>
        </w:tc>
      </w:tr>
      <w:tr>
        <w:trPr>
          <w:trHeight w:val="223"/>
        </w:trPr>
        <w:tc>
          <w:tcPr>
            <w:tcW w:w="7320" w:type="dxa"/>
            <w:vAlign w:val="bottom"/>
          </w:tcPr>
          <w:p>
            <w:pPr>
              <w:spacing w:after="0"/>
              <w:rPr>
                <w:sz w:val="19"/>
                <w:szCs w:val="19"/>
                <w:color w:val="auto"/>
              </w:rPr>
            </w:pPr>
          </w:p>
        </w:tc>
        <w:tc>
          <w:tcPr>
            <w:tcW w:w="138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412,108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386,706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345,211</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311,935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301,330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275,602</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ind w:left="5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100,173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85,376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69,609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2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22,371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21,591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19,913</w:t>
            </w:r>
          </w:p>
        </w:tc>
      </w:tr>
      <w:tr>
        <w:trPr>
          <w:trHeight w:val="223"/>
        </w:trPr>
        <w:tc>
          <w:tcPr>
            <w:tcW w:w="73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21,939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19,620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16,317</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44,310</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41,211</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36,230</w:t>
            </w:r>
          </w:p>
        </w:tc>
      </w:tr>
      <w:tr>
        <w:trPr>
          <w:trHeight w:val="209"/>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44,165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33,379</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AND OTHER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(2,714)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(1,498)</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41,451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31,881</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(3,614)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(1,823)</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40,367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30,058</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(1,282)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974</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51,739</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39,085</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31,032</w:t>
            </w:r>
          </w:p>
        </w:tc>
      </w:tr>
      <w:tr>
        <w:trPr>
          <w:trHeight w:val="209"/>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0.36</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0.29</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108,768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108,354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107,762</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0.47</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0.36</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0.28</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110,267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109,825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108,985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20"/>
              <w:spacing w:after="0"/>
              <w:rPr>
                <w:sz w:val="20"/>
                <w:szCs w:val="20"/>
                <w:color w:val="auto"/>
              </w:rPr>
            </w:pPr>
            <w:r>
              <w:rPr>
                <w:rFonts w:ascii="Arial" w:cs="Arial" w:eastAsia="Arial" w:hAnsi="Arial"/>
                <w:sz w:val="18"/>
                <w:szCs w:val="18"/>
                <w:b w:val="1"/>
                <w:bCs w:val="1"/>
                <w:color w:val="auto"/>
              </w:rPr>
              <w:t>GAAP NET PROFIT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51,739</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39,085</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31,032</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76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8,815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5,190</w:t>
            </w:r>
          </w:p>
        </w:tc>
      </w:tr>
      <w:tr>
        <w:trPr>
          <w:trHeight w:val="216"/>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365</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520"/>
              <w:spacing w:after="0"/>
              <w:rPr>
                <w:sz w:val="20"/>
                <w:szCs w:val="20"/>
                <w:color w:val="auto"/>
              </w:rPr>
            </w:pPr>
            <w:r>
              <w:rPr>
                <w:rFonts w:ascii="Arial" w:cs="Arial" w:eastAsia="Arial" w:hAnsi="Arial"/>
                <w:sz w:val="18"/>
                <w:szCs w:val="18"/>
                <w:b w:val="1"/>
                <w:bCs w:val="1"/>
                <w:color w:val="auto"/>
              </w:rPr>
              <w:t>ADJUSTED NET PROFIT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61,060</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45,041</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36,587</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ADJUSTED EARNINGS PER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3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0.56</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0.42</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0.34</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320" w:type="dxa"/>
            <w:vAlign w:val="bottom"/>
          </w:tcPr>
          <w:p>
            <w:pPr>
              <w:ind w:left="52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0.55</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0.41</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0.34</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2"/>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Y e a r</w:t>
            </w:r>
          </w:p>
        </w:tc>
        <w:tc>
          <w:tcPr>
            <w:tcW w:w="13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w w:val="90"/>
              </w:rPr>
              <w:t>e n d e d</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1,508,166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1,265,684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1,179,048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1,032,366</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ind w:left="5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329,118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233,318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2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85,386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78,320</w:t>
            </w:r>
          </w:p>
        </w:tc>
      </w:tr>
      <w:tr>
        <w:trPr>
          <w:trHeight w:val="223"/>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77,221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162,607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142,285</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54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166,511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91,033</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FINANCING AND OTHER EXPENSE, NET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(11,412)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(2,345)</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4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155,099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88,688</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 NET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(5,399)</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154,075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83,289</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(987)</w:t>
            </w:r>
          </w:p>
        </w:tc>
      </w:tr>
      <w:tr>
        <w:trPr>
          <w:trHeight w:val="216"/>
        </w:trPr>
        <w:tc>
          <w:tcPr>
            <w:tcW w:w="8680" w:type="dxa"/>
            <w:vAlign w:val="bottom"/>
            <w:tcBorders>
              <w:top w:val="single" w:sz="8" w:color="CCEEFF"/>
            </w:tcBorders>
          </w:tcPr>
          <w:p>
            <w:pPr>
              <w:ind w:left="50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150,012</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82,302</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0.77</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107,254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109,798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108,480</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20"/>
              <w:spacing w:after="0"/>
              <w:rPr>
                <w:sz w:val="20"/>
                <w:szCs w:val="20"/>
                <w:color w:val="auto"/>
              </w:rPr>
            </w:pPr>
            <w:r>
              <w:rPr>
                <w:rFonts w:ascii="Arial" w:cs="Arial" w:eastAsia="Arial" w:hAnsi="Arial"/>
                <w:sz w:val="18"/>
                <w:szCs w:val="18"/>
                <w:b w:val="1"/>
                <w:bCs w:val="1"/>
                <w:color w:val="auto"/>
              </w:rPr>
              <w:t>GAAP NET PROFIT</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150,012</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82,302</w:t>
            </w:r>
          </w:p>
        </w:tc>
      </w:tr>
      <w:tr>
        <w:trPr>
          <w:trHeight w:val="216"/>
        </w:trPr>
        <w:tc>
          <w:tcPr>
            <w:tcW w:w="86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16,988</w:t>
            </w:r>
          </w:p>
        </w:tc>
      </w:tr>
      <w:tr>
        <w:trPr>
          <w:trHeight w:val="223"/>
        </w:trPr>
        <w:tc>
          <w:tcPr>
            <w:tcW w:w="8680" w:type="dxa"/>
            <w:vAlign w:val="bottom"/>
          </w:tcPr>
          <w:p>
            <w:pPr>
              <w:ind w:left="76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1,658</w:t>
            </w:r>
          </w:p>
        </w:tc>
      </w:tr>
      <w:tr>
        <w:trPr>
          <w:trHeight w:val="257"/>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ADJUSTED NET PROFIT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177,149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b w:val="1"/>
                <w:bCs w:val="1"/>
                <w:color w:val="auto"/>
              </w:rPr>
              <w:t>ADJUSTED 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Basic</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ind w:left="52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0.93</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1" w:name="page12"/>
    <w:bookmarkEnd w:id="11"/>
    <w:p>
      <w:pPr>
        <w:jc w:val="center"/>
        <w:ind w:left="340" w:right="2160"/>
        <w:spacing w:after="0" w:line="275" w:lineRule="auto"/>
        <w:rPr>
          <w:sz w:val="20"/>
          <w:szCs w:val="20"/>
          <w:color w:val="auto"/>
        </w:rPr>
      </w:pPr>
      <w:r>
        <w:rPr>
          <w:rFonts w:ascii="Arial" w:cs="Arial" w:eastAsia="Arial" w:hAnsi="Arial"/>
          <w:sz w:val="18"/>
          <w:szCs w:val="18"/>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 h r e e  m o n t h s  e n d e d</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PROFIT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44,165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33,379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Depreciation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64,692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63,021</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56,956</w:t>
            </w: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5,452</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5,190</w:t>
            </w:r>
          </w:p>
        </w:tc>
      </w:tr>
      <w:tr>
        <w:trPr>
          <w:trHeight w:val="223"/>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506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504</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365</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129,876</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113,142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95,890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62"/>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gridSpan w:val="10"/>
          </w:tcPr>
          <w:p>
            <w:pPr>
              <w:jc w:val="right"/>
              <w:ind w:right="800"/>
              <w:spacing w:after="0"/>
              <w:rPr>
                <w:sz w:val="20"/>
                <w:szCs w:val="20"/>
                <w:color w:val="auto"/>
              </w:rPr>
            </w:pPr>
            <w:r>
              <w:rPr>
                <w:rFonts w:ascii="Arial" w:cs="Arial" w:eastAsia="Arial" w:hAnsi="Arial"/>
                <w:sz w:val="18"/>
                <w:szCs w:val="18"/>
                <w:b w:val="1"/>
                <w:bCs w:val="1"/>
                <w:color w:val="auto"/>
              </w:rPr>
              <w:t>T h r e e  m o n t h s  e n d e d</w:t>
            </w:r>
          </w:p>
        </w:tc>
      </w:tr>
      <w:tr>
        <w:trPr>
          <w:trHeight w:val="223"/>
        </w:trPr>
        <w:tc>
          <w:tcPr>
            <w:tcW w:w="7320" w:type="dxa"/>
            <w:vAlign w:val="bottom"/>
          </w:tcPr>
          <w:p>
            <w:pPr>
              <w:spacing w:after="0"/>
              <w:rPr>
                <w:sz w:val="19"/>
                <w:szCs w:val="19"/>
                <w:color w:val="auto"/>
              </w:rPr>
            </w:pPr>
          </w:p>
        </w:tc>
        <w:tc>
          <w:tcPr>
            <w:tcW w:w="124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211,503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215,755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207,704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133,656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106,974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73,010</w:t>
            </w: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(85,947)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(87,714)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(64,233)</w:t>
            </w: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Exercise of options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1,026</w:t>
            </w: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Debt recevied (repaid),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(29,211)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(8,147)</w:t>
            </w: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1,624</w:t>
            </w: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(47,268)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699</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210,930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211,503</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211,683</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Y e a r</w:t>
            </w:r>
          </w:p>
        </w:tc>
        <w:tc>
          <w:tcPr>
            <w:tcW w:w="1460" w:type="dxa"/>
            <w:vAlign w:val="bottom"/>
            <w:gridSpan w:val="5"/>
          </w:tcPr>
          <w:p>
            <w:pPr>
              <w:ind w:left="40"/>
              <w:spacing w:after="0"/>
              <w:rPr>
                <w:sz w:val="20"/>
                <w:szCs w:val="20"/>
                <w:color w:val="auto"/>
              </w:rPr>
            </w:pPr>
            <w:r>
              <w:rPr>
                <w:rFonts w:ascii="Arial" w:cs="Arial" w:eastAsia="Arial" w:hAnsi="Arial"/>
                <w:sz w:val="18"/>
                <w:szCs w:val="18"/>
                <w:b w:val="1"/>
                <w:bCs w:val="1"/>
                <w:color w:val="auto"/>
              </w:rPr>
              <w:t>e n d e 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124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211,683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355,561</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421,293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276,561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(279,260)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(256,539)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Exercise of options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(77,315)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(63,699)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(6,245)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(59,684)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(107,070)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210,930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211,683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jc w:val="center"/>
        <w:ind w:left="340" w:right="22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Y e a r</w:t>
            </w:r>
          </w:p>
        </w:tc>
        <w:tc>
          <w:tcPr>
            <w:tcW w:w="13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w w:val="87"/>
              </w:rPr>
              <w:t>e n d e d</w:t>
            </w:r>
          </w:p>
        </w:tc>
      </w:tr>
      <w:tr>
        <w:trPr>
          <w:trHeight w:val="223"/>
        </w:trPr>
        <w:tc>
          <w:tcPr>
            <w:tcW w:w="8680" w:type="dxa"/>
            <w:vAlign w:val="bottom"/>
          </w:tcPr>
          <w:p>
            <w:pPr>
              <w:spacing w:after="0"/>
              <w:rPr>
                <w:sz w:val="19"/>
                <w:szCs w:val="19"/>
                <w:color w:val="auto"/>
              </w:rPr>
            </w:pPr>
          </w:p>
        </w:tc>
        <w:tc>
          <w:tcPr>
            <w:tcW w:w="122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40"/>
              <w:spacing w:after="0"/>
              <w:rPr>
                <w:sz w:val="20"/>
                <w:szCs w:val="20"/>
                <w:color w:val="auto"/>
              </w:rPr>
            </w:pPr>
            <w:r>
              <w:rPr>
                <w:rFonts w:ascii="Arial" w:cs="Arial" w:eastAsia="Arial" w:hAnsi="Arial"/>
                <w:sz w:val="18"/>
                <w:szCs w:val="18"/>
                <w:b w:val="1"/>
                <w:bCs w:val="1"/>
                <w:color w:val="auto"/>
              </w:rPr>
              <w:t>Net profit for the period</w:t>
            </w: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154,075</w:t>
            </w:r>
          </w:p>
        </w:tc>
        <w:tc>
          <w:tcPr>
            <w:tcW w:w="8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83,289</w:t>
            </w:r>
          </w:p>
        </w:tc>
      </w:tr>
      <w:tr>
        <w:trPr>
          <w:trHeight w:val="216"/>
        </w:trPr>
        <w:tc>
          <w:tcPr>
            <w:tcW w:w="86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 net cash provided by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270,710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240,531</w:t>
            </w:r>
          </w:p>
        </w:tc>
      </w:tr>
      <w:tr>
        <w:trPr>
          <w:trHeight w:val="216"/>
        </w:trPr>
        <w:tc>
          <w:tcPr>
            <w:tcW w:w="8680" w:type="dxa"/>
            <w:vAlign w:val="bottom"/>
          </w:tcPr>
          <w:p>
            <w:pPr>
              <w:ind w:left="940"/>
              <w:spacing w:after="0"/>
              <w:rPr>
                <w:sz w:val="20"/>
                <w:szCs w:val="20"/>
                <w:color w:val="auto"/>
              </w:rPr>
            </w:pPr>
            <w:r>
              <w:rPr>
                <w:rFonts w:ascii="Arial" w:cs="Arial" w:eastAsia="Arial" w:hAnsi="Arial"/>
                <w:sz w:val="18"/>
                <w:szCs w:val="18"/>
                <w:b w:val="1"/>
                <w:bCs w:val="1"/>
                <w:color w:val="auto"/>
              </w:rPr>
              <w:t>Effect of exchange rate differences on debentures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6,645</w:t>
            </w:r>
          </w:p>
        </w:tc>
      </w:tr>
      <w:tr>
        <w:trPr>
          <w:trHeight w:val="216"/>
        </w:trPr>
        <w:tc>
          <w:tcPr>
            <w:tcW w:w="868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auto"/>
              </w:rPr>
              <w:t>Other expense (income), net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5,215</w:t>
            </w: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Changes in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14,335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(33,087)</w:t>
            </w:r>
          </w:p>
        </w:tc>
      </w:tr>
      <w:tr>
        <w:trPr>
          <w:trHeight w:val="216"/>
        </w:trPr>
        <w:tc>
          <w:tcPr>
            <w:tcW w:w="8680" w:type="dxa"/>
            <w:vAlign w:val="bottom"/>
          </w:tcPr>
          <w:p>
            <w:pPr>
              <w:ind w:left="94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(26,731)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(7,999)</w:t>
            </w:r>
          </w:p>
        </w:tc>
      </w:tr>
      <w:tr>
        <w:trPr>
          <w:trHeight w:val="216"/>
        </w:trPr>
        <w:tc>
          <w:tcPr>
            <w:tcW w:w="868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auto"/>
              </w:rPr>
              <w:t>Inventories</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(44,192)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(2,891)</w:t>
            </w:r>
          </w:p>
        </w:tc>
      </w:tr>
      <w:tr>
        <w:trPr>
          <w:trHeight w:val="216"/>
        </w:trPr>
        <w:tc>
          <w:tcPr>
            <w:tcW w:w="8680" w:type="dxa"/>
            <w:vAlign w:val="bottom"/>
          </w:tcPr>
          <w:p>
            <w:pPr>
              <w:ind w:left="94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(25,004)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(18,576)</w:t>
            </w:r>
          </w:p>
        </w:tc>
      </w:tr>
      <w:tr>
        <w:trPr>
          <w:trHeight w:val="216"/>
        </w:trPr>
        <w:tc>
          <w:tcPr>
            <w:tcW w:w="868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74,524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(3,072)</w:t>
            </w:r>
          </w:p>
        </w:tc>
      </w:tr>
      <w:tr>
        <w:trPr>
          <w:trHeight w:val="216"/>
        </w:trPr>
        <w:tc>
          <w:tcPr>
            <w:tcW w:w="8680" w:type="dxa"/>
            <w:vAlign w:val="bottom"/>
          </w:tcPr>
          <w:p>
            <w:pPr>
              <w:ind w:left="94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16,850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347</w:t>
            </w:r>
          </w:p>
        </w:tc>
      </w:tr>
      <w:tr>
        <w:trPr>
          <w:trHeight w:val="216"/>
        </w:trPr>
        <w:tc>
          <w:tcPr>
            <w:tcW w:w="868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auto"/>
              </w:rPr>
              <w:t>Long-term employee related liabilities</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3,936</w:t>
            </w:r>
          </w:p>
        </w:tc>
      </w:tr>
      <w:tr>
        <w:trPr>
          <w:trHeight w:val="223"/>
        </w:trPr>
        <w:tc>
          <w:tcPr>
            <w:tcW w:w="8680" w:type="dxa"/>
            <w:vAlign w:val="bottom"/>
          </w:tcPr>
          <w:p>
            <w:pPr>
              <w:ind w:left="94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(10,270)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2,223</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18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421,293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276,561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(279,260)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(256,539)</w:t>
            </w:r>
          </w:p>
        </w:tc>
      </w:tr>
      <w:tr>
        <w:trPr>
          <w:trHeight w:val="223"/>
        </w:trPr>
        <w:tc>
          <w:tcPr>
            <w:tcW w:w="8680" w:type="dxa"/>
            <w:vAlign w:val="bottom"/>
          </w:tcPr>
          <w:p>
            <w:pPr>
              <w:ind w:left="240"/>
              <w:spacing w:after="0"/>
              <w:rPr>
                <w:sz w:val="20"/>
                <w:szCs w:val="20"/>
                <w:color w:val="auto"/>
              </w:rPr>
            </w:pPr>
            <w:r>
              <w:rPr>
                <w:rFonts w:ascii="Arial" w:cs="Arial" w:eastAsia="Arial" w:hAnsi="Arial"/>
                <w:sz w:val="18"/>
                <w:szCs w:val="18"/>
                <w:b w:val="1"/>
                <w:bCs w:val="1"/>
                <w:color w:val="auto"/>
              </w:rPr>
              <w:t>Investments in deposits, marketable securities and other assets, net</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(59,684)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(107,070)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18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(338,944)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(363,609)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4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(77,315)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(63,699)</w:t>
            </w:r>
          </w:p>
        </w:tc>
      </w:tr>
      <w:tr>
        <w:trPr>
          <w:trHeight w:val="223"/>
        </w:trPr>
        <w:tc>
          <w:tcPr>
            <w:tcW w:w="86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Exercise of options</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2,512</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(76,857)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(61,187)</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2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(6,245)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4,357</w:t>
            </w:r>
          </w:p>
        </w:tc>
      </w:tr>
      <w:tr>
        <w:trPr>
          <w:trHeight w:val="210"/>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(143,878)</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211,683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355,561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210,930</w:t>
            </w:r>
          </w:p>
        </w:tc>
        <w:tc>
          <w:tcPr>
            <w:tcW w:w="8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211,683</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8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8"/>
    </w:lvl>
  </w:abstractNum>
  <w:abstractNum w:abstractNumId="1">
    <w:nsid w:val="74B0DC51"/>
    <w:multiLevelType w:val="hybridMultilevel"/>
    <w:lvl w:ilvl="0">
      <w:lvlJc w:val="left"/>
      <w:lvlText w:val="(%1)"/>
      <w:numFmt w:val="lowerRoman"/>
      <w:start w:val="22"/>
    </w:lvl>
  </w:abstractNum>
  <w:abstractNum w:abstractNumId="2">
    <w:nsid w:val="19495CFF"/>
    <w:multiLevelType w:val="hybridMultilevel"/>
    <w:lvl w:ilvl="0">
      <w:lvlJc w:val="left"/>
      <w:lvlText w:val="(%1)"/>
      <w:numFmt w:val="lowerRoman"/>
      <w:start w:val="2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2022-02-17T05:16:58Z</dcterms:created>
  <dcterms:modified xsi:type="dcterms:W3CDTF">2022-02-17T05:16:58Z</dcterms:modified>
</cp:coreProperties>
</file>