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zk2636128.htm"/>
      <w:bookmarkStart w:id="1" w:name="kszk2636128"/>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w:t>
      </w:r>
      <w:r>
        <w:rPr>
          <w:rFonts w:ascii="Times New Roman;Times;Serif" w:hAnsi="Times New Roman;Times;Serif"/>
          <w:b w:val="false"/>
          <w:i w:val="false"/>
          <w:caps w:val="false"/>
          <w:smallCaps w:val="false"/>
          <w:sz w:val="20"/>
        </w:rPr>
        <w:t xml:space="preserve">ashington, D.C. </w:t>
      </w:r>
      <w:r>
        <w:rPr>
          <w:rFonts w:ascii="Times New Roman;Times;Serif" w:hAnsi="Times New Roman;Times;Serif"/>
          <w:b w:val="false"/>
          <w:i w:val="false"/>
          <w:smallCaps/>
          <w:sz w:val="20"/>
        </w:rPr>
        <w:t>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NewRomanPS;serif" w:hAnsi="TimesNewRomanPS;serif"/>
          <w:b/>
          <w:i w:val="false"/>
          <w:caps w:val="false"/>
          <w:smallCaps w:val="false"/>
          <w:sz w:val="20"/>
        </w:rPr>
      </w:pPr>
      <w:r>
        <w:rPr>
          <w:rFonts w:ascii="TimesNewRomanPS;serif" w:hAnsi="TimesNewRomanP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NewRomanPS;serif" w:hAnsi="TimesNewRomanPS;serif"/>
          <w:b/>
          <w:i w:val="false"/>
          <w:caps w:val="false"/>
          <w:smallCaps w:val="false"/>
          <w:sz w:val="20"/>
        </w:rPr>
      </w:pPr>
      <w:r>
        <w:rPr>
          <w:rFonts w:ascii="TimesNewRomanPS;serif" w:hAnsi="TimesNewRomanP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September 2026 No.2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TOWER SEMICONDUCTOR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P.O. Box 619, Migdal Haemek, Israel 2310502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firstLine="7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On September 17, 2026, the Registrant and NewPhotonics® Announce</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Beginning of High-Volume Shipments of Laser Integrated, Serviceable</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Optical Engine PICs for Scale-Out and Scale Up AI Interconnect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83" w:type="dxa"/>
        <w:jc w:val="left"/>
        <w:tblInd w:w="0" w:type="dxa"/>
        <w:tblLayout w:type="fixed"/>
        <w:tblCellMar>
          <w:top w:w="0" w:type="dxa"/>
          <w:left w:w="0" w:type="dxa"/>
          <w:bottom w:w="0" w:type="dxa"/>
          <w:right w:w="0" w:type="dxa"/>
        </w:tblCellMar>
      </w:tblPr>
      <w:tblGrid>
        <w:gridCol w:w="2510"/>
        <w:gridCol w:w="1114"/>
        <w:gridCol w:w="2631"/>
        <w:gridCol w:w="128"/>
      </w:tblGrid>
      <w:tr>
        <w:trPr/>
        <w:tc>
          <w:tcPr>
            <w:tcW w:w="2510" w:type="dxa"/>
            <w:tcBorders/>
            <w:vAlign w:val="center"/>
          </w:tcPr>
          <w:p>
            <w:pPr>
              <w:pStyle w:val="TableContents"/>
              <w:bidi w:val="0"/>
              <w:spacing w:before="0" w:after="283"/>
              <w:jc w:val="left"/>
              <w:rPr/>
            </w:pPr>
            <w:r>
              <w:rPr/>
              <w:t> </w:t>
            </w:r>
          </w:p>
        </w:tc>
        <w:tc>
          <w:tcPr>
            <w:tcW w:w="3873" w:type="dxa"/>
            <w:gridSpan w:val="3"/>
            <w:tcBorders/>
            <w:vAlign w:val="center"/>
          </w:tcPr>
          <w:p>
            <w:pPr>
              <w:pStyle w:val="TableContents"/>
              <w:bidi w:val="0"/>
              <w:spacing w:before="0" w:after="283"/>
              <w:jc w:val="left"/>
              <w:rPr>
                <w:b/>
              </w:rPr>
            </w:pPr>
            <w:r>
              <w:rPr>
                <w:b/>
              </w:rPr>
              <w:t>TOWER SEMICONDUCTOR LTD.</w:t>
            </w:r>
          </w:p>
        </w:tc>
      </w:tr>
      <w:tr>
        <w:trPr/>
        <w:tc>
          <w:tcPr>
            <w:tcW w:w="251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 </w:t>
            </w:r>
          </w:p>
        </w:tc>
        <w:tc>
          <w:tcPr>
            <w:tcW w:w="2759"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17, 2026</w:t>
            </w:r>
          </w:p>
        </w:tc>
        <w:tc>
          <w:tcPr>
            <w:tcW w:w="1114" w:type="dxa"/>
            <w:tcBorders/>
            <w:vAlign w:val="center"/>
          </w:tcPr>
          <w:p>
            <w:pPr>
              <w:pStyle w:val="TableContents"/>
              <w:bidi w:val="0"/>
              <w:spacing w:before="0" w:after="283"/>
              <w:jc w:val="left"/>
              <w:rPr/>
            </w:pPr>
            <w:r>
              <w:rPr/>
              <w:t>By:</w:t>
            </w:r>
          </w:p>
        </w:tc>
        <w:tc>
          <w:tcPr>
            <w:tcW w:w="2631" w:type="dxa"/>
            <w:tcBorders>
              <w:bottom w:val="single" w:sz="8" w:space="0" w:color="000000"/>
            </w:tcBorders>
            <w:tcMar>
              <w:bottom w:w="28" w:type="dxa"/>
            </w:tcMar>
            <w:vAlign w:val="center"/>
          </w:tcPr>
          <w:p>
            <w:pPr>
              <w:pStyle w:val="TableContents"/>
              <w:bidi w:val="0"/>
              <w:spacing w:before="0" w:after="283"/>
              <w:jc w:val="left"/>
              <w:rPr/>
            </w:pPr>
            <w:r>
              <w:rPr/>
              <w:t>/s/ Nati Somekh</w:t>
            </w:r>
          </w:p>
        </w:tc>
        <w:tc>
          <w:tcPr>
            <w:tcW w:w="128"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Name:</w:t>
            </w:r>
          </w:p>
        </w:tc>
        <w:tc>
          <w:tcPr>
            <w:tcW w:w="2759" w:type="dxa"/>
            <w:gridSpan w:val="2"/>
            <w:tcBorders/>
            <w:vAlign w:val="center"/>
          </w:tcPr>
          <w:p>
            <w:pPr>
              <w:pStyle w:val="TableContents"/>
              <w:bidi w:val="0"/>
              <w:spacing w:before="0" w:after="283"/>
              <w:jc w:val="left"/>
              <w:rPr/>
            </w:pPr>
            <w:r>
              <w:rPr/>
              <w:t>Nati Somekh</w:t>
            </w:r>
          </w:p>
        </w:tc>
      </w:tr>
      <w:tr>
        <w:trPr/>
        <w:tc>
          <w:tcPr>
            <w:tcW w:w="2510"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left"/>
              <w:rPr/>
            </w:pPr>
            <w:r>
              <w:rPr/>
              <w:t>Title:</w:t>
            </w:r>
          </w:p>
        </w:tc>
        <w:tc>
          <w:tcPr>
            <w:tcW w:w="2759" w:type="dxa"/>
            <w:gridSpan w:val="2"/>
            <w:tcBorders/>
            <w:vAlign w:val="center"/>
          </w:tcPr>
          <w:p>
            <w:pPr>
              <w:pStyle w:val="TableContents"/>
              <w:bidi w:val="0"/>
              <w:spacing w:before="0" w:after="283"/>
              <w:jc w:val="left"/>
              <w:rPr/>
            </w:pPr>
            <w:r>
              <w:rPr/>
              <w:t>Corporate Secretary</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2970" w:type="dxa"/>
        <w:jc w:val="left"/>
        <w:tblInd w:w="0" w:type="dxa"/>
        <w:tblLayout w:type="fixed"/>
        <w:tblCellMar>
          <w:top w:w="0" w:type="dxa"/>
          <w:left w:w="0" w:type="dxa"/>
          <w:bottom w:w="0" w:type="dxa"/>
          <w:right w:w="0" w:type="dxa"/>
        </w:tblCellMar>
      </w:tblPr>
      <w:tblGrid>
        <w:gridCol w:w="975"/>
        <w:gridCol w:w="1995"/>
      </w:tblGrid>
      <w:tr>
        <w:trPr/>
        <w:tc>
          <w:tcPr>
            <w:tcW w:w="975" w:type="dxa"/>
            <w:tcBorders/>
            <w:vAlign w:val="center"/>
          </w:tcPr>
          <w:p>
            <w:pPr>
              <w:pStyle w:val="TableContents"/>
              <w:bidi w:val="0"/>
              <w:spacing w:before="0" w:after="283"/>
              <w:jc w:val="left"/>
              <w:rPr/>
            </w:pPr>
            <w:r>
              <w:rPr/>
              <w:t> </w:t>
            </w:r>
            <w:r>
              <w:rPr/>
              <w:drawing>
                <wp:inline distT="0" distB="0" distL="0" distR="0">
                  <wp:extent cx="5715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333375"/>
                          </a:xfrm>
                          <a:prstGeom prst="rect">
                            <a:avLst/>
                          </a:prstGeom>
                        </pic:spPr>
                      </pic:pic>
                    </a:graphicData>
                  </a:graphic>
                </wp:inline>
              </w:drawing>
            </w:r>
          </w:p>
        </w:tc>
        <w:tc>
          <w:tcPr>
            <w:tcW w:w="1995" w:type="dxa"/>
            <w:tcBorders/>
            <w:vAlign w:val="center"/>
          </w:tcPr>
          <w:p>
            <w:pPr>
              <w:pStyle w:val="TableContents"/>
              <w:bidi w:val="0"/>
              <w:spacing w:before="0" w:after="283"/>
              <w:jc w:val="right"/>
              <w:rPr/>
            </w:pPr>
            <w:r>
              <w:rPr/>
              <w:t> </w:t>
            </w:r>
            <w:r>
              <w:rPr/>
              <w:drawing>
                <wp:inline distT="0" distB="0" distL="0" distR="0">
                  <wp:extent cx="1219200"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 cy="1714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NewPhotonics® and Tower Semiconductor Begin High-Volume Shipments of Laser-Integrated,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Serviceable Optical Engine PICs for Scale-Out and Scale Up AI Interconnect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Companies commercialize scale manufacturability of 800G to 1.6T PICs in external pluggable and CPX MSA compliant</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NPO socket pluggable solutions built on PH18DA platform designed for high-density monolithic laser integration,</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SOAs, modulators and detectors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MIGDAL HAEMEK, Israel, and TEL AVIV, Israel, September 17, 2026</w:t>
      </w:r>
      <w:r>
        <w:rPr>
          <w:rFonts w:ascii="Times New Roman;Times;Serif" w:hAnsi="Times New Roman;Times;Serif"/>
          <w:b w:val="false"/>
          <w:i w:val="false"/>
          <w:caps w:val="false"/>
          <w:smallCaps w:val="false"/>
          <w:sz w:val="20"/>
        </w:rPr>
        <w:t> – </w:t>
      </w:r>
      <w:r>
        <w:rPr>
          <w:rFonts w:ascii="Times New Roman;Times;Serif" w:hAnsi="Times New Roman;Times;Serif"/>
          <w:b w:val="false"/>
          <w:i w:val="false"/>
          <w:caps w:val="false"/>
          <w:smallCaps w:val="false"/>
          <w:sz w:val="20"/>
          <w:u w:val="single"/>
        </w:rPr>
        <w:t>Tower Semiconductor</w:t>
      </w:r>
      <w:r>
        <w:rPr>
          <w:rFonts w:ascii="Times New Roman;Times;Serif" w:hAnsi="Times New Roman;Times;Serif"/>
          <w:b w:val="false"/>
          <w:i w:val="false"/>
          <w:caps w:val="false"/>
          <w:smallCaps w:val="false"/>
          <w:sz w:val="20"/>
        </w:rPr>
        <w:t xml:space="preserve"> (NASDAQ/TASE: TSEM), the leading foundry for high-value analog semiconductor solutions, and </w:t>
      </w:r>
      <w:r>
        <w:rPr>
          <w:rFonts w:ascii="Times New Roman;Times;Serif" w:hAnsi="Times New Roman;Times;Serif"/>
          <w:b w:val="false"/>
          <w:i w:val="false"/>
          <w:caps w:val="false"/>
          <w:smallCaps w:val="false"/>
          <w:sz w:val="20"/>
          <w:u w:val="single"/>
        </w:rPr>
        <w:t>NewPhotonics</w:t>
      </w:r>
      <w:r>
        <w:rPr>
          <w:rFonts w:ascii="Times New Roman;Times;Serif" w:hAnsi="Times New Roman;Times;Serif"/>
          <w:b w:val="false"/>
          <w:i w:val="false"/>
          <w:caps w:val="false"/>
          <w:smallCaps w:val="false"/>
          <w:sz w:val="20"/>
        </w:rPr>
        <w:t>®, a fabless semiconductor delivering innovative photonic IC chip solutions, today announced high-volume shipment of laser-integrated serviceable optical engines designed to meet the urgent and growing demand for high-bandwidth, energy-efficient optical interconnects in artificial intelligence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PIC optical engine chips support OEM solutions ranging from FRO/LRO/LPO and Extra-Dense Packaged Optics (XPO) pluggable transceiver modules and Near-Packaged Optics (NPO) socket pluggable applications. Shipping volume production PICs today support data rates from 800G to 1.6T, with future volume manufacturing planned at 6.4T NPO solutions suitable for scale-out and scale-up architectures.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collaboration leverages the high-volume PH18DA silicon photonics (SiPho) technology platform featuring heterogeneously integrated InP components enabling monolithic integration of lasers, semiconductor optical amplifiers (SOAs), modulators, and photodetectors on a single photonic integrated circuit. This highly integrated, optical-domain focused approach reduces complexity and manufacturing variability to supply better yield, reliability, and time-to-market with a leading-edge photonic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shipment of NewPhotonics NPG102 PIC products for 800G and 1.6T feature 200G-per-lane designs and heterogeneously integrated lasers on a monolithic PIC enable customers to leverage optical signal processing in a unified architecture that delivers power efficiency, bandwidth density, and manufacturing consistency. The CPX-MSA compliant NPC505 chipsets for 6.4T will begin volume shipment in 1H27.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 next phase of AI infrastructure demands optical connectivity that scales in both production and performance,” </w:t>
      </w:r>
      <w:r>
        <w:rPr>
          <w:rFonts w:ascii="Times New Roman;Times;Serif" w:hAnsi="Times New Roman;Times;Serif"/>
          <w:b/>
          <w:i w:val="false"/>
          <w:caps w:val="false"/>
          <w:smallCaps w:val="false"/>
          <w:sz w:val="20"/>
        </w:rPr>
        <w:t>said Doron Tal, SVP and GM of NewPhotonics</w:t>
      </w:r>
      <w:r>
        <w:rPr>
          <w:rFonts w:ascii="Times New Roman;Times;Serif" w:hAnsi="Times New Roman;Times;Serif"/>
          <w:b w:val="false"/>
          <w:i w:val="false"/>
          <w:caps w:val="false"/>
          <w:smallCaps w:val="false"/>
          <w:sz w:val="20"/>
        </w:rPr>
        <w:t>. “With Tower, we are translating laser-integrated photonics into a practical choice and volume availability. By combining our optical chip design with their manufacturing platform, we are first to bring higher-bandwidth, energy-efficient highly integrated systems to the OEM customer and data center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We are excited to see our vision of integrating lasers with high-performance photonic integrated circuits come to fruition through scale-ready solutions optimized for FRO/LRO and NPO architectures,” </w:t>
      </w:r>
      <w:r>
        <w:rPr>
          <w:rFonts w:ascii="Times New Roman;Times;Serif" w:hAnsi="Times New Roman;Times;Serif"/>
          <w:b/>
          <w:i w:val="false"/>
          <w:caps w:val="false"/>
          <w:smallCaps w:val="false"/>
          <w:sz w:val="20"/>
        </w:rPr>
        <w:t>said Dr. Ed Preisler, Vice President and General Manager, RF Business Unit, Tower Semiconductor</w:t>
      </w:r>
      <w:r>
        <w:rPr>
          <w:rFonts w:ascii="Times New Roman;Times;Serif" w:hAnsi="Times New Roman;Times;Serif"/>
          <w:b w:val="false"/>
          <w:i w:val="false"/>
          <w:caps w:val="false"/>
          <w:smallCaps w:val="false"/>
          <w:sz w:val="20"/>
        </w:rPr>
        <w:t>. “NewPhotonics is a valued partner and the first to bring heterogenous laser-integrated optical engines on the PH18DA platform into high-volume production, marking an important milestone in scaling optical connectivity for next-generation AI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will participate in the upcoming ECOC 2026, September 21–23 at FYCMA in Malaga, Spain, with representatives available for meetings during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Tower Semiconductor’s advanced silicon photonics (SiPho) platform and RF &amp; HPA technology offerings, visit </w:t>
      </w:r>
      <w:r>
        <w:rPr>
          <w:rFonts w:ascii="Times New Roman;Times;Serif" w:hAnsi="Times New Roman;Times;Serif"/>
          <w:b/>
          <w:i w:val="false"/>
          <w:caps w:val="false"/>
          <w:smallCaps w:val="false"/>
          <w:sz w:val="20"/>
        </w:rPr>
        <w:t>booth #C1014</w:t>
      </w:r>
      <w:r>
        <w:rPr>
          <w:rFonts w:ascii="Times New Roman;Times;Serif" w:hAnsi="Times New Roman;Times;Serif"/>
          <w:b w:val="false"/>
          <w:i w:val="false"/>
          <w:caps w:val="false"/>
          <w:smallCaps w:val="false"/>
          <w:sz w:val="20"/>
        </w:rPr>
        <w:t>. Additional information is also available on the Company’s website: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NewPhotonics will showcase the NPG102 and NPC505 PIC products in </w:t>
      </w:r>
      <w:r>
        <w:rPr>
          <w:rFonts w:ascii="Times New Roman;Times;Serif" w:hAnsi="Times New Roman;Times;Serif"/>
          <w:b/>
          <w:i w:val="false"/>
          <w:caps w:val="false"/>
          <w:smallCaps w:val="false"/>
          <w:sz w:val="20"/>
        </w:rPr>
        <w:t>Pavilion 2 stand #2009</w:t>
      </w:r>
      <w:r>
        <w:rPr>
          <w:rFonts w:ascii="Times New Roman;Times;Serif" w:hAnsi="Times New Roman;Times;Serif"/>
          <w:b w:val="false"/>
          <w:i w:val="false"/>
          <w:caps w:val="false"/>
          <w:smallCaps w:val="false"/>
          <w:sz w:val="20"/>
        </w:rPr>
        <w:t xml:space="preserve">. Additional information about the company as well as scheduling for ECOC meetings and demo sessions can be accessed at the company’s </w:t>
      </w:r>
      <w:r>
        <w:rPr>
          <w:rFonts w:ascii="Times New Roman;Times;Serif" w:hAnsi="Times New Roman;Times;Serif"/>
          <w:b w:val="false"/>
          <w:i w:val="false"/>
          <w:caps w:val="false"/>
          <w:smallCaps w:val="false"/>
          <w:sz w:val="20"/>
          <w:u w:val="single"/>
        </w:rPr>
        <w:t>ECOC event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Tower Semiconductor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and integrated power management (BCD and 700V).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Times;Serif" w:hAnsi="Times New Roman;Times;Serif"/>
          <w:b w:val="false"/>
          <w:i w:val="false"/>
          <w:caps w:val="false"/>
          <w:smallCaps w:val="false"/>
          <w:sz w:val="20"/>
          <w:u w:val="single"/>
        </w:rPr>
        <w:t>www.towersemi.com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NewPhotonics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NewPhotonics is a fabless semiconductor delivering innovative optical-first silicon photonic product and technology innovation for AI-era hyperscaler, neo-cloud and data center interconnect that enables market disrupting energy efficiency and production simplicity and volume of FRO/LRO/LPO and NPO pluggables as well as advanced co-packaged optics solutions. In a highly integrated and system approach to design, the company offers laser integrated PICs for scale-out and scale-up photonic interconnect, the OSPic</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all-optical signal processor engine, and the industry-first Syncra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powered by Niox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heaterless MRM CPO platform with zero-loss monitoring and real-time calibration. Visit </w:t>
      </w:r>
      <w:r>
        <w:rPr>
          <w:rFonts w:ascii="Times New Roman;Times;Serif" w:hAnsi="Times New Roman;Times;Serif"/>
          <w:b w:val="false"/>
          <w:i w:val="false"/>
          <w:caps w:val="false"/>
          <w:smallCaps w:val="false"/>
          <w:sz w:val="20"/>
          <w:u w:val="single"/>
        </w:rPr>
        <w:t>www.newphotonics</w:t>
      </w:r>
      <w:r>
        <w:rPr>
          <w:rFonts w:ascii="Times New Roman;Times;Serif" w:hAnsi="Times New Roman;Times;Serif"/>
          <w:b w:val="false"/>
          <w:i w:val="false"/>
          <w:caps w:val="false"/>
          <w:smallCaps w:val="false"/>
          <w:sz w:val="20"/>
        </w:rPr>
        <w:t xml:space="preserve"> to learn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firstLine="43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Tower Semiconductor Company Contact: </w:t>
      </w:r>
      <w:r>
        <w:rPr>
          <w:rFonts w:ascii="Times New Roman;Times;Serif" w:hAnsi="Times New Roman;Times;Serif"/>
          <w:b w:val="false"/>
          <w:i w:val="false"/>
          <w:caps w:val="false"/>
          <w:smallCaps w:val="false"/>
          <w:sz w:val="20"/>
        </w:rPr>
        <w:t xml:space="preserve">Orit Shahar | +972-74-7377440 | </w:t>
      </w:r>
      <w:r>
        <w:rPr>
          <w:rFonts w:ascii="Times New Roman;Times;Serif" w:hAnsi="Times New Roman;Times;Serif"/>
          <w:b w:val="false"/>
          <w:i w:val="false"/>
          <w:caps w:val="false"/>
          <w:smallCaps w:val="false"/>
          <w:sz w:val="20"/>
          <w:u w:val="single"/>
        </w:rPr>
        <w:t>oritsha@towersemi.com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Tower Semiconductor Investor Relations Contact: </w:t>
      </w:r>
      <w:r>
        <w:rPr>
          <w:rFonts w:ascii="Times New Roman;Times;Serif" w:hAnsi="Times New Roman;Times;Serif"/>
          <w:b w:val="false"/>
          <w:i w:val="false"/>
          <w:caps w:val="false"/>
          <w:smallCaps w:val="false"/>
          <w:sz w:val="20"/>
        </w:rPr>
        <w:t>Liat Avraham | +972-4-6506154 | </w:t>
      </w:r>
      <w:r>
        <w:rPr>
          <w:rFonts w:ascii="Times New Roman;Times;Serif" w:hAnsi="Times New Roman;Times;Serif"/>
          <w:b w:val="false"/>
          <w:i w:val="false"/>
          <w:caps w:val="false"/>
          <w:smallCaps w:val="false"/>
          <w:sz w:val="20"/>
          <w:u w:val="single"/>
        </w:rPr>
        <w:t>liatavra@towersemi.com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NewPhotonics Press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press.relations@newphotonics.com +972 3 614-3147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NewRomanPS">
    <w:altName w:val="serif"/>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1096</Words>
  <Characters>6969</Characters>
  <CharactersWithSpaces>8069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