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6757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38735"/>
                    </a:xfrm>
                    <a:prstGeom prst="rect">
                      <a:avLst/>
                    </a:prstGeom>
                    <a:noFill/>
                  </pic:spPr>
                </pic:pic>
              </a:graphicData>
            </a:graphic>
          </wp:anchor>
        </w:drawing>
        <w:t>FORM 6-K</w:t>
      </w:r>
    </w:p>
    <w:p>
      <w:pPr>
        <w:spacing w:after="0" w:line="305" w:lineRule="exact"/>
        <w:rPr>
          <w:sz w:val="24"/>
          <w:szCs w:val="24"/>
          <w:color w:val="auto"/>
        </w:rPr>
      </w:pPr>
    </w:p>
    <w:p>
      <w:pPr>
        <w:jc w:val="center"/>
        <w:ind w:right="-39"/>
        <w:spacing w:after="0"/>
        <w:rPr>
          <w:sz w:val="20"/>
          <w:szCs w:val="20"/>
          <w:color w:val="auto"/>
        </w:rPr>
      </w:pPr>
      <w:r>
        <w:rPr>
          <w:rFonts w:ascii="Arial" w:cs="Arial" w:eastAsia="Arial" w:hAnsi="Arial"/>
          <w:sz w:val="24"/>
          <w:szCs w:val="24"/>
          <w:b w:val="1"/>
          <w:bCs w:val="1"/>
          <w:color w:val="auto"/>
        </w:rPr>
        <w:t>SECURITIES AND EXCHANGE COMMISSION</w:t>
      </w:r>
    </w:p>
    <w:p>
      <w:pPr>
        <w:spacing w:after="0" w:line="258" w:lineRule="exact"/>
        <w:rPr>
          <w:sz w:val="24"/>
          <w:szCs w:val="24"/>
          <w:color w:val="auto"/>
        </w:rPr>
      </w:pPr>
    </w:p>
    <w:p>
      <w:pPr>
        <w:jc w:val="center"/>
        <w:ind w:right="-99"/>
        <w:spacing w:after="0"/>
        <w:rPr>
          <w:sz w:val="20"/>
          <w:szCs w:val="20"/>
          <w:color w:val="auto"/>
        </w:rPr>
      </w:pPr>
      <w:r>
        <w:rPr>
          <w:rFonts w:ascii="Arial" w:cs="Arial" w:eastAsia="Arial" w:hAnsi="Arial"/>
          <w:sz w:val="22"/>
          <w:szCs w:val="22"/>
          <w:color w:val="auto"/>
        </w:rPr>
        <w:t>Washington, D.C. 20549</w:t>
      </w:r>
    </w:p>
    <w:p>
      <w:pPr>
        <w:spacing w:after="0" w:line="219"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For the month of August 2009 No. 10</w:t>
      </w:r>
    </w:p>
    <w:p>
      <w:pPr>
        <w:spacing w:after="0" w:line="19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TOWER SEMICONDUCTOR LTD.</w:t>
      </w:r>
    </w:p>
    <w:p>
      <w:pPr>
        <w:spacing w:after="0" w:line="43"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(Translation of registrant’s name into English)</w:t>
      </w:r>
    </w:p>
    <w:p>
      <w:pPr>
        <w:spacing w:after="0" w:line="20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Ramat Gavriel Industrial Park</w:t>
      </w:r>
    </w:p>
    <w:p>
      <w:pPr>
        <w:spacing w:after="0" w:line="21" w:lineRule="exact"/>
        <w:rPr>
          <w:sz w:val="24"/>
          <w:szCs w:val="24"/>
          <w:color w:val="auto"/>
        </w:rPr>
      </w:pPr>
    </w:p>
    <w:p>
      <w:pPr>
        <w:ind w:left="4060"/>
        <w:spacing w:after="0"/>
        <w:rPr>
          <w:sz w:val="20"/>
          <w:szCs w:val="20"/>
          <w:color w:val="auto"/>
        </w:rPr>
      </w:pPr>
      <w:r>
        <w:rPr>
          <w:rFonts w:ascii="Arial" w:cs="Arial" w:eastAsia="Arial" w:hAnsi="Arial"/>
          <w:sz w:val="18"/>
          <w:szCs w:val="18"/>
          <w:b w:val="1"/>
          <w:bCs w:val="1"/>
          <w:color w:val="auto"/>
        </w:rPr>
        <w:t>P.O. Box 619, Migdal Haemek, Israel 23105</w:t>
      </w:r>
    </w:p>
    <w:p>
      <w:pPr>
        <w:spacing w:after="0" w:line="9" w:lineRule="exact"/>
        <w:rPr>
          <w:sz w:val="24"/>
          <w:szCs w:val="24"/>
          <w:color w:val="auto"/>
        </w:rPr>
      </w:pPr>
    </w:p>
    <w:p>
      <w:pPr>
        <w:ind w:left="4320"/>
        <w:spacing w:after="0"/>
        <w:rPr>
          <w:sz w:val="20"/>
          <w:szCs w:val="20"/>
          <w:color w:val="auto"/>
        </w:rPr>
      </w:pPr>
      <w:r>
        <w:rPr>
          <w:rFonts w:ascii="Arial" w:cs="Arial" w:eastAsia="Arial" w:hAnsi="Arial"/>
          <w:sz w:val="18"/>
          <w:szCs w:val="18"/>
          <w:color w:val="auto"/>
        </w:rPr>
        <w:t>(Address of principal executive offices)</w:t>
      </w:r>
    </w:p>
    <w:p>
      <w:pPr>
        <w:spacing w:after="0" w:line="219" w:lineRule="exact"/>
        <w:rPr>
          <w:sz w:val="24"/>
          <w:szCs w:val="24"/>
          <w:color w:val="auto"/>
        </w:rPr>
      </w:pPr>
    </w:p>
    <w:p>
      <w:pPr>
        <w:ind w:left="360"/>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12"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 xml:space="preserve">Form 20-F </w:t>
      </w:r>
      <w:r>
        <w:rPr>
          <w:rFonts w:ascii="Arial" w:cs="Arial" w:eastAsia="Arial" w:hAnsi="Arial"/>
          <w:sz w:val="21"/>
          <w:szCs w:val="21"/>
          <w:color w:val="auto"/>
        </w:rPr>
        <w:t>x</w:t>
      </w:r>
      <w:r>
        <w:rPr>
          <w:rFonts w:ascii="Arial" w:cs="Arial" w:eastAsia="Arial" w:hAnsi="Arial"/>
          <w:sz w:val="18"/>
          <w:szCs w:val="18"/>
          <w:color w:val="auto"/>
        </w:rPr>
        <w:t xml:space="preserve"> Form 40-F </w:t>
      </w:r>
      <w:r>
        <w:rPr>
          <w:rFonts w:ascii="Arial" w:cs="Arial" w:eastAsia="Arial" w:hAnsi="Arial"/>
          <w:sz w:val="21"/>
          <w:szCs w:val="21"/>
          <w:color w:val="auto"/>
        </w:rPr>
        <w:t>o</w:t>
      </w:r>
    </w:p>
    <w:p>
      <w:pPr>
        <w:spacing w:after="0" w:line="231" w:lineRule="exact"/>
        <w:rPr>
          <w:sz w:val="24"/>
          <w:szCs w:val="24"/>
          <w:color w:val="auto"/>
        </w:rPr>
      </w:pPr>
    </w:p>
    <w:p>
      <w:pPr>
        <w:ind w:right="620" w:firstLine="351"/>
        <w:spacing w:after="0" w:line="268"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73"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 xml:space="preserve">Yes </w:t>
      </w:r>
      <w:r>
        <w:rPr>
          <w:rFonts w:ascii="Arial" w:cs="Arial" w:eastAsia="Arial" w:hAnsi="Arial"/>
          <w:sz w:val="21"/>
          <w:szCs w:val="21"/>
          <w:color w:val="auto"/>
        </w:rPr>
        <w:t>o</w:t>
      </w:r>
      <w:r>
        <w:rPr>
          <w:rFonts w:ascii="Arial" w:cs="Arial" w:eastAsia="Arial" w:hAnsi="Arial"/>
          <w:sz w:val="18"/>
          <w:szCs w:val="18"/>
          <w:color w:val="auto"/>
        </w:rPr>
        <w:t xml:space="preserve"> No </w:t>
      </w:r>
      <w:r>
        <w:rPr>
          <w:rFonts w:ascii="Arial" w:cs="Arial" w:eastAsia="Arial" w:hAnsi="Arial"/>
          <w:sz w:val="21"/>
          <w:szCs w:val="21"/>
          <w:color w:val="auto"/>
        </w:rPr>
        <w:t>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123825</wp:posOffset>
            </wp:positionV>
            <wp:extent cx="7250430"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4"/>
          <w:szCs w:val="24"/>
          <w:color w:val="auto"/>
        </w:rPr>
      </w:pPr>
    </w:p>
    <w:p>
      <w:pPr>
        <w:spacing w:after="0" w:line="240" w:lineRule="exact"/>
        <w:rPr>
          <w:sz w:val="24"/>
          <w:szCs w:val="24"/>
          <w:color w:val="auto"/>
        </w:rPr>
      </w:pPr>
    </w:p>
    <w:p>
      <w:pPr>
        <w:ind w:left="360"/>
        <w:spacing w:after="0"/>
        <w:rPr>
          <w:sz w:val="20"/>
          <w:szCs w:val="20"/>
          <w:color w:val="auto"/>
        </w:rPr>
      </w:pPr>
      <w:r>
        <w:rPr>
          <w:rFonts w:ascii="Arial" w:cs="Arial" w:eastAsia="Arial" w:hAnsi="Arial"/>
          <w:sz w:val="18"/>
          <w:szCs w:val="18"/>
          <w:color w:val="auto"/>
        </w:rPr>
        <w:t>On August 27, 2009, the registrant announces that it has regains compliance with $1.00 Nasdaq Minimum Closing Bid Price.</w:t>
      </w:r>
    </w:p>
    <w:p>
      <w:pPr>
        <w:spacing w:after="0" w:line="225" w:lineRule="exact"/>
        <w:rPr>
          <w:sz w:val="24"/>
          <w:szCs w:val="24"/>
          <w:color w:val="auto"/>
        </w:rPr>
      </w:pPr>
    </w:p>
    <w:p>
      <w:pPr>
        <w:ind w:left="360"/>
        <w:spacing w:after="0"/>
        <w:rPr>
          <w:sz w:val="20"/>
          <w:szCs w:val="20"/>
          <w:color w:val="auto"/>
        </w:rPr>
      </w:pPr>
      <w:r>
        <w:rPr>
          <w:rFonts w:ascii="Arial" w:cs="Arial" w:eastAsia="Arial" w:hAnsi="Arial"/>
          <w:sz w:val="18"/>
          <w:szCs w:val="18"/>
          <w:color w:val="auto"/>
        </w:rPr>
        <w:t>This Form 6-K is being incorporated by reference into all effective registration statements filed by us under 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4"/>
          <w:szCs w:val="24"/>
          <w:color w:val="auto"/>
        </w:rPr>
      </w:pPr>
    </w:p>
    <w:p>
      <w:pPr>
        <w:spacing w:after="0" w:line="296"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SIGNATURES</w:t>
      </w:r>
    </w:p>
    <w:p>
      <w:pPr>
        <w:spacing w:after="0" w:line="312" w:lineRule="exact"/>
        <w:rPr>
          <w:sz w:val="24"/>
          <w:szCs w:val="24"/>
          <w:color w:val="auto"/>
        </w:rPr>
      </w:pPr>
    </w:p>
    <w:p>
      <w:pPr>
        <w:ind w:firstLine="351"/>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0" w:lineRule="exact"/>
        <w:rPr>
          <w:sz w:val="24"/>
          <w:szCs w:val="24"/>
          <w:color w:val="auto"/>
        </w:rPr>
      </w:pPr>
    </w:p>
    <w:p>
      <w:pPr>
        <w:ind w:left="5720"/>
        <w:spacing w:after="0"/>
        <w:rPr>
          <w:sz w:val="20"/>
          <w:szCs w:val="20"/>
          <w:color w:val="auto"/>
        </w:rPr>
      </w:pPr>
      <w:r>
        <w:rPr>
          <w:rFonts w:ascii="Arial" w:cs="Arial" w:eastAsia="Arial" w:hAnsi="Arial"/>
          <w:sz w:val="18"/>
          <w:szCs w:val="18"/>
          <w:b w:val="1"/>
          <w:bCs w:val="1"/>
          <w:color w:val="auto"/>
        </w:rPr>
        <w:t>TOWER SEMICONDUCTOR LTD.</w:t>
      </w:r>
    </w:p>
    <w:p>
      <w:pPr>
        <w:sectPr>
          <w:pgSz w:w="11900" w:h="16838" w:orient="portrait"/>
          <w:cols w:equalWidth="0" w:num="1">
            <w:col w:w="11340"/>
          </w:cols>
          <w:pgMar w:left="240" w:top="476" w:right="319" w:bottom="0" w:gutter="0" w:footer="0" w:header="0"/>
        </w:sectPr>
      </w:pPr>
    </w:p>
    <w:p>
      <w:pPr>
        <w:spacing w:after="0" w:line="200" w:lineRule="exact"/>
        <w:rPr>
          <w:sz w:val="24"/>
          <w:szCs w:val="24"/>
          <w:color w:val="auto"/>
        </w:rPr>
      </w:pPr>
    </w:p>
    <w:p>
      <w:pPr>
        <w:spacing w:after="0" w:line="247" w:lineRule="exact"/>
        <w:rPr>
          <w:sz w:val="24"/>
          <w:szCs w:val="24"/>
          <w:color w:val="auto"/>
        </w:rPr>
      </w:pPr>
    </w:p>
    <w:p>
      <w:pPr>
        <w:spacing w:after="0"/>
        <w:rPr>
          <w:sz w:val="20"/>
          <w:szCs w:val="20"/>
          <w:color w:val="auto"/>
        </w:rPr>
      </w:pPr>
      <w:r>
        <w:rPr>
          <w:rFonts w:ascii="Arial" w:cs="Arial" w:eastAsia="Arial" w:hAnsi="Arial"/>
          <w:sz w:val="16"/>
          <w:szCs w:val="16"/>
          <w:color w:val="auto"/>
        </w:rPr>
        <w:t>Date: August 27, 2009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7" w:lineRule="exact"/>
        <w:rPr>
          <w:sz w:val="24"/>
          <w:szCs w:val="24"/>
          <w:color w:val="auto"/>
        </w:rPr>
      </w:pPr>
    </w:p>
    <w:p>
      <w:pPr>
        <w:spacing w:after="0"/>
        <w:rPr>
          <w:sz w:val="20"/>
          <w:szCs w:val="20"/>
          <w:color w:val="auto"/>
        </w:rPr>
      </w:pPr>
      <w:r>
        <w:rPr>
          <w:rFonts w:ascii="Arial" w:cs="Arial" w:eastAsia="Arial" w:hAnsi="Arial"/>
          <w:sz w:val="18"/>
          <w:szCs w:val="18"/>
          <w:color w:val="auto"/>
        </w:rPr>
        <w:t>By: /s/ Nati Somekh Gilboa</w:t>
      </w:r>
    </w:p>
    <w:p>
      <w:pPr>
        <w:spacing w:after="0" w:line="15" w:lineRule="exact"/>
        <w:rPr>
          <w:sz w:val="24"/>
          <w:szCs w:val="24"/>
          <w:color w:val="auto"/>
        </w:rPr>
      </w:pPr>
    </w:p>
    <w:p>
      <w:pPr>
        <w:spacing w:after="0"/>
        <w:rPr>
          <w:sz w:val="20"/>
          <w:szCs w:val="20"/>
          <w:color w:val="auto"/>
        </w:rPr>
      </w:pPr>
      <w:r>
        <w:rPr>
          <w:rFonts w:ascii="Arial" w:cs="Arial" w:eastAsia="Arial" w:hAnsi="Arial"/>
          <w:sz w:val="16"/>
          <w:szCs w:val="16"/>
          <w:color w:val="auto"/>
        </w:rPr>
        <w:t>——————————————</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color w:val="auto"/>
        </w:rPr>
        <w:t>Nati Somekh Gilboa</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Corporate Secretary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-3628390</wp:posOffset>
            </wp:positionH>
            <wp:positionV relativeFrom="paragraph">
              <wp:posOffset>271145</wp:posOffset>
            </wp:positionV>
            <wp:extent cx="7250430"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4"/>
          <w:szCs w:val="24"/>
          <w:color w:val="auto"/>
        </w:rPr>
      </w:pPr>
    </w:p>
    <w:p>
      <w:pPr>
        <w:sectPr>
          <w:pgSz w:w="11900" w:h="16838" w:orient="portrait"/>
          <w:cols w:equalWidth="0" w:num="2">
            <w:col w:w="5000" w:space="720"/>
            <w:col w:w="5620"/>
          </w:cols>
          <w:pgMar w:left="240" w:top="476" w:right="319" w:bottom="0" w:gutter="0" w:footer="0" w:header="0"/>
          <w:type w:val="continuous"/>
        </w:sectPr>
      </w:pPr>
    </w:p>
    <w:p>
      <w:pPr>
        <w:spacing w:after="0" w:line="200" w:lineRule="exact"/>
        <w:rPr>
          <w:sz w:val="24"/>
          <w:szCs w:val="24"/>
          <w:color w:val="auto"/>
        </w:rPr>
      </w:pPr>
    </w:p>
    <w:p>
      <w:pPr>
        <w:spacing w:after="0" w:line="271" w:lineRule="exact"/>
        <w:rPr>
          <w:sz w:val="24"/>
          <w:szCs w:val="24"/>
          <w:color w:val="auto"/>
        </w:rPr>
      </w:pPr>
    </w:p>
    <w:p>
      <w:pPr>
        <w:jc w:val="center"/>
        <w:ind w:right="-79"/>
        <w:spacing w:after="0"/>
        <w:rPr>
          <w:sz w:val="20"/>
          <w:szCs w:val="20"/>
          <w:color w:val="auto"/>
        </w:rPr>
      </w:pPr>
      <w:r>
        <w:rPr>
          <w:rFonts w:ascii="Arial" w:cs="Arial" w:eastAsia="Arial" w:hAnsi="Arial"/>
          <w:sz w:val="24"/>
          <w:szCs w:val="24"/>
          <w:b w:val="1"/>
          <w:bCs w:val="1"/>
          <w:color w:val="auto"/>
        </w:rPr>
        <w:t>Tower Semiconductor Regains Compliance with $1.00</w:t>
      </w:r>
    </w:p>
    <w:p>
      <w:pPr>
        <w:spacing w:after="0" w:line="36" w:lineRule="exact"/>
        <w:rPr>
          <w:sz w:val="24"/>
          <w:szCs w:val="24"/>
          <w:color w:val="auto"/>
        </w:rPr>
      </w:pPr>
    </w:p>
    <w:p>
      <w:pPr>
        <w:jc w:val="center"/>
        <w:ind w:right="-99"/>
        <w:spacing w:after="0"/>
        <w:rPr>
          <w:sz w:val="20"/>
          <w:szCs w:val="20"/>
          <w:color w:val="auto"/>
        </w:rPr>
      </w:pPr>
      <w:r>
        <w:rPr>
          <w:rFonts w:ascii="Arial" w:cs="Arial" w:eastAsia="Arial" w:hAnsi="Arial"/>
          <w:sz w:val="24"/>
          <w:szCs w:val="24"/>
          <w:b w:val="1"/>
          <w:bCs w:val="1"/>
          <w:color w:val="auto"/>
        </w:rPr>
        <w:t>Nasdaq Minimum Closing Bid Price</w:t>
      </w:r>
    </w:p>
    <w:p>
      <w:pPr>
        <w:spacing w:after="0" w:line="216"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i w:val="1"/>
          <w:iCs w:val="1"/>
          <w:color w:val="auto"/>
        </w:rPr>
        <w:t>Completed the requirement on August 25, 2009, and received a letter from Nasdaq confirming it</w:t>
      </w:r>
    </w:p>
    <w:p>
      <w:pPr>
        <w:spacing w:after="0" w:line="15"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i w:val="1"/>
          <w:iCs w:val="1"/>
          <w:color w:val="auto"/>
        </w:rPr>
        <w:t>regained compliance</w:t>
      </w:r>
    </w:p>
    <w:p>
      <w:pPr>
        <w:spacing w:after="0" w:line="213" w:lineRule="exact"/>
        <w:rPr>
          <w:sz w:val="24"/>
          <w:szCs w:val="24"/>
          <w:color w:val="auto"/>
        </w:rPr>
      </w:pPr>
    </w:p>
    <w:p>
      <w:pPr>
        <w:ind w:right="60"/>
        <w:spacing w:after="0" w:line="293" w:lineRule="auto"/>
        <w:rPr>
          <w:sz w:val="20"/>
          <w:szCs w:val="20"/>
          <w:color w:val="auto"/>
        </w:rPr>
      </w:pPr>
      <w:r>
        <w:rPr>
          <w:rFonts w:ascii="Arial" w:cs="Arial" w:eastAsia="Arial" w:hAnsi="Arial"/>
          <w:sz w:val="16"/>
          <w:szCs w:val="16"/>
          <w:b w:val="1"/>
          <w:bCs w:val="1"/>
          <w:color w:val="auto"/>
        </w:rPr>
        <w:t xml:space="preserve">MIGDAL HA’EMEK, Israel, August 27, 2009 </w:t>
      </w:r>
      <w:r>
        <w:rPr>
          <w:rFonts w:ascii="Arial" w:cs="Arial" w:eastAsia="Arial" w:hAnsi="Arial"/>
          <w:sz w:val="16"/>
          <w:szCs w:val="16"/>
          <w:color w:val="auto"/>
        </w:rPr>
        <w:t>–Tower Semiconductor, Ltd. (Nasdaq: TSEM, TASE: TSEM), a leading global specialty foundry, today</w:t>
      </w:r>
      <w:r>
        <w:rPr>
          <w:rFonts w:ascii="Arial" w:cs="Arial" w:eastAsia="Arial" w:hAnsi="Arial"/>
          <w:sz w:val="16"/>
          <w:szCs w:val="16"/>
          <w:b w:val="1"/>
          <w:bCs w:val="1"/>
          <w:color w:val="auto"/>
        </w:rPr>
        <w:t xml:space="preserve"> </w:t>
      </w:r>
      <w:r>
        <w:rPr>
          <w:rFonts w:ascii="Arial" w:cs="Arial" w:eastAsia="Arial" w:hAnsi="Arial"/>
          <w:sz w:val="16"/>
          <w:szCs w:val="16"/>
          <w:color w:val="auto"/>
        </w:rPr>
        <w:t>announced that it has received a letter dated August 26, 2009 from the Listing Qualifications Department of the NASDAQ Stock Market (Nasdaq), according to which Nasdaq confirmed that the Company has regained compliance with the $1.00 minimum closing bid price requirement for continued listing on The NASDAQ Global Market under Listing Rule 5450(a)(1) (formerly Marketplace Rule 4450(a)(5)). Pursuant to Nasdaq’s rules, the Company was required to evidence a closing bid price of at least $1.00 per share for 10 consecutive trading days. Tower completed the requirement on August 25, 2009, and the Company believes it currently meets all requirements for continued listing on the Nasdaq Global Market.</w:t>
      </w:r>
    </w:p>
    <w:p>
      <w:pPr>
        <w:spacing w:after="0" w:line="171" w:lineRule="exact"/>
        <w:rPr>
          <w:sz w:val="24"/>
          <w:szCs w:val="24"/>
          <w:color w:val="auto"/>
        </w:rPr>
      </w:pPr>
    </w:p>
    <w:p>
      <w:pPr>
        <w:spacing w:after="0"/>
        <w:rPr>
          <w:sz w:val="20"/>
          <w:szCs w:val="20"/>
          <w:color w:val="auto"/>
        </w:rPr>
      </w:pPr>
      <w:r>
        <w:rPr>
          <w:rFonts w:ascii="Arial" w:cs="Arial" w:eastAsia="Arial" w:hAnsi="Arial"/>
          <w:sz w:val="18"/>
          <w:szCs w:val="18"/>
          <w:color w:val="auto"/>
        </w:rPr>
        <w:t>The Company’s ordinary shares continue to be listed on The NASDAQ Global Market and its ticker symbol of TSEM remains unchanged.</w:t>
      </w:r>
    </w:p>
    <w:p>
      <w:pPr>
        <w:spacing w:after="0" w:line="21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About Tower Semiconductor, Ltd. and Jazz Semiconductor, Inc.</w:t>
      </w:r>
    </w:p>
    <w:p>
      <w:pPr>
        <w:spacing w:after="0" w:line="21" w:lineRule="exact"/>
        <w:rPr>
          <w:sz w:val="24"/>
          <w:szCs w:val="24"/>
          <w:color w:val="auto"/>
        </w:rPr>
      </w:pPr>
    </w:p>
    <w:p>
      <w:pPr>
        <w:ind w:right="100"/>
        <w:spacing w:after="0" w:line="288" w:lineRule="auto"/>
        <w:rPr>
          <w:sz w:val="20"/>
          <w:szCs w:val="20"/>
          <w:color w:val="auto"/>
        </w:rPr>
      </w:pPr>
      <w:r>
        <w:rPr>
          <w:rFonts w:ascii="Arial" w:cs="Arial" w:eastAsia="Arial" w:hAnsi="Arial"/>
          <w:sz w:val="16"/>
          <w:szCs w:val="16"/>
          <w:color w:val="auto"/>
        </w:rPr>
        <w:t>Tower Semiconductor Ltd. (NASDAQ: TSEM, TASE: TSEM) is a global specialty foundry leader and its fully owned subsidiary Jazz Semiconductor, a Tower Group Company is a leader in Analog-Intensive Mixed-Signal (AIMS) foundry solutions. Tower and Jazz manufacture integrated circuits with geometries ranging from 1.0 to 0.13-micron and provide industry leading design enablement tools to allow complex designs to be achieved quickly and more accurately. Tower and Jazz offer a broad range of process technologies including Digital, Mixed-Signal and RFCMOS, HV CMOS, Power Management, Non-Volatile Memory (NVM), Embedded NVM, MEMS, and CMOS Image Sensors. To provide world-class customer service, Tower maintains two manufacturing facilities in Israel; Jazz maintains a fab in the U.S. and additional manufacturing capacity is available in China through partnerships with ASMC and HHNEC. For more information, please visit www.towersemi.com and www.jazzsemi.com.</w:t>
      </w:r>
    </w:p>
    <w:p>
      <w:pPr>
        <w:spacing w:after="0" w:line="17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Safe Harbor Regarding Forward-Looking Statements</w:t>
      </w:r>
    </w:p>
    <w:p>
      <w:pPr>
        <w:spacing w:after="0" w:line="21" w:lineRule="exact"/>
        <w:rPr>
          <w:sz w:val="24"/>
          <w:szCs w:val="24"/>
          <w:color w:val="auto"/>
        </w:rPr>
      </w:pPr>
    </w:p>
    <w:p>
      <w:pPr>
        <w:spacing w:after="0"/>
        <w:rPr>
          <w:sz w:val="20"/>
          <w:szCs w:val="20"/>
          <w:color w:val="auto"/>
        </w:rPr>
      </w:pPr>
      <w:r>
        <w:rPr>
          <w:rFonts w:ascii="Arial" w:cs="Arial" w:eastAsia="Arial" w:hAnsi="Arial"/>
          <w:sz w:val="16"/>
          <w:szCs w:val="16"/>
          <w:color w:val="auto"/>
        </w:rPr>
        <w:t>This press release includes forward-looking statements, which are subject to risks and uncertainties. Actual results may vary from those projected or implied by</w:t>
      </w:r>
    </w:p>
    <w:p>
      <w:pPr>
        <w:sectPr>
          <w:pgSz w:w="11900" w:h="16838" w:orient="portrait"/>
          <w:cols w:equalWidth="0" w:num="1">
            <w:col w:w="11340"/>
          </w:cols>
          <w:pgMar w:left="240" w:top="476" w:right="319" w:bottom="0" w:gutter="0" w:footer="0" w:header="0"/>
          <w:type w:val="continuous"/>
        </w:sectPr>
      </w:pPr>
    </w:p>
    <w:bookmarkStart w:id="1" w:name="page2"/>
    <w:bookmarkEnd w:id="1"/>
    <w:p>
      <w:pPr>
        <w:spacing w:after="0" w:line="255" w:lineRule="auto"/>
        <w:rPr>
          <w:sz w:val="20"/>
          <w:szCs w:val="20"/>
          <w:color w:val="auto"/>
        </w:rPr>
      </w:pPr>
      <w:r>
        <w:rPr>
          <w:rFonts w:ascii="Arial" w:cs="Arial" w:eastAsia="Arial" w:hAnsi="Arial"/>
          <w:sz w:val="18"/>
          <w:szCs w:val="18"/>
          <w:color w:val="auto"/>
        </w:rPr>
        <w:t>such forward-looking statements. A complete discussion of risks and uncertainties that may affect the accuracy of forward-looking statements included in this press release or which may otherwise affect Tower’s and Jazz’s business is included under the heading “Risk Factors” in Tower’s most recent filings on Forms 20-F, F-3, F-4 and 6-K, as were filed with the Securities and Exchange Commission (the “SEC”) and the Israel Securities Authority and Jazz’s most recent filings on Forms 10-K and 10-Q, as were filed with the SEC. Tower and Jazz do not intend to update, and expressly disclaim any obligation to update, the information contained in this release.</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60" w:type="dxa"/>
            <w:vAlign w:val="bottom"/>
            <w:gridSpan w:val="4"/>
          </w:tcPr>
          <w:p>
            <w:pPr>
              <w:spacing w:after="0"/>
              <w:rPr>
                <w:sz w:val="20"/>
                <w:szCs w:val="20"/>
                <w:color w:val="auto"/>
              </w:rPr>
            </w:pPr>
            <w:r>
              <w:rPr>
                <w:rFonts w:ascii="Arial" w:cs="Arial" w:eastAsia="Arial" w:hAnsi="Arial"/>
                <w:sz w:val="18"/>
                <w:szCs w:val="18"/>
                <w:b w:val="1"/>
                <w:bCs w:val="1"/>
                <w:color w:val="auto"/>
              </w:rPr>
              <w:t>Contact:</w:t>
            </w:r>
          </w:p>
        </w:tc>
        <w:tc>
          <w:tcPr>
            <w:tcW w:w="1060" w:type="dxa"/>
            <w:vAlign w:val="bottom"/>
          </w:tcPr>
          <w:p>
            <w:pPr>
              <w:spacing w:after="0"/>
              <w:rPr>
                <w:sz w:val="17"/>
                <w:szCs w:val="17"/>
                <w:color w:val="auto"/>
              </w:rPr>
            </w:pPr>
          </w:p>
        </w:tc>
        <w:tc>
          <w:tcPr>
            <w:tcW w:w="4400" w:type="dxa"/>
            <w:vAlign w:val="bottom"/>
          </w:tcPr>
          <w:p>
            <w:pPr>
              <w:spacing w:after="0"/>
              <w:rPr>
                <w:sz w:val="17"/>
                <w:szCs w:val="17"/>
                <w:color w:val="auto"/>
              </w:rPr>
            </w:pPr>
          </w:p>
        </w:tc>
      </w:tr>
      <w:tr>
        <w:trPr>
          <w:trHeight w:val="20"/>
        </w:trPr>
        <w:tc>
          <w:tcPr>
            <w:tcW w:w="3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r>
      <w:tr>
        <w:trPr>
          <w:trHeight w:val="228"/>
        </w:trPr>
        <w:tc>
          <w:tcPr>
            <w:tcW w:w="5960" w:type="dxa"/>
            <w:vAlign w:val="bottom"/>
            <w:gridSpan w:val="4"/>
          </w:tcPr>
          <w:p>
            <w:pPr>
              <w:ind w:left="320"/>
              <w:spacing w:after="0"/>
              <w:rPr>
                <w:sz w:val="20"/>
                <w:szCs w:val="20"/>
                <w:color w:val="auto"/>
              </w:rPr>
            </w:pPr>
            <w:r>
              <w:rPr>
                <w:rFonts w:ascii="Arial" w:cs="Arial" w:eastAsia="Arial" w:hAnsi="Arial"/>
                <w:sz w:val="18"/>
                <w:szCs w:val="18"/>
                <w:color w:val="auto"/>
              </w:rPr>
              <w:t>Tower Semiconductor</w:t>
            </w:r>
          </w:p>
        </w:tc>
        <w:tc>
          <w:tcPr>
            <w:tcW w:w="5460" w:type="dxa"/>
            <w:vAlign w:val="bottom"/>
            <w:gridSpan w:val="2"/>
          </w:tcPr>
          <w:p>
            <w:pPr>
              <w:spacing w:after="0"/>
              <w:rPr>
                <w:sz w:val="20"/>
                <w:szCs w:val="20"/>
                <w:color w:val="auto"/>
              </w:rPr>
            </w:pPr>
            <w:r>
              <w:rPr>
                <w:rFonts w:ascii="Arial" w:cs="Arial" w:eastAsia="Arial" w:hAnsi="Arial"/>
                <w:sz w:val="18"/>
                <w:szCs w:val="18"/>
                <w:color w:val="auto"/>
              </w:rPr>
              <w:t>GK Investor Relations</w:t>
            </w:r>
          </w:p>
        </w:tc>
      </w:tr>
      <w:tr>
        <w:trPr>
          <w:trHeight w:val="216"/>
        </w:trPr>
        <w:tc>
          <w:tcPr>
            <w:tcW w:w="5960" w:type="dxa"/>
            <w:vAlign w:val="bottom"/>
            <w:gridSpan w:val="4"/>
          </w:tcPr>
          <w:p>
            <w:pPr>
              <w:ind w:left="320"/>
              <w:spacing w:after="0"/>
              <w:rPr>
                <w:sz w:val="20"/>
                <w:szCs w:val="20"/>
                <w:color w:val="auto"/>
              </w:rPr>
            </w:pPr>
            <w:r>
              <w:rPr>
                <w:rFonts w:ascii="Arial" w:cs="Arial" w:eastAsia="Arial" w:hAnsi="Arial"/>
                <w:sz w:val="18"/>
                <w:szCs w:val="18"/>
                <w:color w:val="auto"/>
              </w:rPr>
              <w:t>Noit Levi, +972 4 604 7066</w:t>
            </w:r>
          </w:p>
        </w:tc>
        <w:tc>
          <w:tcPr>
            <w:tcW w:w="5460" w:type="dxa"/>
            <w:vAlign w:val="bottom"/>
            <w:gridSpan w:val="2"/>
          </w:tcPr>
          <w:p>
            <w:pPr>
              <w:spacing w:after="0"/>
              <w:rPr>
                <w:sz w:val="20"/>
                <w:szCs w:val="20"/>
                <w:color w:val="auto"/>
              </w:rPr>
            </w:pPr>
            <w:r>
              <w:rPr>
                <w:rFonts w:ascii="Arial" w:cs="Arial" w:eastAsia="Arial" w:hAnsi="Arial"/>
                <w:sz w:val="18"/>
                <w:szCs w:val="18"/>
                <w:color w:val="auto"/>
              </w:rPr>
              <w:t>Kenny Green, (646) 201 9246</w:t>
            </w:r>
          </w:p>
        </w:tc>
      </w:tr>
      <w:tr>
        <w:trPr>
          <w:trHeight w:val="184"/>
        </w:trPr>
        <w:tc>
          <w:tcPr>
            <w:tcW w:w="5960" w:type="dxa"/>
            <w:vAlign w:val="bottom"/>
            <w:gridSpan w:val="4"/>
          </w:tcPr>
          <w:p>
            <w:pPr>
              <w:ind w:left="320"/>
              <w:spacing w:after="0" w:line="184" w:lineRule="exact"/>
              <w:rPr>
                <w:sz w:val="20"/>
                <w:szCs w:val="20"/>
                <w:color w:val="auto"/>
              </w:rPr>
            </w:pPr>
            <w:r>
              <w:rPr>
                <w:rFonts w:ascii="Arial" w:cs="Arial" w:eastAsia="Arial" w:hAnsi="Arial"/>
                <w:sz w:val="18"/>
                <w:szCs w:val="18"/>
                <w:color w:val="auto"/>
              </w:rPr>
              <w:t>noitle@towersemi.com</w:t>
            </w:r>
          </w:p>
        </w:tc>
        <w:tc>
          <w:tcPr>
            <w:tcW w:w="5460" w:type="dxa"/>
            <w:vAlign w:val="bottom"/>
            <w:gridSpan w:val="2"/>
          </w:tcPr>
          <w:p>
            <w:pPr>
              <w:spacing w:after="0" w:line="184" w:lineRule="exact"/>
              <w:rPr>
                <w:sz w:val="20"/>
                <w:szCs w:val="20"/>
                <w:color w:val="auto"/>
              </w:rPr>
            </w:pPr>
            <w:r>
              <w:rPr>
                <w:rFonts w:ascii="Arial" w:cs="Arial" w:eastAsia="Arial" w:hAnsi="Arial"/>
                <w:sz w:val="18"/>
                <w:szCs w:val="18"/>
                <w:color w:val="auto"/>
              </w:rPr>
              <w:t>info@gkir.com</w:t>
            </w:r>
          </w:p>
        </w:tc>
      </w:tr>
      <w:tr>
        <w:trPr>
          <w:trHeight w:val="436"/>
        </w:trPr>
        <w:tc>
          <w:tcPr>
            <w:tcW w:w="32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4000" w:type="dxa"/>
            <w:vAlign w:val="bottom"/>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4400" w:type="dxa"/>
            <w:vAlign w:val="bottom"/>
          </w:tcPr>
          <w:p>
            <w:pPr>
              <w:spacing w:after="0"/>
              <w:rPr>
                <w:sz w:val="24"/>
                <w:szCs w:val="24"/>
                <w:color w:val="auto"/>
              </w:rPr>
            </w:pPr>
          </w:p>
        </w:tc>
      </w:tr>
      <w:tr>
        <w:trPr>
          <w:trHeight w:val="61"/>
        </w:trPr>
        <w:tc>
          <w:tcPr>
            <w:tcW w:w="320" w:type="dxa"/>
            <w:vAlign w:val="bottom"/>
            <w:shd w:val="clear" w:color="auto" w:fill="808080"/>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1300" w:type="dxa"/>
            <w:vAlign w:val="bottom"/>
            <w:shd w:val="clear" w:color="auto" w:fill="808080"/>
          </w:tcPr>
          <w:p>
            <w:pPr>
              <w:spacing w:after="0"/>
              <w:rPr>
                <w:sz w:val="5"/>
                <w:szCs w:val="5"/>
                <w:color w:val="auto"/>
              </w:rPr>
            </w:pPr>
          </w:p>
        </w:tc>
        <w:tc>
          <w:tcPr>
            <w:tcW w:w="4000" w:type="dxa"/>
            <w:vAlign w:val="bottom"/>
            <w:shd w:val="clear" w:color="auto" w:fill="808080"/>
          </w:tcPr>
          <w:p>
            <w:pPr>
              <w:spacing w:after="0"/>
              <w:rPr>
                <w:sz w:val="5"/>
                <w:szCs w:val="5"/>
                <w:color w:val="auto"/>
              </w:rPr>
            </w:pPr>
          </w:p>
        </w:tc>
        <w:tc>
          <w:tcPr>
            <w:tcW w:w="1060" w:type="dxa"/>
            <w:vAlign w:val="bottom"/>
            <w:shd w:val="clear" w:color="auto" w:fill="808080"/>
          </w:tcPr>
          <w:p>
            <w:pPr>
              <w:spacing w:after="0"/>
              <w:rPr>
                <w:sz w:val="5"/>
                <w:szCs w:val="5"/>
                <w:color w:val="auto"/>
              </w:rPr>
            </w:pPr>
          </w:p>
        </w:tc>
        <w:tc>
          <w:tcPr>
            <w:tcW w:w="4400" w:type="dxa"/>
            <w:vAlign w:val="bottom"/>
            <w:shd w:val="clear" w:color="auto" w:fill="808080"/>
          </w:tcPr>
          <w:p>
            <w:pPr>
              <w:spacing w:after="0"/>
              <w:rPr>
                <w:sz w:val="5"/>
                <w:szCs w:val="5"/>
                <w:color w:val="auto"/>
              </w:rPr>
            </w:pPr>
          </w:p>
        </w:tc>
      </w:tr>
    </w:tbl>
    <w:p>
      <w:pPr>
        <w:spacing w:after="0" w:line="1" w:lineRule="exact"/>
        <w:rPr>
          <w:sz w:val="20"/>
          <w:szCs w:val="20"/>
          <w:color w:val="auto"/>
        </w:rPr>
      </w:pPr>
    </w:p>
    <w:sectPr>
      <w:pgSz w:w="11900" w:h="16838" w:orient="portrait"/>
      <w:cols w:equalWidth="0" w:num="1">
        <w:col w:w="11420"/>
      </w:cols>
      <w:pgMar w:left="240" w:top="13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2019-12-10T12:46:19Z</dcterms:created>
  <dcterms:modified xsi:type="dcterms:W3CDTF">2019-12-10T12:46:19Z</dcterms:modified>
</cp:coreProperties>
</file>