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129540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August 2009 (No. 8)</w:t>
      </w:r>
    </w:p>
    <w:p>
      <w:pPr>
        <w:spacing w:after="0" w:line="19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70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480" w:firstLine="351"/>
        <w:spacing w:after="0" w:line="268" w:lineRule="auto"/>
        <w:rPr>
          <w:sz w:val="20"/>
          <w:szCs w:val="20"/>
          <w:color w:val="auto"/>
        </w:rPr>
      </w:pPr>
      <w:r>
        <w:rPr>
          <w:rFonts w:ascii="Arial" w:cs="Arial" w:eastAsia="Arial" w:hAnsi="Arial"/>
          <w:sz w:val="18"/>
          <w:szCs w:val="18"/>
          <w:color w:val="auto"/>
        </w:rPr>
        <w:t>On August 18, 2009, the Registrant issued unaudited condensed interim consolidated financial statements as of June 30, 2009 and for the three months period then ended. Attached hereto are the following exhibits:</w:t>
      </w:r>
    </w:p>
    <w:p>
      <w:pPr>
        <w:spacing w:after="0" w:line="186" w:lineRule="exact"/>
        <w:rPr>
          <w:sz w:val="24"/>
          <w:szCs w:val="24"/>
          <w:color w:val="auto"/>
        </w:rPr>
      </w:pPr>
    </w:p>
    <w:p>
      <w:pPr>
        <w:ind w:left="1960" w:right="180" w:hanging="1363"/>
        <w:spacing w:after="0" w:line="268" w:lineRule="auto"/>
        <w:tabs>
          <w:tab w:leader="none" w:pos="194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8"/>
          <w:szCs w:val="18"/>
          <w:color w:val="auto"/>
        </w:rPr>
        <w:t>Registrant’s unaudited condensed interim consolidated financial statements as of June 30, 2009 and for the three months period then ended.</w:t>
      </w:r>
    </w:p>
    <w:p>
      <w:pPr>
        <w:spacing w:after="0" w:line="213" w:lineRule="exact"/>
        <w:rPr>
          <w:sz w:val="24"/>
          <w:szCs w:val="24"/>
          <w:color w:val="auto"/>
        </w:rPr>
      </w:pPr>
    </w:p>
    <w:p>
      <w:pPr>
        <w:ind w:left="580"/>
        <w:spacing w:after="0"/>
        <w:tabs>
          <w:tab w:leader="none" w:pos="1940" w:val="left"/>
        </w:tabs>
        <w:rPr>
          <w:sz w:val="20"/>
          <w:szCs w:val="20"/>
          <w:color w:val="auto"/>
        </w:rPr>
      </w:pPr>
      <w:r>
        <w:rPr>
          <w:rFonts w:ascii="Arial" w:cs="Arial" w:eastAsia="Arial" w:hAnsi="Arial"/>
          <w:sz w:val="18"/>
          <w:szCs w:val="18"/>
          <w:color w:val="auto"/>
        </w:rPr>
        <w:t>Exhibit 99.2</w:t>
      </w:r>
      <w:r>
        <w:rPr>
          <w:sz w:val="20"/>
          <w:szCs w:val="20"/>
          <w:color w:val="auto"/>
        </w:rPr>
        <w:tab/>
      </w:r>
      <w:r>
        <w:rPr>
          <w:rFonts w:ascii="Arial" w:cs="Arial" w:eastAsia="Arial" w:hAnsi="Arial"/>
          <w:sz w:val="15"/>
          <w:szCs w:val="15"/>
          <w:color w:val="auto"/>
        </w:rPr>
        <w:t>Management’s Discussion and Analysis of Financial Condition and Resultsof Operations</w:t>
      </w:r>
    </w:p>
    <w:p>
      <w:pPr>
        <w:spacing w:after="0" w:line="200" w:lineRule="exact"/>
        <w:rPr>
          <w:sz w:val="24"/>
          <w:szCs w:val="24"/>
          <w:color w:val="auto"/>
        </w:rPr>
      </w:pPr>
    </w:p>
    <w:p>
      <w:pPr>
        <w:spacing w:after="0" w:line="268" w:lineRule="exact"/>
        <w:rPr>
          <w:sz w:val="24"/>
          <w:szCs w:val="24"/>
          <w:color w:val="auto"/>
        </w:rPr>
      </w:pPr>
    </w:p>
    <w:p>
      <w:pPr>
        <w:ind w:right="40" w:firstLine="348"/>
        <w:spacing w:after="0" w:line="268" w:lineRule="auto"/>
        <w:rPr>
          <w:sz w:val="20"/>
          <w:szCs w:val="20"/>
          <w:color w:val="auto"/>
        </w:rPr>
      </w:pPr>
      <w:r>
        <w:rPr>
          <w:rFonts w:ascii="Arial" w:cs="Arial" w:eastAsia="Arial" w:hAnsi="Arial"/>
          <w:sz w:val="18"/>
          <w:szCs w:val="18"/>
          <w:color w:val="auto"/>
        </w:rPr>
        <w:t>This Form 6-K, including all exhibits hereto, is hereby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660" w:type="dxa"/>
            <w:vAlign w:val="bottom"/>
          </w:tcPr>
          <w:p>
            <w:pPr>
              <w:spacing w:after="0"/>
              <w:rPr>
                <w:sz w:val="19"/>
                <w:szCs w:val="19"/>
                <w:color w:val="auto"/>
              </w:rPr>
            </w:pPr>
          </w:p>
        </w:tc>
        <w:tc>
          <w:tcPr>
            <w:tcW w:w="7760" w:type="dxa"/>
            <w:vAlign w:val="bottom"/>
          </w:tcPr>
          <w:p>
            <w:pPr>
              <w:ind w:left="2060"/>
              <w:spacing w:after="0"/>
              <w:rPr>
                <w:sz w:val="20"/>
                <w:szCs w:val="20"/>
                <w:color w:val="auto"/>
              </w:rPr>
            </w:pPr>
            <w:r>
              <w:rPr>
                <w:rFonts w:ascii="Arial" w:cs="Arial" w:eastAsia="Arial" w:hAnsi="Arial"/>
                <w:sz w:val="18"/>
                <w:szCs w:val="18"/>
                <w:b w:val="1"/>
                <w:bCs w:val="1"/>
                <w:color w:val="auto"/>
              </w:rPr>
              <w:t>TOWER SEMICONDUCTOR LTD.</w:t>
            </w:r>
          </w:p>
        </w:tc>
      </w:tr>
      <w:tr>
        <w:trPr>
          <w:trHeight w:val="642"/>
        </w:trPr>
        <w:tc>
          <w:tcPr>
            <w:tcW w:w="3660" w:type="dxa"/>
            <w:vAlign w:val="bottom"/>
          </w:tcPr>
          <w:p>
            <w:pPr>
              <w:spacing w:after="0"/>
              <w:rPr>
                <w:sz w:val="20"/>
                <w:szCs w:val="20"/>
                <w:color w:val="auto"/>
              </w:rPr>
            </w:pPr>
            <w:r>
              <w:rPr>
                <w:rFonts w:ascii="Arial" w:cs="Arial" w:eastAsia="Arial" w:hAnsi="Arial"/>
                <w:sz w:val="18"/>
                <w:szCs w:val="18"/>
                <w:color w:val="auto"/>
              </w:rPr>
              <w:t>Date: August 18, 2009</w:t>
            </w:r>
          </w:p>
        </w:tc>
        <w:tc>
          <w:tcPr>
            <w:tcW w:w="7760" w:type="dxa"/>
            <w:vAlign w:val="bottom"/>
          </w:tcPr>
          <w:p>
            <w:pPr>
              <w:ind w:left="2060"/>
              <w:spacing w:after="0"/>
              <w:rPr>
                <w:sz w:val="20"/>
                <w:szCs w:val="20"/>
                <w:color w:val="auto"/>
              </w:rPr>
            </w:pPr>
            <w:r>
              <w:rPr>
                <w:rFonts w:ascii="Arial" w:cs="Arial" w:eastAsia="Arial" w:hAnsi="Arial"/>
                <w:sz w:val="18"/>
                <w:szCs w:val="18"/>
                <w:color w:val="auto"/>
              </w:rPr>
              <w:t>By: /s/ Nati Somekh Gilboa</w:t>
            </w:r>
          </w:p>
        </w:tc>
      </w:tr>
      <w:tr>
        <w:trPr>
          <w:trHeight w:val="216"/>
        </w:trPr>
        <w:tc>
          <w:tcPr>
            <w:tcW w:w="3660" w:type="dxa"/>
            <w:vAlign w:val="bottom"/>
          </w:tcPr>
          <w:p>
            <w:pPr>
              <w:spacing w:after="0"/>
              <w:rPr>
                <w:sz w:val="18"/>
                <w:szCs w:val="18"/>
                <w:color w:val="auto"/>
              </w:rPr>
            </w:pPr>
          </w:p>
        </w:tc>
        <w:tc>
          <w:tcPr>
            <w:tcW w:w="7760" w:type="dxa"/>
            <w:vAlign w:val="bottom"/>
          </w:tcPr>
          <w:p>
            <w:pPr>
              <w:ind w:left="2060"/>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tcPr>
          <w:p>
            <w:pPr>
              <w:spacing w:after="0"/>
              <w:rPr>
                <w:sz w:val="18"/>
                <w:szCs w:val="18"/>
                <w:color w:val="auto"/>
              </w:rPr>
            </w:pPr>
          </w:p>
        </w:tc>
        <w:tc>
          <w:tcPr>
            <w:tcW w:w="7760" w:type="dxa"/>
            <w:vAlign w:val="bottom"/>
          </w:tcPr>
          <w:p>
            <w:pPr>
              <w:ind w:left="2060"/>
              <w:spacing w:after="0"/>
              <w:rPr>
                <w:sz w:val="20"/>
                <w:szCs w:val="20"/>
                <w:color w:val="auto"/>
              </w:rPr>
            </w:pPr>
            <w:r>
              <w:rPr>
                <w:rFonts w:ascii="Arial" w:cs="Arial" w:eastAsia="Arial" w:hAnsi="Arial"/>
                <w:sz w:val="18"/>
                <w:szCs w:val="18"/>
                <w:color w:val="auto"/>
              </w:rPr>
              <w:t>Nati Somekh Gilboa</w:t>
            </w:r>
          </w:p>
        </w:tc>
      </w:tr>
      <w:tr>
        <w:trPr>
          <w:trHeight w:val="222"/>
        </w:trPr>
        <w:tc>
          <w:tcPr>
            <w:tcW w:w="3660" w:type="dxa"/>
            <w:vAlign w:val="bottom"/>
          </w:tcPr>
          <w:p>
            <w:pPr>
              <w:spacing w:after="0"/>
              <w:rPr>
                <w:sz w:val="19"/>
                <w:szCs w:val="19"/>
                <w:color w:val="auto"/>
              </w:rPr>
            </w:pPr>
          </w:p>
        </w:tc>
        <w:tc>
          <w:tcPr>
            <w:tcW w:w="7760" w:type="dxa"/>
            <w:vAlign w:val="bottom"/>
          </w:tcPr>
          <w:p>
            <w:pPr>
              <w:ind w:left="2060"/>
              <w:spacing w:after="0"/>
              <w:rPr>
                <w:sz w:val="20"/>
                <w:szCs w:val="20"/>
                <w:color w:val="auto"/>
              </w:rPr>
            </w:pPr>
            <w:r>
              <w:rPr>
                <w:rFonts w:ascii="Arial" w:cs="Arial" w:eastAsia="Arial" w:hAnsi="Arial"/>
                <w:sz w:val="18"/>
                <w:szCs w:val="18"/>
                <w:color w:val="auto"/>
              </w:rPr>
              <w:t>Corporate Secretary</w:t>
            </w:r>
          </w:p>
        </w:tc>
      </w:tr>
      <w:tr>
        <w:trPr>
          <w:trHeight w:val="417"/>
        </w:trPr>
        <w:tc>
          <w:tcPr>
            <w:tcW w:w="3660" w:type="dxa"/>
            <w:vAlign w:val="bottom"/>
          </w:tcPr>
          <w:p>
            <w:pPr>
              <w:spacing w:after="0"/>
              <w:rPr>
                <w:sz w:val="24"/>
                <w:szCs w:val="24"/>
                <w:color w:val="auto"/>
              </w:rPr>
            </w:pPr>
          </w:p>
        </w:tc>
        <w:tc>
          <w:tcPr>
            <w:tcW w:w="7760" w:type="dxa"/>
            <w:vAlign w:val="bottom"/>
          </w:tcPr>
          <w:p>
            <w:pPr>
              <w:spacing w:after="0"/>
              <w:rPr>
                <w:sz w:val="24"/>
                <w:szCs w:val="24"/>
                <w:color w:val="auto"/>
              </w:rPr>
            </w:pPr>
          </w:p>
        </w:tc>
      </w:tr>
      <w:tr>
        <w:trPr>
          <w:trHeight w:val="61"/>
        </w:trPr>
        <w:tc>
          <w:tcPr>
            <w:tcW w:w="3660" w:type="dxa"/>
            <w:vAlign w:val="bottom"/>
            <w:shd w:val="clear" w:color="auto" w:fill="808080"/>
          </w:tcPr>
          <w:p>
            <w:pPr>
              <w:spacing w:after="0"/>
              <w:rPr>
                <w:sz w:val="5"/>
                <w:szCs w:val="5"/>
                <w:color w:val="auto"/>
              </w:rPr>
            </w:pPr>
          </w:p>
        </w:tc>
        <w:tc>
          <w:tcPr>
            <w:tcW w:w="7760" w:type="dxa"/>
            <w:vAlign w:val="bottom"/>
            <w:shd w:val="clear" w:color="auto" w:fill="808080"/>
          </w:tcPr>
          <w:p>
            <w:pPr>
              <w:spacing w:after="0"/>
              <w:rPr>
                <w:sz w:val="5"/>
                <w:szCs w:val="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2646045</wp:posOffset>
            </wp:positionV>
            <wp:extent cx="726757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1" w:name="page2"/>
    <w:bookmarkEnd w:id="1"/>
    <w:p>
      <w:pPr>
        <w:ind w:left="10520"/>
        <w:spacing w:after="0"/>
        <w:rPr>
          <w:sz w:val="20"/>
          <w:szCs w:val="20"/>
          <w:color w:val="auto"/>
        </w:rPr>
      </w:pPr>
      <w:r>
        <w:rPr>
          <w:rFonts w:ascii="Arial" w:cs="Arial" w:eastAsia="Arial" w:hAnsi="Arial"/>
          <w:sz w:val="16"/>
          <w:szCs w:val="16"/>
          <w:b w:val="1"/>
          <w:bCs w:val="1"/>
          <w:u w:val="single" w:color="auto"/>
          <w:color w:val="auto"/>
        </w:rPr>
        <w:t>Exhibit 99.1</w:t>
      </w: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UNAUDITED CONDENSED INTERIM</w:t>
      </w:r>
    </w:p>
    <w:p>
      <w:pPr>
        <w:jc w:val="center"/>
        <w:ind w:right="60"/>
        <w:spacing w:after="0" w:line="230" w:lineRule="auto"/>
        <w:rPr>
          <w:sz w:val="20"/>
          <w:szCs w:val="20"/>
          <w:color w:val="auto"/>
        </w:rPr>
      </w:pPr>
      <w:r>
        <w:rPr>
          <w:rFonts w:ascii="Arial" w:cs="Arial" w:eastAsia="Arial" w:hAnsi="Arial"/>
          <w:sz w:val="22"/>
          <w:szCs w:val="22"/>
          <w:b w:val="1"/>
          <w:bCs w:val="1"/>
          <w:color w:val="auto"/>
        </w:rPr>
        <w:t>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JUNE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TOWER SEMICONDUCTOR LTD. AND SUBSIDIARIES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1"/>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INDEX TO UNAUDITED CONDENSED INTERIM</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CONSOLIDATED FINANCIAL STATEMENTS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AS OF JUNE 30, 2009</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6"/>
        </w:trPr>
        <w:tc>
          <w:tcPr>
            <w:tcW w:w="8740" w:type="dxa"/>
            <w:vAlign w:val="bottom"/>
            <w:gridSpan w:val="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BALANCE SHEETS</w:t>
              </w:r>
            </w:hyperlink>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2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740" w:type="dxa"/>
            <w:vAlign w:val="bottom"/>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STATEMENTS OF OPERATIONS</w:t>
              </w:r>
            </w:hyperlink>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5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54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STATEMENTS OF CASH FLOWS</w:t>
              </w:r>
            </w:hyperlink>
          </w:p>
        </w:tc>
        <w:tc>
          <w:tcPr>
            <w:tcW w:w="620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740" w:type="dxa"/>
            <w:vAlign w:val="bottom"/>
            <w:gridSpan w:val="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NOTES TO FINANCIAL STATEMENTS</w:t>
              </w:r>
            </w:hyperlink>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4-19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20" w:type="dxa"/>
            <w:vAlign w:val="bottom"/>
          </w:tcPr>
          <w:p>
            <w:pPr>
              <w:spacing w:after="0"/>
              <w:rPr>
                <w:sz w:val="24"/>
                <w:szCs w:val="24"/>
                <w:color w:val="auto"/>
              </w:rPr>
            </w:pPr>
          </w:p>
        </w:tc>
        <w:tc>
          <w:tcPr>
            <w:tcW w:w="150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57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TOWER SEMICONDUCTOR LTD. AND SUBSIDIARIES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CONSOLIDATED BALANCE SHEETS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(dollars in thousands)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As of</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As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1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A S S E T 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720" w:type="dxa"/>
            <w:vAlign w:val="bottom"/>
            <w:gridSpan w:val="6"/>
          </w:tcPr>
          <w:p>
            <w:pPr>
              <w:ind w:left="200"/>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20" w:type="dxa"/>
            <w:vAlign w:val="bottom"/>
            <w:gridSpan w:val="6"/>
            <w:shd w:val="clear" w:color="auto" w:fill="CCEEFF"/>
          </w:tcPr>
          <w:p>
            <w:pPr>
              <w:ind w:left="380"/>
              <w:spacing w:after="0"/>
              <w:rPr>
                <w:sz w:val="20"/>
                <w:szCs w:val="20"/>
                <w:color w:val="auto"/>
              </w:rPr>
            </w:pPr>
            <w:r>
              <w:rPr>
                <w:rFonts w:ascii="Arial" w:cs="Arial" w:eastAsia="Arial" w:hAnsi="Arial"/>
                <w:sz w:val="18"/>
                <w:szCs w:val="18"/>
                <w:b w:val="1"/>
                <w:bCs w:val="1"/>
                <w:color w:val="auto"/>
              </w:rPr>
              <w:t>Cash and cash equivalents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38,097</w:t>
            </w:r>
          </w:p>
        </w:tc>
        <w:tc>
          <w:tcPr>
            <w:tcW w:w="18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34,905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6"/>
          </w:tcPr>
          <w:p>
            <w:pPr>
              <w:ind w:left="380"/>
              <w:spacing w:after="0"/>
              <w:rPr>
                <w:sz w:val="20"/>
                <w:szCs w:val="20"/>
                <w:color w:val="auto"/>
              </w:rPr>
            </w:pPr>
            <w:r>
              <w:rPr>
                <w:rFonts w:ascii="Arial" w:cs="Arial" w:eastAsia="Arial" w:hAnsi="Arial"/>
                <w:sz w:val="18"/>
                <w:szCs w:val="18"/>
                <w:b w:val="1"/>
                <w:bCs w:val="1"/>
                <w:color w:val="auto"/>
              </w:rPr>
              <w:t>Trade accounts receivable: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6"/>
            <w:shd w:val="clear" w:color="auto" w:fill="CCEEFF"/>
          </w:tcPr>
          <w:p>
            <w:pPr>
              <w:ind w:left="520"/>
              <w:spacing w:after="0"/>
              <w:rPr>
                <w:sz w:val="20"/>
                <w:szCs w:val="20"/>
                <w:color w:val="auto"/>
              </w:rPr>
            </w:pPr>
            <w:r>
              <w:rPr>
                <w:rFonts w:ascii="Arial" w:cs="Arial" w:eastAsia="Arial" w:hAnsi="Arial"/>
                <w:sz w:val="18"/>
                <w:szCs w:val="18"/>
                <w:b w:val="1"/>
                <w:bCs w:val="1"/>
                <w:color w:val="auto"/>
              </w:rPr>
              <w:t>Related parties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2,379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6"/>
          </w:tcPr>
          <w:p>
            <w:pPr>
              <w:ind w:left="520"/>
              <w:spacing w:after="0"/>
              <w:rPr>
                <w:sz w:val="20"/>
                <w:szCs w:val="20"/>
                <w:color w:val="auto"/>
              </w:rPr>
            </w:pPr>
            <w:r>
              <w:rPr>
                <w:rFonts w:ascii="Arial" w:cs="Arial" w:eastAsia="Arial" w:hAnsi="Arial"/>
                <w:sz w:val="18"/>
                <w:szCs w:val="18"/>
                <w:b w:val="1"/>
                <w:bCs w:val="1"/>
                <w:color w:val="auto"/>
              </w:rPr>
              <w:t>Others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34,744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43,481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6"/>
            <w:shd w:val="clear" w:color="auto" w:fill="CCEEFF"/>
          </w:tcPr>
          <w:p>
            <w:pPr>
              <w:ind w:left="380"/>
              <w:spacing w:after="0"/>
              <w:rPr>
                <w:sz w:val="20"/>
                <w:szCs w:val="20"/>
                <w:color w:val="auto"/>
              </w:rPr>
            </w:pPr>
            <w:r>
              <w:rPr>
                <w:rFonts w:ascii="Arial" w:cs="Arial" w:eastAsia="Arial" w:hAnsi="Arial"/>
                <w:sz w:val="18"/>
                <w:szCs w:val="18"/>
                <w:b w:val="1"/>
                <w:bCs w:val="1"/>
                <w:color w:val="auto"/>
              </w:rPr>
              <w:t>Other receivables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2,181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2,320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6"/>
          </w:tcPr>
          <w:p>
            <w:pPr>
              <w:ind w:left="380"/>
              <w:spacing w:after="0"/>
              <w:rPr>
                <w:sz w:val="20"/>
                <w:szCs w:val="20"/>
                <w:color w:val="auto"/>
              </w:rPr>
            </w:pPr>
            <w:r>
              <w:rPr>
                <w:rFonts w:ascii="Arial" w:cs="Arial" w:eastAsia="Arial" w:hAnsi="Arial"/>
                <w:sz w:val="18"/>
                <w:szCs w:val="18"/>
                <w:b w:val="1"/>
                <w:bCs w:val="1"/>
                <w:color w:val="auto"/>
              </w:rPr>
              <w:t>Inventories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26,630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40,899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6"/>
            <w:shd w:val="clear" w:color="auto" w:fill="CCEEFF"/>
          </w:tcPr>
          <w:p>
            <w:pPr>
              <w:ind w:left="380"/>
              <w:spacing w:after="0"/>
              <w:rPr>
                <w:sz w:val="20"/>
                <w:szCs w:val="20"/>
                <w:color w:val="auto"/>
              </w:rPr>
            </w:pPr>
            <w:r>
              <w:rPr>
                <w:rFonts w:ascii="Arial" w:cs="Arial" w:eastAsia="Arial" w:hAnsi="Arial"/>
                <w:sz w:val="18"/>
                <w:szCs w:val="18"/>
                <w:b w:val="1"/>
                <w:bCs w:val="1"/>
                <w:color w:val="auto"/>
              </w:rPr>
              <w:t>Other current assets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7,405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7,657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7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720" w:type="dxa"/>
            <w:vAlign w:val="bottom"/>
            <w:gridSpan w:val="6"/>
          </w:tcPr>
          <w:p>
            <w:pPr>
              <w:ind w:left="680"/>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109,835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131,641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7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6"/>
            <w:shd w:val="clear" w:color="auto" w:fill="CCEEFF"/>
          </w:tcPr>
          <w:p>
            <w:pPr>
              <w:ind w:left="200"/>
              <w:spacing w:after="0"/>
              <w:rPr>
                <w:sz w:val="20"/>
                <w:szCs w:val="20"/>
                <w:color w:val="auto"/>
              </w:rPr>
            </w:pPr>
            <w:r>
              <w:rPr>
                <w:rFonts w:ascii="Arial" w:cs="Arial" w:eastAsia="Arial" w:hAnsi="Arial"/>
                <w:sz w:val="18"/>
                <w:szCs w:val="18"/>
                <w:b w:val="1"/>
                <w:bCs w:val="1"/>
                <w:color w:val="auto"/>
              </w:rPr>
              <w:t>LONG-TERM INVESTMENTS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28,606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29,499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7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8720" w:type="dxa"/>
            <w:vAlign w:val="bottom"/>
            <w:gridSpan w:val="6"/>
          </w:tcPr>
          <w:p>
            <w:pPr>
              <w:ind w:left="200"/>
              <w:spacing w:after="0"/>
              <w:rPr>
                <w:sz w:val="20"/>
                <w:szCs w:val="20"/>
                <w:color w:val="auto"/>
              </w:rPr>
            </w:pPr>
            <w:r>
              <w:rPr>
                <w:rFonts w:ascii="Arial" w:cs="Arial" w:eastAsia="Arial" w:hAnsi="Arial"/>
                <w:sz w:val="18"/>
                <w:szCs w:val="18"/>
                <w:b w:val="1"/>
                <w:bCs w:val="1"/>
                <w:color w:val="auto"/>
              </w:rPr>
              <w:t>PROPERTY AND EQUIPMENT, NET</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410,096</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449,697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7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6"/>
            <w:shd w:val="clear" w:color="auto" w:fill="CCEEFF"/>
          </w:tcPr>
          <w:p>
            <w:pPr>
              <w:ind w:left="200"/>
              <w:spacing w:after="0"/>
              <w:rPr>
                <w:sz w:val="20"/>
                <w:szCs w:val="20"/>
                <w:color w:val="auto"/>
              </w:rPr>
            </w:pPr>
            <w:r>
              <w:rPr>
                <w:rFonts w:ascii="Arial" w:cs="Arial" w:eastAsia="Arial" w:hAnsi="Arial"/>
                <w:sz w:val="18"/>
                <w:szCs w:val="18"/>
                <w:b w:val="1"/>
                <w:bCs w:val="1"/>
                <w:color w:val="auto"/>
              </w:rPr>
              <w:t>INTANGIBLE ASSETS, NET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74,344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81,034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7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8720" w:type="dxa"/>
            <w:vAlign w:val="bottom"/>
            <w:gridSpan w:val="6"/>
          </w:tcPr>
          <w:p>
            <w:pPr>
              <w:ind w:left="200"/>
              <w:spacing w:after="0"/>
              <w:rPr>
                <w:sz w:val="20"/>
                <w:szCs w:val="20"/>
                <w:color w:val="auto"/>
              </w:rPr>
            </w:pPr>
            <w:r>
              <w:rPr>
                <w:rFonts w:ascii="Arial" w:cs="Arial" w:eastAsia="Arial" w:hAnsi="Arial"/>
                <w:sz w:val="18"/>
                <w:szCs w:val="18"/>
                <w:b w:val="1"/>
                <w:bCs w:val="1"/>
                <w:color w:val="auto"/>
              </w:rPr>
              <w:t>GOODWILL</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7,000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7,000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7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6"/>
            <w:shd w:val="clear" w:color="auto" w:fill="CCEEFF"/>
          </w:tcPr>
          <w:p>
            <w:pPr>
              <w:ind w:left="200"/>
              <w:spacing w:after="0"/>
              <w:rPr>
                <w:sz w:val="20"/>
                <w:szCs w:val="20"/>
                <w:color w:val="auto"/>
              </w:rPr>
            </w:pPr>
            <w:r>
              <w:rPr>
                <w:rFonts w:ascii="Arial" w:cs="Arial" w:eastAsia="Arial" w:hAnsi="Arial"/>
                <w:sz w:val="18"/>
                <w:szCs w:val="18"/>
                <w:b w:val="1"/>
                <w:bCs w:val="1"/>
                <w:color w:val="auto"/>
              </w:rPr>
              <w:t>OTHER ASSETS , NET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8,471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8,802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bottom w:val="single" w:sz="8" w:color="808080"/>
            </w:tcBorders>
            <w:gridSpan w:val="2"/>
          </w:tcPr>
          <w:p>
            <w:pPr>
              <w:spacing w:after="0"/>
              <w:rPr>
                <w:sz w:val="11"/>
                <w:szCs w:val="11"/>
                <w:color w:val="auto"/>
              </w:rPr>
            </w:pPr>
          </w:p>
        </w:tc>
        <w:tc>
          <w:tcPr>
            <w:tcW w:w="940" w:type="dxa"/>
            <w:vAlign w:val="bottom"/>
            <w:tcBorders>
              <w:bottom w:val="single" w:sz="8" w:color="808080"/>
            </w:tcBorders>
            <w:gridSpan w:val="2"/>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8720" w:type="dxa"/>
            <w:vAlign w:val="bottom"/>
            <w:gridSpan w:val="6"/>
          </w:tcPr>
          <w:p>
            <w:pPr>
              <w:ind w:left="68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638,352</w:t>
            </w:r>
          </w:p>
        </w:tc>
        <w:tc>
          <w:tcPr>
            <w:tcW w:w="180" w:type="dxa"/>
            <w:vAlign w:val="bottom"/>
          </w:tcPr>
          <w:p>
            <w:pPr>
              <w:spacing w:after="0"/>
              <w:rPr>
                <w:sz w:val="24"/>
                <w:szCs w:val="24"/>
                <w:color w:val="auto"/>
              </w:rPr>
            </w:pPr>
          </w:p>
        </w:tc>
        <w:tc>
          <w:tcPr>
            <w:tcW w:w="2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707,673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720" w:type="dxa"/>
            <w:vAlign w:val="bottom"/>
            <w:gridSpan w:val="6"/>
          </w:tcPr>
          <w:p>
            <w:pPr>
              <w:ind w:left="200"/>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20" w:type="dxa"/>
            <w:vAlign w:val="bottom"/>
            <w:gridSpan w:val="6"/>
            <w:shd w:val="clear" w:color="auto" w:fill="CCEEFF"/>
          </w:tcPr>
          <w:p>
            <w:pPr>
              <w:ind w:left="380"/>
              <w:spacing w:after="0"/>
              <w:rPr>
                <w:sz w:val="20"/>
                <w:szCs w:val="20"/>
                <w:color w:val="auto"/>
              </w:rPr>
            </w:pPr>
            <w:r>
              <w:rPr>
                <w:rFonts w:ascii="Arial" w:cs="Arial" w:eastAsia="Arial" w:hAnsi="Arial"/>
                <w:sz w:val="18"/>
                <w:szCs w:val="18"/>
                <w:b w:val="1"/>
                <w:bCs w:val="1"/>
                <w:color w:val="auto"/>
              </w:rPr>
              <w:t>Current maturities of convertible debentures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8,330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6246495</wp:posOffset>
            </wp:positionH>
            <wp:positionV relativeFrom="paragraph">
              <wp:posOffset>-1219200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-1219200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-1219200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-1219200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-781685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-781685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-781685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-781685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340" w:type="dxa"/>
            <w:vAlign w:val="bottom"/>
          </w:tcPr>
          <w:p>
            <w:pPr>
              <w:ind w:left="380"/>
              <w:spacing w:after="0"/>
              <w:rPr>
                <w:sz w:val="20"/>
                <w:szCs w:val="20"/>
                <w:color w:val="auto"/>
              </w:rPr>
            </w:pPr>
            <w:r>
              <w:rPr>
                <w:rFonts w:ascii="Arial" w:cs="Arial" w:eastAsia="Arial" w:hAnsi="Arial"/>
                <w:sz w:val="18"/>
                <w:szCs w:val="18"/>
                <w:b w:val="1"/>
                <w:bCs w:val="1"/>
                <w:color w:val="auto"/>
              </w:rPr>
              <w:t>Short-term bank loan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7,000</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7,000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Trade accounts payable</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32,018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49,462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80"/>
              <w:spacing w:after="0"/>
              <w:rPr>
                <w:sz w:val="20"/>
                <w:szCs w:val="20"/>
                <w:color w:val="auto"/>
              </w:rPr>
            </w:pPr>
            <w:r>
              <w:rPr>
                <w:rFonts w:ascii="Arial" w:cs="Arial" w:eastAsia="Arial" w:hAnsi="Arial"/>
                <w:sz w:val="18"/>
                <w:szCs w:val="18"/>
                <w:b w:val="1"/>
                <w:bCs w:val="1"/>
                <w:color w:val="auto"/>
              </w:rPr>
              <w:t>Deferred revenue and short-term customers' advances</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5,496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6,634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Other current liabilities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30,793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35,202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40" w:type="dxa"/>
            <w:vAlign w:val="bottom"/>
          </w:tcPr>
          <w:p>
            <w:pPr>
              <w:ind w:left="680"/>
              <w:spacing w:after="0"/>
              <w:rPr>
                <w:sz w:val="20"/>
                <w:szCs w:val="20"/>
                <w:color w:val="auto"/>
              </w:rPr>
            </w:pPr>
            <w:r>
              <w:rPr>
                <w:rFonts w:ascii="Arial" w:cs="Arial" w:eastAsia="Arial" w:hAnsi="Arial"/>
                <w:sz w:val="18"/>
                <w:szCs w:val="18"/>
                <w:b w:val="1"/>
                <w:bCs w:val="1"/>
                <w:color w:val="auto"/>
              </w:rPr>
              <w:t>Total current liabilities</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75,307</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106,628</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LONG-TERM LOANS FROM BANKS (*)</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210,149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222,989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5340" w:type="dxa"/>
            <w:vAlign w:val="bottom"/>
          </w:tcPr>
          <w:p>
            <w:pPr>
              <w:ind w:left="200"/>
              <w:spacing w:after="0"/>
              <w:rPr>
                <w:sz w:val="20"/>
                <w:szCs w:val="20"/>
                <w:color w:val="auto"/>
              </w:rPr>
            </w:pPr>
            <w:r>
              <w:rPr>
                <w:rFonts w:ascii="Arial" w:cs="Arial" w:eastAsia="Arial" w:hAnsi="Arial"/>
                <w:sz w:val="18"/>
                <w:szCs w:val="18"/>
                <w:b w:val="1"/>
                <w:bCs w:val="1"/>
                <w:color w:val="auto"/>
              </w:rPr>
              <w:t>DEBENTURES (**)</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219,540</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208,512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LONG-TERM CUSTOMERS' ADVANCES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12,291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11,138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5340" w:type="dxa"/>
            <w:vAlign w:val="bottom"/>
          </w:tcPr>
          <w:p>
            <w:pPr>
              <w:ind w:left="200"/>
              <w:spacing w:after="0"/>
              <w:rPr>
                <w:sz w:val="20"/>
                <w:szCs w:val="20"/>
                <w:color w:val="auto"/>
              </w:rPr>
            </w:pPr>
            <w:r>
              <w:rPr>
                <w:rFonts w:ascii="Arial" w:cs="Arial" w:eastAsia="Arial" w:hAnsi="Arial"/>
                <w:sz w:val="18"/>
                <w:szCs w:val="18"/>
                <w:b w:val="1"/>
                <w:bCs w:val="1"/>
                <w:color w:val="auto"/>
              </w:rPr>
              <w:t>OTHER LONG-TERM LIABILITIES</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47,496</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45,959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liabilities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564,783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595,226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5340" w:type="dxa"/>
            <w:vAlign w:val="bottom"/>
          </w:tcPr>
          <w:p>
            <w:pPr>
              <w:ind w:left="200"/>
              <w:spacing w:after="0"/>
              <w:rPr>
                <w:sz w:val="20"/>
                <w:szCs w:val="20"/>
                <w:color w:val="auto"/>
              </w:rPr>
            </w:pPr>
            <w:r>
              <w:rPr>
                <w:rFonts w:ascii="Arial" w:cs="Arial" w:eastAsia="Arial" w:hAnsi="Arial"/>
                <w:sz w:val="18"/>
                <w:szCs w:val="18"/>
                <w:b w:val="1"/>
                <w:bCs w:val="1"/>
                <w:color w:val="auto"/>
              </w:rPr>
              <w:t>SHAREHOLDERS' EQUITY</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73,569</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112,447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LIABILITIES AND SHAREHOLDERS' EQUITY</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638,352</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707,673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880" w:type="dxa"/>
            <w:vAlign w:val="bottom"/>
            <w:gridSpan w:val="11"/>
            <w:vMerge w:val="restart"/>
          </w:tcPr>
          <w:p>
            <w:pPr>
              <w:spacing w:after="0"/>
              <w:rPr>
                <w:sz w:val="20"/>
                <w:szCs w:val="20"/>
                <w:color w:val="auto"/>
              </w:rPr>
            </w:pPr>
            <w:r>
              <w:rPr>
                <w:rFonts w:ascii="Arial" w:cs="Arial" w:eastAsia="Arial" w:hAnsi="Arial"/>
                <w:sz w:val="18"/>
                <w:szCs w:val="18"/>
                <w:b w:val="1"/>
                <w:bCs w:val="1"/>
                <w:color w:val="auto"/>
                <w:w w:val="88"/>
              </w:rPr>
              <w:t>(*) of which $190,149 and $202,989 at fair value as of June 30, 2009 and December 31, 2008, respectively.</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8"/>
        </w:trPr>
        <w:tc>
          <w:tcPr>
            <w:tcW w:w="7880" w:type="dxa"/>
            <w:vAlign w:val="bottom"/>
            <w:gridSpan w:val="11"/>
            <w:vMerge w:val="continue"/>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80" w:type="dxa"/>
            <w:vAlign w:val="bottom"/>
            <w:gridSpan w:val="11"/>
          </w:tcPr>
          <w:p>
            <w:pPr>
              <w:spacing w:after="0"/>
              <w:rPr>
                <w:sz w:val="20"/>
                <w:szCs w:val="20"/>
                <w:color w:val="auto"/>
              </w:rPr>
            </w:pPr>
            <w:r>
              <w:rPr>
                <w:rFonts w:ascii="Arial" w:cs="Arial" w:eastAsia="Arial" w:hAnsi="Arial"/>
                <w:sz w:val="18"/>
                <w:szCs w:val="18"/>
                <w:b w:val="1"/>
                <w:bCs w:val="1"/>
                <w:color w:val="auto"/>
                <w:w w:val="89"/>
              </w:rPr>
              <w:t>(**) of which $22,747 and $16,825 at fair value as of June 30, 2009 and December 31, 2008, respectively.</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See notes to consolidated financial statements.</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600" w:type="dxa"/>
            <w:vAlign w:val="bottom"/>
          </w:tcPr>
          <w:p>
            <w:pPr>
              <w:jc w:val="center"/>
              <w:ind w:left="12"/>
              <w:spacing w:after="0"/>
              <w:rPr>
                <w:sz w:val="20"/>
                <w:szCs w:val="20"/>
                <w:color w:val="auto"/>
              </w:rPr>
            </w:pPr>
            <w:r>
              <w:rPr>
                <w:rFonts w:ascii="Arial" w:cs="Arial" w:eastAsia="Arial" w:hAnsi="Arial"/>
                <w:sz w:val="18"/>
                <w:szCs w:val="18"/>
                <w:color w:val="auto"/>
                <w:w w:val="93"/>
              </w:rPr>
              <w:t>- 1 -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2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940" w:type="dxa"/>
            <w:vAlign w:val="bottom"/>
            <w:gridSpan w:val="2"/>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120" w:type="dxa"/>
            <w:vAlign w:val="bottom"/>
            <w:gridSpan w:val="2"/>
            <w:shd w:val="clear" w:color="auto" w:fill="808080"/>
          </w:tcPr>
          <w:p>
            <w:pPr>
              <w:spacing w:after="0"/>
              <w:rPr>
                <w:sz w:val="5"/>
                <w:szCs w:val="5"/>
                <w:color w:val="auto"/>
              </w:rPr>
            </w:pPr>
          </w:p>
        </w:tc>
        <w:tc>
          <w:tcPr>
            <w:tcW w:w="240" w:type="dxa"/>
            <w:vAlign w:val="bottom"/>
            <w:gridSpan w:val="2"/>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120" w:type="dxa"/>
            <w:vAlign w:val="bottom"/>
            <w:gridSpan w:val="2"/>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8680" w:type="dxa"/>
            <w:vAlign w:val="bottom"/>
            <w:gridSpan w:val="12"/>
          </w:tcPr>
          <w:p>
            <w:pPr>
              <w:jc w:val="center"/>
              <w:ind w:left="2572"/>
              <w:spacing w:after="0"/>
              <w:rPr>
                <w:sz w:val="20"/>
                <w:szCs w:val="20"/>
                <w:color w:val="auto"/>
              </w:rPr>
            </w:pPr>
            <w:r>
              <w:rPr>
                <w:rFonts w:ascii="Arial" w:cs="Arial" w:eastAsia="Arial" w:hAnsi="Arial"/>
                <w:sz w:val="18"/>
                <w:szCs w:val="18"/>
                <w:b w:val="1"/>
                <w:bCs w:val="1"/>
                <w:color w:val="auto"/>
                <w:w w:val="98"/>
              </w:rPr>
              <w:t>TOWER SEMICONDUCTOR LTD. AND SUBSIDIARIES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gridSpan w:val="10"/>
          </w:tcPr>
          <w:p>
            <w:pPr>
              <w:jc w:val="center"/>
              <w:ind w:left="3392"/>
              <w:spacing w:after="0"/>
              <w:rPr>
                <w:sz w:val="20"/>
                <w:szCs w:val="20"/>
                <w:color w:val="auto"/>
              </w:rPr>
            </w:pPr>
            <w:r>
              <w:rPr>
                <w:rFonts w:ascii="Arial" w:cs="Arial" w:eastAsia="Arial" w:hAnsi="Arial"/>
                <w:sz w:val="18"/>
                <w:szCs w:val="18"/>
                <w:b w:val="1"/>
                <w:bCs w:val="1"/>
                <w:color w:val="auto"/>
                <w:w w:val="96"/>
              </w:rPr>
              <w:t>CONSOLIDATED STATEMENTS OF OPERATIONS</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gridSpan w:val="10"/>
          </w:tcPr>
          <w:p>
            <w:pPr>
              <w:jc w:val="center"/>
              <w:ind w:left="3432"/>
              <w:spacing w:after="0"/>
              <w:rPr>
                <w:sz w:val="20"/>
                <w:szCs w:val="20"/>
                <w:color w:val="auto"/>
              </w:rPr>
            </w:pPr>
            <w:r>
              <w:rPr>
                <w:rFonts w:ascii="Arial" w:cs="Arial" w:eastAsia="Arial" w:hAnsi="Arial"/>
                <w:sz w:val="18"/>
                <w:szCs w:val="18"/>
                <w:color w:val="auto"/>
                <w:w w:val="86"/>
              </w:rPr>
              <w:t>(dollars in thousands, except share data and per share data)</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gridSpan w:val="5"/>
          </w:tcPr>
          <w:p>
            <w:pPr>
              <w:jc w:val="center"/>
              <w:ind w:left="438"/>
              <w:spacing w:after="0"/>
              <w:rPr>
                <w:sz w:val="20"/>
                <w:szCs w:val="20"/>
                <w:color w:val="auto"/>
              </w:rPr>
            </w:pPr>
            <w:r>
              <w:rPr>
                <w:rFonts w:ascii="Arial" w:cs="Arial" w:eastAsia="Arial" w:hAnsi="Arial"/>
                <w:sz w:val="14"/>
                <w:szCs w:val="14"/>
                <w:b w:val="1"/>
                <w:bCs w:val="1"/>
                <w:color w:val="auto"/>
                <w:w w:val="84"/>
              </w:rPr>
              <w:t>Six months ended</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85"/>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5"/>
          </w:tcPr>
          <w:p>
            <w:pPr>
              <w:jc w:val="center"/>
              <w:ind w:left="418"/>
              <w:spacing w:after="0"/>
              <w:rPr>
                <w:sz w:val="20"/>
                <w:szCs w:val="20"/>
                <w:color w:val="auto"/>
              </w:rPr>
            </w:pPr>
            <w:r>
              <w:rPr>
                <w:rFonts w:ascii="Arial" w:cs="Arial" w:eastAsia="Arial" w:hAnsi="Arial"/>
                <w:sz w:val="14"/>
                <w:szCs w:val="14"/>
                <w:b w:val="1"/>
                <w:bCs w:val="1"/>
                <w:color w:val="auto"/>
                <w:w w:val="85"/>
              </w:rPr>
              <w:t>June 30,</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gridSpan w:val="4"/>
          </w:tcPr>
          <w:p>
            <w:pPr>
              <w:jc w:val="center"/>
              <w:ind w:left="495"/>
              <w:spacing w:after="0"/>
              <w:rPr>
                <w:sz w:val="20"/>
                <w:szCs w:val="20"/>
                <w:color w:val="auto"/>
              </w:rPr>
            </w:pPr>
            <w:r>
              <w:rPr>
                <w:rFonts w:ascii="Arial" w:cs="Arial" w:eastAsia="Arial" w:hAnsi="Arial"/>
                <w:sz w:val="14"/>
                <w:szCs w:val="14"/>
                <w:b w:val="1"/>
                <w:bCs w:val="1"/>
                <w:color w:val="auto"/>
                <w:w w:val="85"/>
              </w:rPr>
              <w:t>June 30,</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238"/>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jc w:val="right"/>
              <w:ind w:right="234"/>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255"/>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jc w:val="right"/>
              <w:ind w:right="233"/>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2"/>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80" w:type="dxa"/>
            <w:vAlign w:val="bottom"/>
            <w:gridSpan w:val="5"/>
          </w:tcPr>
          <w:p>
            <w:pPr>
              <w:jc w:val="center"/>
              <w:ind w:left="418"/>
              <w:spacing w:after="0"/>
              <w:rPr>
                <w:sz w:val="20"/>
                <w:szCs w:val="20"/>
                <w:color w:val="auto"/>
              </w:rPr>
            </w:pPr>
            <w:r>
              <w:rPr>
                <w:rFonts w:ascii="Arial" w:cs="Arial" w:eastAsia="Arial" w:hAnsi="Arial"/>
                <w:sz w:val="14"/>
                <w:szCs w:val="14"/>
                <w:b w:val="1"/>
                <w:bCs w:val="1"/>
                <w:color w:val="auto"/>
                <w:w w:val="89"/>
              </w:rPr>
              <w:t>(unaudited)</w:t>
            </w: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gridSpan w:val="4"/>
          </w:tcPr>
          <w:p>
            <w:pPr>
              <w:jc w:val="center"/>
              <w:ind w:left="515"/>
              <w:spacing w:after="0"/>
              <w:rPr>
                <w:sz w:val="20"/>
                <w:szCs w:val="20"/>
                <w:color w:val="auto"/>
              </w:rPr>
            </w:pPr>
            <w:r>
              <w:rPr>
                <w:rFonts w:ascii="Arial" w:cs="Arial" w:eastAsia="Arial" w:hAnsi="Arial"/>
                <w:sz w:val="14"/>
                <w:szCs w:val="14"/>
                <w:b w:val="1"/>
                <w:bCs w:val="1"/>
                <w:color w:val="auto"/>
                <w:w w:val="86"/>
              </w:rPr>
              <w:t>(unaudited)</w:t>
            </w: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5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9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118,626</w:t>
            </w:r>
          </w:p>
        </w:tc>
        <w:tc>
          <w:tcPr>
            <w:tcW w:w="2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115,679</w:t>
            </w:r>
          </w:p>
        </w:tc>
        <w:tc>
          <w:tcPr>
            <w:tcW w:w="2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60,567</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58,072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COST OF REVENUES</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146,333</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2"/>
              </w:rPr>
              <w:t>139,307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71,193</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71,052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300" w:type="dxa"/>
            <w:vAlign w:val="bottom"/>
            <w:tcBorders>
              <w:top w:val="single" w:sz="8" w:color="808080"/>
            </w:tcBorders>
          </w:tcPr>
          <w:p>
            <w:pPr>
              <w:spacing w:after="0"/>
              <w:rPr>
                <w:sz w:val="24"/>
                <w:szCs w:val="24"/>
                <w:color w:val="auto"/>
              </w:rPr>
            </w:pPr>
          </w:p>
        </w:tc>
        <w:tc>
          <w:tcPr>
            <w:tcW w:w="820" w:type="dxa"/>
            <w:vAlign w:val="bottom"/>
            <w:tcBorders>
              <w:top w:val="single" w:sz="8" w:color="808080"/>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808080"/>
            </w:tcBorders>
          </w:tcPr>
          <w:p>
            <w:pPr>
              <w:spacing w:after="0"/>
              <w:rPr>
                <w:sz w:val="24"/>
                <w:szCs w:val="24"/>
                <w:color w:val="auto"/>
              </w:rPr>
            </w:pPr>
          </w:p>
        </w:tc>
        <w:tc>
          <w:tcPr>
            <w:tcW w:w="620" w:type="dxa"/>
            <w:vAlign w:val="bottom"/>
            <w:tcBorders>
              <w:top w:val="single" w:sz="8" w:color="808080"/>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300" w:type="dxa"/>
            <w:vAlign w:val="bottom"/>
            <w:tcBorders>
              <w:top w:val="single" w:sz="8" w:color="808080"/>
            </w:tcBorders>
          </w:tcPr>
          <w:p>
            <w:pPr>
              <w:spacing w:after="0"/>
              <w:rPr>
                <w:sz w:val="24"/>
                <w:szCs w:val="24"/>
                <w:color w:val="auto"/>
              </w:rPr>
            </w:pPr>
          </w:p>
        </w:tc>
        <w:tc>
          <w:tcPr>
            <w:tcW w:w="820" w:type="dxa"/>
            <w:vAlign w:val="bottom"/>
            <w:tcBorders>
              <w:top w:val="single" w:sz="8" w:color="808080"/>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Borders>
              <w:top w:val="single" w:sz="8" w:color="808080"/>
            </w:tcBorders>
          </w:tcPr>
          <w:p>
            <w:pPr>
              <w:spacing w:after="0"/>
              <w:rPr>
                <w:sz w:val="24"/>
                <w:szCs w:val="24"/>
                <w:color w:val="auto"/>
              </w:rPr>
            </w:pPr>
          </w:p>
        </w:tc>
        <w:tc>
          <w:tcPr>
            <w:tcW w:w="400" w:type="dxa"/>
            <w:vAlign w:val="bottom"/>
            <w:tcBorders>
              <w:top w:val="single" w:sz="8" w:color="808080"/>
            </w:tcBorders>
          </w:tcPr>
          <w:p>
            <w:pPr>
              <w:spacing w:after="0"/>
              <w:rPr>
                <w:sz w:val="24"/>
                <w:szCs w:val="24"/>
                <w:color w:val="auto"/>
              </w:rPr>
            </w:pPr>
          </w:p>
        </w:tc>
        <w:tc>
          <w:tcPr>
            <w:tcW w:w="700" w:type="dxa"/>
            <w:vAlign w:val="bottom"/>
            <w:tcBorders>
              <w:top w:val="single" w:sz="8" w:color="808080"/>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GROSS LOSS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(27,707)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8"/>
              </w:rPr>
              <w:t>(23,628)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(10,626)</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(12,980)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COSTS AND EXPENSES</w:t>
            </w:r>
          </w:p>
        </w:tc>
        <w:tc>
          <w:tcPr>
            <w:tcW w:w="6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536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Research and development</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10,307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6,190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5,951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3,214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ind w:left="200"/>
              <w:spacing w:after="0"/>
              <w:rPr>
                <w:sz w:val="20"/>
                <w:szCs w:val="20"/>
                <w:color w:val="auto"/>
              </w:rPr>
            </w:pPr>
            <w:r>
              <w:rPr>
                <w:rFonts w:ascii="Arial" w:cs="Arial" w:eastAsia="Arial" w:hAnsi="Arial"/>
                <w:sz w:val="18"/>
                <w:szCs w:val="18"/>
                <w:b w:val="1"/>
                <w:bCs w:val="1"/>
                <w:color w:val="auto"/>
              </w:rPr>
              <w:t>Marketing, general and administrative</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13,888</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14,957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7,153</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7,189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24,195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21,147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13,104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10,403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5340" w:type="dxa"/>
            <w:vAlign w:val="bottom"/>
          </w:tcPr>
          <w:p>
            <w:pPr>
              <w:ind w:left="420"/>
              <w:spacing w:after="0"/>
              <w:rPr>
                <w:sz w:val="20"/>
                <w:szCs w:val="20"/>
                <w:color w:val="auto"/>
              </w:rPr>
            </w:pPr>
            <w:r>
              <w:rPr>
                <w:rFonts w:ascii="Arial" w:cs="Arial" w:eastAsia="Arial" w:hAnsi="Arial"/>
                <w:sz w:val="18"/>
                <w:szCs w:val="18"/>
                <w:b w:val="1"/>
                <w:bCs w:val="1"/>
                <w:color w:val="auto"/>
              </w:rPr>
              <w:t>OPERATING LOSS</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(51,902)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8"/>
              </w:rPr>
              <w:t>(44,775)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(23,730)</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(23,383)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EXPENSE, NET</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(10,274)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8"/>
              </w:rPr>
              <w:t>(15,611)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(9,296)</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(7,811)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 NET</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459</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(529)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459</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300" w:type="dxa"/>
            <w:vAlign w:val="bottom"/>
            <w:tcBorders>
              <w:top w:val="single" w:sz="8" w:color="808080"/>
            </w:tcBorders>
          </w:tcPr>
          <w:p>
            <w:pPr>
              <w:spacing w:after="0"/>
              <w:rPr>
                <w:sz w:val="24"/>
                <w:szCs w:val="24"/>
                <w:color w:val="auto"/>
              </w:rPr>
            </w:pPr>
          </w:p>
        </w:tc>
        <w:tc>
          <w:tcPr>
            <w:tcW w:w="820" w:type="dxa"/>
            <w:vAlign w:val="bottom"/>
            <w:tcBorders>
              <w:top w:val="single" w:sz="8" w:color="808080"/>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808080"/>
            </w:tcBorders>
          </w:tcPr>
          <w:p>
            <w:pPr>
              <w:spacing w:after="0"/>
              <w:rPr>
                <w:sz w:val="24"/>
                <w:szCs w:val="24"/>
                <w:color w:val="auto"/>
              </w:rPr>
            </w:pPr>
          </w:p>
        </w:tc>
        <w:tc>
          <w:tcPr>
            <w:tcW w:w="620" w:type="dxa"/>
            <w:vAlign w:val="bottom"/>
            <w:tcBorders>
              <w:top w:val="single" w:sz="8" w:color="808080"/>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300" w:type="dxa"/>
            <w:vAlign w:val="bottom"/>
            <w:tcBorders>
              <w:top w:val="single" w:sz="8" w:color="808080"/>
            </w:tcBorders>
          </w:tcPr>
          <w:p>
            <w:pPr>
              <w:spacing w:after="0"/>
              <w:rPr>
                <w:sz w:val="24"/>
                <w:szCs w:val="24"/>
                <w:color w:val="auto"/>
              </w:rPr>
            </w:pPr>
          </w:p>
        </w:tc>
        <w:tc>
          <w:tcPr>
            <w:tcW w:w="820" w:type="dxa"/>
            <w:vAlign w:val="bottom"/>
            <w:tcBorders>
              <w:top w:val="single" w:sz="8" w:color="808080"/>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Borders>
              <w:top w:val="single" w:sz="8" w:color="808080"/>
            </w:tcBorders>
          </w:tcPr>
          <w:p>
            <w:pPr>
              <w:spacing w:after="0"/>
              <w:rPr>
                <w:sz w:val="24"/>
                <w:szCs w:val="24"/>
                <w:color w:val="auto"/>
              </w:rPr>
            </w:pPr>
          </w:p>
        </w:tc>
        <w:tc>
          <w:tcPr>
            <w:tcW w:w="400" w:type="dxa"/>
            <w:vAlign w:val="bottom"/>
            <w:tcBorders>
              <w:top w:val="single" w:sz="8" w:color="808080"/>
            </w:tcBorders>
          </w:tcPr>
          <w:p>
            <w:pPr>
              <w:spacing w:after="0"/>
              <w:rPr>
                <w:sz w:val="24"/>
                <w:szCs w:val="24"/>
                <w:color w:val="auto"/>
              </w:rPr>
            </w:pPr>
          </w:p>
        </w:tc>
        <w:tc>
          <w:tcPr>
            <w:tcW w:w="700" w:type="dxa"/>
            <w:vAlign w:val="bottom"/>
            <w:tcBorders>
              <w:top w:val="single" w:sz="8" w:color="808080"/>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740"/>
              <w:spacing w:after="0"/>
              <w:rPr>
                <w:sz w:val="20"/>
                <w:szCs w:val="20"/>
                <w:color w:val="auto"/>
              </w:rPr>
            </w:pPr>
            <w:r>
              <w:rPr>
                <w:rFonts w:ascii="Arial" w:cs="Arial" w:eastAsia="Arial" w:hAnsi="Arial"/>
                <w:sz w:val="18"/>
                <w:szCs w:val="18"/>
                <w:b w:val="1"/>
                <w:bCs w:val="1"/>
                <w:color w:val="auto"/>
              </w:rPr>
              <w:t>LOSS BEFORE INCOME TAX BENEFIT</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(61,717)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8"/>
              </w:rPr>
              <w:t>(60,915)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(32,567)</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(31,295)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INCOME TAX BENEFIT</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2,910</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1,633</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6246495</wp:posOffset>
            </wp:positionH>
            <wp:positionV relativeFrom="paragraph">
              <wp:posOffset>-7678420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-7678420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-7678420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-7678420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-7240905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-7240905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-7240905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-7240905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-2001520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-2001520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-2001520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-2001520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-2001520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-2001520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-2001520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-2001520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20"/>
          </w:cols>
          <w:pgMar w:left="240" w:top="125" w:right="239" w:bottom="0" w:gutter="0" w:footer="0" w:header="0"/>
        </w:sectPr>
      </w:pPr>
    </w:p>
    <w:bookmarkStart w:id="3" w:name="page4"/>
    <w:bookmarkEnd w:id="3"/>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shd w:val="clear" w:color="auto" w:fill="CCEEFF"/>
          </w:tcPr>
          <w:p>
            <w:pPr>
              <w:ind w:left="760"/>
              <w:spacing w:after="0"/>
              <w:rPr>
                <w:sz w:val="20"/>
                <w:szCs w:val="20"/>
                <w:color w:val="auto"/>
              </w:rPr>
            </w:pPr>
            <w:r>
              <w:rPr>
                <w:rFonts w:ascii="Arial" w:cs="Arial" w:eastAsia="Arial" w:hAnsi="Arial"/>
                <w:sz w:val="18"/>
                <w:szCs w:val="18"/>
                <w:b w:val="1"/>
                <w:bCs w:val="1"/>
                <w:color w:val="auto"/>
              </w:rPr>
              <w:t>LOSS FOR THE PERIOD</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(58,807)</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(60,915)</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(30,934)</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(31,295)</w:t>
            </w:r>
          </w:p>
        </w:tc>
        <w:tc>
          <w:tcPr>
            <w:tcW w:w="0" w:type="dxa"/>
            <w:vAlign w:val="bottom"/>
          </w:tcPr>
          <w:p>
            <w:pPr>
              <w:spacing w:after="0"/>
              <w:rPr>
                <w:sz w:val="1"/>
                <w:szCs w:val="1"/>
                <w:color w:val="auto"/>
              </w:rPr>
            </w:pPr>
          </w:p>
        </w:tc>
      </w:tr>
      <w:tr>
        <w:trPr>
          <w:trHeight w:val="132"/>
        </w:trPr>
        <w:tc>
          <w:tcPr>
            <w:tcW w:w="596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LOSS PER ORDINARY SHARE</w:t>
            </w:r>
          </w:p>
        </w:tc>
        <w:tc>
          <w:tcPr>
            <w:tcW w:w="3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59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Loss per share</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(0.37)</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(0.49)</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(0.19)</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(0.25)</w:t>
            </w:r>
          </w:p>
        </w:tc>
        <w:tc>
          <w:tcPr>
            <w:tcW w:w="0" w:type="dxa"/>
            <w:vAlign w:val="bottom"/>
          </w:tcPr>
          <w:p>
            <w:pPr>
              <w:spacing w:after="0"/>
              <w:rPr>
                <w:sz w:val="1"/>
                <w:szCs w:val="1"/>
                <w:color w:val="auto"/>
              </w:rPr>
            </w:pPr>
          </w:p>
        </w:tc>
      </w:tr>
      <w:tr>
        <w:trPr>
          <w:trHeight w:val="132"/>
        </w:trPr>
        <w:tc>
          <w:tcPr>
            <w:tcW w:w="596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Weighted average number of ordinary</w:t>
            </w:r>
          </w:p>
        </w:tc>
        <w:tc>
          <w:tcPr>
            <w:tcW w:w="3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59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960" w:type="dxa"/>
            <w:vAlign w:val="bottom"/>
          </w:tcPr>
          <w:p>
            <w:pPr>
              <w:ind w:left="440"/>
              <w:spacing w:after="0"/>
              <w:rPr>
                <w:sz w:val="20"/>
                <w:szCs w:val="20"/>
                <w:color w:val="auto"/>
              </w:rPr>
            </w:pPr>
            <w:r>
              <w:rPr>
                <w:rFonts w:ascii="Arial" w:cs="Arial" w:eastAsia="Arial" w:hAnsi="Arial"/>
                <w:sz w:val="18"/>
                <w:szCs w:val="18"/>
                <w:b w:val="1"/>
                <w:bCs w:val="1"/>
                <w:color w:val="auto"/>
              </w:rPr>
              <w:t>shares outstanding - in thousands</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160,031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124,777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160,037</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125,327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5960" w:type="dxa"/>
            <w:vAlign w:val="bottom"/>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-1315720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-1315720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-1315720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-1315720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-1315720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-1315720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-1315720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-1315720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-603885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-603885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-603885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-603885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-603885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-603885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-603885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-603885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14"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Six months ended</w:t>
      </w:r>
    </w:p>
    <w:p>
      <w:pPr>
        <w:spacing w:after="0" w:line="1"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60325</wp:posOffset>
            </wp:positionV>
            <wp:extent cx="17068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ind w:right="254"/>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jc w:val="right"/>
              <w:ind w:right="233"/>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(unaudited)</w:t>
            </w: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8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 OPERATING ACTIVITIES</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720" w:type="dxa"/>
            <w:vAlign w:val="bottom"/>
            <w:gridSpan w:val="3"/>
          </w:tcPr>
          <w:p>
            <w:pPr>
              <w:ind w:left="200"/>
              <w:spacing w:after="0"/>
              <w:rPr>
                <w:sz w:val="20"/>
                <w:szCs w:val="20"/>
                <w:color w:val="auto"/>
              </w:rPr>
            </w:pPr>
            <w:r>
              <w:rPr>
                <w:rFonts w:ascii="Arial" w:cs="Arial" w:eastAsia="Arial" w:hAnsi="Arial"/>
                <w:sz w:val="18"/>
                <w:szCs w:val="18"/>
                <w:b w:val="1"/>
                <w:bCs w:val="1"/>
                <w:color w:val="auto"/>
              </w:rPr>
              <w:t>Loss for the period</w:t>
            </w:r>
          </w:p>
        </w:tc>
        <w:tc>
          <w:tcPr>
            <w:tcW w:w="300" w:type="dxa"/>
            <w:vAlign w:val="bottom"/>
          </w:tcPr>
          <w:p>
            <w:pPr>
              <w:jc w:val="right"/>
              <w:ind w:right="143"/>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(58,807)</w:t>
            </w:r>
          </w:p>
        </w:tc>
        <w:tc>
          <w:tcPr>
            <w:tcW w:w="4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(60,915)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2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Adjustments to reconcile loss for the period</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to net cash provided by operating activities:</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480"/>
              <w:spacing w:after="0"/>
              <w:rPr>
                <w:sz w:val="20"/>
                <w:szCs w:val="20"/>
                <w:color w:val="auto"/>
              </w:rPr>
            </w:pPr>
            <w:r>
              <w:rPr>
                <w:rFonts w:ascii="Arial" w:cs="Arial" w:eastAsia="Arial" w:hAnsi="Arial"/>
                <w:sz w:val="18"/>
                <w:szCs w:val="18"/>
                <w:b w:val="1"/>
                <w:bCs w:val="1"/>
                <w:color w:val="auto"/>
              </w:rPr>
              <w:t>Income and expense items not involving cash flows: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600"/>
              <w:spacing w:after="0"/>
              <w:rPr>
                <w:sz w:val="20"/>
                <w:szCs w:val="20"/>
                <w:color w:val="auto"/>
              </w:rPr>
            </w:pPr>
            <w:r>
              <w:rPr>
                <w:rFonts w:ascii="Arial" w:cs="Arial" w:eastAsia="Arial" w:hAnsi="Arial"/>
                <w:sz w:val="18"/>
                <w:szCs w:val="18"/>
                <w:b w:val="1"/>
                <w:bCs w:val="1"/>
                <w:color w:val="auto"/>
              </w:rPr>
              <w:t>Depreciation and amortization</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70,935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72,340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600"/>
              <w:spacing w:after="0"/>
              <w:rPr>
                <w:sz w:val="20"/>
                <w:szCs w:val="20"/>
                <w:color w:val="auto"/>
              </w:rPr>
            </w:pPr>
            <w:r>
              <w:rPr>
                <w:rFonts w:ascii="Arial" w:cs="Arial" w:eastAsia="Arial" w:hAnsi="Arial"/>
                <w:sz w:val="18"/>
                <w:szCs w:val="18"/>
                <w:b w:val="1"/>
                <w:bCs w:val="1"/>
                <w:color w:val="auto"/>
              </w:rPr>
              <w:t>Effect of indexation, translation and fair value measurement on debt</w:t>
            </w:r>
          </w:p>
        </w:tc>
        <w:tc>
          <w:tcPr>
            <w:tcW w:w="3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(12,463)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551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600"/>
              <w:spacing w:after="0"/>
              <w:rPr>
                <w:sz w:val="20"/>
                <w:szCs w:val="20"/>
                <w:color w:val="auto"/>
              </w:rPr>
            </w:pPr>
            <w:r>
              <w:rPr>
                <w:rFonts w:ascii="Arial" w:cs="Arial" w:eastAsia="Arial" w:hAnsi="Arial"/>
                <w:sz w:val="18"/>
                <w:szCs w:val="18"/>
                <w:b w:val="1"/>
                <w:bCs w:val="1"/>
                <w:color w:val="auto"/>
              </w:rPr>
              <w:t>Other expense (income), net</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(459)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480"/>
              <w:spacing w:after="0"/>
              <w:rPr>
                <w:sz w:val="20"/>
                <w:szCs w:val="20"/>
                <w:color w:val="auto"/>
              </w:rPr>
            </w:pPr>
            <w:r>
              <w:rPr>
                <w:rFonts w:ascii="Arial" w:cs="Arial" w:eastAsia="Arial" w:hAnsi="Arial"/>
                <w:sz w:val="18"/>
                <w:szCs w:val="18"/>
                <w:b w:val="1"/>
                <w:bCs w:val="1"/>
                <w:color w:val="auto"/>
              </w:rPr>
              <w:t>Changes in assets and liabilities: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600"/>
              <w:spacing w:after="0"/>
              <w:rPr>
                <w:sz w:val="20"/>
                <w:szCs w:val="20"/>
                <w:color w:val="auto"/>
              </w:rPr>
            </w:pPr>
            <w:r>
              <w:rPr>
                <w:rFonts w:ascii="Arial" w:cs="Arial" w:eastAsia="Arial" w:hAnsi="Arial"/>
                <w:sz w:val="18"/>
                <w:szCs w:val="18"/>
                <w:b w:val="1"/>
                <w:bCs w:val="1"/>
                <w:color w:val="auto"/>
              </w:rPr>
              <w:t>Trade accounts receivable</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10,338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10,691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600"/>
              <w:spacing w:after="0"/>
              <w:rPr>
                <w:sz w:val="20"/>
                <w:szCs w:val="20"/>
                <w:color w:val="auto"/>
              </w:rPr>
            </w:pPr>
            <w:r>
              <w:rPr>
                <w:rFonts w:ascii="Arial" w:cs="Arial" w:eastAsia="Arial" w:hAnsi="Arial"/>
                <w:sz w:val="18"/>
                <w:szCs w:val="18"/>
                <w:b w:val="1"/>
                <w:bCs w:val="1"/>
                <w:color w:val="auto"/>
              </w:rPr>
              <w:t>Other receivables and other current assets</w:t>
            </w:r>
          </w:p>
        </w:tc>
        <w:tc>
          <w:tcPr>
            <w:tcW w:w="3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567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2,509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600"/>
              <w:spacing w:after="0"/>
              <w:rPr>
                <w:sz w:val="20"/>
                <w:szCs w:val="20"/>
                <w:color w:val="auto"/>
              </w:rPr>
            </w:pPr>
            <w:r>
              <w:rPr>
                <w:rFonts w:ascii="Arial" w:cs="Arial" w:eastAsia="Arial" w:hAnsi="Arial"/>
                <w:sz w:val="18"/>
                <w:szCs w:val="18"/>
                <w:b w:val="1"/>
                <w:bCs w:val="1"/>
                <w:color w:val="auto"/>
              </w:rPr>
              <w:t>Inventories</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14,269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(12,482)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600"/>
              <w:spacing w:after="0"/>
              <w:rPr>
                <w:sz w:val="20"/>
                <w:szCs w:val="20"/>
                <w:color w:val="auto"/>
              </w:rPr>
            </w:pPr>
            <w:r>
              <w:rPr>
                <w:rFonts w:ascii="Arial" w:cs="Arial" w:eastAsia="Arial" w:hAnsi="Arial"/>
                <w:sz w:val="18"/>
                <w:szCs w:val="18"/>
                <w:b w:val="1"/>
                <w:bCs w:val="1"/>
                <w:color w:val="auto"/>
              </w:rPr>
              <w:t>Trade accounts payable</w:t>
            </w:r>
          </w:p>
        </w:tc>
        <w:tc>
          <w:tcPr>
            <w:tcW w:w="3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(15,047)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600"/>
              <w:spacing w:after="0"/>
              <w:rPr>
                <w:sz w:val="20"/>
                <w:szCs w:val="20"/>
                <w:color w:val="auto"/>
              </w:rPr>
            </w:pPr>
            <w:r>
              <w:rPr>
                <w:rFonts w:ascii="Arial" w:cs="Arial" w:eastAsia="Arial" w:hAnsi="Arial"/>
                <w:sz w:val="18"/>
                <w:szCs w:val="18"/>
                <w:b w:val="1"/>
                <w:bCs w:val="1"/>
                <w:color w:val="auto"/>
              </w:rPr>
              <w:t>Deferred revenue and customers' advances</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176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(6,370)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600"/>
              <w:spacing w:after="0"/>
              <w:rPr>
                <w:sz w:val="20"/>
                <w:szCs w:val="20"/>
                <w:color w:val="auto"/>
              </w:rPr>
            </w:pPr>
            <w:r>
              <w:rPr>
                <w:rFonts w:ascii="Arial" w:cs="Arial" w:eastAsia="Arial" w:hAnsi="Arial"/>
                <w:sz w:val="18"/>
                <w:szCs w:val="18"/>
                <w:b w:val="1"/>
                <w:bCs w:val="1"/>
                <w:color w:val="auto"/>
              </w:rPr>
              <w:t>Other current liabilities</w:t>
            </w:r>
          </w:p>
        </w:tc>
        <w:tc>
          <w:tcPr>
            <w:tcW w:w="3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(1,555)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600"/>
              <w:spacing w:after="0"/>
              <w:rPr>
                <w:sz w:val="20"/>
                <w:szCs w:val="20"/>
                <w:color w:val="auto"/>
              </w:rPr>
            </w:pPr>
            <w:r>
              <w:rPr>
                <w:rFonts w:ascii="Arial" w:cs="Arial" w:eastAsia="Arial" w:hAnsi="Arial"/>
                <w:sz w:val="18"/>
                <w:szCs w:val="18"/>
                <w:b w:val="1"/>
                <w:bCs w:val="1"/>
                <w:color w:val="auto"/>
              </w:rPr>
              <w:t>Other long-term liabilities</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(2,778)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80" w:type="dxa"/>
            <w:vAlign w:val="bottom"/>
          </w:tcPr>
          <w:p>
            <w:pPr>
              <w:spacing w:after="0"/>
              <w:rPr>
                <w:sz w:val="9"/>
                <w:szCs w:val="9"/>
                <w:color w:val="auto"/>
              </w:rPr>
            </w:pPr>
          </w:p>
        </w:tc>
        <w:tc>
          <w:tcPr>
            <w:tcW w:w="40" w:type="dxa"/>
            <w:vAlign w:val="bottom"/>
            <w:tcBorders>
              <w:bottom w:val="single" w:sz="8" w:color="808080"/>
            </w:tcBorders>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720" w:type="dxa"/>
            <w:vAlign w:val="bottom"/>
            <w:gridSpan w:val="3"/>
          </w:tcPr>
          <w:p>
            <w:pPr>
              <w:ind w:left="780"/>
              <w:spacing w:after="0"/>
              <w:rPr>
                <w:sz w:val="20"/>
                <w:szCs w:val="20"/>
                <w:color w:val="auto"/>
              </w:rPr>
            </w:pPr>
            <w:r>
              <w:rPr>
                <w:rFonts w:ascii="Arial" w:cs="Arial" w:eastAsia="Arial" w:hAnsi="Arial"/>
                <w:sz w:val="18"/>
                <w:szCs w:val="18"/>
                <w:b w:val="1"/>
                <w:bCs w:val="1"/>
                <w:color w:val="auto"/>
              </w:rPr>
              <w:t>Net cash provided by operating activities</w:t>
            </w:r>
          </w:p>
        </w:tc>
        <w:tc>
          <w:tcPr>
            <w:tcW w:w="30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5,176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7,286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6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8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 INVESTING ACTIVITIES</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720" w:type="dxa"/>
            <w:vAlign w:val="bottom"/>
            <w:gridSpan w:val="3"/>
          </w:tcPr>
          <w:p>
            <w:pPr>
              <w:ind w:left="200"/>
              <w:spacing w:after="0"/>
              <w:rPr>
                <w:sz w:val="20"/>
                <w:szCs w:val="20"/>
                <w:color w:val="auto"/>
              </w:rPr>
            </w:pPr>
            <w:r>
              <w:rPr>
                <w:rFonts w:ascii="Arial" w:cs="Arial" w:eastAsia="Arial" w:hAnsi="Arial"/>
                <w:sz w:val="18"/>
                <w:szCs w:val="18"/>
                <w:b w:val="1"/>
                <w:bCs w:val="1"/>
                <w:color w:val="auto"/>
              </w:rPr>
              <w:t>Investments in property and equipment</w:t>
            </w:r>
          </w:p>
        </w:tc>
        <w:tc>
          <w:tcPr>
            <w:tcW w:w="30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(11,905)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(56,704)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2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Investments in other assets and intangible assets</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(546)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20" w:type="dxa"/>
            <w:vAlign w:val="bottom"/>
            <w:gridSpan w:val="3"/>
          </w:tcPr>
          <w:p>
            <w:pPr>
              <w:ind w:left="200"/>
              <w:spacing w:after="0"/>
              <w:rPr>
                <w:sz w:val="20"/>
                <w:szCs w:val="20"/>
                <w:color w:val="auto"/>
              </w:rPr>
            </w:pPr>
            <w:r>
              <w:rPr>
                <w:rFonts w:ascii="Arial" w:cs="Arial" w:eastAsia="Arial" w:hAnsi="Arial"/>
                <w:sz w:val="18"/>
                <w:szCs w:val="18"/>
                <w:b w:val="1"/>
                <w:bCs w:val="1"/>
                <w:color w:val="auto"/>
              </w:rPr>
              <w:t>Long-term investments</w:t>
            </w:r>
          </w:p>
        </w:tc>
        <w:tc>
          <w:tcPr>
            <w:tcW w:w="3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(369)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6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780"/>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(12,274)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(57,250)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700" w:type="dxa"/>
            <w:vAlign w:val="bottom"/>
            <w:gridSpan w:val="2"/>
          </w:tcPr>
          <w:p>
            <w:pPr>
              <w:spacing w:after="0"/>
              <w:rPr>
                <w:sz w:val="9"/>
                <w:szCs w:val="9"/>
                <w:color w:val="auto"/>
              </w:rPr>
            </w:pPr>
          </w:p>
        </w:tc>
        <w:tc>
          <w:tcPr>
            <w:tcW w:w="40" w:type="dxa"/>
            <w:vAlign w:val="bottom"/>
            <w:tcBorders>
              <w:bottom w:val="single" w:sz="8" w:color="808080"/>
            </w:tcBorders>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8740" w:type="dxa"/>
            <w:vAlign w:val="bottom"/>
            <w:gridSpan w:val="4"/>
          </w:tcPr>
          <w:p>
            <w:pPr>
              <w:spacing w:after="0"/>
              <w:rPr>
                <w:sz w:val="20"/>
                <w:szCs w:val="20"/>
                <w:color w:val="auto"/>
              </w:rPr>
            </w:pPr>
            <w:r>
              <w:rPr>
                <w:rFonts w:ascii="Arial" w:cs="Arial" w:eastAsia="Arial" w:hAnsi="Arial"/>
                <w:sz w:val="18"/>
                <w:szCs w:val="18"/>
                <w:b w:val="1"/>
                <w:bCs w:val="1"/>
                <w:color w:val="auto"/>
              </w:rPr>
              <w:t>CASH FLOWS - FINANCING ACTIVITIES</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Proceeds from long-term loans</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200"/>
              <w:spacing w:after="0"/>
              <w:rPr>
                <w:sz w:val="20"/>
                <w:szCs w:val="20"/>
                <w:color w:val="auto"/>
              </w:rPr>
            </w:pPr>
            <w:r>
              <w:rPr>
                <w:rFonts w:ascii="Arial" w:cs="Arial" w:eastAsia="Arial" w:hAnsi="Arial"/>
                <w:sz w:val="18"/>
                <w:szCs w:val="18"/>
                <w:b w:val="1"/>
                <w:bCs w:val="1"/>
                <w:color w:val="auto"/>
              </w:rPr>
              <w:t>Proceeds on account of capital notes</w:t>
            </w:r>
          </w:p>
        </w:tc>
        <w:tc>
          <w:tcPr>
            <w:tcW w:w="3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Proceeds from issuance of debentures and warrants, net</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200"/>
              <w:spacing w:after="0"/>
              <w:rPr>
                <w:sz w:val="20"/>
                <w:szCs w:val="20"/>
                <w:color w:val="auto"/>
              </w:rPr>
            </w:pPr>
            <w:r>
              <w:rPr>
                <w:rFonts w:ascii="Arial" w:cs="Arial" w:eastAsia="Arial" w:hAnsi="Arial"/>
                <w:sz w:val="18"/>
                <w:szCs w:val="18"/>
                <w:b w:val="1"/>
                <w:bCs w:val="1"/>
                <w:color w:val="auto"/>
              </w:rPr>
              <w:t>Repayment of debentures</w:t>
            </w:r>
          </w:p>
        </w:tc>
        <w:tc>
          <w:tcPr>
            <w:tcW w:w="3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(8,604)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Debts repayment</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80" w:type="dxa"/>
            <w:vAlign w:val="bottom"/>
          </w:tcPr>
          <w:p>
            <w:pPr>
              <w:spacing w:after="0"/>
              <w:rPr>
                <w:sz w:val="9"/>
                <w:szCs w:val="9"/>
                <w:color w:val="auto"/>
              </w:rPr>
            </w:pPr>
          </w:p>
        </w:tc>
        <w:tc>
          <w:tcPr>
            <w:tcW w:w="40" w:type="dxa"/>
            <w:vAlign w:val="bottom"/>
            <w:tcBorders>
              <w:bottom w:val="single" w:sz="8" w:color="808080"/>
            </w:tcBorders>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720" w:type="dxa"/>
            <w:vAlign w:val="bottom"/>
            <w:gridSpan w:val="3"/>
          </w:tcPr>
          <w:p>
            <w:pPr>
              <w:ind w:left="780"/>
              <w:spacing w:after="0"/>
              <w:rPr>
                <w:sz w:val="20"/>
                <w:szCs w:val="20"/>
                <w:color w:val="auto"/>
              </w:rPr>
            </w:pPr>
            <w:r>
              <w:rPr>
                <w:rFonts w:ascii="Arial" w:cs="Arial" w:eastAsia="Arial" w:hAnsi="Arial"/>
                <w:sz w:val="18"/>
                <w:szCs w:val="18"/>
                <w:b w:val="1"/>
                <w:bCs w:val="1"/>
                <w:color w:val="auto"/>
              </w:rPr>
              <w:t>Net cash provided by financing activities</w:t>
            </w:r>
          </w:p>
        </w:tc>
        <w:tc>
          <w:tcPr>
            <w:tcW w:w="30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10,396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25,261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6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780"/>
              <w:spacing w:after="0"/>
              <w:rPr>
                <w:sz w:val="20"/>
                <w:szCs w:val="20"/>
                <w:color w:val="auto"/>
              </w:rPr>
            </w:pPr>
            <w:r>
              <w:rPr>
                <w:rFonts w:ascii="Arial" w:cs="Arial" w:eastAsia="Arial" w:hAnsi="Arial"/>
                <w:sz w:val="18"/>
                <w:szCs w:val="18"/>
                <w:b w:val="1"/>
                <w:bCs w:val="1"/>
                <w:color w:val="auto"/>
              </w:rPr>
              <w:t>Effect of foreign exchange rate change</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80" w:type="dxa"/>
            <w:vAlign w:val="bottom"/>
          </w:tcPr>
          <w:p>
            <w:pPr>
              <w:spacing w:after="0"/>
              <w:rPr>
                <w:sz w:val="9"/>
                <w:szCs w:val="9"/>
                <w:color w:val="auto"/>
              </w:rPr>
            </w:pPr>
          </w:p>
        </w:tc>
        <w:tc>
          <w:tcPr>
            <w:tcW w:w="40" w:type="dxa"/>
            <w:vAlign w:val="bottom"/>
            <w:tcBorders>
              <w:bottom w:val="single" w:sz="8" w:color="808080"/>
            </w:tcBorders>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8720" w:type="dxa"/>
            <w:vAlign w:val="bottom"/>
            <w:gridSpan w:val="3"/>
          </w:tcPr>
          <w:p>
            <w:pPr>
              <w:ind w:left="480"/>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30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3,192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(24,703)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34,905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44,536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43" w:orient="portrait"/>
          <w:cols w:equalWidth="0" w:num="1">
            <w:col w:w="11420"/>
          </w:cols>
          <w:pgMar w:left="240" w:top="140"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680" w:type="dxa"/>
            <w:vAlign w:val="bottom"/>
          </w:tcPr>
          <w:p>
            <w:pPr>
              <w:ind w:left="480"/>
              <w:spacing w:after="0"/>
              <w:rPr>
                <w:sz w:val="20"/>
                <w:szCs w:val="20"/>
                <w:color w:val="auto"/>
              </w:rPr>
            </w:pPr>
            <w:r>
              <w:rPr>
                <w:rFonts w:ascii="Arial" w:cs="Arial" w:eastAsia="Arial" w:hAnsi="Arial"/>
                <w:sz w:val="18"/>
                <w:szCs w:val="18"/>
                <w:b w:val="1"/>
                <w:bCs w:val="1"/>
                <w:color w:val="auto"/>
              </w:rPr>
              <w:t>CASH AND CASH EQUIVALENTS - END OF PERIOD</w:t>
            </w:r>
          </w:p>
        </w:tc>
        <w:tc>
          <w:tcPr>
            <w:tcW w:w="400" w:type="dxa"/>
            <w:vAlign w:val="bottom"/>
          </w:tcPr>
          <w:p>
            <w:pPr>
              <w:jc w:val="right"/>
              <w:ind w:right="192"/>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38,097</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19,833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680" w:type="dxa"/>
            <w:vAlign w:val="bottom"/>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8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ACTIVITIES</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8680" w:type="dxa"/>
            <w:vAlign w:val="bottom"/>
          </w:tcPr>
          <w:p>
            <w:pPr>
              <w:ind w:left="200"/>
              <w:spacing w:after="0"/>
              <w:rPr>
                <w:sz w:val="20"/>
                <w:szCs w:val="20"/>
                <w:color w:val="auto"/>
              </w:rPr>
            </w:pPr>
            <w:r>
              <w:rPr>
                <w:rFonts w:ascii="Arial" w:cs="Arial" w:eastAsia="Arial" w:hAnsi="Arial"/>
                <w:sz w:val="18"/>
                <w:szCs w:val="18"/>
                <w:b w:val="1"/>
                <w:bCs w:val="1"/>
                <w:color w:val="auto"/>
              </w:rPr>
              <w:t>Investments in property and equipment</w:t>
            </w:r>
          </w:p>
        </w:tc>
        <w:tc>
          <w:tcPr>
            <w:tcW w:w="400" w:type="dxa"/>
            <w:vAlign w:val="bottom"/>
          </w:tcPr>
          <w:p>
            <w:pPr>
              <w:jc w:val="right"/>
              <w:ind w:right="192"/>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135</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22,339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680" w:type="dxa"/>
            <w:vAlign w:val="bottom"/>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Conversion of convertible debentures to share capital</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Reclassification of previously bifurcated conversion option</w:t>
            </w:r>
          </w:p>
        </w:tc>
        <w:tc>
          <w:tcPr>
            <w:tcW w:w="4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86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to shareholders' equity</w:t>
            </w:r>
          </w:p>
        </w:tc>
        <w:tc>
          <w:tcPr>
            <w:tcW w:w="400" w:type="dxa"/>
            <w:vAlign w:val="bottom"/>
          </w:tcPr>
          <w:p>
            <w:pPr>
              <w:jc w:val="right"/>
              <w:ind w:right="192"/>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3,907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680" w:type="dxa"/>
            <w:vAlign w:val="bottom"/>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Reclassification of warrant to shareholders' equity</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404</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4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87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Cash paid during the period for interest</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6,014</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12,416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80" w:type="dxa"/>
            <w:vAlign w:val="bottom"/>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680" w:type="dxa"/>
            <w:vAlign w:val="bottom"/>
          </w:tcPr>
          <w:p>
            <w:pPr>
              <w:ind w:left="200"/>
              <w:spacing w:after="0"/>
              <w:rPr>
                <w:sz w:val="20"/>
                <w:szCs w:val="20"/>
                <w:color w:val="auto"/>
              </w:rPr>
            </w:pPr>
            <w:r>
              <w:rPr>
                <w:rFonts w:ascii="Arial" w:cs="Arial" w:eastAsia="Arial" w:hAnsi="Arial"/>
                <w:sz w:val="18"/>
                <w:szCs w:val="18"/>
                <w:b w:val="1"/>
                <w:bCs w:val="1"/>
                <w:color w:val="auto"/>
              </w:rPr>
              <w:t>Cash paid during the period for income taxes</w:t>
            </w:r>
          </w:p>
        </w:tc>
        <w:tc>
          <w:tcPr>
            <w:tcW w:w="400" w:type="dxa"/>
            <w:vAlign w:val="bottom"/>
          </w:tcPr>
          <w:p>
            <w:pPr>
              <w:jc w:val="right"/>
              <w:ind w:right="192"/>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221</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680" w:type="dxa"/>
            <w:vAlign w:val="bottom"/>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6246495</wp:posOffset>
            </wp:positionH>
            <wp:positionV relativeFrom="paragraph">
              <wp:posOffset>-2790825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-2790825</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-2790825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-2790825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-2078990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-2078990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-2078990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-2078990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-1778635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-1778635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-1778635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-1778635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-1341120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-1341120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-1341120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-1341120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-1041400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-1041400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-1041400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-1041400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-329565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-329565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-329565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-329565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FINANCIAL STATEMENTS AS OF JUNE 30, 2009</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GENERAL</w:t>
      </w:r>
    </w:p>
    <w:p>
      <w:pPr>
        <w:spacing w:after="0" w:line="252" w:lineRule="exact"/>
        <w:rPr>
          <w:sz w:val="20"/>
          <w:szCs w:val="20"/>
          <w:color w:val="auto"/>
        </w:rPr>
      </w:pPr>
    </w:p>
    <w:p>
      <w:pPr>
        <w:ind w:left="1160" w:hanging="571"/>
        <w:spacing w:after="0"/>
        <w:tabs>
          <w:tab w:leader="none" w:pos="11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for Presentation</w:t>
      </w:r>
    </w:p>
    <w:p>
      <w:pPr>
        <w:spacing w:after="0" w:line="258" w:lineRule="exact"/>
        <w:rPr>
          <w:rFonts w:ascii="Arial" w:cs="Arial" w:eastAsia="Arial" w:hAnsi="Arial"/>
          <w:sz w:val="18"/>
          <w:szCs w:val="18"/>
          <w:b w:val="1"/>
          <w:bCs w:val="1"/>
          <w:color w:val="auto"/>
        </w:rPr>
      </w:pPr>
    </w:p>
    <w:p>
      <w:pPr>
        <w:ind w:left="1720" w:right="120" w:hanging="564"/>
        <w:spacing w:after="0" w:line="294" w:lineRule="auto"/>
        <w:tabs>
          <w:tab w:leader="none" w:pos="1720" w:val="left"/>
        </w:tabs>
        <w:numPr>
          <w:ilvl w:val="1"/>
          <w:numId w:val="1"/>
        </w:numPr>
        <w:rPr>
          <w:rFonts w:ascii="Arial" w:cs="Arial" w:eastAsia="Arial" w:hAnsi="Arial"/>
          <w:sz w:val="16"/>
          <w:szCs w:val="16"/>
          <w:b w:val="1"/>
          <w:bCs w:val="1"/>
          <w:color w:val="auto"/>
        </w:rPr>
      </w:pPr>
      <w:r>
        <w:rPr>
          <w:rFonts w:ascii="Arial" w:cs="Arial" w:eastAsia="Arial" w:hAnsi="Arial"/>
          <w:sz w:val="16"/>
          <w:szCs w:val="16"/>
          <w:color w:val="auto"/>
        </w:rPr>
        <w:t>The consolidated financial statements of Tower Semiconductor Ltd (“Tower”) include the financial statements of Tower and its wholly-owned subsidiaries, Tower Semiconductor USA, a marketing and sales subsidiary in the United States and Jazz Technologies (“Jazz”), a leading independent wafer foundry focused on Analog-Intensive Mixed -Signal (AIMS) process technologies based in Newport Beach, California. Tower and its wholly owned subsidiaries are referred to as “the Company”. References to “the Company” for dates prior to the merger with Jazz on September 19, 2008, shall exclude Jazz Technologies.</w:t>
      </w:r>
    </w:p>
    <w:p>
      <w:pPr>
        <w:spacing w:after="0" w:line="196" w:lineRule="exact"/>
        <w:rPr>
          <w:rFonts w:ascii="Arial" w:cs="Arial" w:eastAsia="Arial" w:hAnsi="Arial"/>
          <w:sz w:val="16"/>
          <w:szCs w:val="16"/>
          <w:b w:val="1"/>
          <w:bCs w:val="1"/>
          <w:color w:val="auto"/>
        </w:rPr>
      </w:pPr>
    </w:p>
    <w:p>
      <w:pPr>
        <w:ind w:left="1720" w:right="10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The Company’s consolidated financial statements include Jazz Technologies results for the six months ended June 30, 2009 and Jazz Technologies balance sheet as of June 30, 2009 and December 31, 2008. The Company’s consolidated financial statements are presented after elimination of inter-company transactions and balances.</w:t>
      </w:r>
    </w:p>
    <w:p>
      <w:pPr>
        <w:spacing w:after="0" w:line="221" w:lineRule="exact"/>
        <w:rPr>
          <w:rFonts w:ascii="Arial" w:cs="Arial" w:eastAsia="Arial" w:hAnsi="Arial"/>
          <w:sz w:val="16"/>
          <w:szCs w:val="16"/>
          <w:b w:val="1"/>
          <w:bCs w:val="1"/>
          <w:color w:val="auto"/>
        </w:rPr>
      </w:pPr>
    </w:p>
    <w:p>
      <w:pPr>
        <w:jc w:val="both"/>
        <w:ind w:left="1720" w:right="24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The unaudited condensed interim consolidated financial statements as of June 30, 2009 of the Company should be read in conjunction with the audited consolidated financial statements of the Company as of December 31, 2008 and for the year then ended, including the notes thereto.</w:t>
      </w:r>
    </w:p>
    <w:p>
      <w:pPr>
        <w:spacing w:after="0" w:line="221" w:lineRule="exact"/>
        <w:rPr>
          <w:rFonts w:ascii="Arial" w:cs="Arial" w:eastAsia="Arial" w:hAnsi="Arial"/>
          <w:sz w:val="16"/>
          <w:szCs w:val="16"/>
          <w:b w:val="1"/>
          <w:bCs w:val="1"/>
          <w:color w:val="auto"/>
        </w:rPr>
      </w:pPr>
    </w:p>
    <w:p>
      <w:pPr>
        <w:ind w:left="1720" w:right="6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In the opinion of management, the interim financial statements include all adjustments necessary for a fair presentation of the financial position and results of operations as of the date and for the interim periods presented. The results of operations for the interim periods are not necessarily indicative of the results to be expected on a full-year basis.</w:t>
      </w:r>
    </w:p>
    <w:p>
      <w:pPr>
        <w:spacing w:after="0" w:line="221" w:lineRule="exact"/>
        <w:rPr>
          <w:rFonts w:ascii="Arial" w:cs="Arial" w:eastAsia="Arial" w:hAnsi="Arial"/>
          <w:sz w:val="16"/>
          <w:szCs w:val="16"/>
          <w:b w:val="1"/>
          <w:bCs w:val="1"/>
          <w:color w:val="auto"/>
        </w:rPr>
      </w:pPr>
    </w:p>
    <w:p>
      <w:pPr>
        <w:ind w:left="1720" w:hanging="564"/>
        <w:spacing w:after="0"/>
        <w:tabs>
          <w:tab w:leader="none" w:pos="1720" w:val="left"/>
        </w:tabs>
        <w:numPr>
          <w:ilvl w:val="1"/>
          <w:numId w:val="1"/>
        </w:numPr>
        <w:rPr>
          <w:rFonts w:ascii="Arial" w:cs="Arial" w:eastAsia="Arial" w:hAnsi="Arial"/>
          <w:sz w:val="16"/>
          <w:szCs w:val="16"/>
          <w:b w:val="1"/>
          <w:bCs w:val="1"/>
          <w:color w:val="auto"/>
        </w:rPr>
      </w:pPr>
      <w:r>
        <w:rPr>
          <w:rFonts w:ascii="Arial" w:cs="Arial" w:eastAsia="Arial" w:hAnsi="Arial"/>
          <w:sz w:val="16"/>
          <w:szCs w:val="16"/>
          <w:color w:val="auto"/>
        </w:rPr>
        <w:t>The interim financial statements are presented in accordance with U.S. generally accepted accounting principles (“US GAAP”).</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FINANCIAL STATEMENTS AS OF JUNE 30, 2009</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GENERAL (cont.)</w:t>
      </w:r>
    </w:p>
    <w:p>
      <w:pPr>
        <w:spacing w:after="0" w:line="252" w:lineRule="exact"/>
        <w:rPr>
          <w:sz w:val="20"/>
          <w:szCs w:val="20"/>
          <w:color w:val="auto"/>
        </w:rPr>
      </w:pPr>
    </w:p>
    <w:p>
      <w:pPr>
        <w:ind w:left="1160" w:hanging="571"/>
        <w:spacing w:after="0"/>
        <w:tabs>
          <w:tab w:leader="none" w:pos="11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for Presentation (cont.)</w:t>
      </w:r>
    </w:p>
    <w:p>
      <w:pPr>
        <w:spacing w:after="0" w:line="252" w:lineRule="exact"/>
        <w:rPr>
          <w:rFonts w:ascii="Arial" w:cs="Arial" w:eastAsia="Arial" w:hAnsi="Arial"/>
          <w:sz w:val="18"/>
          <w:szCs w:val="18"/>
          <w:b w:val="1"/>
          <w:bCs w:val="1"/>
          <w:color w:val="auto"/>
        </w:rPr>
      </w:pPr>
    </w:p>
    <w:p>
      <w:pPr>
        <w:ind w:left="1720" w:hanging="564"/>
        <w:spacing w:after="0"/>
        <w:tabs>
          <w:tab w:leader="none" w:pos="172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Initial Adoption of New Standards</w:t>
      </w:r>
    </w:p>
    <w:p>
      <w:pPr>
        <w:sectPr>
          <w:pgSz w:w="11900" w:h="16838" w:orient="portrait"/>
          <w:cols w:equalWidth="0" w:num="1">
            <w:col w:w="11420"/>
          </w:cols>
          <w:pgMar w:left="240" w:top="382" w:right="239" w:bottom="0" w:gutter="0" w:footer="0" w:header="0"/>
        </w:sectPr>
      </w:pPr>
    </w:p>
    <w:bookmarkStart w:id="5" w:name="page6"/>
    <w:bookmarkEnd w:id="5"/>
    <w:p>
      <w:pPr>
        <w:ind w:left="1720"/>
        <w:spacing w:after="0"/>
        <w:rPr>
          <w:sz w:val="20"/>
          <w:szCs w:val="20"/>
          <w:color w:val="auto"/>
        </w:rPr>
      </w:pPr>
      <w:r>
        <w:rPr>
          <w:rFonts w:ascii="Arial" w:cs="Arial" w:eastAsia="Arial" w:hAnsi="Arial"/>
          <w:sz w:val="18"/>
          <w:szCs w:val="18"/>
          <w:b w:val="1"/>
          <w:bCs w:val="1"/>
          <w:i w:val="1"/>
          <w:iCs w:val="1"/>
          <w:color w:val="auto"/>
        </w:rPr>
        <w:t>EITF 07-5</w:t>
      </w:r>
    </w:p>
    <w:p>
      <w:pPr>
        <w:spacing w:after="0" w:line="279" w:lineRule="exact"/>
        <w:rPr>
          <w:sz w:val="20"/>
          <w:szCs w:val="20"/>
          <w:color w:val="auto"/>
        </w:rPr>
      </w:pPr>
    </w:p>
    <w:p>
      <w:pPr>
        <w:ind w:left="1720" w:right="100"/>
        <w:spacing w:after="0" w:line="332" w:lineRule="auto"/>
        <w:rPr>
          <w:sz w:val="20"/>
          <w:szCs w:val="20"/>
          <w:color w:val="auto"/>
        </w:rPr>
      </w:pPr>
      <w:r>
        <w:rPr>
          <w:rFonts w:ascii="Arial" w:cs="Arial" w:eastAsia="Arial" w:hAnsi="Arial"/>
          <w:sz w:val="16"/>
          <w:szCs w:val="16"/>
          <w:color w:val="auto"/>
        </w:rPr>
        <w:t>In June 2008, the FASB Emerging Issues Task Force reached a consensus on EITF Issue No. 07-5, “Determining Whether an Instrument (or an Embedded Feature) is Indexed to an Entity’s Own Stock”. The Consensus was reached on the following three issues:</w:t>
      </w:r>
    </w:p>
    <w:p>
      <w:pPr>
        <w:spacing w:after="0" w:line="166" w:lineRule="exact"/>
        <w:rPr>
          <w:sz w:val="20"/>
          <w:szCs w:val="20"/>
          <w:color w:val="auto"/>
        </w:rPr>
      </w:pPr>
    </w:p>
    <w:p>
      <w:pPr>
        <w:ind w:left="2300" w:hanging="577"/>
        <w:spacing w:after="0"/>
        <w:tabs>
          <w:tab w:leader="none" w:pos="2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How an entity should evaluate whether an instrument (or embedded feature) is indexed to its own stock.</w:t>
      </w:r>
    </w:p>
    <w:p>
      <w:pPr>
        <w:spacing w:after="0" w:line="252" w:lineRule="exact"/>
        <w:rPr>
          <w:rFonts w:ascii="Arial" w:cs="Arial" w:eastAsia="Arial" w:hAnsi="Arial"/>
          <w:sz w:val="18"/>
          <w:szCs w:val="18"/>
          <w:color w:val="auto"/>
        </w:rPr>
      </w:pPr>
    </w:p>
    <w:p>
      <w:pPr>
        <w:ind w:left="2300" w:right="560" w:hanging="577"/>
        <w:spacing w:after="0" w:line="332" w:lineRule="auto"/>
        <w:tabs>
          <w:tab w:leader="none" w:pos="2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How the currency in which the strike price of an equity-linked financial instrument (or embedded equity-linked feature) is denominated affects the determination of whether the instrument is indexed to an entity’s own stock.</w:t>
      </w:r>
    </w:p>
    <w:p>
      <w:pPr>
        <w:spacing w:after="0" w:line="166" w:lineRule="exact"/>
        <w:rPr>
          <w:rFonts w:ascii="Arial" w:cs="Arial" w:eastAsia="Arial" w:hAnsi="Arial"/>
          <w:sz w:val="16"/>
          <w:szCs w:val="16"/>
          <w:color w:val="auto"/>
        </w:rPr>
      </w:pPr>
    </w:p>
    <w:p>
      <w:pPr>
        <w:ind w:left="2300" w:hanging="577"/>
        <w:spacing w:after="0"/>
        <w:tabs>
          <w:tab w:leader="none" w:pos="2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How an issuer should account for market-based employee stock option valuation instruments.</w:t>
      </w:r>
    </w:p>
    <w:p>
      <w:pPr>
        <w:spacing w:after="0" w:line="252" w:lineRule="exact"/>
        <w:rPr>
          <w:sz w:val="20"/>
          <w:szCs w:val="20"/>
          <w:color w:val="auto"/>
        </w:rPr>
      </w:pPr>
    </w:p>
    <w:p>
      <w:pPr>
        <w:ind w:left="1720" w:right="280"/>
        <w:spacing w:after="0" w:line="294" w:lineRule="auto"/>
        <w:rPr>
          <w:sz w:val="20"/>
          <w:szCs w:val="20"/>
          <w:color w:val="auto"/>
        </w:rPr>
      </w:pPr>
      <w:r>
        <w:rPr>
          <w:rFonts w:ascii="Arial" w:cs="Arial" w:eastAsia="Arial" w:hAnsi="Arial"/>
          <w:sz w:val="16"/>
          <w:szCs w:val="16"/>
          <w:color w:val="auto"/>
        </w:rPr>
        <w:t>This consensus will affect entities with: (1) options or warrants on their own shares (not within the scope of Statement 150), including market-based employee stock option valuation instruments; (2) forward contracts on their own shares, including forward contracts entered into as part of an accelerated share repurchase program; and (3) convertible debt instruments and convertible preferred stock. Also affected are entities that issue equity-linked financial instruments (or financial instruments that contain embedded equity-linked features) with a strike price that is denominated in a foreign currency.</w:t>
      </w:r>
    </w:p>
    <w:p>
      <w:pPr>
        <w:spacing w:after="0" w:line="197" w:lineRule="exact"/>
        <w:rPr>
          <w:sz w:val="20"/>
          <w:szCs w:val="20"/>
          <w:color w:val="auto"/>
        </w:rPr>
      </w:pPr>
    </w:p>
    <w:p>
      <w:pPr>
        <w:ind w:left="1720" w:right="120"/>
        <w:spacing w:after="0" w:line="291" w:lineRule="auto"/>
        <w:rPr>
          <w:sz w:val="20"/>
          <w:szCs w:val="20"/>
          <w:color w:val="auto"/>
        </w:rPr>
      </w:pPr>
      <w:r>
        <w:rPr>
          <w:rFonts w:ascii="Arial" w:cs="Arial" w:eastAsia="Arial" w:hAnsi="Arial"/>
          <w:sz w:val="16"/>
          <w:szCs w:val="16"/>
          <w:color w:val="auto"/>
        </w:rPr>
        <w:t>The Company adopted this consensus effective January 1, 2009. The Company identified several instruments that are affected by the consensus all of which were, before the adoption of the consensus, classified in equity and upon the adoption were reclassified from equity to liabilities. These instruments include warrants and previously bifurcated conversion option, with either an anti-dilution feature or with an exercise price denominated in NIS. At the date of adoption and in accordance with transition provisions of the consensus, the Company measured those instruments at fair value. The difference between the fair values and the amount previously recorded in equity was recognized as an adjustment to the opening balance of retained earnings.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FINANCIAL STATEMENTS AS OF JUNE 30, 2009</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GENERAL (cont.)</w:t>
      </w:r>
    </w:p>
    <w:p>
      <w:pPr>
        <w:spacing w:after="0" w:line="252" w:lineRule="exact"/>
        <w:rPr>
          <w:sz w:val="20"/>
          <w:szCs w:val="20"/>
          <w:color w:val="auto"/>
        </w:rPr>
      </w:pPr>
    </w:p>
    <w:p>
      <w:pPr>
        <w:ind w:left="1160" w:hanging="571"/>
        <w:spacing w:after="0"/>
        <w:tabs>
          <w:tab w:leader="none" w:pos="11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for Presentation (cont.)</w:t>
      </w:r>
    </w:p>
    <w:p>
      <w:pPr>
        <w:spacing w:after="0" w:line="252" w:lineRule="exact"/>
        <w:rPr>
          <w:rFonts w:ascii="Arial" w:cs="Arial" w:eastAsia="Arial" w:hAnsi="Arial"/>
          <w:sz w:val="18"/>
          <w:szCs w:val="18"/>
          <w:b w:val="1"/>
          <w:bCs w:val="1"/>
          <w:color w:val="auto"/>
        </w:rPr>
      </w:pPr>
    </w:p>
    <w:p>
      <w:pPr>
        <w:ind w:left="1720" w:right="6600" w:hanging="564"/>
        <w:spacing w:after="0" w:line="551" w:lineRule="auto"/>
        <w:tabs>
          <w:tab w:leader="none" w:pos="1720"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Initial Adoption of New Standards (cont.) </w:t>
      </w:r>
      <w:r>
        <w:rPr>
          <w:rFonts w:ascii="Arial" w:cs="Arial" w:eastAsia="Arial" w:hAnsi="Arial"/>
          <w:sz w:val="18"/>
          <w:szCs w:val="18"/>
          <w:b w:val="1"/>
          <w:bCs w:val="1"/>
          <w:i w:val="1"/>
          <w:iCs w:val="1"/>
          <w:color w:val="auto"/>
        </w:rPr>
        <w:t>EITF 07-5 (cont.)</w:t>
      </w:r>
    </w:p>
    <w:p>
      <w:pPr>
        <w:ind w:left="1720"/>
        <w:spacing w:after="0"/>
        <w:rPr>
          <w:rFonts w:ascii="Arial" w:cs="Arial" w:eastAsia="Arial" w:hAnsi="Arial"/>
          <w:sz w:val="18"/>
          <w:szCs w:val="18"/>
          <w:b w:val="1"/>
          <w:bCs w:val="1"/>
          <w:color w:val="auto"/>
        </w:rPr>
      </w:pPr>
      <w:r>
        <w:rPr>
          <w:rFonts w:ascii="Arial" w:cs="Arial" w:eastAsia="Arial" w:hAnsi="Arial"/>
          <w:sz w:val="18"/>
          <w:szCs w:val="18"/>
          <w:color w:val="auto"/>
        </w:rPr>
        <w:t>The effect of the adoption on equity retained earning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3"/>
          </w:tcPr>
          <w:p>
            <w:pPr>
              <w:ind w:left="40"/>
              <w:spacing w:after="0"/>
              <w:rPr>
                <w:sz w:val="20"/>
                <w:szCs w:val="20"/>
                <w:color w:val="auto"/>
              </w:rPr>
            </w:pPr>
            <w:r>
              <w:rPr>
                <w:rFonts w:ascii="Arial" w:cs="Arial" w:eastAsia="Arial" w:hAnsi="Arial"/>
                <w:sz w:val="14"/>
                <w:szCs w:val="14"/>
                <w:b w:val="1"/>
                <w:bCs w:val="1"/>
                <w:color w:val="auto"/>
              </w:rPr>
              <w:t>January 1, 2009</w:t>
            </w:r>
          </w:p>
        </w:tc>
      </w:tr>
      <w:tr>
        <w:trPr>
          <w:trHeight w:val="95"/>
        </w:trPr>
        <w:tc>
          <w:tcPr>
            <w:tcW w:w="100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10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100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Additional paid in capital</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(14,065)</w:t>
            </w:r>
          </w:p>
        </w:tc>
        <w:tc>
          <w:tcPr>
            <w:tcW w:w="20" w:type="dxa"/>
            <w:vAlign w:val="bottom"/>
            <w:shd w:val="clear" w:color="auto" w:fill="CCEEFF"/>
          </w:tcPr>
          <w:p>
            <w:pPr>
              <w:spacing w:after="0"/>
              <w:rPr>
                <w:sz w:val="18"/>
                <w:szCs w:val="18"/>
                <w:color w:val="auto"/>
              </w:rPr>
            </w:pPr>
          </w:p>
        </w:tc>
      </w:tr>
      <w:tr>
        <w:trPr>
          <w:trHeight w:val="222"/>
        </w:trPr>
        <w:tc>
          <w:tcPr>
            <w:tcW w:w="10060" w:type="dxa"/>
            <w:vAlign w:val="bottom"/>
          </w:tcPr>
          <w:p>
            <w:pPr>
              <w:ind w:left="1720"/>
              <w:spacing w:after="0"/>
              <w:rPr>
                <w:sz w:val="20"/>
                <w:szCs w:val="20"/>
                <w:color w:val="auto"/>
              </w:rPr>
            </w:pPr>
            <w:r>
              <w:rPr>
                <w:rFonts w:ascii="Arial" w:cs="Arial" w:eastAsia="Arial" w:hAnsi="Arial"/>
                <w:sz w:val="18"/>
                <w:szCs w:val="18"/>
                <w:color w:val="auto"/>
              </w:rPr>
              <w:t>Retained earnings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02"/>
        </w:trPr>
        <w:tc>
          <w:tcPr>
            <w:tcW w:w="1006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100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1006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Fair value reclassified to liability</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(1,265)</w:t>
            </w:r>
          </w:p>
        </w:tc>
        <w:tc>
          <w:tcPr>
            <w:tcW w:w="20" w:type="dxa"/>
            <w:vAlign w:val="bottom"/>
            <w:shd w:val="clear" w:color="auto" w:fill="CCEEFF"/>
          </w:tcPr>
          <w:p>
            <w:pPr>
              <w:spacing w:after="0"/>
              <w:rPr>
                <w:sz w:val="18"/>
                <w:szCs w:val="18"/>
                <w:color w:val="auto"/>
              </w:rPr>
            </w:pPr>
          </w:p>
        </w:tc>
      </w:tr>
    </w:tbl>
    <w:p>
      <w:pPr>
        <w:spacing w:after="0" w:line="235" w:lineRule="exact"/>
        <w:rPr>
          <w:sz w:val="20"/>
          <w:szCs w:val="20"/>
          <w:color w:val="auto"/>
        </w:rPr>
      </w:pPr>
    </w:p>
    <w:p>
      <w:pPr>
        <w:ind w:left="1720" w:right="300"/>
        <w:spacing w:after="0" w:line="268" w:lineRule="auto"/>
        <w:rPr>
          <w:sz w:val="20"/>
          <w:szCs w:val="20"/>
          <w:color w:val="auto"/>
        </w:rPr>
      </w:pPr>
      <w:r>
        <w:rPr>
          <w:rFonts w:ascii="Arial" w:cs="Arial" w:eastAsia="Arial" w:hAnsi="Arial"/>
          <w:sz w:val="18"/>
          <w:szCs w:val="18"/>
          <w:color w:val="auto"/>
        </w:rPr>
        <w:t>The effect of the adoption of EITF 07-5 on the Company’s consolidated results of operations and net loss for the six and three months ended June 30, 2009 was $2,000 and $1,800 respectively.</w:t>
      </w:r>
    </w:p>
    <w:p>
      <w:pPr>
        <w:spacing w:after="0" w:line="213" w:lineRule="exact"/>
        <w:rPr>
          <w:sz w:val="20"/>
          <w:szCs w:val="20"/>
          <w:color w:val="auto"/>
        </w:rPr>
      </w:pPr>
    </w:p>
    <w:p>
      <w:pPr>
        <w:ind w:left="1720"/>
        <w:spacing w:after="0"/>
        <w:rPr>
          <w:sz w:val="20"/>
          <w:szCs w:val="20"/>
          <w:color w:val="auto"/>
        </w:rPr>
      </w:pPr>
      <w:r>
        <w:rPr>
          <w:rFonts w:ascii="Arial" w:cs="Arial" w:eastAsia="Arial" w:hAnsi="Arial"/>
          <w:sz w:val="18"/>
          <w:szCs w:val="18"/>
          <w:b w:val="1"/>
          <w:bCs w:val="1"/>
          <w:i w:val="1"/>
          <w:iCs w:val="1"/>
          <w:color w:val="auto"/>
        </w:rPr>
        <w:t>FSP APB 14-1</w:t>
      </w:r>
    </w:p>
    <w:p>
      <w:pPr>
        <w:spacing w:after="0" w:line="279" w:lineRule="exact"/>
        <w:rPr>
          <w:sz w:val="20"/>
          <w:szCs w:val="20"/>
          <w:color w:val="auto"/>
        </w:rPr>
      </w:pPr>
    </w:p>
    <w:p>
      <w:pPr>
        <w:ind w:left="1720" w:right="20"/>
        <w:spacing w:after="0" w:line="288" w:lineRule="auto"/>
        <w:rPr>
          <w:sz w:val="20"/>
          <w:szCs w:val="20"/>
          <w:color w:val="auto"/>
        </w:rPr>
      </w:pPr>
      <w:r>
        <w:rPr>
          <w:rFonts w:ascii="Arial" w:cs="Arial" w:eastAsia="Arial" w:hAnsi="Arial"/>
          <w:sz w:val="16"/>
          <w:szCs w:val="16"/>
          <w:color w:val="auto"/>
        </w:rPr>
        <w:t>Effective January 1, 2009, the Company adopted FSP No. APB 14-1, Accounting for Convertible Debt Instruments that may be Settled in Cash upon Conversion (Including Partial Cash Settlement). FSP APB No. 14-1 applies to any convertible debt instrument that may be wholly or partially settled in cash and requires the separation of the debt and equity components of cash-settleable convertibles at the date of issuance. The FSP is effective for the convertible debt issued by the Company’s subsidiary (Jazz), for the 8% convertible notes due 2011. Following the Jazz merger on September 19, 2008, as part of the purchase method, Jazz was required to fair value their convertible debt instrument. As a result, a new basis was determined for the convertible notes of $108,600. The debt discount was $19,600. Upon adoption of the FSP, the Company evaluated the equity component as of the merger date and determined that it is immaterial. As such, the Company expects no impact on the Company’s consolidated results of operations or financial position resulting from the adoption of this FSP for periods following the merger.</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INTERIM CONSOLIDATED</w:t>
      </w:r>
    </w:p>
    <w:p>
      <w:pPr>
        <w:sectPr>
          <w:pgSz w:w="11900" w:h="16838" w:orient="portrait"/>
          <w:cols w:equalWidth="0" w:num="1">
            <w:col w:w="11420"/>
          </w:cols>
          <w:pgMar w:left="240" w:top="131" w:right="239" w:bottom="0" w:gutter="0" w:footer="0" w:header="0"/>
        </w:sectPr>
      </w:pPr>
    </w:p>
    <w:bookmarkStart w:id="6" w:name="page7"/>
    <w:bookmarkEnd w:id="6"/>
    <w:p>
      <w:pPr>
        <w:ind w:left="3740"/>
        <w:spacing w:after="0"/>
        <w:rPr>
          <w:sz w:val="20"/>
          <w:szCs w:val="20"/>
          <w:color w:val="auto"/>
        </w:rPr>
      </w:pPr>
      <w:r>
        <w:rPr>
          <w:rFonts w:ascii="Arial" w:cs="Arial" w:eastAsia="Arial" w:hAnsi="Arial"/>
          <w:sz w:val="18"/>
          <w:szCs w:val="18"/>
          <w:b w:val="1"/>
          <w:bCs w:val="1"/>
          <w:color w:val="auto"/>
        </w:rPr>
        <w:t>FINANCIAL STATEMENTS AS OF JUNE 30, 2009</w:t>
      </w:r>
    </w:p>
    <w:p>
      <w:pPr>
        <w:spacing w:after="0" w:line="21"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GENERAL (cont.)</w:t>
      </w:r>
    </w:p>
    <w:p>
      <w:pPr>
        <w:spacing w:after="0" w:line="252" w:lineRule="exact"/>
        <w:rPr>
          <w:sz w:val="20"/>
          <w:szCs w:val="20"/>
          <w:color w:val="auto"/>
        </w:rPr>
      </w:pPr>
    </w:p>
    <w:p>
      <w:pPr>
        <w:ind w:left="1160" w:hanging="571"/>
        <w:spacing w:after="0"/>
        <w:tabs>
          <w:tab w:leader="none" w:pos="11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for Presentation (cont.)</w:t>
      </w:r>
    </w:p>
    <w:p>
      <w:pPr>
        <w:spacing w:after="0" w:line="252" w:lineRule="exact"/>
        <w:rPr>
          <w:rFonts w:ascii="Arial" w:cs="Arial" w:eastAsia="Arial" w:hAnsi="Arial"/>
          <w:sz w:val="18"/>
          <w:szCs w:val="18"/>
          <w:b w:val="1"/>
          <w:bCs w:val="1"/>
          <w:color w:val="auto"/>
        </w:rPr>
      </w:pPr>
    </w:p>
    <w:p>
      <w:pPr>
        <w:ind w:left="1720" w:right="6580" w:hanging="564"/>
        <w:spacing w:after="0" w:line="551" w:lineRule="auto"/>
        <w:tabs>
          <w:tab w:leader="none" w:pos="1720"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Initial Adoption of New Standards (cont.) SFAS No. 161</w:t>
      </w:r>
    </w:p>
    <w:p>
      <w:pPr>
        <w:ind w:left="1720" w:right="1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Effective January 1, 2009, the Company adopted SFAS No. 161, “Disclosures about Derivative Instruments and Hedging Activities”, an amendment of FASB Statement No. 133 (“SFAS No. 161”). SFAS No. 161 expands disclosures but does not change accounting for derivative instruments and hedging activities. The adoption of SFAS No. 161 did not have any impact on the consolidated results of operations or financial position of the Company.</w:t>
      </w:r>
    </w:p>
    <w:p>
      <w:pPr>
        <w:spacing w:after="0" w:line="218" w:lineRule="exact"/>
        <w:rPr>
          <w:rFonts w:ascii="Arial" w:cs="Arial" w:eastAsia="Arial" w:hAnsi="Arial"/>
          <w:sz w:val="18"/>
          <w:szCs w:val="18"/>
          <w:b w:val="1"/>
          <w:bCs w:val="1"/>
          <w:color w:val="auto"/>
        </w:rPr>
      </w:pPr>
    </w:p>
    <w:p>
      <w:pPr>
        <w:ind w:left="17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SFAS No. 160</w:t>
      </w:r>
    </w:p>
    <w:p>
      <w:pPr>
        <w:spacing w:after="0" w:line="285" w:lineRule="exact"/>
        <w:rPr>
          <w:rFonts w:ascii="Arial" w:cs="Arial" w:eastAsia="Arial" w:hAnsi="Arial"/>
          <w:sz w:val="18"/>
          <w:szCs w:val="18"/>
          <w:b w:val="1"/>
          <w:bCs w:val="1"/>
          <w:color w:val="auto"/>
        </w:rPr>
      </w:pPr>
    </w:p>
    <w:p>
      <w:pPr>
        <w:ind w:left="172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In December 2007, the FASB issued SFAS No. 160,” Non-controlling Interests in Consolidated Financial Statements” (“SFAS No. 160”). SFAS No. 160 improves the relevance, comparability, and transparency of financial information provided to investors by requiring all entities to report non-controlling (minority) interests in subsidiaries in the same way as equity in the consolidated financial statements. Moreover, SFAS No. 160 eliminates the diversity that currently exists in accounting for transactions between an entity and non-controlling interests by requiring they be treated as equity transactions. SFAS No. 160 is effective as of the start of fiscal years beginning after December 15, 2008. Early adoption is not allowed. Since the Company currently has no minority interest, the adoption of this standard did not have any impact on the consolidated results of operations or financial position of the Company.</w:t>
      </w:r>
    </w:p>
    <w:p>
      <w:pPr>
        <w:spacing w:after="0" w:line="199" w:lineRule="exact"/>
        <w:rPr>
          <w:rFonts w:ascii="Arial" w:cs="Arial" w:eastAsia="Arial" w:hAnsi="Arial"/>
          <w:sz w:val="18"/>
          <w:szCs w:val="18"/>
          <w:b w:val="1"/>
          <w:bCs w:val="1"/>
          <w:color w:val="auto"/>
        </w:rPr>
      </w:pPr>
    </w:p>
    <w:p>
      <w:pPr>
        <w:ind w:left="17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FSP FAS 107-1 and APB 28-1</w:t>
      </w:r>
    </w:p>
    <w:p>
      <w:pPr>
        <w:spacing w:after="0" w:line="279" w:lineRule="exact"/>
        <w:rPr>
          <w:rFonts w:ascii="Arial" w:cs="Arial" w:eastAsia="Arial" w:hAnsi="Arial"/>
          <w:sz w:val="18"/>
          <w:szCs w:val="18"/>
          <w:b w:val="1"/>
          <w:bCs w:val="1"/>
          <w:color w:val="auto"/>
        </w:rPr>
      </w:pPr>
    </w:p>
    <w:p>
      <w:pPr>
        <w:ind w:left="1720" w:right="4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April 2009 the FASB issued FASB staff position 107-1 and APB 28-1, “Interim Disclosures about Fair Value of Financial Instruments”. This FSP applies to all financial instruments within the scope of Statement 107 held by publicly traded companies, as defined by Opinion 28 and are effective for interim reporting periods ending after June 15, 2009, with early adoption permitted for periods ending after March 15, 2009.</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FINANCIAL STATEMENTS AS OF JUNE 30, 2009</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GENERAL (cont.)</w:t>
      </w:r>
    </w:p>
    <w:p>
      <w:pPr>
        <w:spacing w:after="0" w:line="252" w:lineRule="exact"/>
        <w:rPr>
          <w:sz w:val="20"/>
          <w:szCs w:val="20"/>
          <w:color w:val="auto"/>
        </w:rPr>
      </w:pPr>
    </w:p>
    <w:p>
      <w:pPr>
        <w:ind w:left="1160" w:hanging="571"/>
        <w:spacing w:after="0"/>
        <w:tabs>
          <w:tab w:leader="none" w:pos="11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Basis for Presentation (cont.)</w:t>
      </w:r>
    </w:p>
    <w:p>
      <w:pPr>
        <w:spacing w:after="0" w:line="252" w:lineRule="exact"/>
        <w:rPr>
          <w:rFonts w:ascii="Arial" w:cs="Arial" w:eastAsia="Arial" w:hAnsi="Arial"/>
          <w:sz w:val="18"/>
          <w:szCs w:val="18"/>
          <w:b w:val="1"/>
          <w:bCs w:val="1"/>
          <w:color w:val="auto"/>
        </w:rPr>
      </w:pPr>
    </w:p>
    <w:p>
      <w:pPr>
        <w:ind w:left="1720" w:right="6580" w:hanging="564"/>
        <w:spacing w:after="0" w:line="620" w:lineRule="auto"/>
        <w:tabs>
          <w:tab w:leader="none" w:pos="1720" w:val="left"/>
        </w:tabs>
        <w:numPr>
          <w:ilvl w:val="1"/>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Initial Adoption of New Standards (cont.) </w:t>
      </w:r>
      <w:r>
        <w:rPr>
          <w:rFonts w:ascii="Arial" w:cs="Arial" w:eastAsia="Arial" w:hAnsi="Arial"/>
          <w:sz w:val="16"/>
          <w:szCs w:val="16"/>
          <w:b w:val="1"/>
          <w:bCs w:val="1"/>
          <w:i w:val="1"/>
          <w:iCs w:val="1"/>
          <w:color w:val="auto"/>
        </w:rPr>
        <w:t>FSP FAS 107-1 and APB 28-1 (cont.)</w:t>
      </w:r>
    </w:p>
    <w:p>
      <w:pPr>
        <w:jc w:val="both"/>
        <w:ind w:left="1720" w:right="100"/>
        <w:spacing w:after="0" w:line="298" w:lineRule="auto"/>
        <w:rPr>
          <w:rFonts w:ascii="Arial" w:cs="Arial" w:eastAsia="Arial" w:hAnsi="Arial"/>
          <w:sz w:val="16"/>
          <w:szCs w:val="16"/>
          <w:b w:val="1"/>
          <w:bCs w:val="1"/>
          <w:color w:val="auto"/>
        </w:rPr>
      </w:pPr>
      <w:r>
        <w:rPr>
          <w:rFonts w:ascii="Arial" w:cs="Arial" w:eastAsia="Arial" w:hAnsi="Arial"/>
          <w:sz w:val="16"/>
          <w:szCs w:val="16"/>
          <w:color w:val="auto"/>
        </w:rPr>
        <w:t>FSP FAS 107-1 and APB 28-1 relate to fair value disclosures for any financial instruments that are not currently reflected on the balance sheet of companies at fair value. Prior to issuing this FSP, fair values for these assets and liabilities were only disclosed once a year. The FSP now requires these disclosures on a quarterly basis, providing qualitative and quantitative information about fair value estimates for all those financial instruments not measured on the balance sheet at fair value, see Note 4.</w:t>
      </w:r>
    </w:p>
    <w:p>
      <w:pPr>
        <w:spacing w:after="0" w:line="193" w:lineRule="exact"/>
        <w:rPr>
          <w:rFonts w:ascii="Arial" w:cs="Arial" w:eastAsia="Arial" w:hAnsi="Arial"/>
          <w:sz w:val="16"/>
          <w:szCs w:val="16"/>
          <w:b w:val="1"/>
          <w:bCs w:val="1"/>
          <w:color w:val="auto"/>
        </w:rPr>
      </w:pPr>
    </w:p>
    <w:p>
      <w:pPr>
        <w:ind w:left="1720"/>
        <w:spacing w:after="0"/>
        <w:rPr>
          <w:rFonts w:ascii="Arial" w:cs="Arial" w:eastAsia="Arial" w:hAnsi="Arial"/>
          <w:sz w:val="16"/>
          <w:szCs w:val="16"/>
          <w:b w:val="1"/>
          <w:bCs w:val="1"/>
          <w:color w:val="auto"/>
        </w:rPr>
      </w:pPr>
      <w:r>
        <w:rPr>
          <w:rFonts w:ascii="Arial" w:cs="Arial" w:eastAsia="Arial" w:hAnsi="Arial"/>
          <w:sz w:val="18"/>
          <w:szCs w:val="18"/>
          <w:b w:val="1"/>
          <w:bCs w:val="1"/>
          <w:i w:val="1"/>
          <w:iCs w:val="1"/>
          <w:color w:val="auto"/>
        </w:rPr>
        <w:t>FSP FAS 115-2 and FAS 124-2</w:t>
      </w:r>
    </w:p>
    <w:p>
      <w:pPr>
        <w:spacing w:after="0" w:line="279" w:lineRule="exact"/>
        <w:rPr>
          <w:rFonts w:ascii="Arial" w:cs="Arial" w:eastAsia="Arial" w:hAnsi="Arial"/>
          <w:sz w:val="16"/>
          <w:szCs w:val="16"/>
          <w:b w:val="1"/>
          <w:bCs w:val="1"/>
          <w:color w:val="auto"/>
        </w:rPr>
      </w:pPr>
    </w:p>
    <w:p>
      <w:pPr>
        <w:ind w:left="1720" w:right="60"/>
        <w:spacing w:after="0" w:line="256" w:lineRule="auto"/>
        <w:rPr>
          <w:rFonts w:ascii="Arial" w:cs="Arial" w:eastAsia="Arial" w:hAnsi="Arial"/>
          <w:sz w:val="16"/>
          <w:szCs w:val="16"/>
          <w:b w:val="1"/>
          <w:bCs w:val="1"/>
          <w:color w:val="auto"/>
        </w:rPr>
      </w:pPr>
      <w:r>
        <w:rPr>
          <w:rFonts w:ascii="Arial" w:cs="Arial" w:eastAsia="Arial" w:hAnsi="Arial"/>
          <w:sz w:val="18"/>
          <w:szCs w:val="18"/>
          <w:color w:val="auto"/>
        </w:rPr>
        <w:t>In April 2009 the FASB issued FASB staff position 115-2 and 124-2, “Recognition and Presentation of Other-Than-Temporary Impairments” (“OTTI”) for investment in debt securities. This FSP applies to all entities and is effective for interim and annual reporting periods ending after June 15, 2009, with early adoption permitted for periods ending after March 15, 2009. Earlier adoption for periods ending before March 15, 2009, is not permitted.</w:t>
      </w:r>
    </w:p>
    <w:p>
      <w:pPr>
        <w:spacing w:after="0" w:line="224" w:lineRule="exact"/>
        <w:rPr>
          <w:rFonts w:ascii="Arial" w:cs="Arial" w:eastAsia="Arial" w:hAnsi="Arial"/>
          <w:sz w:val="16"/>
          <w:szCs w:val="16"/>
          <w:b w:val="1"/>
          <w:bCs w:val="1"/>
          <w:color w:val="auto"/>
        </w:rPr>
      </w:pPr>
    </w:p>
    <w:p>
      <w:pPr>
        <w:ind w:left="1720"/>
        <w:spacing w:after="0" w:line="253" w:lineRule="auto"/>
        <w:rPr>
          <w:rFonts w:ascii="Arial" w:cs="Arial" w:eastAsia="Arial" w:hAnsi="Arial"/>
          <w:sz w:val="16"/>
          <w:szCs w:val="16"/>
          <w:b w:val="1"/>
          <w:bCs w:val="1"/>
          <w:color w:val="auto"/>
        </w:rPr>
      </w:pPr>
      <w:r>
        <w:rPr>
          <w:rFonts w:ascii="Arial" w:cs="Arial" w:eastAsia="Arial" w:hAnsi="Arial"/>
          <w:sz w:val="18"/>
          <w:szCs w:val="18"/>
          <w:color w:val="auto"/>
        </w:rPr>
        <w:t>Under the FSP, the primary change to the OTTI model for debt securities is the change in focus from an entity’s intent and ability to hold a security until recovery. Instead, an OTTI is triggered if (1) an entity has the intent to sell the security, (2) it is more likely than not that it will be required to sell the security before recovery, or (3) it does not expect to recover the entire amortized cost basis of the security. In addition, the FSP changes the presentation of an OTTI in the income statement if the only reason for recognition is a credit loss (i.e., the entity does not expect to recover its entire amortized cost basis). That is, if the entity has the intent to sell the security or it is more likely than not that it will be required to sell the security, the entire impairment (amortized cost basis over fair value) will be recognized in earnings.</w:t>
      </w:r>
    </w:p>
    <w:p>
      <w:pPr>
        <w:sectPr>
          <w:pgSz w:w="11900" w:h="16838" w:orient="portrait"/>
          <w:cols w:equalWidth="0" w:num="1">
            <w:col w:w="11400"/>
          </w:cols>
          <w:pgMar w:left="240" w:top="125" w:right="259" w:bottom="9"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125" w:right="259" w:bottom="9" w:gutter="0" w:footer="0" w:header="0"/>
          <w:type w:val="continuous"/>
        </w:sectPr>
      </w:pPr>
    </w:p>
    <w:bookmarkStart w:id="7" w:name="page8"/>
    <w:bookmarkEnd w:id="7"/>
    <w:p>
      <w:pPr>
        <w:spacing w:after="0" w:line="8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FINANCIAL STATEMENTS AS OF JUNE 30, 2009</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GENERAL (cont.)</w:t>
      </w:r>
    </w:p>
    <w:p>
      <w:pPr>
        <w:spacing w:after="0" w:line="252" w:lineRule="exact"/>
        <w:rPr>
          <w:sz w:val="20"/>
          <w:szCs w:val="20"/>
          <w:color w:val="auto"/>
        </w:rPr>
      </w:pPr>
    </w:p>
    <w:p>
      <w:pPr>
        <w:ind w:left="1160" w:hanging="571"/>
        <w:spacing w:after="0"/>
        <w:tabs>
          <w:tab w:leader="none" w:pos="11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Basis for Presentation (cont.)</w:t>
      </w:r>
    </w:p>
    <w:p>
      <w:pPr>
        <w:spacing w:after="0" w:line="252" w:lineRule="exact"/>
        <w:rPr>
          <w:rFonts w:ascii="Arial" w:cs="Arial" w:eastAsia="Arial" w:hAnsi="Arial"/>
          <w:sz w:val="18"/>
          <w:szCs w:val="18"/>
          <w:b w:val="1"/>
          <w:bCs w:val="1"/>
          <w:color w:val="auto"/>
        </w:rPr>
      </w:pPr>
    </w:p>
    <w:p>
      <w:pPr>
        <w:ind w:left="1720" w:right="6580" w:hanging="564"/>
        <w:spacing w:after="0" w:line="620" w:lineRule="auto"/>
        <w:tabs>
          <w:tab w:leader="none" w:pos="1720" w:val="left"/>
        </w:tabs>
        <w:numPr>
          <w:ilvl w:val="1"/>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Initial Adoption of New Standards (cont.) </w:t>
      </w:r>
      <w:r>
        <w:rPr>
          <w:rFonts w:ascii="Arial" w:cs="Arial" w:eastAsia="Arial" w:hAnsi="Arial"/>
          <w:sz w:val="16"/>
          <w:szCs w:val="16"/>
          <w:b w:val="1"/>
          <w:bCs w:val="1"/>
          <w:i w:val="1"/>
          <w:iCs w:val="1"/>
          <w:color w:val="auto"/>
        </w:rPr>
        <w:t>FSP FAS 115-2 and FAS 124-2 (cont.)</w:t>
      </w:r>
    </w:p>
    <w:p>
      <w:pPr>
        <w:ind w:left="1720"/>
        <w:spacing w:after="0" w:line="298" w:lineRule="auto"/>
        <w:rPr>
          <w:rFonts w:ascii="Arial" w:cs="Arial" w:eastAsia="Arial" w:hAnsi="Arial"/>
          <w:sz w:val="16"/>
          <w:szCs w:val="16"/>
          <w:b w:val="1"/>
          <w:bCs w:val="1"/>
          <w:color w:val="auto"/>
        </w:rPr>
      </w:pPr>
      <w:r>
        <w:rPr>
          <w:rFonts w:ascii="Arial" w:cs="Arial" w:eastAsia="Arial" w:hAnsi="Arial"/>
          <w:sz w:val="16"/>
          <w:szCs w:val="16"/>
          <w:color w:val="auto"/>
        </w:rPr>
        <w:t>However, if the entity does not intend to sell the security and it is not more likely than not that the entity will be required to sell the security, but the security has suffered a credit loss, the impairment charge will be separated into the credit loss component, which is recorded in earnings, and the remainder of the impairment charge, which is recorded in other comprehensive income (OCI). The adoption of this standard did not have any impact on the consolidated results of operations or financial position of the Company.</w:t>
      </w:r>
    </w:p>
    <w:p>
      <w:pPr>
        <w:spacing w:after="0" w:line="193" w:lineRule="exact"/>
        <w:rPr>
          <w:rFonts w:ascii="Arial" w:cs="Arial" w:eastAsia="Arial" w:hAnsi="Arial"/>
          <w:sz w:val="16"/>
          <w:szCs w:val="16"/>
          <w:b w:val="1"/>
          <w:bCs w:val="1"/>
          <w:color w:val="auto"/>
        </w:rPr>
      </w:pPr>
    </w:p>
    <w:p>
      <w:pPr>
        <w:ind w:left="1720"/>
        <w:spacing w:after="0"/>
        <w:rPr>
          <w:rFonts w:ascii="Arial" w:cs="Arial" w:eastAsia="Arial" w:hAnsi="Arial"/>
          <w:sz w:val="16"/>
          <w:szCs w:val="16"/>
          <w:b w:val="1"/>
          <w:bCs w:val="1"/>
          <w:color w:val="auto"/>
        </w:rPr>
      </w:pPr>
      <w:r>
        <w:rPr>
          <w:rFonts w:ascii="Arial" w:cs="Arial" w:eastAsia="Arial" w:hAnsi="Arial"/>
          <w:sz w:val="18"/>
          <w:szCs w:val="18"/>
          <w:b w:val="1"/>
          <w:bCs w:val="1"/>
          <w:i w:val="1"/>
          <w:iCs w:val="1"/>
          <w:color w:val="auto"/>
        </w:rPr>
        <w:t>FSP FAS 157-4</w:t>
      </w:r>
    </w:p>
    <w:p>
      <w:pPr>
        <w:spacing w:after="0" w:line="279" w:lineRule="exact"/>
        <w:rPr>
          <w:rFonts w:ascii="Arial" w:cs="Arial" w:eastAsia="Arial" w:hAnsi="Arial"/>
          <w:sz w:val="16"/>
          <w:szCs w:val="16"/>
          <w:b w:val="1"/>
          <w:bCs w:val="1"/>
          <w:color w:val="auto"/>
        </w:rPr>
      </w:pPr>
    </w:p>
    <w:p>
      <w:pPr>
        <w:ind w:left="172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In April 2009 the FASB issued FASB staff position 157-4, “Determining Fair Value When the Volume and Level of Activity for the Asset or Liability Have Significantly Decreased and Identifying Transactions that are Not Orderly”. This FSP applies to all assets and liabilities within the scope of accounting pronouncements that require or permit fair value measurements, except as discussed in paragraphs 2 and 3 of statement 157. The FSP is effective for interim and annual reporting periods ending after June 15, 2009, and shall be applied prospectively.</w:t>
      </w:r>
    </w:p>
    <w:p>
      <w:pPr>
        <w:spacing w:after="0" w:line="223" w:lineRule="exact"/>
        <w:rPr>
          <w:rFonts w:ascii="Arial" w:cs="Arial" w:eastAsia="Arial" w:hAnsi="Arial"/>
          <w:sz w:val="16"/>
          <w:szCs w:val="16"/>
          <w:b w:val="1"/>
          <w:bCs w:val="1"/>
          <w:color w:val="auto"/>
        </w:rPr>
      </w:pPr>
    </w:p>
    <w:p>
      <w:pPr>
        <w:ind w:left="1720" w:right="20"/>
        <w:spacing w:after="0" w:line="294" w:lineRule="auto"/>
        <w:rPr>
          <w:rFonts w:ascii="Arial" w:cs="Arial" w:eastAsia="Arial" w:hAnsi="Arial"/>
          <w:sz w:val="16"/>
          <w:szCs w:val="16"/>
          <w:b w:val="1"/>
          <w:bCs w:val="1"/>
          <w:color w:val="auto"/>
        </w:rPr>
      </w:pPr>
      <w:r>
        <w:rPr>
          <w:rFonts w:ascii="Arial" w:cs="Arial" w:eastAsia="Arial" w:hAnsi="Arial"/>
          <w:sz w:val="16"/>
          <w:szCs w:val="16"/>
          <w:color w:val="auto"/>
        </w:rPr>
        <w:t>FSP FAS 157-4 relates to determining fair values when there is no active market or where the price inputs being used represent distressed sales. It reaffirms what Statement 157 states is the objective of fair value measurement-to reflect how much an asset would be sold for in an orderly transaction (as opposed to a distressed or forced transaction) at the date of the financial statements under current market conditions. Specifically, it reaffirms the need to use judgment to ascertain if a formerly active market has become inactive and in determining fair values when markets have become inactive.</w:t>
      </w:r>
    </w:p>
    <w:p>
      <w:pPr>
        <w:spacing w:after="0" w:line="196" w:lineRule="exact"/>
        <w:rPr>
          <w:rFonts w:ascii="Arial" w:cs="Arial" w:eastAsia="Arial" w:hAnsi="Arial"/>
          <w:sz w:val="16"/>
          <w:szCs w:val="16"/>
          <w:b w:val="1"/>
          <w:bCs w:val="1"/>
          <w:color w:val="auto"/>
        </w:rPr>
      </w:pPr>
    </w:p>
    <w:p>
      <w:pPr>
        <w:ind w:left="1720" w:right="240"/>
        <w:spacing w:after="0" w:line="306" w:lineRule="auto"/>
        <w:rPr>
          <w:rFonts w:ascii="Arial" w:cs="Arial" w:eastAsia="Arial" w:hAnsi="Arial"/>
          <w:sz w:val="16"/>
          <w:szCs w:val="16"/>
          <w:b w:val="1"/>
          <w:bCs w:val="1"/>
          <w:color w:val="auto"/>
        </w:rPr>
      </w:pPr>
      <w:r>
        <w:rPr>
          <w:rFonts w:ascii="Arial" w:cs="Arial" w:eastAsia="Arial" w:hAnsi="Arial"/>
          <w:sz w:val="16"/>
          <w:szCs w:val="16"/>
          <w:color w:val="auto"/>
        </w:rPr>
        <w:t>FSP FAS 157-4 provides guidance on (1) estimating the fair value of an asset or liability (financial and nonfinancial) when the volume and level of activity for the asset or liability have significantly decreased and (2) identifying transactions that are not orderly. The adoption of this standard did not have any impact on the consolidated results of operations or financial position of the Company.</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FINANCIAL STATEMENTS AS OF JUNE 30, 2009</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GENERAL (cont.)</w:t>
      </w:r>
    </w:p>
    <w:p>
      <w:pPr>
        <w:spacing w:after="0" w:line="252" w:lineRule="exact"/>
        <w:rPr>
          <w:sz w:val="20"/>
          <w:szCs w:val="20"/>
          <w:color w:val="auto"/>
        </w:rPr>
      </w:pPr>
    </w:p>
    <w:p>
      <w:pPr>
        <w:ind w:left="1160" w:hanging="571"/>
        <w:spacing w:after="0"/>
        <w:tabs>
          <w:tab w:leader="none" w:pos="11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Basis for Presentation (cont.)</w:t>
      </w:r>
    </w:p>
    <w:p>
      <w:pPr>
        <w:spacing w:after="0" w:line="252" w:lineRule="exact"/>
        <w:rPr>
          <w:rFonts w:ascii="Arial" w:cs="Arial" w:eastAsia="Arial" w:hAnsi="Arial"/>
          <w:sz w:val="18"/>
          <w:szCs w:val="18"/>
          <w:b w:val="1"/>
          <w:bCs w:val="1"/>
          <w:color w:val="auto"/>
        </w:rPr>
      </w:pPr>
    </w:p>
    <w:p>
      <w:pPr>
        <w:ind w:left="1720" w:right="6580" w:hanging="564"/>
        <w:spacing w:after="0" w:line="551" w:lineRule="auto"/>
        <w:tabs>
          <w:tab w:leader="none" w:pos="172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Initial Adoption of New Standards (cont.) </w:t>
      </w:r>
      <w:r>
        <w:rPr>
          <w:rFonts w:ascii="Arial" w:cs="Arial" w:eastAsia="Arial" w:hAnsi="Arial"/>
          <w:sz w:val="18"/>
          <w:szCs w:val="18"/>
          <w:b w:val="1"/>
          <w:bCs w:val="1"/>
          <w:i w:val="1"/>
          <w:iCs w:val="1"/>
          <w:color w:val="auto"/>
        </w:rPr>
        <w:t>SFAS 165</w:t>
      </w:r>
    </w:p>
    <w:p>
      <w:pPr>
        <w:ind w:left="1720" w:right="80"/>
        <w:spacing w:after="0" w:line="302" w:lineRule="auto"/>
        <w:rPr>
          <w:rFonts w:ascii="Arial" w:cs="Arial" w:eastAsia="Arial" w:hAnsi="Arial"/>
          <w:sz w:val="18"/>
          <w:szCs w:val="18"/>
          <w:b w:val="1"/>
          <w:bCs w:val="1"/>
          <w:color w:val="auto"/>
        </w:rPr>
      </w:pPr>
      <w:r>
        <w:rPr>
          <w:rFonts w:ascii="Arial" w:cs="Arial" w:eastAsia="Arial" w:hAnsi="Arial"/>
          <w:sz w:val="15"/>
          <w:szCs w:val="15"/>
          <w:color w:val="auto"/>
        </w:rPr>
        <w:t>In May 2009, the FASB issued SFAS No. 165, “Subsequent Events” (“SFAS No. 165”). SFAS No. 165 establishes general standards of accounting for, and disclosure of, events that occur after the balance sheet date but before financial statements are issued or are available to be issued. In particular, this statement sets forth: (1) the period after the balance sheet date during which management of a reporting entity should evaluate events or transactions that may occur for potential recognition or disclosure in the financial statements, (2) the circumstances under which an entity should recognize events or transactions occurring after the balance sheet date in its financial statements and (3) the disclosures that an entity should make about events or transactions that occurred after the balance sheet</w:t>
      </w:r>
    </w:p>
    <w:p>
      <w:pPr>
        <w:ind w:left="1720" w:right="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date. SFAS No. 165 is effective for the interim or annual financial periods ending after June 15, 2009. The adoption of this standard did not have any impact on the consolidated results of operations or financial position of the Company. The Company considered the provisions of this SFAS and disclosed all material events which occurred after the balance sheets date.</w:t>
      </w:r>
    </w:p>
    <w:p>
      <w:pPr>
        <w:spacing w:after="0" w:line="184" w:lineRule="exact"/>
        <w:rPr>
          <w:rFonts w:ascii="Arial" w:cs="Arial" w:eastAsia="Arial" w:hAnsi="Arial"/>
          <w:sz w:val="18"/>
          <w:szCs w:val="18"/>
          <w:b w:val="1"/>
          <w:bCs w:val="1"/>
          <w:color w:val="auto"/>
        </w:rPr>
      </w:pPr>
    </w:p>
    <w:p>
      <w:pPr>
        <w:ind w:left="1720" w:right="6780" w:hanging="564"/>
        <w:spacing w:after="0" w:line="551" w:lineRule="auto"/>
        <w:tabs>
          <w:tab w:leader="none" w:pos="172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Recently Issued Accounting Standards </w:t>
      </w:r>
      <w:r>
        <w:rPr>
          <w:rFonts w:ascii="Arial" w:cs="Arial" w:eastAsia="Arial" w:hAnsi="Arial"/>
          <w:sz w:val="18"/>
          <w:szCs w:val="18"/>
          <w:b w:val="1"/>
          <w:bCs w:val="1"/>
          <w:i w:val="1"/>
          <w:iCs w:val="1"/>
          <w:color w:val="auto"/>
        </w:rPr>
        <w:t>SFAS 166</w:t>
      </w:r>
    </w:p>
    <w:p>
      <w:pPr>
        <w:ind w:left="1720" w:right="4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In June 2009 the FASB issued SFAS No.166 “Accounting for Transfers of Financial Assets” (“SAFS No. 166”). SAFS No. 166 is a revision to Statement No. 140, “Accounting for Transfers and Servicing of Financial Assets and Extinguishments of Liabilities”, and will require more information about transfers of financial assets, including securitization transactions, and where companies have continuing exposure to the risks related to transferred financial assets. It eliminates the concept of a “qualifying special-purpose entity,” changes the requirements for derecognizing financial assets, and requires additional disclosures. SFAS No. 166 enhances information reported to users of financial statements by providing greater transparency about transfers of financial assets and a company’s continuing involvement in transferred financial assets. SFAS No. 166 will be effective at the start of a company’s first fiscal year beginning after</w:t>
      </w:r>
    </w:p>
    <w:p>
      <w:pPr>
        <w:sectPr>
          <w:pgSz w:w="11900" w:h="16919" w:orient="portrait"/>
          <w:cols w:equalWidth="0" w:num="1">
            <w:col w:w="11400"/>
          </w:cols>
          <w:pgMar w:left="240" w:top="125" w:right="259" w:bottom="0" w:gutter="0" w:footer="0" w:header="0"/>
        </w:sectPr>
      </w:pPr>
    </w:p>
    <w:bookmarkStart w:id="8" w:name="page9"/>
    <w:bookmarkEnd w:id="8"/>
    <w:p>
      <w:pPr>
        <w:spacing w:after="0" w:line="62" w:lineRule="exact"/>
        <w:rPr>
          <w:sz w:val="20"/>
          <w:szCs w:val="20"/>
          <w:color w:val="auto"/>
        </w:rPr>
      </w:pPr>
    </w:p>
    <w:p>
      <w:pPr>
        <w:ind w:left="1720" w:right="320"/>
        <w:spacing w:after="0" w:line="268" w:lineRule="auto"/>
        <w:rPr>
          <w:sz w:val="20"/>
          <w:szCs w:val="20"/>
          <w:color w:val="auto"/>
        </w:rPr>
      </w:pPr>
      <w:r>
        <w:rPr>
          <w:rFonts w:ascii="Arial" w:cs="Arial" w:eastAsia="Arial" w:hAnsi="Arial"/>
          <w:sz w:val="18"/>
          <w:szCs w:val="18"/>
          <w:color w:val="auto"/>
        </w:rPr>
        <w:t>November 15, 2009. The adoption of this standard is not expected to have a material impact on the Company’s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FINANCIAL STATEMENTS AS OF JUNE 30, 2009</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GENERAL (cont.)</w:t>
      </w:r>
    </w:p>
    <w:p>
      <w:pPr>
        <w:spacing w:after="0" w:line="252" w:lineRule="exact"/>
        <w:rPr>
          <w:sz w:val="20"/>
          <w:szCs w:val="20"/>
          <w:color w:val="auto"/>
        </w:rPr>
      </w:pPr>
    </w:p>
    <w:p>
      <w:pPr>
        <w:ind w:left="1160" w:hanging="571"/>
        <w:spacing w:after="0"/>
        <w:tabs>
          <w:tab w:leader="none" w:pos="11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Basis for Presentation (cont.)</w:t>
      </w:r>
    </w:p>
    <w:p>
      <w:pPr>
        <w:spacing w:after="0" w:line="252" w:lineRule="exact"/>
        <w:rPr>
          <w:rFonts w:ascii="Arial" w:cs="Arial" w:eastAsia="Arial" w:hAnsi="Arial"/>
          <w:sz w:val="18"/>
          <w:szCs w:val="18"/>
          <w:b w:val="1"/>
          <w:bCs w:val="1"/>
          <w:color w:val="auto"/>
        </w:rPr>
      </w:pPr>
    </w:p>
    <w:p>
      <w:pPr>
        <w:ind w:left="1720" w:right="6280" w:hanging="564"/>
        <w:spacing w:after="0" w:line="551" w:lineRule="auto"/>
        <w:tabs>
          <w:tab w:leader="none" w:pos="1720"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Recently Issued Accounting Standards (cont.) </w:t>
      </w:r>
      <w:r>
        <w:rPr>
          <w:rFonts w:ascii="Arial" w:cs="Arial" w:eastAsia="Arial" w:hAnsi="Arial"/>
          <w:sz w:val="18"/>
          <w:szCs w:val="18"/>
          <w:b w:val="1"/>
          <w:bCs w:val="1"/>
          <w:i w:val="1"/>
          <w:iCs w:val="1"/>
          <w:color w:val="auto"/>
        </w:rPr>
        <w:t>SFAS 167</w:t>
      </w:r>
    </w:p>
    <w:p>
      <w:pPr>
        <w:ind w:left="1720" w:right="2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In June 2009 the FASB issued SFAS No. 167 “Amendments to FASB Interpretation No. 46(R)” (“SAFS No. 167”), which change the way entities account for securitizations and special-purpose entities. SAFS No. 167 is a revision to FASB Interpretation No. 46(R), Consolidation of Variable Interest Entities, and changes how a company determines when an entity that is insufficiently capitalized or is not controlled through voting (or similar rights) should be consolidated. The determination of whether a company is required to consolidate an entity is based on, among other things, an entity’s purpose and design and a company’s ability to direct the activities of the entity that most significantly impact the entity’s economic performance. SFAS No. 167 will require a company to provide additional disclosures about its involvement with variable interest entities and any significant changes in risk exposure due to that involvement. A company will be required to disclose how its involvement with a variable interest entity affects the company’s financial statements. SFAS No. 166 will be effective at the start of a company’s first fiscal year beginning after November 15, 2009. The adoption of this standard is not expected to have material impact on the Company’s consolidated financial statements.</w:t>
      </w:r>
    </w:p>
    <w:p>
      <w:pPr>
        <w:spacing w:after="0" w:line="203" w:lineRule="exact"/>
        <w:rPr>
          <w:rFonts w:ascii="Arial" w:cs="Arial" w:eastAsia="Arial" w:hAnsi="Arial"/>
          <w:sz w:val="18"/>
          <w:szCs w:val="18"/>
          <w:b w:val="1"/>
          <w:bCs w:val="1"/>
          <w:color w:val="auto"/>
        </w:rPr>
      </w:pPr>
    </w:p>
    <w:p>
      <w:pPr>
        <w:ind w:left="1720" w:hanging="564"/>
        <w:spacing w:after="0"/>
        <w:tabs>
          <w:tab w:leader="none" w:pos="1720" w:val="left"/>
        </w:tabs>
        <w:numPr>
          <w:ilvl w:val="1"/>
          <w:numId w:val="9"/>
        </w:numPr>
        <w:rPr>
          <w:rFonts w:ascii="Arial" w:cs="Arial" w:eastAsia="Arial" w:hAnsi="Arial"/>
          <w:sz w:val="18"/>
          <w:szCs w:val="18"/>
          <w:b w:val="1"/>
          <w:bCs w:val="1"/>
          <w:color w:val="auto"/>
        </w:rPr>
      </w:pPr>
      <w:r>
        <w:rPr>
          <w:rFonts w:ascii="Arial" w:cs="Arial" w:eastAsia="Arial" w:hAnsi="Arial"/>
          <w:sz w:val="18"/>
          <w:szCs w:val="18"/>
          <w:color w:val="auto"/>
        </w:rPr>
        <w:t>Certain amounts in prior periods’ financial statements have been reclassified in order to conform to 2009 presentation.</w:t>
      </w:r>
    </w:p>
    <w:p>
      <w:pPr>
        <w:spacing w:after="0" w:line="246" w:lineRule="exact"/>
        <w:rPr>
          <w:rFonts w:ascii="Arial" w:cs="Arial" w:eastAsia="Arial" w:hAnsi="Arial"/>
          <w:sz w:val="18"/>
          <w:szCs w:val="18"/>
          <w:b w:val="1"/>
          <w:bCs w:val="1"/>
          <w:color w:val="auto"/>
        </w:rPr>
      </w:pPr>
    </w:p>
    <w:p>
      <w:pPr>
        <w:ind w:left="1160" w:hanging="571"/>
        <w:spacing w:after="0"/>
        <w:tabs>
          <w:tab w:leader="none" w:pos="11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Financing of the Company’s Ongoing Operations</w:t>
      </w:r>
    </w:p>
    <w:p>
      <w:pPr>
        <w:spacing w:after="0" w:line="258" w:lineRule="exact"/>
        <w:rPr>
          <w:rFonts w:ascii="Arial" w:cs="Arial" w:eastAsia="Arial" w:hAnsi="Arial"/>
          <w:sz w:val="18"/>
          <w:szCs w:val="18"/>
          <w:b w:val="1"/>
          <w:bCs w:val="1"/>
          <w:color w:val="auto"/>
        </w:rPr>
      </w:pPr>
    </w:p>
    <w:p>
      <w:pPr>
        <w:ind w:left="1160" w:right="1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During the past years, the Company has experienced significant recurring losses, negative net cash flows and an increasing accumulated deficit. The Company is working in various ways to mitigate its financial difficulties. Since the second half of 2005, the Company has increased its customer base, mainly in Fab 2, modified its organizational structure to better address its customers and to improve its market positioning, increased its sales activities, improved its quarterly and yearly EBITDA and cash flow from operations, increased its installed capacity level, raised funds and restructured its debt. See details in Notes 12B, 16A(3) and 17F-J to the 2008 audited consolidated financial statements.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FINANCIAL STATEMENTS AS OF JUNE 30, 2009</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GENERAL (cont.)</w:t>
      </w:r>
    </w:p>
    <w:p>
      <w:pPr>
        <w:spacing w:after="0" w:line="252" w:lineRule="exact"/>
        <w:rPr>
          <w:sz w:val="20"/>
          <w:szCs w:val="20"/>
          <w:color w:val="auto"/>
        </w:rPr>
      </w:pPr>
    </w:p>
    <w:p>
      <w:pPr>
        <w:ind w:left="1160" w:hanging="571"/>
        <w:spacing w:after="0"/>
        <w:tabs>
          <w:tab w:leader="none" w:pos="11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Financing of the Company’s Ongoing Operations (cont.)</w:t>
      </w:r>
    </w:p>
    <w:p>
      <w:pPr>
        <w:spacing w:after="0" w:line="258" w:lineRule="exact"/>
        <w:rPr>
          <w:rFonts w:ascii="Arial" w:cs="Arial" w:eastAsia="Arial" w:hAnsi="Arial"/>
          <w:sz w:val="18"/>
          <w:szCs w:val="18"/>
          <w:b w:val="1"/>
          <w:bCs w:val="1"/>
          <w:color w:val="auto"/>
        </w:rPr>
      </w:pPr>
    </w:p>
    <w:p>
      <w:pPr>
        <w:ind w:left="1160" w:right="4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The current worldwide economic downturn and the prevailing adverse market conditions in the semiconductor industry that commenced in 2008 (including global decreased demand, downward price pressure, excess inventory, unutilized capacity and the lack of availability of funding sources), may adversely affect the future financial results and position of the Company, including its ability to support its ongoing operations and growth plans. The Company is working to mitigate the potential effect of this downturn through several measures, including completing the execution of the previously announced cost reduction plan for a total savings amount of approximately $80,000 on an annual run-rate, and exploring alternative sources of funding (such as a possible fund-raising as described in Note 5I, sale of fixed assets and/or intellectual property licensing, possible sale and lease-back of a portion of real estate assets, and the receipt of all or part of pending grants from the Israeli Investment Center). There is no assurance that the Company will be able to obtain sufficient funding from these or other sources to allow it to maintain its ongoing activities and operations and have sufficient cash to fulfill its debt obligations and other liabilities. See also Notes 12B, 16A(3), 16A(6) and 17 F-J to the 2008 audited consolidated financial statements.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Arial" w:cs="Arial" w:eastAsia="Arial" w:hAnsi="Arial"/>
                <w:sz w:val="18"/>
                <w:szCs w:val="18"/>
                <w:b w:val="1"/>
                <w:bCs w:val="1"/>
                <w:color w:val="auto"/>
              </w:rPr>
              <w:t>NOTE 2</w:t>
            </w:r>
          </w:p>
        </w:tc>
        <w:tc>
          <w:tcPr>
            <w:tcW w:w="5100" w:type="dxa"/>
            <w:vAlign w:val="bottom"/>
          </w:tcPr>
          <w:p>
            <w:pPr>
              <w:ind w:left="200"/>
              <w:spacing w:after="0"/>
              <w:rPr>
                <w:sz w:val="20"/>
                <w:szCs w:val="20"/>
                <w:color w:val="auto"/>
              </w:rPr>
            </w:pPr>
            <w:r>
              <w:rPr>
                <w:rFonts w:ascii="Arial" w:cs="Arial" w:eastAsia="Arial" w:hAnsi="Arial"/>
                <w:sz w:val="18"/>
                <w:szCs w:val="18"/>
                <w:b w:val="1"/>
                <w:bCs w:val="1"/>
                <w:color w:val="auto"/>
              </w:rPr>
              <w:t>–   INVENTORIES</w:t>
            </w:r>
          </w:p>
        </w:tc>
        <w:tc>
          <w:tcPr>
            <w:tcW w:w="2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9"/>
        </w:trPr>
        <w:tc>
          <w:tcPr>
            <w:tcW w:w="5940" w:type="dxa"/>
            <w:vAlign w:val="bottom"/>
            <w:gridSpan w:val="2"/>
          </w:tcPr>
          <w:p>
            <w:pPr>
              <w:ind w:left="580"/>
              <w:spacing w:after="0"/>
              <w:rPr>
                <w:sz w:val="20"/>
                <w:szCs w:val="20"/>
                <w:color w:val="auto"/>
              </w:rPr>
            </w:pPr>
            <w:r>
              <w:rPr>
                <w:rFonts w:ascii="Arial" w:cs="Arial" w:eastAsia="Arial" w:hAnsi="Arial"/>
                <w:sz w:val="18"/>
                <w:szCs w:val="18"/>
                <w:color w:val="auto"/>
              </w:rPr>
              <w:t>Inventories consist of the following:</w:t>
            </w:r>
          </w:p>
        </w:tc>
        <w:tc>
          <w:tcPr>
            <w:tcW w:w="2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8"/>
        </w:trPr>
        <w:tc>
          <w:tcPr>
            <w:tcW w:w="8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342"/>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74"/>
        </w:trPr>
        <w:tc>
          <w:tcPr>
            <w:tcW w:w="84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462"/>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442"/>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5"/>
                <w:szCs w:val="15"/>
                <w:color w:val="auto"/>
              </w:rPr>
            </w:pPr>
          </w:p>
        </w:tc>
      </w:tr>
      <w:tr>
        <w:trPr>
          <w:trHeight w:val="95"/>
        </w:trPr>
        <w:tc>
          <w:tcPr>
            <w:tcW w:w="5940" w:type="dxa"/>
            <w:vAlign w:val="bottom"/>
            <w:gridSpan w:val="2"/>
          </w:tcPr>
          <w:p>
            <w:pPr>
              <w:spacing w:after="0"/>
              <w:rPr>
                <w:sz w:val="8"/>
                <w:szCs w:val="8"/>
                <w:color w:val="auto"/>
              </w:rPr>
            </w:pPr>
          </w:p>
        </w:tc>
        <w:tc>
          <w:tcPr>
            <w:tcW w:w="28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84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5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Raw materials</w:t>
            </w:r>
          </w:p>
        </w:tc>
        <w:tc>
          <w:tcPr>
            <w:tcW w:w="3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7,396</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13,673</w:t>
            </w:r>
          </w:p>
        </w:tc>
        <w:tc>
          <w:tcPr>
            <w:tcW w:w="20" w:type="dxa"/>
            <w:vAlign w:val="bottom"/>
            <w:shd w:val="clear" w:color="auto" w:fill="CCEEFF"/>
          </w:tcPr>
          <w:p>
            <w:pPr>
              <w:spacing w:after="0"/>
              <w:rPr>
                <w:sz w:val="18"/>
                <w:szCs w:val="18"/>
                <w:color w:val="auto"/>
              </w:rPr>
            </w:pPr>
          </w:p>
        </w:tc>
      </w:tr>
      <w:tr>
        <w:trPr>
          <w:trHeight w:val="216"/>
        </w:trPr>
        <w:tc>
          <w:tcPr>
            <w:tcW w:w="5940" w:type="dxa"/>
            <w:vAlign w:val="bottom"/>
            <w:gridSpan w:val="2"/>
          </w:tcPr>
          <w:p>
            <w:pPr>
              <w:ind w:left="580"/>
              <w:spacing w:after="0"/>
              <w:rPr>
                <w:sz w:val="20"/>
                <w:szCs w:val="20"/>
                <w:color w:val="auto"/>
              </w:rPr>
            </w:pPr>
            <w:r>
              <w:rPr>
                <w:rFonts w:ascii="Arial" w:cs="Arial" w:eastAsia="Arial" w:hAnsi="Arial"/>
                <w:sz w:val="18"/>
                <w:szCs w:val="18"/>
                <w:color w:val="auto"/>
              </w:rPr>
              <w:t>Work in process</w:t>
            </w: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22"/>
              <w:spacing w:after="0"/>
              <w:rPr>
                <w:sz w:val="20"/>
                <w:szCs w:val="20"/>
                <w:color w:val="auto"/>
              </w:rPr>
            </w:pPr>
            <w:r>
              <w:rPr>
                <w:rFonts w:ascii="Arial" w:cs="Arial" w:eastAsia="Arial" w:hAnsi="Arial"/>
                <w:sz w:val="18"/>
                <w:szCs w:val="18"/>
                <w:color w:val="auto"/>
              </w:rPr>
              <w:t>13,417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22"/>
              <w:spacing w:after="0"/>
              <w:rPr>
                <w:sz w:val="20"/>
                <w:szCs w:val="20"/>
                <w:color w:val="auto"/>
              </w:rPr>
            </w:pPr>
            <w:r>
              <w:rPr>
                <w:rFonts w:ascii="Arial" w:cs="Arial" w:eastAsia="Arial" w:hAnsi="Arial"/>
                <w:sz w:val="18"/>
                <w:szCs w:val="18"/>
                <w:color w:val="auto"/>
              </w:rPr>
              <w:t>13,966</w:t>
            </w:r>
          </w:p>
        </w:tc>
        <w:tc>
          <w:tcPr>
            <w:tcW w:w="20" w:type="dxa"/>
            <w:vAlign w:val="bottom"/>
          </w:tcPr>
          <w:p>
            <w:pPr>
              <w:spacing w:after="0"/>
              <w:rPr>
                <w:sz w:val="18"/>
                <w:szCs w:val="18"/>
                <w:color w:val="auto"/>
              </w:rPr>
            </w:pPr>
          </w:p>
        </w:tc>
      </w:tr>
      <w:tr>
        <w:trPr>
          <w:trHeight w:val="84"/>
        </w:trPr>
        <w:tc>
          <w:tcPr>
            <w:tcW w:w="840" w:type="dxa"/>
            <w:vAlign w:val="bottom"/>
            <w:shd w:val="clear" w:color="auto" w:fill="CCEEFF"/>
          </w:tcPr>
          <w:p>
            <w:pPr>
              <w:spacing w:after="0"/>
              <w:rPr>
                <w:sz w:val="7"/>
                <w:szCs w:val="7"/>
                <w:color w:val="auto"/>
              </w:rPr>
            </w:pPr>
          </w:p>
        </w:tc>
        <w:tc>
          <w:tcPr>
            <w:tcW w:w="5100" w:type="dxa"/>
            <w:vAlign w:val="bottom"/>
            <w:shd w:val="clear" w:color="auto" w:fill="CCEEFF"/>
          </w:tcPr>
          <w:p>
            <w:pPr>
              <w:spacing w:after="0"/>
              <w:rPr>
                <w:sz w:val="7"/>
                <w:szCs w:val="7"/>
                <w:color w:val="auto"/>
              </w:rPr>
            </w:pPr>
          </w:p>
        </w:tc>
        <w:tc>
          <w:tcPr>
            <w:tcW w:w="28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r>
    </w:tbl>
    <w:p>
      <w:pPr>
        <w:sectPr>
          <w:pgSz w:w="11900" w:h="16900" w:orient="portrait"/>
          <w:cols w:equalWidth="0" w:num="1">
            <w:col w:w="11420"/>
          </w:cols>
          <w:pgMar w:left="240" w:top="131"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00" w:type="dxa"/>
            <w:vAlign w:val="bottom"/>
            <w:gridSpan w:val="2"/>
            <w:shd w:val="clear" w:color="auto" w:fill="CCEEFF"/>
          </w:tcPr>
          <w:p>
            <w:pPr>
              <w:jc w:val="right"/>
              <w:ind w:right="7440"/>
              <w:spacing w:after="0"/>
              <w:rPr>
                <w:sz w:val="20"/>
                <w:szCs w:val="20"/>
                <w:color w:val="auto"/>
              </w:rPr>
            </w:pPr>
            <w:r>
              <w:rPr>
                <w:rFonts w:ascii="Arial" w:cs="Arial" w:eastAsia="Arial" w:hAnsi="Arial"/>
                <w:sz w:val="18"/>
                <w:szCs w:val="18"/>
                <w:color w:val="auto"/>
              </w:rPr>
              <w:t>Finished goods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13,260</w:t>
            </w:r>
          </w:p>
        </w:tc>
        <w:tc>
          <w:tcPr>
            <w:tcW w:w="220" w:type="dxa"/>
            <w:vAlign w:val="bottom"/>
            <w:shd w:val="clear" w:color="auto" w:fill="CCEEFF"/>
          </w:tcPr>
          <w:p>
            <w:pPr>
              <w:spacing w:after="0"/>
              <w:rPr>
                <w:sz w:val="18"/>
                <w:szCs w:val="18"/>
                <w:color w:val="auto"/>
              </w:rPr>
            </w:pPr>
          </w:p>
        </w:tc>
      </w:tr>
      <w:tr>
        <w:trPr>
          <w:trHeight w:val="108"/>
        </w:trPr>
        <w:tc>
          <w:tcPr>
            <w:tcW w:w="87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316"/>
        </w:trPr>
        <w:tc>
          <w:tcPr>
            <w:tcW w:w="9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26,630</w:t>
            </w:r>
          </w:p>
        </w:tc>
        <w:tc>
          <w:tcPr>
            <w:tcW w:w="200" w:type="dxa"/>
            <w:vAlign w:val="bottom"/>
          </w:tcPr>
          <w:p>
            <w:pPr>
              <w:spacing w:after="0"/>
              <w:rPr>
                <w:sz w:val="24"/>
                <w:szCs w:val="24"/>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40,899</w:t>
            </w:r>
          </w:p>
        </w:tc>
        <w:tc>
          <w:tcPr>
            <w:tcW w:w="220" w:type="dxa"/>
            <w:vAlign w:val="bottom"/>
          </w:tcPr>
          <w:p>
            <w:pPr>
              <w:spacing w:after="0"/>
              <w:rPr>
                <w:sz w:val="24"/>
                <w:szCs w:val="24"/>
                <w:color w:val="auto"/>
              </w:rPr>
            </w:pPr>
          </w:p>
        </w:tc>
      </w:tr>
      <w:tr>
        <w:trPr>
          <w:trHeight w:val="134"/>
        </w:trPr>
        <w:tc>
          <w:tcPr>
            <w:tcW w:w="8720" w:type="dxa"/>
            <w:vAlign w:val="bottom"/>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6246495</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jc w:val="both"/>
        <w:ind w:left="580" w:right="220"/>
        <w:spacing w:after="0" w:line="268" w:lineRule="auto"/>
        <w:rPr>
          <w:sz w:val="20"/>
          <w:szCs w:val="20"/>
          <w:color w:val="auto"/>
        </w:rPr>
      </w:pPr>
      <w:r>
        <w:rPr>
          <w:rFonts w:ascii="Arial" w:cs="Arial" w:eastAsia="Arial" w:hAnsi="Arial"/>
          <w:sz w:val="18"/>
          <w:szCs w:val="18"/>
          <w:color w:val="auto"/>
        </w:rPr>
        <w:t>Work in process and finished goods inventories are presented net of aggregate write downs to net realizable value of $4,509 and $12,488 as of June 30, 2009 and December 31, 2008, respectively.</w:t>
      </w:r>
    </w:p>
    <w:p>
      <w:pPr>
        <w:spacing w:after="0" w:line="213" w:lineRule="exact"/>
        <w:rPr>
          <w:sz w:val="20"/>
          <w:szCs w:val="20"/>
          <w:color w:val="auto"/>
        </w:rPr>
      </w:pPr>
    </w:p>
    <w:p>
      <w:pPr>
        <w:ind w:left="580" w:right="100"/>
        <w:spacing w:after="0" w:line="291" w:lineRule="auto"/>
        <w:rPr>
          <w:sz w:val="20"/>
          <w:szCs w:val="20"/>
          <w:color w:val="auto"/>
        </w:rPr>
      </w:pPr>
      <w:r>
        <w:rPr>
          <w:rFonts w:ascii="Arial" w:cs="Arial" w:eastAsia="Arial" w:hAnsi="Arial"/>
          <w:sz w:val="16"/>
          <w:szCs w:val="16"/>
          <w:color w:val="auto"/>
        </w:rPr>
        <w:t>In the second quarter of 2009, Jazz adopted in its financial statements the same method of costing inventories used by Tower, mainly, to include depreciation and amortization as part of the cost of inventory. In addition, indirect raw material that was previously charged in Jazz immediately to earnings is now being capitalized and presented as part of raw material inventory of Jazz. Following the merger date, Tower and Jazz have been working to align their reporting and information systems and concluded the process during the second quarter of 2009. Comparative financial statements of prior periods (in which Jazz was consolidated) have been adjusted to apply the new method retrospectively. The following financial statement line items for fiscal year 2008 were affected by the change in accounting principle.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FINANCIAL STATEMENTS AS OF JUNE 30, 2009</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Arial" w:cs="Arial" w:eastAsia="Arial" w:hAnsi="Arial"/>
                <w:sz w:val="18"/>
                <w:szCs w:val="18"/>
                <w:b w:val="1"/>
                <w:bCs w:val="1"/>
                <w:color w:val="auto"/>
              </w:rPr>
              <w:t>NOTE 2</w:t>
            </w:r>
          </w:p>
        </w:tc>
        <w:tc>
          <w:tcPr>
            <w:tcW w:w="540" w:type="dxa"/>
            <w:vAlign w:val="bottom"/>
          </w:tcPr>
          <w:p>
            <w:pPr>
              <w:ind w:left="200"/>
              <w:spacing w:after="0"/>
              <w:rPr>
                <w:sz w:val="20"/>
                <w:szCs w:val="20"/>
                <w:color w:val="auto"/>
              </w:rPr>
            </w:pPr>
            <w:r>
              <w:rPr>
                <w:rFonts w:ascii="Arial" w:cs="Arial" w:eastAsia="Arial" w:hAnsi="Arial"/>
                <w:sz w:val="18"/>
                <w:szCs w:val="18"/>
                <w:b w:val="1"/>
                <w:bCs w:val="1"/>
                <w:color w:val="auto"/>
              </w:rPr>
              <w:t>–</w:t>
            </w:r>
          </w:p>
        </w:tc>
        <w:tc>
          <w:tcPr>
            <w:tcW w:w="5980" w:type="dxa"/>
            <w:vAlign w:val="bottom"/>
          </w:tcPr>
          <w:p>
            <w:pPr>
              <w:spacing w:after="0"/>
              <w:rPr>
                <w:sz w:val="20"/>
                <w:szCs w:val="20"/>
                <w:color w:val="auto"/>
              </w:rPr>
            </w:pPr>
            <w:r>
              <w:rPr>
                <w:rFonts w:ascii="Arial" w:cs="Arial" w:eastAsia="Arial" w:hAnsi="Arial"/>
                <w:sz w:val="18"/>
                <w:szCs w:val="18"/>
                <w:b w:val="1"/>
                <w:bCs w:val="1"/>
                <w:color w:val="auto"/>
              </w:rPr>
              <w:t>INVENTORIES (cont.)</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59"/>
        </w:trPr>
        <w:tc>
          <w:tcPr>
            <w:tcW w:w="7360" w:type="dxa"/>
            <w:vAlign w:val="bottom"/>
            <w:gridSpan w:val="3"/>
          </w:tcPr>
          <w:p>
            <w:pPr>
              <w:ind w:left="580"/>
              <w:spacing w:after="0"/>
              <w:rPr>
                <w:sz w:val="20"/>
                <w:szCs w:val="20"/>
                <w:color w:val="auto"/>
              </w:rPr>
            </w:pPr>
            <w:r>
              <w:rPr>
                <w:rFonts w:ascii="Arial" w:cs="Arial" w:eastAsia="Arial" w:hAnsi="Arial"/>
                <w:sz w:val="18"/>
                <w:szCs w:val="18"/>
                <w:color w:val="auto"/>
              </w:rPr>
              <w:t>As of December 31, 2008:</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4"/>
        </w:trPr>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w w:val="88"/>
              </w:rPr>
              <w:t>As originally reported</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239"/>
              <w:spacing w:after="0"/>
              <w:rPr>
                <w:sz w:val="20"/>
                <w:szCs w:val="20"/>
                <w:color w:val="auto"/>
              </w:rPr>
            </w:pPr>
            <w:r>
              <w:rPr>
                <w:rFonts w:ascii="Arial" w:cs="Arial" w:eastAsia="Arial" w:hAnsi="Arial"/>
                <w:sz w:val="14"/>
                <w:szCs w:val="14"/>
                <w:b w:val="1"/>
                <w:bCs w:val="1"/>
                <w:color w:val="auto"/>
                <w:w w:val="98"/>
              </w:rPr>
              <w:t>As adjusted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ind w:right="119"/>
              <w:spacing w:after="0"/>
              <w:rPr>
                <w:sz w:val="20"/>
                <w:szCs w:val="20"/>
                <w:color w:val="auto"/>
              </w:rPr>
            </w:pPr>
            <w:r>
              <w:rPr>
                <w:rFonts w:ascii="Arial" w:cs="Arial" w:eastAsia="Arial" w:hAnsi="Arial"/>
                <w:sz w:val="14"/>
                <w:szCs w:val="14"/>
                <w:b w:val="1"/>
                <w:bCs w:val="1"/>
                <w:color w:val="auto"/>
                <w:w w:val="88"/>
              </w:rPr>
              <w:t>Effect of change</w:t>
            </w:r>
          </w:p>
        </w:tc>
      </w:tr>
      <w:tr>
        <w:trPr>
          <w:trHeight w:val="95"/>
        </w:trPr>
        <w:tc>
          <w:tcPr>
            <w:tcW w:w="1380" w:type="dxa"/>
            <w:vAlign w:val="bottom"/>
            <w:gridSpan w:val="2"/>
          </w:tcPr>
          <w:p>
            <w:pPr>
              <w:spacing w:after="0"/>
              <w:rPr>
                <w:sz w:val="8"/>
                <w:szCs w:val="8"/>
                <w:color w:val="auto"/>
              </w:rPr>
            </w:pPr>
          </w:p>
        </w:tc>
        <w:tc>
          <w:tcPr>
            <w:tcW w:w="59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r>
      <w:tr>
        <w:trPr>
          <w:trHeight w:val="458"/>
        </w:trPr>
        <w:tc>
          <w:tcPr>
            <w:tcW w:w="1380" w:type="dxa"/>
            <w:vAlign w:val="bottom"/>
            <w:gridSpan w:val="2"/>
          </w:tcPr>
          <w:p>
            <w:pPr>
              <w:ind w:left="580"/>
              <w:spacing w:after="0"/>
              <w:rPr>
                <w:sz w:val="20"/>
                <w:szCs w:val="20"/>
                <w:color w:val="auto"/>
              </w:rPr>
            </w:pPr>
            <w:r>
              <w:rPr>
                <w:rFonts w:ascii="Arial" w:cs="Arial" w:eastAsia="Arial" w:hAnsi="Arial"/>
                <w:sz w:val="18"/>
                <w:szCs w:val="18"/>
                <w:color w:val="auto"/>
                <w:w w:val="88"/>
              </w:rPr>
              <w:t>Inventories</w:t>
            </w:r>
          </w:p>
        </w:tc>
        <w:tc>
          <w:tcPr>
            <w:tcW w:w="598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38,729</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9"/>
              <w:spacing w:after="0"/>
              <w:rPr>
                <w:sz w:val="20"/>
                <w:szCs w:val="20"/>
                <w:color w:val="auto"/>
              </w:rPr>
            </w:pPr>
            <w:r>
              <w:rPr>
                <w:rFonts w:ascii="Arial" w:cs="Arial" w:eastAsia="Arial" w:hAnsi="Arial"/>
                <w:sz w:val="18"/>
                <w:szCs w:val="18"/>
                <w:color w:val="auto"/>
              </w:rPr>
              <w:t>40,899</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9"/>
              <w:spacing w:after="0"/>
              <w:rPr>
                <w:sz w:val="20"/>
                <w:szCs w:val="20"/>
                <w:color w:val="auto"/>
              </w:rPr>
            </w:pPr>
            <w:r>
              <w:rPr>
                <w:rFonts w:ascii="Arial" w:cs="Arial" w:eastAsia="Arial" w:hAnsi="Arial"/>
                <w:sz w:val="18"/>
                <w:szCs w:val="18"/>
                <w:color w:val="auto"/>
              </w:rPr>
              <w:t>2,170</w:t>
            </w:r>
          </w:p>
        </w:tc>
      </w:tr>
      <w:tr>
        <w:trPr>
          <w:trHeight w:val="222"/>
        </w:trPr>
        <w:tc>
          <w:tcPr>
            <w:tcW w:w="7360" w:type="dxa"/>
            <w:vAlign w:val="bottom"/>
            <w:gridSpan w:val="3"/>
          </w:tcPr>
          <w:p>
            <w:pPr>
              <w:ind w:left="580"/>
              <w:spacing w:after="0"/>
              <w:rPr>
                <w:sz w:val="20"/>
                <w:szCs w:val="20"/>
                <w:color w:val="auto"/>
              </w:rPr>
            </w:pPr>
            <w:r>
              <w:rPr>
                <w:rFonts w:ascii="Arial" w:cs="Arial" w:eastAsia="Arial" w:hAnsi="Arial"/>
                <w:sz w:val="18"/>
                <w:szCs w:val="18"/>
                <w:color w:val="auto"/>
              </w:rPr>
              <w:t>Shareholders' Equity</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110,277</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9"/>
              <w:spacing w:after="0"/>
              <w:rPr>
                <w:sz w:val="20"/>
                <w:szCs w:val="20"/>
                <w:color w:val="auto"/>
              </w:rPr>
            </w:pPr>
            <w:r>
              <w:rPr>
                <w:rFonts w:ascii="Arial" w:cs="Arial" w:eastAsia="Arial" w:hAnsi="Arial"/>
                <w:sz w:val="18"/>
                <w:szCs w:val="18"/>
                <w:color w:val="auto"/>
              </w:rPr>
              <w:t>112,447</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9"/>
              <w:spacing w:after="0"/>
              <w:rPr>
                <w:sz w:val="20"/>
                <w:szCs w:val="20"/>
                <w:color w:val="auto"/>
              </w:rPr>
            </w:pPr>
            <w:r>
              <w:rPr>
                <w:rFonts w:ascii="Arial" w:cs="Arial" w:eastAsia="Arial" w:hAnsi="Arial"/>
                <w:sz w:val="18"/>
                <w:szCs w:val="18"/>
                <w:color w:val="auto"/>
              </w:rPr>
              <w:t>2,170</w:t>
            </w:r>
          </w:p>
        </w:tc>
      </w:tr>
      <w:tr>
        <w:trPr>
          <w:trHeight w:val="459"/>
        </w:trPr>
        <w:tc>
          <w:tcPr>
            <w:tcW w:w="840" w:type="dxa"/>
            <w:vAlign w:val="bottom"/>
          </w:tcPr>
          <w:p>
            <w:pPr>
              <w:spacing w:after="0"/>
              <w:rPr>
                <w:sz w:val="20"/>
                <w:szCs w:val="20"/>
                <w:color w:val="auto"/>
              </w:rPr>
            </w:pPr>
            <w:r>
              <w:rPr>
                <w:rFonts w:ascii="Arial" w:cs="Arial" w:eastAsia="Arial" w:hAnsi="Arial"/>
                <w:sz w:val="18"/>
                <w:szCs w:val="18"/>
                <w:b w:val="1"/>
                <w:bCs w:val="1"/>
                <w:color w:val="auto"/>
              </w:rPr>
              <w:t>NOTE 3</w:t>
            </w:r>
          </w:p>
        </w:tc>
        <w:tc>
          <w:tcPr>
            <w:tcW w:w="540" w:type="dxa"/>
            <w:vAlign w:val="bottom"/>
          </w:tcPr>
          <w:p>
            <w:pPr>
              <w:ind w:left="200"/>
              <w:spacing w:after="0"/>
              <w:rPr>
                <w:sz w:val="20"/>
                <w:szCs w:val="20"/>
                <w:color w:val="auto"/>
              </w:rPr>
            </w:pPr>
            <w:r>
              <w:rPr>
                <w:rFonts w:ascii="Arial" w:cs="Arial" w:eastAsia="Arial" w:hAnsi="Arial"/>
                <w:sz w:val="18"/>
                <w:szCs w:val="18"/>
                <w:b w:val="1"/>
                <w:bCs w:val="1"/>
                <w:color w:val="auto"/>
              </w:rPr>
              <w:t>–</w:t>
            </w:r>
          </w:p>
        </w:tc>
        <w:tc>
          <w:tcPr>
            <w:tcW w:w="5980" w:type="dxa"/>
            <w:vAlign w:val="bottom"/>
          </w:tcPr>
          <w:p>
            <w:pPr>
              <w:spacing w:after="0"/>
              <w:rPr>
                <w:sz w:val="20"/>
                <w:szCs w:val="20"/>
                <w:color w:val="auto"/>
              </w:rPr>
            </w:pPr>
            <w:r>
              <w:rPr>
                <w:rFonts w:ascii="Arial" w:cs="Arial" w:eastAsia="Arial" w:hAnsi="Arial"/>
                <w:sz w:val="18"/>
                <w:szCs w:val="18"/>
                <w:b w:val="1"/>
                <w:bCs w:val="1"/>
                <w:color w:val="auto"/>
              </w:rPr>
              <w:t>PRO-FORMA FINANCIAL INFORMATION</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237" w:lineRule="exact"/>
        <w:rPr>
          <w:sz w:val="20"/>
          <w:szCs w:val="20"/>
          <w:color w:val="auto"/>
        </w:rPr>
      </w:pPr>
    </w:p>
    <w:p>
      <w:pPr>
        <w:jc w:val="both"/>
        <w:ind w:left="580" w:right="100"/>
        <w:spacing w:after="0" w:line="259" w:lineRule="auto"/>
        <w:rPr>
          <w:sz w:val="20"/>
          <w:szCs w:val="20"/>
          <w:color w:val="auto"/>
        </w:rPr>
      </w:pPr>
      <w:r>
        <w:rPr>
          <w:rFonts w:ascii="Arial" w:cs="Arial" w:eastAsia="Arial" w:hAnsi="Arial"/>
          <w:sz w:val="18"/>
          <w:szCs w:val="18"/>
          <w:color w:val="auto"/>
        </w:rPr>
        <w:t>The following unaudited pro-forma financial information assumes that the merger with Jazz occurred on January 1, 2008. Such information is presented for illustrative purposes only and is not necessarily indicative of the operating results that would have been achieved if the merger had taken place on the date specified, nor are they indicative of the Company’s future operating results.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Six months ended</w:t>
            </w:r>
          </w:p>
        </w:tc>
      </w:tr>
      <w:tr>
        <w:trPr>
          <w:trHeight w:val="174"/>
        </w:trPr>
        <w:tc>
          <w:tcPr>
            <w:tcW w:w="10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June 30, 2008</w:t>
            </w:r>
          </w:p>
        </w:tc>
      </w:tr>
      <w:tr>
        <w:trPr>
          <w:trHeight w:val="95"/>
        </w:trPr>
        <w:tc>
          <w:tcPr>
            <w:tcW w:w="100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10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100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Revenues</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214,025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0060" w:type="dxa"/>
            <w:vAlign w:val="bottom"/>
          </w:tcPr>
          <w:p>
            <w:pPr>
              <w:ind w:left="580"/>
              <w:spacing w:after="0"/>
              <w:rPr>
                <w:sz w:val="20"/>
                <w:szCs w:val="20"/>
                <w:color w:val="auto"/>
              </w:rPr>
            </w:pPr>
            <w:r>
              <w:rPr>
                <w:rFonts w:ascii="Arial" w:cs="Arial" w:eastAsia="Arial" w:hAnsi="Arial"/>
                <w:sz w:val="18"/>
                <w:szCs w:val="18"/>
                <w:color w:val="auto"/>
              </w:rPr>
              <w:t>Loss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(61,182)</w:t>
            </w:r>
          </w:p>
        </w:tc>
        <w:tc>
          <w:tcPr>
            <w:tcW w:w="20" w:type="dxa"/>
            <w:vAlign w:val="bottom"/>
          </w:tcPr>
          <w:p>
            <w:pPr>
              <w:spacing w:after="0"/>
              <w:rPr>
                <w:sz w:val="18"/>
                <w:szCs w:val="18"/>
                <w:color w:val="auto"/>
              </w:rPr>
            </w:pPr>
          </w:p>
        </w:tc>
      </w:tr>
      <w:tr>
        <w:trPr>
          <w:trHeight w:val="216"/>
        </w:trPr>
        <w:tc>
          <w:tcPr>
            <w:tcW w:w="100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Loss per share - basic and diluted</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(0.38)</w:t>
            </w:r>
          </w:p>
        </w:tc>
        <w:tc>
          <w:tcPr>
            <w:tcW w:w="20" w:type="dxa"/>
            <w:vAlign w:val="bottom"/>
            <w:shd w:val="clear" w:color="auto" w:fill="CCEEFF"/>
          </w:tcPr>
          <w:p>
            <w:pPr>
              <w:spacing w:after="0"/>
              <w:rPr>
                <w:sz w:val="18"/>
                <w:szCs w:val="18"/>
                <w:color w:val="auto"/>
              </w:rPr>
            </w:pPr>
          </w:p>
        </w:tc>
      </w:tr>
      <w:tr>
        <w:trPr>
          <w:trHeight w:val="108"/>
        </w:trPr>
        <w:tc>
          <w:tcPr>
            <w:tcW w:w="1006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34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See additional business and financial information regarding the merger with Jazz in Note 3 to the 2008 consolidated financial statements.</w:t>
      </w:r>
    </w:p>
    <w:p>
      <w:pPr>
        <w:spacing w:after="0" w:line="296"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FAIR VALUE MEASUREMENTS</w:t>
      </w:r>
    </w:p>
    <w:p>
      <w:pPr>
        <w:spacing w:after="0" w:line="252" w:lineRule="exact"/>
        <w:rPr>
          <w:sz w:val="20"/>
          <w:szCs w:val="20"/>
          <w:color w:val="auto"/>
        </w:rPr>
      </w:pPr>
    </w:p>
    <w:p>
      <w:pPr>
        <w:ind w:left="1160" w:hanging="571"/>
        <w:spacing w:after="0"/>
        <w:tabs>
          <w:tab w:leader="none" w:pos="11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58" w:lineRule="exact"/>
        <w:rPr>
          <w:rFonts w:ascii="Arial" w:cs="Arial" w:eastAsia="Arial" w:hAnsi="Arial"/>
          <w:sz w:val="18"/>
          <w:szCs w:val="18"/>
          <w:b w:val="1"/>
          <w:bCs w:val="1"/>
          <w:color w:val="auto"/>
        </w:rPr>
      </w:pPr>
    </w:p>
    <w:p>
      <w:pPr>
        <w:ind w:left="1160" w:right="10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estimated fair values of the Company’s financial instruments, excluding the Company’s long-term debentures and long-term banks loans, do not materially differ from their respective carrying amounts as of June 30, 2009 and December 31, 2008. The fair values of Tower’s and Jazz’s debentures, based on quoted market prices as of June 30, 2009 and December 31, 2008 were $130,065 and $60,264, respectively.</w:t>
      </w:r>
    </w:p>
    <w:p>
      <w:pPr>
        <w:spacing w:after="0" w:line="181" w:lineRule="exact"/>
        <w:rPr>
          <w:rFonts w:ascii="Arial" w:cs="Arial" w:eastAsia="Arial" w:hAnsi="Arial"/>
          <w:sz w:val="18"/>
          <w:szCs w:val="18"/>
          <w:b w:val="1"/>
          <w:bCs w:val="1"/>
          <w:color w:val="auto"/>
        </w:rPr>
      </w:pPr>
    </w:p>
    <w:p>
      <w:pPr>
        <w:ind w:left="1160" w:hanging="571"/>
        <w:spacing w:after="0"/>
        <w:tabs>
          <w:tab w:leader="none" w:pos="11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58" w:lineRule="exact"/>
        <w:rPr>
          <w:rFonts w:ascii="Arial" w:cs="Arial" w:eastAsia="Arial" w:hAnsi="Arial"/>
          <w:sz w:val="18"/>
          <w:szCs w:val="18"/>
          <w:b w:val="1"/>
          <w:bCs w:val="1"/>
          <w:color w:val="auto"/>
        </w:rPr>
      </w:pPr>
    </w:p>
    <w:p>
      <w:pPr>
        <w:ind w:left="1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decided to early adopt the provisions of SFAS No. 157 effective January 1, 2007, concurrent with the adoption of FASB 159 “The Fair Value Option for Financial Assets and Financial Liabilities” (SFAS No. 159). Fair values were determined using the income approach using a present value technique,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FINANCIAL STATEMENTS AS OF JUNE 30, 2009</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FAIR VALUE MEASUREMENTS (cont.)</w:t>
      </w:r>
    </w:p>
    <w:p>
      <w:pPr>
        <w:sectPr>
          <w:pgSz w:w="11900" w:h="16838" w:orient="portrait"/>
          <w:cols w:equalWidth="0" w:num="1">
            <w:col w:w="11420"/>
          </w:cols>
          <w:pgMar w:left="240" w:top="140" w:right="239" w:bottom="0" w:gutter="0" w:footer="0" w:header="0"/>
        </w:sectPr>
      </w:pPr>
    </w:p>
    <w:bookmarkStart w:id="10" w:name="page11"/>
    <w:bookmarkEnd w:id="10"/>
    <w:p>
      <w:pPr>
        <w:ind w:left="1160" w:hanging="571"/>
        <w:spacing w:after="0"/>
        <w:tabs>
          <w:tab w:leader="none" w:pos="11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w:t>
      </w:r>
    </w:p>
    <w:p>
      <w:pPr>
        <w:spacing w:after="0" w:line="258" w:lineRule="exact"/>
        <w:rPr>
          <w:rFonts w:ascii="Arial" w:cs="Arial" w:eastAsia="Arial" w:hAnsi="Arial"/>
          <w:sz w:val="18"/>
          <w:szCs w:val="18"/>
          <w:b w:val="1"/>
          <w:bCs w:val="1"/>
          <w:color w:val="auto"/>
        </w:rPr>
      </w:pPr>
    </w:p>
    <w:p>
      <w:pPr>
        <w:ind w:left="1160" w:right="4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For Tower’s loans – the cash flows used in the technique reflect the income stream expected to be used to satisfy the obligation over its economic life. The Company discounted expected cash flows as forecasted each quarter using the appropriate discount rate for the applicable maturity.</w:t>
      </w:r>
    </w:p>
    <w:p>
      <w:pPr>
        <w:spacing w:after="0" w:line="143"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color w:val="auto"/>
        </w:rPr>
        <w:t>For embedded derivatives – the Company utilized the Black Scholes Merton formula.</w:t>
      </w:r>
    </w:p>
    <w:p>
      <w:pPr>
        <w:spacing w:after="0" w:line="279" w:lineRule="exact"/>
        <w:rPr>
          <w:rFonts w:ascii="Arial" w:cs="Arial" w:eastAsia="Arial" w:hAnsi="Arial"/>
          <w:sz w:val="18"/>
          <w:szCs w:val="18"/>
          <w:b w:val="1"/>
          <w:bCs w:val="1"/>
          <w:color w:val="auto"/>
        </w:rPr>
      </w:pPr>
    </w:p>
    <w:p>
      <w:pPr>
        <w:ind w:left="1160" w:right="2420"/>
        <w:spacing w:after="0" w:line="746" w:lineRule="auto"/>
        <w:rPr>
          <w:rFonts w:ascii="Arial" w:cs="Arial" w:eastAsia="Arial" w:hAnsi="Arial"/>
          <w:sz w:val="18"/>
          <w:szCs w:val="18"/>
          <w:b w:val="1"/>
          <w:bCs w:val="1"/>
          <w:color w:val="auto"/>
        </w:rPr>
      </w:pPr>
      <w:r>
        <w:rPr>
          <w:rFonts w:ascii="Arial" w:cs="Arial" w:eastAsia="Arial" w:hAnsi="Arial"/>
          <w:sz w:val="15"/>
          <w:szCs w:val="15"/>
          <w:color w:val="auto"/>
        </w:rPr>
        <w:t>For over the counter derivatives – the Company used the market approach using quotation from market dealers. For Tower’s convertible debentures series E – the market approach using quoted market prices was used.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Recurring Fair Value Measurements Using the Indicated Inputs: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Quoted prices in</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active market for</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Significant other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identical liability</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observable inputs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June 30, 2009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(Level 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(Level 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(level 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5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debentures series E</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22,747</w:t>
            </w:r>
          </w:p>
        </w:tc>
        <w:tc>
          <w:tcPr>
            <w:tcW w:w="200" w:type="dxa"/>
            <w:vAlign w:val="bottom"/>
            <w:shd w:val="clear" w:color="auto" w:fill="CCEEFF"/>
          </w:tcPr>
          <w:p>
            <w:pPr>
              <w:spacing w:after="0"/>
              <w:rPr>
                <w:sz w:val="18"/>
                <w:szCs w:val="18"/>
                <w:color w:val="auto"/>
              </w:rPr>
            </w:pPr>
          </w:p>
        </w:tc>
        <w:tc>
          <w:tcPr>
            <w:tcW w:w="1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22,747</w:t>
            </w:r>
          </w:p>
        </w:tc>
        <w:tc>
          <w:tcPr>
            <w:tcW w:w="20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Tower's Long-term debt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190,149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190,149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Warrants and previously bifurcated</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00" w:type="dxa"/>
            <w:vAlign w:val="bottom"/>
            <w:gridSpan w:val="3"/>
          </w:tcPr>
          <w:p>
            <w:pPr>
              <w:spacing w:after="0"/>
              <w:rPr>
                <w:sz w:val="20"/>
                <w:szCs w:val="20"/>
                <w:color w:val="auto"/>
              </w:rPr>
            </w:pPr>
            <w:r>
              <w:rPr>
                <w:rFonts w:ascii="Arial" w:cs="Arial" w:eastAsia="Arial" w:hAnsi="Arial"/>
                <w:sz w:val="18"/>
                <w:szCs w:val="18"/>
                <w:color w:val="auto"/>
              </w:rPr>
              <w:t>conversion option</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2,960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2,233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219,140</w:t>
            </w:r>
          </w:p>
        </w:tc>
        <w:tc>
          <w:tcPr>
            <w:tcW w:w="200" w:type="dxa"/>
            <w:vAlign w:val="bottom"/>
            <w:shd w:val="clear" w:color="auto" w:fill="CCEEFF"/>
          </w:tcPr>
          <w:p>
            <w:pPr>
              <w:spacing w:after="0"/>
              <w:rPr>
                <w:sz w:val="18"/>
                <w:szCs w:val="18"/>
                <w:color w:val="auto"/>
              </w:rPr>
            </w:pPr>
          </w:p>
        </w:tc>
        <w:tc>
          <w:tcPr>
            <w:tcW w:w="1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23,474</w:t>
            </w:r>
          </w:p>
        </w:tc>
        <w:tc>
          <w:tcPr>
            <w:tcW w:w="20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192,382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960" w:type="dxa"/>
            <w:vAlign w:val="bottom"/>
            <w:gridSpan w:val="2"/>
          </w:tcPr>
          <w:p>
            <w:pPr>
              <w:spacing w:after="0"/>
              <w:rPr>
                <w:sz w:val="11"/>
                <w:szCs w:val="11"/>
                <w:color w:val="auto"/>
              </w:rPr>
            </w:pPr>
          </w:p>
        </w:tc>
        <w:tc>
          <w:tcPr>
            <w:tcW w:w="300" w:type="dxa"/>
            <w:vAlign w:val="bottom"/>
            <w:tcBorders>
              <w:bottom w:val="single" w:sz="8" w:color="808080"/>
            </w:tcBorders>
            <w:gridSpan w:val="2"/>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8"/>
        </w:trPr>
        <w:tc>
          <w:tcPr>
            <w:tcW w:w="6260" w:type="dxa"/>
            <w:vAlign w:val="bottom"/>
            <w:gridSpan w:val="4"/>
          </w:tcPr>
          <w:p>
            <w:pPr>
              <w:spacing w:after="0"/>
              <w:rPr>
                <w:sz w:val="20"/>
                <w:szCs w:val="20"/>
                <w:color w:val="auto"/>
              </w:rPr>
            </w:pPr>
            <w:r>
              <w:rPr>
                <w:rFonts w:ascii="Arial" w:cs="Arial" w:eastAsia="Arial" w:hAnsi="Arial"/>
                <w:sz w:val="18"/>
                <w:szCs w:val="18"/>
                <w:color w:val="auto"/>
                <w:w w:val="88"/>
              </w:rPr>
              <w:t>Liabilities measured on a recurring basis using significant unobservable inputs (Level 3):</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Warrants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previously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Long-term</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debentures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bifurcated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debt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1"/>
              </w:rPr>
              <w:t>series E</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conversion option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gridSpan w:val="3"/>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5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January 1, 2009 - at fair value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202,989</w:t>
            </w:r>
          </w:p>
        </w:tc>
        <w:tc>
          <w:tcPr>
            <w:tcW w:w="20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Reclassification of warrants and previously bifurcated</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3"/>
          </w:tcPr>
          <w:p>
            <w:pPr>
              <w:spacing w:after="0"/>
              <w:rPr>
                <w:sz w:val="20"/>
                <w:szCs w:val="20"/>
                <w:color w:val="auto"/>
              </w:rPr>
            </w:pPr>
            <w:r>
              <w:rPr>
                <w:rFonts w:ascii="Arial" w:cs="Arial" w:eastAsia="Arial" w:hAnsi="Arial"/>
                <w:sz w:val="18"/>
                <w:szCs w:val="18"/>
                <w:color w:val="auto"/>
              </w:rPr>
              <w:t>conversion option from equity to liability - see Note</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00" w:type="dxa"/>
            <w:vAlign w:val="bottom"/>
            <w:gridSpan w:val="3"/>
          </w:tcPr>
          <w:p>
            <w:pPr>
              <w:spacing w:after="0"/>
              <w:rPr>
                <w:sz w:val="20"/>
                <w:szCs w:val="20"/>
                <w:color w:val="auto"/>
              </w:rPr>
            </w:pPr>
            <w:r>
              <w:rPr>
                <w:rFonts w:ascii="Arial" w:cs="Arial" w:eastAsia="Arial" w:hAnsi="Arial"/>
                <w:sz w:val="18"/>
                <w:szCs w:val="18"/>
                <w:color w:val="auto"/>
              </w:rPr>
              <w:t>1A(3) - Initial Adoption of New Standards - EITF07-5</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losses (gains) unrealized in earnings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(12,840)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Transfer out of Level 3</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(22,747)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8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gridSpan w:val="3"/>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120" w:type="dxa"/>
            <w:vAlign w:val="bottom"/>
            <w:tcBorders>
              <w:top w:val="single" w:sz="8" w:color="808080"/>
            </w:tcBorders>
          </w:tcPr>
          <w:p>
            <w:pPr>
              <w:spacing w:after="0"/>
              <w:rPr>
                <w:sz w:val="8"/>
                <w:szCs w:val="8"/>
                <w:color w:val="auto"/>
              </w:rPr>
            </w:pPr>
          </w:p>
        </w:tc>
        <w:tc>
          <w:tcPr>
            <w:tcW w:w="1000" w:type="dxa"/>
            <w:vAlign w:val="bottom"/>
            <w:tcBorders>
              <w:top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120" w:type="dxa"/>
            <w:vAlign w:val="bottom"/>
            <w:tcBorders>
              <w:top w:val="single" w:sz="8" w:color="808080"/>
            </w:tcBorders>
          </w:tcPr>
          <w:p>
            <w:pPr>
              <w:spacing w:after="0"/>
              <w:rPr>
                <w:sz w:val="8"/>
                <w:szCs w:val="8"/>
                <w:color w:val="auto"/>
              </w:rPr>
            </w:pPr>
          </w:p>
        </w:tc>
        <w:tc>
          <w:tcPr>
            <w:tcW w:w="1000" w:type="dxa"/>
            <w:vAlign w:val="bottom"/>
            <w:tcBorders>
              <w:top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Borders>
              <w:top w:val="single" w:sz="8" w:color="808080"/>
            </w:tcBorders>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1000" w:type="dxa"/>
            <w:vAlign w:val="bottom"/>
            <w:tcBorders>
              <w:top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June 30, 2009 - at fair value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190,149</w:t>
            </w:r>
          </w:p>
        </w:tc>
        <w:tc>
          <w:tcPr>
            <w:tcW w:w="20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000" w:type="dxa"/>
            <w:vAlign w:val="bottom"/>
            <w:gridSpan w:val="3"/>
            <w:vMerge w:val="restart"/>
          </w:tcPr>
          <w:p>
            <w:pPr>
              <w:spacing w:after="0"/>
              <w:rPr>
                <w:sz w:val="20"/>
                <w:szCs w:val="20"/>
                <w:color w:val="auto"/>
              </w:rPr>
            </w:pPr>
            <w:r>
              <w:rPr>
                <w:rFonts w:ascii="Arial" w:cs="Arial" w:eastAsia="Arial" w:hAnsi="Arial"/>
                <w:sz w:val="18"/>
                <w:szCs w:val="18"/>
                <w:color w:val="auto"/>
              </w:rPr>
              <w:t>Unrealized losses (gains) in earnings from liabilities</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3"/>
        </w:trPr>
        <w:tc>
          <w:tcPr>
            <w:tcW w:w="600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000" w:type="dxa"/>
            <w:vAlign w:val="bottom"/>
            <w:gridSpan w:val="3"/>
          </w:tcPr>
          <w:p>
            <w:pPr>
              <w:spacing w:after="0"/>
              <w:rPr>
                <w:sz w:val="20"/>
                <w:szCs w:val="20"/>
                <w:color w:val="auto"/>
              </w:rPr>
            </w:pPr>
            <w:r>
              <w:rPr>
                <w:rFonts w:ascii="Arial" w:cs="Arial" w:eastAsia="Arial" w:hAnsi="Arial"/>
                <w:sz w:val="18"/>
                <w:szCs w:val="18"/>
                <w:color w:val="auto"/>
              </w:rPr>
              <w:t>held at period end</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(12,840)</w:t>
            </w:r>
          </w:p>
        </w:tc>
        <w:tc>
          <w:tcPr>
            <w:tcW w:w="16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5,922</w:t>
            </w:r>
          </w:p>
        </w:tc>
        <w:tc>
          <w:tcPr>
            <w:tcW w:w="20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2,144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-2919095</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-2919095</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-2919095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-2919095</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-2919095</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-2919095</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-2919095</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-2919095</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-466725</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-466725</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-466725</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-466725</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-466725</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-466725</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FINANCIAL STATEMENTS AS OF JUNE 30, 2009</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NOTE 4</w:t>
            </w:r>
          </w:p>
        </w:tc>
        <w:tc>
          <w:tcPr>
            <w:tcW w:w="200" w:type="dxa"/>
            <w:vAlign w:val="bottom"/>
          </w:tcPr>
          <w:p>
            <w:pPr>
              <w:ind w:left="100"/>
              <w:spacing w:after="0"/>
              <w:rPr>
                <w:sz w:val="20"/>
                <w:szCs w:val="20"/>
                <w:color w:val="auto"/>
              </w:rPr>
            </w:pPr>
            <w:r>
              <w:rPr>
                <w:rFonts w:ascii="Arial" w:cs="Arial" w:eastAsia="Arial" w:hAnsi="Arial"/>
                <w:sz w:val="18"/>
                <w:szCs w:val="18"/>
                <w:b w:val="1"/>
                <w:bCs w:val="1"/>
                <w:color w:val="auto"/>
                <w:w w:val="79"/>
              </w:rPr>
              <w:t>–</w:t>
            </w:r>
          </w:p>
        </w:tc>
        <w:tc>
          <w:tcPr>
            <w:tcW w:w="4860" w:type="dxa"/>
            <w:vAlign w:val="bottom"/>
            <w:gridSpan w:val="2"/>
          </w:tcPr>
          <w:p>
            <w:pPr>
              <w:ind w:left="240"/>
              <w:spacing w:after="0"/>
              <w:rPr>
                <w:sz w:val="20"/>
                <w:szCs w:val="20"/>
                <w:color w:val="auto"/>
              </w:rPr>
            </w:pPr>
            <w:r>
              <w:rPr>
                <w:rFonts w:ascii="Arial" w:cs="Arial" w:eastAsia="Arial" w:hAnsi="Arial"/>
                <w:sz w:val="18"/>
                <w:szCs w:val="18"/>
                <w:b w:val="1"/>
                <w:bCs w:val="1"/>
                <w:color w:val="auto"/>
              </w:rPr>
              <w:t>FAIR VALUE MEASUREMENTS (cont.)</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920" w:type="dxa"/>
            <w:vAlign w:val="bottom"/>
          </w:tcPr>
          <w:p>
            <w:pPr>
              <w:ind w:left="560"/>
              <w:spacing w:after="0"/>
              <w:rPr>
                <w:sz w:val="20"/>
                <w:szCs w:val="20"/>
                <w:color w:val="auto"/>
              </w:rPr>
            </w:pPr>
            <w:r>
              <w:rPr>
                <w:rFonts w:ascii="Arial" w:cs="Arial" w:eastAsia="Arial" w:hAnsi="Arial"/>
                <w:sz w:val="18"/>
                <w:szCs w:val="18"/>
                <w:b w:val="1"/>
                <w:bCs w:val="1"/>
                <w:color w:val="auto"/>
              </w:rPr>
              <w:t>(B)</w:t>
            </w:r>
          </w:p>
        </w:tc>
        <w:tc>
          <w:tcPr>
            <w:tcW w:w="200" w:type="dxa"/>
            <w:vAlign w:val="bottom"/>
          </w:tcPr>
          <w:p>
            <w:pPr>
              <w:spacing w:after="0"/>
              <w:rPr>
                <w:sz w:val="24"/>
                <w:szCs w:val="24"/>
                <w:color w:val="auto"/>
              </w:rPr>
            </w:pPr>
          </w:p>
        </w:tc>
        <w:tc>
          <w:tcPr>
            <w:tcW w:w="486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 Measurements (cont.)</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6000" w:type="dxa"/>
            <w:vAlign w:val="bottom"/>
            <w:gridSpan w:val="5"/>
          </w:tcPr>
          <w:p>
            <w:pPr>
              <w:spacing w:after="0"/>
              <w:rPr>
                <w:sz w:val="20"/>
                <w:szCs w:val="20"/>
                <w:color w:val="auto"/>
              </w:rPr>
            </w:pPr>
            <w:r>
              <w:rPr>
                <w:rFonts w:ascii="Arial" w:cs="Arial" w:eastAsia="Arial" w:hAnsi="Arial"/>
                <w:sz w:val="18"/>
                <w:szCs w:val="18"/>
                <w:color w:val="auto"/>
              </w:rPr>
              <w:t>Recurring Fair Value Measurements Using the Indicated Inputs: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6"/>
              </w:rPr>
              <w:t>Quoted prices in</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active market for</w:t>
            </w:r>
          </w:p>
        </w:tc>
        <w:tc>
          <w:tcPr>
            <w:tcW w:w="140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Significant other</w:t>
            </w:r>
          </w:p>
        </w:tc>
        <w:tc>
          <w:tcPr>
            <w:tcW w:w="11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identical liability</w:t>
            </w:r>
          </w:p>
        </w:tc>
        <w:tc>
          <w:tcPr>
            <w:tcW w:w="140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observable inputs</w:t>
            </w:r>
          </w:p>
        </w:tc>
        <w:tc>
          <w:tcPr>
            <w:tcW w:w="11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240"/>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(Level 1)</w:t>
            </w:r>
          </w:p>
        </w:tc>
        <w:tc>
          <w:tcPr>
            <w:tcW w:w="14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7"/>
              </w:rPr>
              <w:t>(Level 2)</w:t>
            </w:r>
          </w:p>
        </w:tc>
        <w:tc>
          <w:tcPr>
            <w:tcW w:w="1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40" w:type="dxa"/>
            <w:vAlign w:val="bottom"/>
            <w:gridSpan w:val="3"/>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Convertible debentures series 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16,825</w:t>
            </w:r>
          </w:p>
        </w:tc>
        <w:tc>
          <w:tcPr>
            <w:tcW w:w="20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5"/>
            <w:shd w:val="clear" w:color="auto" w:fill="CCEEFF"/>
          </w:tcPr>
          <w:p>
            <w:pPr>
              <w:ind w:left="940"/>
              <w:spacing w:after="0"/>
              <w:rPr>
                <w:sz w:val="20"/>
                <w:szCs w:val="20"/>
                <w:color w:val="auto"/>
              </w:rPr>
            </w:pPr>
            <w:r>
              <w:rPr>
                <w:rFonts w:ascii="Arial" w:cs="Arial" w:eastAsia="Arial" w:hAnsi="Arial"/>
                <w:sz w:val="18"/>
                <w:szCs w:val="18"/>
                <w:color w:val="auto"/>
              </w:rPr>
              <w:t>-   $</w:t>
            </w:r>
          </w:p>
        </w:tc>
        <w:tc>
          <w:tcPr>
            <w:tcW w:w="14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0"/>
              </w:rPr>
              <w:t>Long-term debt</w:t>
            </w:r>
          </w:p>
        </w:tc>
        <w:tc>
          <w:tcPr>
            <w:tcW w:w="4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202,989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94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202,989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20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ind w:left="94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3,236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0" w:gutter="0" w:footer="0" w:header="0"/>
        </w:sectPr>
      </w:pPr>
    </w:p>
    <w:bookmarkStart w:id="11" w:name="page12"/>
    <w:bookmarkEnd w:id="11"/>
    <w:p>
      <w:pPr>
        <w:ind w:left="6000"/>
        <w:spacing w:after="0"/>
        <w:tabs>
          <w:tab w:leader="none" w:pos="6540" w:val="left"/>
          <w:tab w:leader="none" w:pos="7360" w:val="left"/>
          <w:tab w:leader="none" w:pos="8420" w:val="left"/>
          <w:tab w:leader="none" w:pos="8720" w:val="left"/>
          <w:tab w:leader="none" w:pos="9440" w:val="left"/>
          <w:tab w:leader="none" w:pos="10060" w:val="left"/>
          <w:tab w:leader="none" w:pos="10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223,050</w:t>
        <w:tab/>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3,236</w:t>
        <w:tab/>
        <w:t>$</w:t>
      </w:r>
      <w:r>
        <w:rPr>
          <w:sz w:val="20"/>
          <w:szCs w:val="20"/>
          <w:color w:val="auto"/>
        </w:rPr>
        <w:tab/>
      </w:r>
      <w:r>
        <w:rPr>
          <w:rFonts w:ascii="Arial" w:cs="Arial" w:eastAsia="Arial" w:hAnsi="Arial"/>
          <w:sz w:val="15"/>
          <w:szCs w:val="15"/>
          <w:color w:val="auto"/>
        </w:rPr>
        <w:t>219,814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77470</wp:posOffset>
            </wp:positionV>
            <wp:extent cx="333184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31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Liabilities measured on a recurring basis using significant unobservable inputs (Level 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Long-term</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Convertible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debt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2"/>
              </w:rPr>
              <w:t>debentures series 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3"/>
          </w:tcPr>
          <w:p>
            <w:pPr>
              <w:ind w:left="240"/>
              <w:spacing w:after="0"/>
              <w:rPr>
                <w:sz w:val="20"/>
                <w:szCs w:val="20"/>
                <w:color w:val="auto"/>
              </w:rPr>
            </w:pPr>
            <w:r>
              <w:rPr>
                <w:rFonts w:ascii="Arial" w:cs="Arial" w:eastAsia="Arial" w:hAnsi="Arial"/>
                <w:sz w:val="14"/>
                <w:szCs w:val="14"/>
                <w:b w:val="1"/>
                <w:bCs w:val="1"/>
                <w:color w:val="auto"/>
              </w:rPr>
              <w:t>Derivatives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2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82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of January 1, 2008 - at fair value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365,563</w:t>
            </w:r>
          </w:p>
        </w:tc>
        <w:tc>
          <w:tcPr>
            <w:tcW w:w="20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28,484</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rPr>
              <w:t>Total losses (gains) recognized in earnings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2,670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(11,659)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(3,406)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Conversion of Bank loans under the Definitive Agreements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with the Banks and TIC, see Note 12B to the 2008 audited</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consolidated financial statements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(165,244)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rPr>
              <w:t>Reclassification of previously bifurcated conversion option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60" w:type="dxa"/>
            <w:vAlign w:val="bottom"/>
            <w:gridSpan w:val="4"/>
          </w:tcPr>
          <w:p>
            <w:pPr>
              <w:spacing w:after="0"/>
              <w:rPr>
                <w:sz w:val="20"/>
                <w:szCs w:val="20"/>
                <w:color w:val="auto"/>
              </w:rPr>
            </w:pPr>
            <w:r>
              <w:rPr>
                <w:rFonts w:ascii="Arial" w:cs="Arial" w:eastAsia="Arial" w:hAnsi="Arial"/>
                <w:sz w:val="18"/>
                <w:szCs w:val="18"/>
                <w:color w:val="auto"/>
              </w:rPr>
              <w:t>to shareholders' equity</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(3,907)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320" w:type="dxa"/>
            <w:vAlign w:val="bottom"/>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of December 31, 2008 - at fair value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202,989</w:t>
            </w:r>
          </w:p>
        </w:tc>
        <w:tc>
          <w:tcPr>
            <w:tcW w:w="20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16,825</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340" w:type="dxa"/>
            <w:vAlign w:val="bottom"/>
            <w:gridSpan w:val="3"/>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3"/>
        </w:trPr>
        <w:tc>
          <w:tcPr>
            <w:tcW w:w="7360" w:type="dxa"/>
            <w:vAlign w:val="bottom"/>
            <w:gridSpan w:val="4"/>
          </w:tcPr>
          <w:p>
            <w:pPr>
              <w:spacing w:after="0"/>
              <w:rPr>
                <w:sz w:val="20"/>
                <w:szCs w:val="20"/>
                <w:color w:val="auto"/>
              </w:rPr>
            </w:pPr>
            <w:r>
              <w:rPr>
                <w:rFonts w:ascii="Arial" w:cs="Arial" w:eastAsia="Arial" w:hAnsi="Arial"/>
                <w:sz w:val="18"/>
                <w:szCs w:val="18"/>
                <w:color w:val="auto"/>
              </w:rPr>
              <w:t>Unrealized losses (gains) recognized in earnings from</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360" w:type="dxa"/>
            <w:vAlign w:val="bottom"/>
            <w:gridSpan w:val="4"/>
          </w:tcPr>
          <w:p>
            <w:pPr>
              <w:spacing w:after="0"/>
              <w:rPr>
                <w:sz w:val="20"/>
                <w:szCs w:val="20"/>
                <w:color w:val="auto"/>
              </w:rPr>
            </w:pPr>
            <w:r>
              <w:rPr>
                <w:rFonts w:ascii="Arial" w:cs="Arial" w:eastAsia="Arial" w:hAnsi="Arial"/>
                <w:sz w:val="18"/>
                <w:szCs w:val="18"/>
                <w:color w:val="auto"/>
              </w:rPr>
              <w:t>liabilities held at period end</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6,301</w:t>
            </w:r>
          </w:p>
        </w:tc>
        <w:tc>
          <w:tcPr>
            <w:tcW w:w="200" w:type="dxa"/>
            <w:vAlign w:val="bottom"/>
          </w:tcPr>
          <w:p>
            <w:pPr>
              <w:spacing w:after="0"/>
              <w:rPr>
                <w:sz w:val="19"/>
                <w:szCs w:val="19"/>
                <w:color w:val="auto"/>
              </w:rPr>
            </w:pPr>
          </w:p>
        </w:tc>
        <w:tc>
          <w:tcPr>
            <w:tcW w:w="14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(11,659)</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(3,406)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840" w:type="dxa"/>
            <w:vAlign w:val="bottom"/>
            <w:gridSpan w:val="2"/>
          </w:tcPr>
          <w:p>
            <w:pPr>
              <w:spacing w:after="0"/>
              <w:rPr>
                <w:sz w:val="11"/>
                <w:szCs w:val="11"/>
                <w:color w:val="auto"/>
              </w:rPr>
            </w:pPr>
          </w:p>
        </w:tc>
        <w:tc>
          <w:tcPr>
            <w:tcW w:w="65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62"/>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NOTE 5</w:t>
            </w:r>
          </w:p>
        </w:tc>
        <w:tc>
          <w:tcPr>
            <w:tcW w:w="6520" w:type="dxa"/>
            <w:vAlign w:val="bottom"/>
            <w:gridSpan w:val="2"/>
          </w:tcPr>
          <w:p>
            <w:pPr>
              <w:ind w:left="200"/>
              <w:spacing w:after="0"/>
              <w:rPr>
                <w:sz w:val="20"/>
                <w:szCs w:val="20"/>
                <w:color w:val="auto"/>
              </w:rPr>
            </w:pPr>
            <w:r>
              <w:rPr>
                <w:rFonts w:ascii="Arial" w:cs="Arial" w:eastAsia="Arial" w:hAnsi="Arial"/>
                <w:sz w:val="18"/>
                <w:szCs w:val="18"/>
                <w:b w:val="1"/>
                <w:bCs w:val="1"/>
                <w:color w:val="auto"/>
              </w:rPr>
              <w:t>–   RECENT DEVELOPMENTS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-823595</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-823595</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-823595</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-823595</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-823595</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-823595</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-386080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-386080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-386080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-386080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-386080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-386080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11" w:lineRule="exact"/>
        <w:rPr>
          <w:sz w:val="20"/>
          <w:szCs w:val="20"/>
          <w:color w:val="auto"/>
        </w:rPr>
      </w:pPr>
    </w:p>
    <w:p>
      <w:pPr>
        <w:ind w:left="1160" w:hanging="571"/>
        <w:spacing w:after="0"/>
        <w:tabs>
          <w:tab w:leader="none" w:pos="11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Definitive Agreements with the Banks and the Israel Corporation (“TIC”)</w:t>
      </w:r>
    </w:p>
    <w:p>
      <w:pPr>
        <w:spacing w:after="0" w:line="258" w:lineRule="exact"/>
        <w:rPr>
          <w:rFonts w:ascii="Arial" w:cs="Arial" w:eastAsia="Arial" w:hAnsi="Arial"/>
          <w:sz w:val="18"/>
          <w:szCs w:val="18"/>
          <w:b w:val="1"/>
          <w:bCs w:val="1"/>
          <w:color w:val="auto"/>
        </w:rPr>
      </w:pPr>
    </w:p>
    <w:p>
      <w:pPr>
        <w:ind w:left="1160" w:right="80"/>
        <w:spacing w:after="0" w:line="323" w:lineRule="auto"/>
        <w:rPr>
          <w:rFonts w:ascii="Arial" w:cs="Arial" w:eastAsia="Arial" w:hAnsi="Arial"/>
          <w:sz w:val="18"/>
          <w:szCs w:val="18"/>
          <w:b w:val="1"/>
          <w:bCs w:val="1"/>
          <w:color w:val="auto"/>
        </w:rPr>
      </w:pPr>
      <w:r>
        <w:rPr>
          <w:rFonts w:ascii="Arial" w:cs="Arial" w:eastAsia="Arial" w:hAnsi="Arial"/>
          <w:sz w:val="15"/>
          <w:szCs w:val="15"/>
          <w:color w:val="auto"/>
        </w:rPr>
        <w:t>As part of the September 2008 definitive agreements with the banks and TIC, detailed in Notes 12B and 16A(3) to the 2008 audited consolidated financial statements, TIC invested $20,000 in the Company in January 2009. In consideration, Tower issued TIC equity equivalent capital notes convertible into approximately 77 million of Tower’s ordinary shares. These equity equivalent capital notes have no voting rights, no maturity date, no dividend rights, are not tradable, are not registered, do not carry interest, are not linked to any index and are not redeemable.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FINANCIAL STATEMENTS AS OF JUNE 30, 2009</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RECENT DEVELOPMENTS (cont.)</w:t>
      </w:r>
    </w:p>
    <w:p>
      <w:pPr>
        <w:spacing w:after="0" w:line="252" w:lineRule="exact"/>
        <w:rPr>
          <w:sz w:val="20"/>
          <w:szCs w:val="20"/>
          <w:color w:val="auto"/>
        </w:rPr>
      </w:pPr>
    </w:p>
    <w:p>
      <w:pPr>
        <w:ind w:left="1160" w:hanging="571"/>
        <w:spacing w:after="0"/>
        <w:tabs>
          <w:tab w:leader="none" w:pos="11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Share Incentive Plan for the Chairman of the Board of Directors</w:t>
      </w:r>
    </w:p>
    <w:p>
      <w:pPr>
        <w:spacing w:after="0" w:line="258" w:lineRule="exact"/>
        <w:rPr>
          <w:rFonts w:ascii="Arial" w:cs="Arial" w:eastAsia="Arial" w:hAnsi="Arial"/>
          <w:sz w:val="18"/>
          <w:szCs w:val="18"/>
          <w:b w:val="1"/>
          <w:bCs w:val="1"/>
          <w:color w:val="auto"/>
        </w:rPr>
      </w:pPr>
    </w:p>
    <w:p>
      <w:pPr>
        <w:ind w:left="1160" w:right="4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In June 2009, the audit committee and Board of Directors of the Company approved a grant to the new Chairman of the Board of Directors of the Company of options to purchase 11.5 million Ordinary Shares of the Company. The exercise price is $0.29 (but not lower than the nominal value of the Company’s ordinary share), which was the closing price of the Company’s ordinary shares on the NASDAQ Global Market on the trading day immediately prior to the date of approval of the grant by the Board of Directors of the Company. The options vest over three years, 50% of the options shall vest on the second anniversary of the date of grant and an additional 50% on the third anniversary. The options are exercisable for a period of seven years from the date of grant. The options grant to the Chairman of the Board of Directors is subject to the approval of the shareholders of the Company.</w:t>
      </w:r>
    </w:p>
    <w:p>
      <w:pPr>
        <w:spacing w:after="0" w:line="193" w:lineRule="exact"/>
        <w:rPr>
          <w:rFonts w:ascii="Arial" w:cs="Arial" w:eastAsia="Arial" w:hAnsi="Arial"/>
          <w:sz w:val="18"/>
          <w:szCs w:val="18"/>
          <w:b w:val="1"/>
          <w:bCs w:val="1"/>
          <w:color w:val="auto"/>
        </w:rPr>
      </w:pPr>
    </w:p>
    <w:p>
      <w:pPr>
        <w:ind w:left="1160" w:hanging="571"/>
        <w:spacing w:after="0"/>
        <w:tabs>
          <w:tab w:leader="none" w:pos="11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Share Incentive Plan for the Company’s Employees and CEO</w:t>
      </w:r>
    </w:p>
    <w:p>
      <w:pPr>
        <w:spacing w:after="0" w:line="258" w:lineRule="exact"/>
        <w:rPr>
          <w:rFonts w:ascii="Arial" w:cs="Arial" w:eastAsia="Arial" w:hAnsi="Arial"/>
          <w:sz w:val="18"/>
          <w:szCs w:val="18"/>
          <w:b w:val="1"/>
          <w:bCs w:val="1"/>
          <w:color w:val="auto"/>
        </w:rPr>
      </w:pPr>
    </w:p>
    <w:p>
      <w:pPr>
        <w:ind w:left="1160" w:right="3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November 2008, the Company’s audit committee and Board of Directors approved the Company’s 2009 Employee Share Incentive Plan to grant options or restricted share units (“RSU’s”) to the Company’s employees (including its CEO) and to the employees of the Company’s subsidiaries, which plan was approved by the Company’s shareholders in April 2009.</w:t>
      </w:r>
    </w:p>
    <w:p>
      <w:pPr>
        <w:spacing w:after="0" w:line="221" w:lineRule="exact"/>
        <w:rPr>
          <w:rFonts w:ascii="Arial" w:cs="Arial" w:eastAsia="Arial" w:hAnsi="Arial"/>
          <w:sz w:val="18"/>
          <w:szCs w:val="18"/>
          <w:b w:val="1"/>
          <w:bCs w:val="1"/>
          <w:color w:val="auto"/>
        </w:rPr>
      </w:pPr>
    </w:p>
    <w:p>
      <w:pPr>
        <w:ind w:left="1160" w:right="2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Up to approximately 28 million options are reserved for grant to the Company’s employees and its subsidiaries’ employees (excluding its CEO), and an additional approximately 28 million options under the Plan are reserved for grant to the Company’s CEO. However, the amount of available options for grant at any time will be reduced by the aggregate number of outstanding options under previous employee option plans and under the previous CEO Share Option Plan. In June 2009, the Company’s Board of Directors approved a grant to the Company’s CEO under such plan to purchase up to 8.5 million ordinary shares. These options are exercisable at an exercise price of $0.29 (but not lower than the nominal value of the Company’s ordinary share), which was the closing price of the Company’s shares on the NASDAQ Global Market on the trading day immediately prior to the date of approval of the grant by the Board of Directors. These options will vest over a three-year period, 50% of the options shall vest on the second anniversary of the date of grant and an additional 50% on the third anniversary. The options granted are exercisable for a period of seven years from the date of grant.</w:t>
      </w:r>
    </w:p>
    <w:p>
      <w:pPr>
        <w:sectPr>
          <w:pgSz w:w="11900" w:h="16838" w:orient="portrait"/>
          <w:cols w:equalWidth="0" w:num="1">
            <w:col w:w="11420"/>
          </w:cols>
          <w:pgMar w:left="240" w:top="131" w:right="239" w:bottom="36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31" w:right="239" w:bottom="36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FINANCIAL STATEMENTS AS OF JUNE 30, 2009</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RECENT DEVELOPMENTS (cont.)</w:t>
      </w:r>
    </w:p>
    <w:p>
      <w:pPr>
        <w:spacing w:after="0" w:line="252" w:lineRule="exact"/>
        <w:rPr>
          <w:sz w:val="20"/>
          <w:szCs w:val="20"/>
          <w:color w:val="auto"/>
        </w:rPr>
      </w:pPr>
    </w:p>
    <w:p>
      <w:pPr>
        <w:ind w:left="1160" w:hanging="571"/>
        <w:spacing w:after="0"/>
        <w:tabs>
          <w:tab w:leader="none" w:pos="11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Share Incentive Plan for the Company’s Employees and CEO (cont.)</w:t>
      </w:r>
    </w:p>
    <w:p>
      <w:pPr>
        <w:spacing w:after="0" w:line="258" w:lineRule="exact"/>
        <w:rPr>
          <w:rFonts w:ascii="Arial" w:cs="Arial" w:eastAsia="Arial" w:hAnsi="Arial"/>
          <w:sz w:val="18"/>
          <w:szCs w:val="18"/>
          <w:b w:val="1"/>
          <w:bCs w:val="1"/>
          <w:color w:val="auto"/>
        </w:rPr>
      </w:pPr>
    </w:p>
    <w:p>
      <w:pPr>
        <w:ind w:left="1160" w:right="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June 2009, the Company’s Board of Directors approved a grant to the employees of the Company under such plan to purchase up to 9 million ordinary shares. These options are exercisable at an exercise price of $0.29 (but not lower than the nominal value of the Company’s ordinary share), which was the closing price of the Company’s shares on the NASDAQ Global Market on the trading day immediately prior to the date of approval of the grant by the Board of Directors. These options will vest over a three-year period, 50% of the options shall vest on the second anniversary of the date of grant and an additional 50% on the third anniversary. The options granted are exercisable for a period of seven years from the date of grant.</w:t>
      </w:r>
    </w:p>
    <w:p>
      <w:pPr>
        <w:spacing w:after="0" w:line="219" w:lineRule="exact"/>
        <w:rPr>
          <w:rFonts w:ascii="Arial" w:cs="Arial" w:eastAsia="Arial" w:hAnsi="Arial"/>
          <w:sz w:val="18"/>
          <w:szCs w:val="18"/>
          <w:b w:val="1"/>
          <w:bCs w:val="1"/>
          <w:color w:val="auto"/>
        </w:rPr>
      </w:pPr>
    </w:p>
    <w:p>
      <w:pPr>
        <w:ind w:left="1160" w:hanging="571"/>
        <w:spacing w:after="0"/>
        <w:tabs>
          <w:tab w:leader="none" w:pos="11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Options Granted to Directors</w:t>
      </w:r>
    </w:p>
    <w:p>
      <w:pPr>
        <w:spacing w:after="0" w:line="258" w:lineRule="exact"/>
        <w:rPr>
          <w:rFonts w:ascii="Arial" w:cs="Arial" w:eastAsia="Arial" w:hAnsi="Arial"/>
          <w:sz w:val="18"/>
          <w:szCs w:val="18"/>
          <w:b w:val="1"/>
          <w:bCs w:val="1"/>
          <w:color w:val="auto"/>
        </w:rPr>
      </w:pPr>
    </w:p>
    <w:p>
      <w:pPr>
        <w:jc w:val="both"/>
        <w:ind w:left="1160" w:right="2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During 2009, under the Company’s Independent-Director Share Option Plan, 300,000 options were granted to new directors appointed in 2009 to the Company’s Board of Directors at an average exercise price of $0.20 (but not lower than the nominal value of the Company’s ordinary share).</w:t>
      </w:r>
    </w:p>
    <w:p>
      <w:pPr>
        <w:spacing w:after="0" w:line="137" w:lineRule="exact"/>
        <w:rPr>
          <w:rFonts w:ascii="Arial" w:cs="Arial" w:eastAsia="Arial" w:hAnsi="Arial"/>
          <w:sz w:val="18"/>
          <w:szCs w:val="18"/>
          <w:b w:val="1"/>
          <w:bCs w:val="1"/>
          <w:color w:val="auto"/>
        </w:rPr>
      </w:pPr>
    </w:p>
    <w:p>
      <w:pPr>
        <w:ind w:left="1160" w:hanging="571"/>
        <w:spacing w:after="0"/>
        <w:tabs>
          <w:tab w:leader="none" w:pos="11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Price Reduction – Convertible Debenture Series E and Warrants Series 6</w:t>
      </w:r>
    </w:p>
    <w:p>
      <w:pPr>
        <w:spacing w:after="0" w:line="258" w:lineRule="exact"/>
        <w:rPr>
          <w:rFonts w:ascii="Arial" w:cs="Arial" w:eastAsia="Arial" w:hAnsi="Arial"/>
          <w:sz w:val="18"/>
          <w:szCs w:val="18"/>
          <w:b w:val="1"/>
          <w:bCs w:val="1"/>
          <w:color w:val="auto"/>
        </w:rPr>
      </w:pPr>
    </w:p>
    <w:p>
      <w:pPr>
        <w:ind w:left="1160" w:right="14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convertible debentures, series E and warrants series 6, which were issued in 2007 are convertible into Tower’s ordinary shares. The convertible debentures series E were convertible into Tower ‘s ordinary shares at a conversion rate of one ordinary share per NIS 17.2 principal amount of convertible debentures and warrants series 6 were convertible into Tower’s ordinary shares at a conversion rate of $2.04. The conversion prices were subject to reduction in certain limited circumstances. According to such circumstances on July 6, 2009 the conversion price was reduced from NIS 17.2 to NIS 4.15 for convertible debentures series E and from $2.04 to $1.06 for warrants series 6.</w:t>
      </w:r>
    </w:p>
    <w:p>
      <w:pPr>
        <w:spacing w:after="0" w:line="196" w:lineRule="exact"/>
        <w:rPr>
          <w:rFonts w:ascii="Arial" w:cs="Arial" w:eastAsia="Arial" w:hAnsi="Arial"/>
          <w:sz w:val="18"/>
          <w:szCs w:val="18"/>
          <w:b w:val="1"/>
          <w:bCs w:val="1"/>
          <w:color w:val="auto"/>
        </w:rPr>
      </w:pPr>
    </w:p>
    <w:p>
      <w:pPr>
        <w:ind w:left="1160" w:right="1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Convertibles debentures series E are carried at fair value through profit and loss and the effect of the reduction in conversion price was reflected in the mark to market.</w:t>
      </w:r>
    </w:p>
    <w:p>
      <w:pPr>
        <w:spacing w:after="0" w:line="212" w:lineRule="exact"/>
        <w:rPr>
          <w:rFonts w:ascii="Arial" w:cs="Arial" w:eastAsia="Arial" w:hAnsi="Arial"/>
          <w:sz w:val="18"/>
          <w:szCs w:val="18"/>
          <w:b w:val="1"/>
          <w:bCs w:val="1"/>
          <w:color w:val="auto"/>
        </w:rPr>
      </w:pPr>
    </w:p>
    <w:p>
      <w:pPr>
        <w:ind w:left="116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Warrants series 6 were carried at fair value due to the existence of the ratchet described above according to the provisions of EITF 07-5. After the exercise price was adjusted and the ratchet expired the warrants were adjusted to fair values through earning and reclassified to equity.</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FINANCIAL STATEMENTS AS OF JUNE 30, 2009</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RECENT DEVELOPMENTS (cont.)</w:t>
      </w:r>
    </w:p>
    <w:p>
      <w:pPr>
        <w:spacing w:after="0" w:line="252" w:lineRule="exact"/>
        <w:rPr>
          <w:sz w:val="20"/>
          <w:szCs w:val="20"/>
          <w:color w:val="auto"/>
        </w:rPr>
      </w:pPr>
    </w:p>
    <w:p>
      <w:pPr>
        <w:ind w:left="1160" w:hanging="571"/>
        <w:spacing w:after="0"/>
        <w:tabs>
          <w:tab w:leader="none" w:pos="11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Agreement with Crocus Technology</w:t>
      </w:r>
    </w:p>
    <w:p>
      <w:pPr>
        <w:spacing w:after="0" w:line="258" w:lineRule="exact"/>
        <w:rPr>
          <w:rFonts w:ascii="Arial" w:cs="Arial" w:eastAsia="Arial" w:hAnsi="Arial"/>
          <w:sz w:val="18"/>
          <w:szCs w:val="18"/>
          <w:b w:val="1"/>
          <w:bCs w:val="1"/>
          <w:color w:val="auto"/>
        </w:rPr>
      </w:pPr>
    </w:p>
    <w:p>
      <w:pPr>
        <w:ind w:left="1160" w:right="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Tower and Crocus Technology, a premier developer of Magnetic Random Access Memory (MRAM), entered into an agreement to port Crocus’ MRAM process technology into Tower’s manufacturing environment. As part of the exclusive agreement, Tower will perform all manufacturing steps required for Crocus’ next-generation MRAM technology in Fab2. In addition to collaborating on the process port, Tower is to receive an equity position in Crocus valued at $1,250.</w:t>
      </w:r>
    </w:p>
    <w:p>
      <w:pPr>
        <w:spacing w:after="0" w:line="218" w:lineRule="exact"/>
        <w:rPr>
          <w:rFonts w:ascii="Arial" w:cs="Arial" w:eastAsia="Arial" w:hAnsi="Arial"/>
          <w:sz w:val="18"/>
          <w:szCs w:val="18"/>
          <w:b w:val="1"/>
          <w:bCs w:val="1"/>
          <w:color w:val="auto"/>
        </w:rPr>
      </w:pPr>
    </w:p>
    <w:p>
      <w:pPr>
        <w:ind w:left="1160" w:hanging="571"/>
        <w:spacing w:after="0"/>
        <w:tabs>
          <w:tab w:leader="none" w:pos="11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Agere/LSI Action</w:t>
      </w:r>
    </w:p>
    <w:p>
      <w:pPr>
        <w:spacing w:after="0" w:line="258" w:lineRule="exact"/>
        <w:rPr>
          <w:rFonts w:ascii="Arial" w:cs="Arial" w:eastAsia="Arial" w:hAnsi="Arial"/>
          <w:sz w:val="18"/>
          <w:szCs w:val="18"/>
          <w:b w:val="1"/>
          <w:bCs w:val="1"/>
          <w:color w:val="auto"/>
        </w:rPr>
      </w:pPr>
    </w:p>
    <w:p>
      <w:pPr>
        <w:ind w:left="1160" w:right="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During 2008, an International Trade Commission (“ITC”) action was filed by Agere/LSI Corporation (“LSI”), which alleged infringement by 17 corporations of LSI’s patent no. 5227335. Following the initial filing, LSI amended the ITC complaint to add Tower, Jazz and three other corporations as additional respondents. Tower, Jazz and the other three corporations were added as additional respondents in the ITC action in October 2008. The case was tried before an administrative law judge in July 2009, and the decision has not yet been rendered. Tower and Jazz cannot provide an estimate of any possible losses or predict the outcome thereof, which could have a material and adverse effect on the tower’s and Jazz’s businesses and financial position.</w:t>
      </w:r>
    </w:p>
    <w:p>
      <w:pPr>
        <w:spacing w:after="0" w:line="195" w:lineRule="exact"/>
        <w:rPr>
          <w:rFonts w:ascii="Arial" w:cs="Arial" w:eastAsia="Arial" w:hAnsi="Arial"/>
          <w:sz w:val="18"/>
          <w:szCs w:val="18"/>
          <w:b w:val="1"/>
          <w:bCs w:val="1"/>
          <w:color w:val="auto"/>
        </w:rPr>
      </w:pPr>
    </w:p>
    <w:p>
      <w:pPr>
        <w:ind w:left="1160" w:hanging="571"/>
        <w:spacing w:after="0"/>
        <w:tabs>
          <w:tab w:leader="none" w:pos="11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Waiver Letter to the Facility Agreement</w:t>
      </w:r>
    </w:p>
    <w:p>
      <w:pPr>
        <w:spacing w:after="0" w:line="258" w:lineRule="exact"/>
        <w:rPr>
          <w:rFonts w:ascii="Arial" w:cs="Arial" w:eastAsia="Arial" w:hAnsi="Arial"/>
          <w:sz w:val="18"/>
          <w:szCs w:val="18"/>
          <w:b w:val="1"/>
          <w:bCs w:val="1"/>
          <w:color w:val="auto"/>
        </w:rPr>
      </w:pPr>
    </w:p>
    <w:p>
      <w:pPr>
        <w:ind w:left="1160" w:right="40"/>
        <w:spacing w:after="0" w:line="314" w:lineRule="auto"/>
        <w:rPr>
          <w:rFonts w:ascii="Arial" w:cs="Arial" w:eastAsia="Arial" w:hAnsi="Arial"/>
          <w:sz w:val="18"/>
          <w:szCs w:val="18"/>
          <w:b w:val="1"/>
          <w:bCs w:val="1"/>
          <w:color w:val="auto"/>
        </w:rPr>
      </w:pPr>
      <w:r>
        <w:rPr>
          <w:rFonts w:ascii="Arial" w:cs="Arial" w:eastAsia="Arial" w:hAnsi="Arial"/>
          <w:sz w:val="15"/>
          <w:szCs w:val="15"/>
          <w:color w:val="auto"/>
        </w:rPr>
        <w:t>In August 2009, the Banks granted Tower with a full waiver letter on all the financial covenants through December 31, 2009 and postponed the repayment schedule of its outstanding loans, to be repaid in 8 equal quarterly installments from September 2011 until June 2013 (rather than September 2010 till June 2012). Upon certain circumstances, as stipulated in the waiver letter, and following receipt by Tower of significant amounts of proceeds from certain sources, Tower will pay a portion of such proceeds on account of the outstanding loans ahead of the revised repayment schedule. As part of the terms of the waiver letter, Tower agreed to extend the Banks’ existing warrants to June 2013, to issue to the Banks new warrants at a quantity and price to be determined based on the future stock price and to pay to the Banks total aggregate fees of $350.</w:t>
      </w:r>
    </w:p>
    <w:p>
      <w:pPr>
        <w:sectPr>
          <w:pgSz w:w="11900" w:h="16838" w:orient="portrait"/>
          <w:cols w:equalWidth="0" w:num="1">
            <w:col w:w="11380"/>
          </w:cols>
          <w:pgMar w:left="240" w:top="125" w:right="279" w:bottom="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type w:val="continuous"/>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FINANCIAL STATEMENTS AS OF JUNE 30, 2009</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RECENT DEVELOPMENTS (cont.)</w:t>
      </w:r>
    </w:p>
    <w:p>
      <w:pPr>
        <w:spacing w:after="0" w:line="252" w:lineRule="exact"/>
        <w:rPr>
          <w:sz w:val="20"/>
          <w:szCs w:val="20"/>
          <w:color w:val="auto"/>
        </w:rPr>
      </w:pPr>
    </w:p>
    <w:p>
      <w:pPr>
        <w:ind w:left="1160" w:hanging="571"/>
        <w:spacing w:after="0"/>
        <w:tabs>
          <w:tab w:leader="none" w:pos="11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Stand-by Equity-Purchase Agreement</w:t>
      </w:r>
    </w:p>
    <w:p>
      <w:pPr>
        <w:spacing w:after="0" w:line="258" w:lineRule="exact"/>
        <w:rPr>
          <w:rFonts w:ascii="Arial" w:cs="Arial" w:eastAsia="Arial" w:hAnsi="Arial"/>
          <w:sz w:val="18"/>
          <w:szCs w:val="18"/>
          <w:b w:val="1"/>
          <w:bCs w:val="1"/>
          <w:color w:val="auto"/>
        </w:rPr>
      </w:pPr>
    </w:p>
    <w:p>
      <w:pPr>
        <w:ind w:left="11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In August 2009, Tower has entered into a definitive agreement with YA Global Master SPV Ltd. a fund managed by Yorkville Advisors (“Yorkville”), according to which Yorkville has committed to invest in Tower up to $25,000 over the next 24 months by way of a stand-by equity-line, in consideration for ordinary shares of Tower to be issued at a 3% discount to the market price of the ordinary shares as determined in accordance with the agreement. Investment made by Yorkville will be made such that Yorkville will not hold more than 4.99% of Tower’s ordinary shares during the period of the agreement. To date, no draw downs have been made under this agreement. No warrants or any other debt or derivative instruments are issuable by Tower under this agreement. Commencement of draw downs under the standby equity line is subject to obtaining certain regulatory approvals and approval from the Tel-Aviv Stock Exchange.</w:t>
      </w:r>
    </w:p>
    <w:p>
      <w:pPr>
        <w:spacing w:after="0" w:line="200" w:lineRule="exact"/>
        <w:rPr>
          <w:rFonts w:ascii="Arial" w:cs="Arial" w:eastAsia="Arial" w:hAnsi="Arial"/>
          <w:sz w:val="18"/>
          <w:szCs w:val="18"/>
          <w:b w:val="1"/>
          <w:bCs w:val="1"/>
          <w:color w:val="auto"/>
        </w:rPr>
      </w:pPr>
    </w:p>
    <w:p>
      <w:pPr>
        <w:spacing w:after="0" w:line="215" w:lineRule="exact"/>
        <w:rPr>
          <w:rFonts w:ascii="Arial" w:cs="Arial" w:eastAsia="Arial" w:hAnsi="Arial"/>
          <w:sz w:val="18"/>
          <w:szCs w:val="18"/>
          <w:b w:val="1"/>
          <w:bCs w:val="1"/>
          <w:color w:val="auto"/>
        </w:rPr>
      </w:pPr>
    </w:p>
    <w:p>
      <w:pPr>
        <w:ind w:left="5620" w:hanging="96"/>
        <w:spacing w:after="0"/>
        <w:tabs>
          <w:tab w:leader="none" w:pos="5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7830185</wp:posOffset>
            </wp:positionV>
            <wp:extent cx="726757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 w:name="page15"/>
    <w:bookmarkEnd w:id="14"/>
    <w:p>
      <w:pPr>
        <w:spacing w:after="0" w:line="17"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99.2</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 AND RESULTS OF OPERATIONS</w:t>
      </w:r>
    </w:p>
    <w:p>
      <w:pPr>
        <w:spacing w:after="0" w:line="29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The information contained in this section should be read in conjunction with (1) our unaudited condensed interim consolidated financial statements as of June 30, 2009 and for the six months then ended and related notes included in this report and (2) our consolidated financial statements and related notes included in our Annual Report on Form 20-F for the year ended December 31, 2008 and the other information contained in such Annual Report, particularly the information under the caption “Operating and Financial Review and Prospects”. Our financial statements have been prepared in accordance with generally accepted accounting principles in United States (“US GAAP”).</w:t>
      </w:r>
    </w:p>
    <w:p>
      <w:pPr>
        <w:spacing w:after="0" w:line="19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Following the merger with Jazz, the Company’s financial statements include Jazz results commencing September 19, 2008. The balance sheet as of June 30, 2009 and December 31, 2008 includes Jazz’s balances as of such dates.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certain statement of operations data as a percentage of total revenues for the periods indicated.</w:t>
      </w:r>
    </w:p>
    <w:p>
      <w:pPr>
        <w:spacing w:after="0" w:line="221"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Six Months Ended</w:t>
      </w:r>
    </w:p>
    <w:p>
      <w:pPr>
        <w:spacing w:after="0" w:line="1"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60325</wp:posOffset>
            </wp:positionV>
            <wp:extent cx="17068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tcPr>
          <w:p>
            <w:pPr>
              <w:jc w:val="right"/>
              <w:ind w:right="254"/>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jc w:val="right"/>
              <w:ind w:right="234"/>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8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8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87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rPr>
              <w:t>Statement of Operations Data:</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8740" w:type="dxa"/>
            <w:vAlign w:val="bottom"/>
            <w:gridSpan w:val="2"/>
          </w:tcPr>
          <w:p>
            <w:pPr>
              <w:ind w:left="1160"/>
              <w:spacing w:after="0"/>
              <w:rPr>
                <w:sz w:val="20"/>
                <w:szCs w:val="20"/>
                <w:color w:val="auto"/>
              </w:rPr>
            </w:pPr>
            <w:r>
              <w:rPr>
                <w:rFonts w:ascii="Arial" w:cs="Arial" w:eastAsia="Arial" w:hAnsi="Arial"/>
                <w:sz w:val="18"/>
                <w:szCs w:val="18"/>
                <w:color w:val="auto"/>
              </w:rPr>
              <w:t>Revenues</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87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Cost of revenues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08"/>
        </w:trPr>
        <w:tc>
          <w:tcPr>
            <w:tcW w:w="87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8740" w:type="dxa"/>
            <w:vAlign w:val="bottom"/>
            <w:gridSpan w:val="2"/>
          </w:tcPr>
          <w:p>
            <w:pPr>
              <w:ind w:left="1160"/>
              <w:spacing w:after="0"/>
              <w:rPr>
                <w:sz w:val="20"/>
                <w:szCs w:val="20"/>
                <w:color w:val="auto"/>
              </w:rPr>
            </w:pPr>
            <w:r>
              <w:rPr>
                <w:rFonts w:ascii="Arial" w:cs="Arial" w:eastAsia="Arial" w:hAnsi="Arial"/>
                <w:sz w:val="18"/>
                <w:szCs w:val="18"/>
                <w:color w:val="auto"/>
              </w:rPr>
              <w:t>Gross loss</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24"/>
                <w:szCs w:val="24"/>
                <w:color w:val="auto"/>
              </w:rPr>
            </w:pPr>
          </w:p>
        </w:tc>
      </w:tr>
      <w:tr>
        <w:trPr>
          <w:trHeight w:val="218"/>
        </w:trPr>
        <w:tc>
          <w:tcPr>
            <w:tcW w:w="8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7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Research and development expenses, net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2"/>
        </w:trPr>
        <w:tc>
          <w:tcPr>
            <w:tcW w:w="8740" w:type="dxa"/>
            <w:vAlign w:val="bottom"/>
            <w:gridSpan w:val="2"/>
          </w:tcPr>
          <w:p>
            <w:pPr>
              <w:ind w:left="1160"/>
              <w:spacing w:after="0"/>
              <w:rPr>
                <w:sz w:val="20"/>
                <w:szCs w:val="20"/>
                <w:color w:val="auto"/>
              </w:rPr>
            </w:pPr>
            <w:r>
              <w:rPr>
                <w:rFonts w:ascii="Arial" w:cs="Arial" w:eastAsia="Arial" w:hAnsi="Arial"/>
                <w:sz w:val="18"/>
                <w:szCs w:val="18"/>
                <w:color w:val="auto"/>
              </w:rPr>
              <w:t>Marketing, general and administrative expenses</w:t>
            </w:r>
          </w:p>
        </w:tc>
        <w:tc>
          <w:tcPr>
            <w:tcW w:w="1120" w:type="dxa"/>
            <w:vAlign w:val="bottom"/>
          </w:tcPr>
          <w:p>
            <w:pPr>
              <w:jc w:val="right"/>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02"/>
        </w:trPr>
        <w:tc>
          <w:tcPr>
            <w:tcW w:w="870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8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87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Operating loss</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w:t>
            </w:r>
          </w:p>
        </w:tc>
        <w:tc>
          <w:tcPr>
            <w:tcW w:w="20" w:type="dxa"/>
            <w:vAlign w:val="bottom"/>
            <w:shd w:val="clear" w:color="auto" w:fill="CCEEFF"/>
          </w:tcPr>
          <w:p>
            <w:pPr>
              <w:spacing w:after="0"/>
              <w:rPr>
                <w:sz w:val="18"/>
                <w:szCs w:val="18"/>
                <w:color w:val="auto"/>
              </w:rPr>
            </w:pPr>
          </w:p>
        </w:tc>
      </w:tr>
      <w:tr>
        <w:trPr>
          <w:trHeight w:val="431"/>
        </w:trPr>
        <w:tc>
          <w:tcPr>
            <w:tcW w:w="8740" w:type="dxa"/>
            <w:vAlign w:val="bottom"/>
            <w:gridSpan w:val="2"/>
          </w:tcPr>
          <w:p>
            <w:pPr>
              <w:ind w:left="1160"/>
              <w:spacing w:after="0"/>
              <w:rPr>
                <w:sz w:val="20"/>
                <w:szCs w:val="20"/>
                <w:color w:val="auto"/>
              </w:rPr>
            </w:pPr>
            <w:r>
              <w:rPr>
                <w:rFonts w:ascii="Arial" w:cs="Arial" w:eastAsia="Arial" w:hAnsi="Arial"/>
                <w:sz w:val="18"/>
                <w:szCs w:val="18"/>
                <w:color w:val="auto"/>
              </w:rPr>
              <w:t>Financing expense, net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24"/>
                <w:szCs w:val="24"/>
                <w:color w:val="auto"/>
              </w:rPr>
            </w:pPr>
          </w:p>
        </w:tc>
      </w:tr>
      <w:tr>
        <w:trPr>
          <w:trHeight w:val="217"/>
        </w:trPr>
        <w:tc>
          <w:tcPr>
            <w:tcW w:w="87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Other expenses, net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20" w:type="dxa"/>
            <w:vAlign w:val="bottom"/>
            <w:shd w:val="clear" w:color="auto" w:fill="CCEEFF"/>
          </w:tcPr>
          <w:p>
            <w:pPr>
              <w:spacing w:after="0"/>
              <w:rPr>
                <w:sz w:val="18"/>
                <w:szCs w:val="18"/>
                <w:color w:val="auto"/>
              </w:rPr>
            </w:pPr>
          </w:p>
        </w:tc>
      </w:tr>
      <w:tr>
        <w:trPr>
          <w:trHeight w:val="222"/>
        </w:trPr>
        <w:tc>
          <w:tcPr>
            <w:tcW w:w="8740" w:type="dxa"/>
            <w:vAlign w:val="bottom"/>
            <w:gridSpan w:val="2"/>
          </w:tcPr>
          <w:p>
            <w:pPr>
              <w:ind w:left="1160"/>
              <w:spacing w:after="0"/>
              <w:rPr>
                <w:sz w:val="20"/>
                <w:szCs w:val="20"/>
                <w:color w:val="auto"/>
              </w:rPr>
            </w:pPr>
            <w:r>
              <w:rPr>
                <w:rFonts w:ascii="Arial" w:cs="Arial" w:eastAsia="Arial" w:hAnsi="Arial"/>
                <w:sz w:val="18"/>
                <w:szCs w:val="18"/>
                <w:color w:val="auto"/>
              </w:rPr>
              <w:t>Income tax benefit</w:t>
            </w: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02"/>
        </w:trPr>
        <w:tc>
          <w:tcPr>
            <w:tcW w:w="870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8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87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Loss for the period</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(52.7)%</w:t>
            </w:r>
          </w:p>
        </w:tc>
      </w:tr>
      <w:tr>
        <w:trPr>
          <w:trHeight w:val="132"/>
        </w:trPr>
        <w:tc>
          <w:tcPr>
            <w:tcW w:w="870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6246495</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Six Months Ended June 30, 2009 compared to Six Months Ended June 30, 2008</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Revenue</w:t>
      </w:r>
      <w:r>
        <w:rPr>
          <w:rFonts w:ascii="Arial" w:cs="Arial" w:eastAsia="Arial" w:hAnsi="Arial"/>
          <w:sz w:val="15"/>
          <w:szCs w:val="15"/>
          <w:color w:val="auto"/>
        </w:rPr>
        <w:t>. Revenue for the Six months ended June 30, 2009 amounted to $118.6 million compared to $115.7 million for the six months ended June 30, 2008.</w:t>
      </w:r>
    </w:p>
    <w:p>
      <w:pPr>
        <w:spacing w:after="0" w:line="260"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Revenues for the six months ended June 30, 2009 increased by 3% as compared to the corresponding period in 2008, since the 50% revenue reduction we experienced following the current worldwide economic downturn and the prevailing adverse market conditions in the semiconductor industry, was offset by the inclusion of the revenues for the six months ended June 30, 2009 of our recently acquired, Jazz Technology, Inc.</w:t>
      </w:r>
    </w:p>
    <w:p>
      <w:pPr>
        <w:spacing w:after="0" w:line="16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i w:val="1"/>
          <w:iCs w:val="1"/>
          <w:color w:val="auto"/>
        </w:rPr>
        <w:t>Cost of Total Revenue</w:t>
      </w:r>
      <w:r>
        <w:rPr>
          <w:rFonts w:ascii="Arial" w:cs="Arial" w:eastAsia="Arial" w:hAnsi="Arial"/>
          <w:sz w:val="18"/>
          <w:szCs w:val="18"/>
          <w:color w:val="auto"/>
        </w:rPr>
        <w:t>s. Cost of total revenues for the six months ended June 30, 2009 amounted to $146.3 million, as compared to $139.3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2008. This modest 5% increase in cost of revenues, is a result of the inclusion of Jazz costs for the six months ended June 30, 2009 (as compared to not including those costs before the merger date), which was partially offset by the previously announced cost reduction plan executed by the company and synergies captured through the integration of Jazz.</w:t>
      </w:r>
    </w:p>
    <w:p>
      <w:pPr>
        <w:spacing w:after="0" w:line="197"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i w:val="1"/>
          <w:iCs w:val="1"/>
          <w:color w:val="auto"/>
        </w:rPr>
        <w:t>Gross Loss</w:t>
      </w:r>
      <w:r>
        <w:rPr>
          <w:rFonts w:ascii="Arial" w:cs="Arial" w:eastAsia="Arial" w:hAnsi="Arial"/>
          <w:sz w:val="18"/>
          <w:szCs w:val="18"/>
          <w:color w:val="auto"/>
        </w:rPr>
        <w:t>. Gross loss for the six months ended June 30, 2009 was $27.7 million compared to a gross loss of $23.6 million for the six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2008. The increase in gross loss was mainly attributable to the 5.0% increase in cost of total revenues which was partly offset by the increase in revenues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504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expenses for the six months ended June 30, 2009 amounted to $10.3 million as compared to $6.2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six months ended June 30, 2008. This increase in research and development costs is a result of the inclusion of Jazz costs for the six months ended June 30, 2009 (as compared to not including those costs before the merger date), which was partially offset by the previously announced cost reduction plan executed by the company and synergies captured through the integration of Jazz.</w:t>
      </w:r>
    </w:p>
    <w:p>
      <w:pPr>
        <w:spacing w:after="0" w:line="197" w:lineRule="exact"/>
        <w:rPr>
          <w:sz w:val="20"/>
          <w:szCs w:val="20"/>
          <w:color w:val="auto"/>
        </w:rPr>
      </w:pPr>
    </w:p>
    <w:p>
      <w:pPr>
        <w:jc w:val="center"/>
        <w:ind w:right="60"/>
        <w:spacing w:after="0"/>
        <w:rPr>
          <w:sz w:val="20"/>
          <w:szCs w:val="20"/>
          <w:color w:val="auto"/>
        </w:rPr>
      </w:pPr>
      <w:r>
        <w:rPr>
          <w:rFonts w:ascii="Arial" w:cs="Arial" w:eastAsia="Arial" w:hAnsi="Arial"/>
          <w:sz w:val="16"/>
          <w:szCs w:val="16"/>
          <w:i w:val="1"/>
          <w:iCs w:val="1"/>
          <w:color w:val="auto"/>
        </w:rPr>
        <w:t>Marketing, General and Administrative Expenses</w:t>
      </w:r>
      <w:r>
        <w:rPr>
          <w:rFonts w:ascii="Arial" w:cs="Arial" w:eastAsia="Arial" w:hAnsi="Arial"/>
          <w:sz w:val="16"/>
          <w:szCs w:val="16"/>
          <w:color w:val="auto"/>
        </w:rPr>
        <w:t>. Marketing, general and administrative expenses for the six months ended June 30, 2009 amounted to</w:t>
      </w:r>
    </w:p>
    <w:p>
      <w:pPr>
        <w:spacing w:after="0" w:line="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$13.9 million as compared to $15.0 million for the six months ended June 30, 2008. Such decrease in marketing, general and administrative expenses, which also includes the results of Jazz for the six months ended June 30, 2009, was mainly attributable to the previously announced cost reduction plan executed by the company and synergies captured through the integration of Jazz.</w:t>
      </w:r>
    </w:p>
    <w:p>
      <w:pPr>
        <w:spacing w:after="0" w:line="198" w:lineRule="exact"/>
        <w:rPr>
          <w:sz w:val="20"/>
          <w:szCs w:val="20"/>
          <w:color w:val="auto"/>
        </w:rPr>
      </w:pPr>
    </w:p>
    <w:p>
      <w:pPr>
        <w:jc w:val="both"/>
        <w:ind w:right="400" w:firstLine="351"/>
        <w:spacing w:after="0" w:line="335" w:lineRule="auto"/>
        <w:rPr>
          <w:sz w:val="20"/>
          <w:szCs w:val="20"/>
          <w:color w:val="auto"/>
        </w:rPr>
      </w:pPr>
      <w:r>
        <w:rPr>
          <w:rFonts w:ascii="Arial" w:cs="Arial" w:eastAsia="Arial" w:hAnsi="Arial"/>
          <w:sz w:val="15"/>
          <w:szCs w:val="15"/>
          <w:i w:val="1"/>
          <w:iCs w:val="1"/>
          <w:color w:val="auto"/>
        </w:rPr>
        <w:t>Operating Loss</w:t>
      </w:r>
      <w:r>
        <w:rPr>
          <w:rFonts w:ascii="Arial" w:cs="Arial" w:eastAsia="Arial" w:hAnsi="Arial"/>
          <w:sz w:val="15"/>
          <w:szCs w:val="15"/>
          <w:color w:val="auto"/>
        </w:rPr>
        <w:t>. Operating loss for the six months ended June 30, 2009 was $51.9 million, compared to $44.8 million for the six months ended June 30,</w:t>
      </w:r>
      <w:r>
        <w:rPr>
          <w:rFonts w:ascii="Arial" w:cs="Arial" w:eastAsia="Arial" w:hAnsi="Arial"/>
          <w:sz w:val="15"/>
          <w:szCs w:val="15"/>
          <w:i w:val="1"/>
          <w:iCs w:val="1"/>
          <w:color w:val="auto"/>
        </w:rPr>
        <w:t xml:space="preserve"> </w:t>
      </w:r>
      <w:r>
        <w:rPr>
          <w:rFonts w:ascii="Arial" w:cs="Arial" w:eastAsia="Arial" w:hAnsi="Arial"/>
          <w:sz w:val="15"/>
          <w:szCs w:val="15"/>
          <w:color w:val="auto"/>
        </w:rPr>
        <w:t>2008. The increase in the operating loss is mainly due to the above mentioned increase in the cost of revenues and the increase in research and development expenses as a result of including Jazz costs for the six months ended June 30, 2009 (as compared to not including those costs before the merger date).</w:t>
      </w:r>
    </w:p>
    <w:p>
      <w:pPr>
        <w:sectPr>
          <w:pgSz w:w="11900" w:h="16855" w:orient="portrait"/>
          <w:cols w:equalWidth="0" w:num="1">
            <w:col w:w="11420"/>
          </w:cols>
          <w:pgMar w:left="240" w:top="125" w:right="239" w:bottom="0" w:gutter="0" w:footer="0" w:header="0"/>
        </w:sectPr>
      </w:pPr>
    </w:p>
    <w:bookmarkStart w:id="15" w:name="page16"/>
    <w:bookmarkEnd w:id="15"/>
    <w:p>
      <w:pPr>
        <w:ind w:right="100" w:firstLine="351"/>
        <w:spacing w:after="0" w:line="256" w:lineRule="auto"/>
        <w:rPr>
          <w:sz w:val="20"/>
          <w:szCs w:val="20"/>
          <w:color w:val="auto"/>
        </w:rPr>
      </w:pPr>
      <w:r>
        <w:rPr>
          <w:rFonts w:ascii="Arial" w:cs="Arial" w:eastAsia="Arial" w:hAnsi="Arial"/>
          <w:sz w:val="18"/>
          <w:szCs w:val="18"/>
          <w:i w:val="1"/>
          <w:iCs w:val="1"/>
          <w:color w:val="auto"/>
        </w:rPr>
        <w:t>Financing Expenses, Net</w:t>
      </w:r>
      <w:r>
        <w:rPr>
          <w:rFonts w:ascii="Arial" w:cs="Arial" w:eastAsia="Arial" w:hAnsi="Arial"/>
          <w:sz w:val="18"/>
          <w:szCs w:val="18"/>
          <w:color w:val="auto"/>
        </w:rPr>
        <w:t>. Financing expenses, net for the six months ended June 30, 2009 were $10.3 million compared to financing expenses, net of $15.6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six months ended June 30, 2008. This overall decrease, despite the additional expenses related to Jazz’s convertible notes included in the six months ended June 30, 2009, is mainly due to the effect of the decrease in 2008 in the exchange rate of dollar in relation to the NIS on our NIS denominated debentures.</w:t>
      </w:r>
    </w:p>
    <w:p>
      <w:pPr>
        <w:spacing w:after="0" w:line="19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i w:val="1"/>
          <w:iCs w:val="1"/>
          <w:color w:val="auto"/>
        </w:rPr>
        <w:t>Loss</w:t>
      </w:r>
      <w:r>
        <w:rPr>
          <w:rFonts w:ascii="Arial" w:cs="Arial" w:eastAsia="Arial" w:hAnsi="Arial"/>
          <w:sz w:val="18"/>
          <w:szCs w:val="18"/>
          <w:color w:val="auto"/>
        </w:rPr>
        <w:t>. Loss for the six months ended June 30, 2009 was $58.8 million as compared to $60.9 million for the six months ended June 30, 2008. This decrease is</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mainly to the $5.3 million decrease in financing expenses and $2.9 million tax benefit recorded in the six months ended June 30, 2009 which was partially offset by $7.1 million higher operating loss, as described above.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 and Currency Fluctuations</w:t>
      </w:r>
    </w:p>
    <w:p>
      <w:pPr>
        <w:spacing w:after="0" w:line="312"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dollar cost of our operations in Israel is influenced by changes in the rate of inflation in Israel and the extent to which such change is not offset by the change in valuation of the NIS in relation to the dollar. During the six months ended June 30, 2009, the exchange rate of the dollar in relation to the NIS increased by 3.1% and the Israeli Consumer Price Index (“CPI”) increased by 2.1% (during the six months ended June 30, 2008 there was a decrease of 12.8% in the exchange rate of the dollar in relation to the NIS and an increase of 2.3% in the CPI).</w:t>
      </w:r>
    </w:p>
    <w:p>
      <w:pPr>
        <w:spacing w:after="0" w:line="197"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believe that the rate of inflation in Israel has not had a material effect on our business to date. However, our dollar costs will increase if inflation in Israel exceeds the devaluation of the NIS against the dollar, or if the timing of such devaluation lags behind inflation in Israel.</w:t>
      </w:r>
    </w:p>
    <w:p>
      <w:pPr>
        <w:spacing w:after="0" w:line="186" w:lineRule="exact"/>
        <w:rPr>
          <w:sz w:val="20"/>
          <w:szCs w:val="20"/>
          <w:color w:val="auto"/>
        </w:rPr>
      </w:pPr>
    </w:p>
    <w:p>
      <w:pPr>
        <w:ind w:right="180" w:firstLine="341"/>
        <w:spacing w:after="0" w:line="332" w:lineRule="auto"/>
        <w:rPr>
          <w:sz w:val="20"/>
          <w:szCs w:val="20"/>
          <w:color w:val="auto"/>
        </w:rPr>
      </w:pPr>
      <w:r>
        <w:rPr>
          <w:rFonts w:ascii="Arial" w:cs="Arial" w:eastAsia="Arial" w:hAnsi="Arial"/>
          <w:sz w:val="16"/>
          <w:szCs w:val="16"/>
          <w:color w:val="auto"/>
        </w:rPr>
        <w:t>Almost all of the cash generated from our operations and from our financing and investing activities is denominated in U.S. dollars and NIS. Our expenses and costs are denominated in NIS, U.S. dollars, Japanese Yen and Euros. We are, therefore, exposed to the risk of currency exchange rate fluctuations.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June 30, 2009, we had an aggregate of $38.1 million in cash and cash equivalents. This compares to $34.9 million we had as of December 31, 2008.</w:t>
      </w:r>
    </w:p>
    <w:p>
      <w:pPr>
        <w:spacing w:after="0" w:line="248"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During the six months ended June 30, 2009, we raised $20.0 million through capital notes in connection with TIC investment (for further details see Notes 5A to the unaudited condensed interim consolidated financial statements as of June 30, 2009) and generated a net amount of $5.2 million from our operating activities. The above mentioned liquidity resources financed the capital investments we made during the six months ended June 30, 2009, which aggregated to an amount of $12.2 million, and the repayment of debentures and other debt in the total amount of $9.6 million.</w:t>
      </w:r>
    </w:p>
    <w:p>
      <w:pPr>
        <w:spacing w:after="0" w:line="167" w:lineRule="exact"/>
        <w:rPr>
          <w:sz w:val="20"/>
          <w:szCs w:val="20"/>
          <w:color w:val="auto"/>
        </w:rPr>
      </w:pPr>
    </w:p>
    <w:p>
      <w:pPr>
        <w:ind w:right="500" w:firstLine="341"/>
        <w:spacing w:after="0" w:line="268" w:lineRule="auto"/>
        <w:rPr>
          <w:sz w:val="20"/>
          <w:szCs w:val="20"/>
          <w:color w:val="auto"/>
        </w:rPr>
      </w:pPr>
      <w:r>
        <w:rPr>
          <w:rFonts w:ascii="Arial" w:cs="Arial" w:eastAsia="Arial" w:hAnsi="Arial"/>
          <w:sz w:val="18"/>
          <w:szCs w:val="18"/>
          <w:color w:val="auto"/>
        </w:rPr>
        <w:t>As of June 30, 2009, we had loans from banks in the amount of $217.1 million, of which $7.0 million are presented as short-term. As of such date, we presented an aggregate of $219.5 million of debentures (the carrying amounts) in our balance sheet.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also Note 1B to the unaudited condensed interim consolidated financial statements as of June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00"/>
      </w:cols>
      <w:pgMar w:left="240" w:top="13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upperLetter"/>
      <w:start w:val="1"/>
    </w:lvl>
    <w:lvl w:ilvl="1">
      <w:lvlJc w:val="left"/>
      <w:lvlText w:val="(%2)"/>
      <w:numFmt w:val="decimal"/>
      <w:start w:val="1"/>
    </w:lvl>
  </w:abstractNum>
  <w:abstractNum w:abstractNumId="1">
    <w:nsid w:val="12200854"/>
    <w:multiLevelType w:val="hybridMultilevel"/>
    <w:lvl w:ilvl="0">
      <w:lvlJc w:val="left"/>
      <w:lvlText w:val="%1."/>
      <w:numFmt w:val="upperLetter"/>
      <w:start w:val="1"/>
    </w:lvl>
    <w:lvl w:ilvl="1">
      <w:lvlJc w:val="left"/>
      <w:lvlText w:val="(%2)"/>
      <w:numFmt w:val="decimal"/>
      <w:start w:val="3"/>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upperLetter"/>
      <w:start w:val="1"/>
    </w:lvl>
    <w:lvl w:ilvl="1">
      <w:lvlJc w:val="left"/>
      <w:lvlText w:val="(%2)"/>
      <w:numFmt w:val="decimal"/>
      <w:start w:val="3"/>
    </w:lvl>
  </w:abstractNum>
  <w:abstractNum w:abstractNumId="4">
    <w:nsid w:val="1F16E9E8"/>
    <w:multiLevelType w:val="hybridMultilevel"/>
    <w:lvl w:ilvl="0">
      <w:lvlJc w:val="left"/>
      <w:lvlText w:val="%1."/>
      <w:numFmt w:val="upperLetter"/>
      <w:start w:val="1"/>
    </w:lvl>
    <w:lvl w:ilvl="1">
      <w:lvlJc w:val="left"/>
      <w:lvlText w:val="(%2)"/>
      <w:numFmt w:val="decimal"/>
      <w:start w:val="3"/>
    </w:lvl>
  </w:abstractNum>
  <w:abstractNum w:abstractNumId="5">
    <w:nsid w:val="1190CDE7"/>
    <w:multiLevelType w:val="hybridMultilevel"/>
    <w:lvl w:ilvl="0">
      <w:lvlJc w:val="left"/>
      <w:lvlText w:val="%1."/>
      <w:numFmt w:val="upperLetter"/>
      <w:start w:val="1"/>
    </w:lvl>
    <w:lvl w:ilvl="1">
      <w:lvlJc w:val="left"/>
      <w:lvlText w:val="(%2)"/>
      <w:numFmt w:val="decimal"/>
      <w:start w:val="3"/>
    </w:lvl>
  </w:abstractNum>
  <w:abstractNum w:abstractNumId="6">
    <w:nsid w:val="66EF438D"/>
    <w:multiLevelType w:val="hybridMultilevel"/>
    <w:lvl w:ilvl="0">
      <w:lvlJc w:val="left"/>
      <w:lvlText w:val="%1."/>
      <w:numFmt w:val="upperLetter"/>
      <w:start w:val="1"/>
    </w:lvl>
    <w:lvl w:ilvl="1">
      <w:lvlJc w:val="left"/>
      <w:lvlText w:val="(%2)"/>
      <w:numFmt w:val="decimal"/>
      <w:start w:val="3"/>
    </w:lvl>
  </w:abstractNum>
  <w:abstractNum w:abstractNumId="7">
    <w:nsid w:val="140E0F76"/>
    <w:multiLevelType w:val="hybridMultilevel"/>
    <w:lvl w:ilvl="0">
      <w:lvlJc w:val="left"/>
      <w:lvlText w:val="%1."/>
      <w:numFmt w:val="upperLetter"/>
      <w:start w:val="1"/>
    </w:lvl>
    <w:lvl w:ilvl="1">
      <w:lvlJc w:val="left"/>
      <w:lvlText w:val="(%2)"/>
      <w:numFmt w:val="decimal"/>
      <w:start w:val="3"/>
    </w:lvl>
  </w:abstractNum>
  <w:abstractNum w:abstractNumId="8">
    <w:nsid w:val="3352255A"/>
    <w:multiLevelType w:val="hybridMultilevel"/>
    <w:lvl w:ilvl="0">
      <w:lvlJc w:val="left"/>
      <w:lvlText w:val="%1."/>
      <w:numFmt w:val="upperLetter"/>
      <w:start w:val="1"/>
    </w:lvl>
    <w:lvl w:ilvl="1">
      <w:lvlJc w:val="left"/>
      <w:lvlText w:val="(%2)"/>
      <w:numFmt w:val="decimal"/>
      <w:start w:val="4"/>
    </w:lvl>
  </w:abstractNum>
  <w:abstractNum w:abstractNumId="9">
    <w:nsid w:val="109CF92E"/>
    <w:multiLevelType w:val="hybridMultilevel"/>
    <w:lvl w:ilvl="0">
      <w:lvlJc w:val="left"/>
      <w:lvlText w:val="%1."/>
      <w:numFmt w:val="upperLetter"/>
      <w:start w:val="2"/>
    </w:lvl>
  </w:abstractNum>
  <w:abstractNum w:abstractNumId="10">
    <w:nsid w:val="DED7263"/>
    <w:multiLevelType w:val="hybridMultilevel"/>
    <w:lvl w:ilvl="0">
      <w:lvlJc w:val="left"/>
      <w:lvlText w:val="(%1)"/>
      <w:numFmt w:val="upperLetter"/>
      <w:start w:val="1"/>
    </w:lvl>
  </w:abstractNum>
  <w:abstractNum w:abstractNumId="11">
    <w:nsid w:val="7FDCC233"/>
    <w:multiLevelType w:val="hybridMultilevel"/>
    <w:lvl w:ilvl="0">
      <w:lvlJc w:val="left"/>
      <w:lvlText w:val="(%1)"/>
      <w:numFmt w:val="upperLetter"/>
      <w:start w:val="2"/>
    </w:lvl>
  </w:abstractNum>
  <w:abstractNum w:abstractNumId="12">
    <w:nsid w:val="1BEFD79F"/>
    <w:multiLevelType w:val="hybridMultilevel"/>
    <w:lvl w:ilvl="0">
      <w:lvlJc w:val="left"/>
      <w:lvlText w:val="%1."/>
      <w:numFmt w:val="upperLetter"/>
      <w:start w:val="1"/>
    </w:lvl>
  </w:abstractNum>
  <w:abstractNum w:abstractNumId="13">
    <w:nsid w:val="41A7C4C9"/>
    <w:multiLevelType w:val="hybridMultilevel"/>
    <w:lvl w:ilvl="0">
      <w:lvlJc w:val="left"/>
      <w:lvlText w:val="%1."/>
      <w:numFmt w:val="upperLetter"/>
      <w:start w:val="2"/>
    </w:lvl>
  </w:abstractNum>
  <w:abstractNum w:abstractNumId="14">
    <w:nsid w:val="6B68079A"/>
    <w:multiLevelType w:val="hybridMultilevel"/>
    <w:lvl w:ilvl="0">
      <w:lvlJc w:val="left"/>
      <w:lvlText w:val="%1."/>
      <w:numFmt w:val="upperLetter"/>
      <w:start w:val="3"/>
    </w:lvl>
  </w:abstractNum>
  <w:abstractNum w:abstractNumId="15">
    <w:nsid w:val="4E6AFB66"/>
    <w:multiLevelType w:val="hybridMultilevel"/>
    <w:lvl w:ilvl="0">
      <w:lvlJc w:val="left"/>
      <w:lvlText w:val="%1."/>
      <w:numFmt w:val="upperLetter"/>
      <w:start w:val="6"/>
    </w:lvl>
  </w:abstractNum>
  <w:abstractNum w:abstractNumId="16">
    <w:nsid w:val="25E45D32"/>
    <w:multiLevelType w:val="hybridMultilevel"/>
    <w:lvl w:ilvl="0">
      <w:lvlJc w:val="left"/>
      <w:lvlText w:val="%1."/>
      <w:numFmt w:val="upperLetter"/>
      <w:start w:val="9"/>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2019-12-10T12:47:14Z</dcterms:created>
  <dcterms:modified xsi:type="dcterms:W3CDTF">2019-12-10T12:47:14Z</dcterms:modified>
</cp:coreProperties>
</file>