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spacing w:lineRule="auto" w:line="300"/>
        <w:jc w:val="center"/>
        <w:rPr/>
      </w:pPr>
      <w:r>
        <w:rPr/>
      </w:r>
      <w:bookmarkStart w:id="0" w:name="zk2534085.htm"/>
      <w:bookmarkStart w:id="1" w:name="kszk2534085"/>
      <w:bookmarkStart w:id="2" w:name="zk2534085.htm"/>
      <w:bookmarkStart w:id="3" w:name="kszk2534085"/>
      <w:bookmarkEnd w:id="2"/>
      <w:bookmarkEnd w:id="3"/>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br/>
        <w:t>FORM 6-K</w:t>
      </w:r>
    </w:p>
    <w:p>
      <w:pPr>
        <w:pStyle w:val="TextBody"/>
        <w:bidi w:val="0"/>
        <w:spacing w:lineRule="auto" w:line="300" w:before="0" w:after="0"/>
        <w:jc w:val="left"/>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r>
    </w:p>
    <w:p>
      <w:pPr>
        <w:pStyle w:val="TextBody"/>
        <w:bidi w:val="0"/>
        <w:spacing w:lineRule="auto" w:line="300" w:before="0" w:after="0"/>
        <w:jc w:val="center"/>
        <w:rPr>
          <w:rFonts w:ascii="Times New Roman;Times;serif" w:hAnsi="Times New Roman;Times;serif"/>
          <w:b/>
          <w:i w:val="false"/>
          <w:caps w:val="false"/>
          <w:smallCaps w:val="false"/>
          <w:color w:val="000000"/>
          <w:sz w:val="28"/>
          <w:shd w:fill="FFFFFF" w:val="clear"/>
        </w:rPr>
      </w:pPr>
      <w:r>
        <w:rPr>
          <w:rFonts w:ascii="Times New Roman;Times;serif" w:hAnsi="Times New Roman;Times;serif"/>
          <w:b/>
          <w:i w:val="false"/>
          <w:caps w:val="false"/>
          <w:smallCaps w:val="false"/>
          <w:color w:val="000000"/>
          <w:sz w:val="28"/>
          <w:shd w:fill="FFFFFF" w:val="clear"/>
        </w:rPr>
        <w:t>SECURITIES AND EXCHANGE COMMISSION</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W</w:t>
      </w:r>
      <w:r>
        <w:rPr>
          <w:rFonts w:ascii="Times New Roman;Times;serif" w:hAnsi="Times New Roman;Times;serif"/>
          <w:color w:val="000000"/>
          <w:sz w:val="20"/>
        </w:rPr>
        <w:t xml:space="preserve">ashington, D.C. </w:t>
      </w:r>
      <w:r>
        <w:rPr>
          <w:rFonts w:ascii="Times New Roman;Times;serif" w:hAnsi="Times New Roman;Times;serif"/>
          <w:smallCaps/>
          <w:color w:val="000000"/>
          <w:sz w:val="20"/>
        </w:rPr>
        <w:t>20549</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smallCaps/>
          <w:color w:val="000000"/>
          <w:sz w:val="20"/>
        </w:rPr>
        <w:t>F</w:t>
      </w:r>
      <w:r>
        <w:rPr>
          <w:rFonts w:ascii="Times New Roman;Times;serif" w:hAnsi="Times New Roman;Times;serif"/>
          <w:color w:val="000000"/>
          <w:sz w:val="20"/>
        </w:rPr>
        <w:t>or the month December 2025 No. 1</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i w:val="false"/>
          <w:caps w:val="false"/>
          <w:smallCaps w:val="false"/>
          <w:color w:val="000000"/>
          <w:sz w:val="32"/>
          <w:shd w:fill="FFFFFF" w:val="clear"/>
        </w:rPr>
      </w:pPr>
      <w:r>
        <w:rPr>
          <w:rFonts w:ascii="Times New Roman;Times;serif" w:hAnsi="Times New Roman;Times;serif"/>
          <w:b/>
          <w:i w:val="false"/>
          <w:caps w:val="false"/>
          <w:smallCaps w:val="false"/>
          <w:color w:val="000000"/>
          <w:sz w:val="32"/>
          <w:shd w:fill="FFFFFF" w:val="clear"/>
        </w:rPr>
        <w:t>TOWER SEMICONDUCTOR LTD.</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(Translation of registrant's name into English)</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Ramat Gavriel Industrial Park</w:t>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P.O. Box 619, Migdal Haemek, Israel 2310502</w:t>
      </w:r>
    </w:p>
    <w:p>
      <w:pPr>
        <w:pStyle w:val="TextBody"/>
        <w:bidi w:val="0"/>
        <w:spacing w:lineRule="auto" w:line="300" w:before="0" w:after="0"/>
        <w:jc w:val="center"/>
        <w:rPr>
          <w:color w:val="000000"/>
        </w:rPr>
      </w:pPr>
      <w:r>
        <w:rPr>
          <w:color w:val="000000"/>
        </w:rPr>
        <w:t>  </w:t>
      </w:r>
      <w:r>
        <w:rPr>
          <w:rFonts w:ascii="Times New Roman;Times;serif" w:hAnsi="Times New Roman;Times;serif"/>
          <w:color w:val="000000"/>
          <w:sz w:val="20"/>
        </w:rPr>
        <w:t>(Address of principal executive offices)</w:t>
      </w:r>
    </w:p>
    <w:p>
      <w:pPr>
        <w:pStyle w:val="TextBody"/>
        <w:bidi w:val="0"/>
        <w:spacing w:lineRule="auto" w:line="300" w:before="0" w:after="0"/>
        <w:jc w:val="left"/>
        <w:rPr/>
      </w:pPr>
      <w:r>
        <w:rPr/>
      </w:r>
    </w:p>
    <w:p>
      <w:pPr>
        <w:pStyle w:val="TextBody"/>
        <w:bidi w:val="0"/>
        <w:spacing w:lineRule="auto" w:line="300" w:before="0" w:after="0"/>
        <w:ind w:left="0" w:right="0" w:firstLine="720"/>
        <w:jc w:val="left"/>
        <w:rPr>
          <w:rFonts w:ascii="Times New Roman;Times;serif" w:hAnsi="Times New Roman;Times;serif"/>
          <w:color w:val="000000"/>
          <w:sz w:val="20"/>
        </w:rPr>
      </w:pPr>
      <w:r>
        <w:rPr>
          <w:rFonts w:ascii="Times New Roman;Times;serif" w:hAnsi="Times New Roman;Times;serif"/>
          <w:color w:val="000000"/>
          <w:sz w:val="20"/>
        </w:rPr>
        <w:t>Indicate by check mark whether the registrant files or will file annual reports under cover Form 20-F or Form 40-F.</w:t>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Form 20-F ☒           Form 40-F ☐</w:t>
      </w:r>
    </w:p>
    <w:p>
      <w:pPr>
        <w:pStyle w:val="TextBody"/>
        <w:bidi w:val="0"/>
        <w:spacing w:lineRule="auto" w:line="300" w:before="0" w:after="0"/>
        <w:jc w:val="center"/>
        <w:rPr>
          <w:color w:val="000000"/>
        </w:rPr>
      </w:pPr>
      <w:r>
        <w:rPr>
          <w:color w:val="000000"/>
        </w:rPr>
        <w:t> </w:t>
      </w:r>
    </w:p>
    <w:p>
      <w:pPr>
        <w:pStyle w:val="TextBody"/>
        <w:bidi w:val="0"/>
        <w:spacing w:lineRule="auto" w:line="300" w:before="0" w:after="0"/>
        <w:ind w:left="0" w:right="0" w:firstLine="720"/>
        <w:jc w:val="both"/>
        <w:rPr>
          <w:rFonts w:ascii="Times New Roman;Times;serif" w:hAnsi="Times New Roman;Times;serif"/>
          <w:color w:val="000000"/>
          <w:sz w:val="20"/>
        </w:rPr>
      </w:pPr>
      <w:r>
        <w:rPr>
          <w:rFonts w:ascii="Times New Roman;Times;serif" w:hAnsi="Times New Roman;Times;serif"/>
          <w:color w:val="000000"/>
          <w:sz w:val="20"/>
        </w:rPr>
        <w:t>Indicate by check mark whether the registrant by furnishing the information contained in this Form is also thereby furnishing the information to the Commission pursuant to Rule 12g3-2(b) under the Securities Exchange Act of 1934.</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center"/>
        <w:rPr>
          <w:rFonts w:ascii="Times New Roman;Times;serif" w:hAnsi="Times New Roman;Times;serif"/>
          <w:color w:val="000000"/>
          <w:sz w:val="20"/>
        </w:rPr>
      </w:pPr>
      <w:r>
        <w:rPr>
          <w:rFonts w:ascii="Times New Roman;Times;serif" w:hAnsi="Times New Roman;Times;serif"/>
          <w:color w:val="000000"/>
          <w:sz w:val="20"/>
        </w:rPr>
        <w:t>Yes ☐           No ☒</w:t>
      </w:r>
    </w:p>
    <w:p>
      <w:pPr>
        <w:pStyle w:val="TextBody"/>
        <w:bidi w:val="0"/>
        <w:spacing w:lineRule="auto" w:line="300" w:before="0" w:after="0"/>
        <w:ind w:left="0" w:right="0" w:firstLine="72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240" w:before="0" w:after="0"/>
        <w:jc w:val="center"/>
        <w:rPr>
          <w:rFonts w:ascii="Times New Roman;Times;serif" w:hAnsi="Times New Roman;Times;serif"/>
          <w:b/>
          <w:color w:val="000000"/>
          <w:sz w:val="20"/>
        </w:rPr>
      </w:pPr>
      <w:r>
        <w:rPr>
          <w:rFonts w:ascii="Times New Roman;Times;serif" w:hAnsi="Times New Roman;Times;serif"/>
          <w:b/>
          <w:color w:val="000000"/>
          <w:sz w:val="20"/>
        </w:rPr>
        <w:t>On December 3, 2025, the Registrant to Attend the Barclays 23rd Annual Global Technology Conference</w:t>
      </w:r>
    </w:p>
    <w:p>
      <w:pPr>
        <w:pStyle w:val="TextBody"/>
        <w:bidi w:val="0"/>
        <w:spacing w:lineRule="auto" w:line="300" w:before="0" w:after="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spacing w:lineRule="auto" w:line="300" w:before="0" w:after="0"/>
        <w:jc w:val="left"/>
        <w:rPr/>
      </w:pPr>
      <w:r>
        <w:rPr/>
      </w:r>
    </w:p>
    <w:p>
      <w:pPr>
        <w:pStyle w:val="TextBody"/>
        <w:bidi w:val="0"/>
        <w:spacing w:lineRule="auto" w:line="300" w:before="0" w:after="0"/>
        <w:jc w:val="center"/>
        <w:rPr>
          <w:rFonts w:ascii="Times New Roman;Times;serif" w:hAnsi="Times New Roman;Times;serif"/>
          <w:b/>
          <w:color w:val="000000"/>
          <w:sz w:val="20"/>
        </w:rPr>
      </w:pPr>
      <w:r>
        <w:rPr>
          <w:rFonts w:ascii="Times New Roman;Times;serif" w:hAnsi="Times New Roman;Times;serif"/>
          <w:b/>
          <w:color w:val="000000"/>
          <w:sz w:val="20"/>
        </w:rPr>
        <w:t>SIGNATURES</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300" w:before="0" w:after="0"/>
        <w:jc w:val="left"/>
        <w:rPr>
          <w:color w:val="000000"/>
        </w:rPr>
      </w:pPr>
      <w:r>
        <w:rPr>
          <w:color w:val="000000"/>
        </w:rPr>
        <w:t> </w:t>
      </w:r>
    </w:p>
    <w:p>
      <w:pPr>
        <w:pStyle w:val="Normal"/>
        <w:bidi w:val="0"/>
        <w:spacing w:before="0" w:after="0"/>
        <w:jc w:val="left"/>
        <w:rPr>
          <w:sz w:val="4"/>
          <w:szCs w:val="4"/>
        </w:rPr>
      </w:pPr>
      <w:r>
        <w:rPr>
          <w:sz w:val="4"/>
          <w:szCs w:val="4"/>
        </w:rPr>
      </w:r>
      <w:bookmarkStart w:id="4" w:name="z0ca492b4c633495d8898165d0403bb69"/>
      <w:bookmarkStart w:id="5" w:name="z0ca492b4c633495d8898165d0403bb69"/>
      <w:bookmarkEnd w:id="5"/>
    </w:p>
    <w:tbl>
      <w:tblPr>
        <w:tblW w:w="7314" w:type="dxa"/>
        <w:jc w:val="left"/>
        <w:tblInd w:w="0" w:type="dxa"/>
        <w:tblLayout w:type="fixed"/>
        <w:tblCellMar>
          <w:top w:w="0" w:type="dxa"/>
          <w:left w:w="0" w:type="dxa"/>
          <w:bottom w:w="0" w:type="dxa"/>
          <w:right w:w="0" w:type="dxa"/>
        </w:tblCellMar>
      </w:tblPr>
      <w:tblGrid>
        <w:gridCol w:w="3380"/>
        <w:gridCol w:w="497"/>
        <w:gridCol w:w="3362"/>
        <w:gridCol w:w="75"/>
      </w:tblGrid>
      <w:tr>
        <w:trPr/>
        <w:tc>
          <w:tcPr>
            <w:tcW w:w="3380" w:type="dxa"/>
            <w:tcBorders/>
            <w:vAlign w:val="center"/>
          </w:tcPr>
          <w:p>
            <w:pPr>
              <w:pStyle w:val="TableContents"/>
              <w:bidi w:val="0"/>
              <w:spacing w:lineRule="auto" w:line="300" w:before="0" w:after="0"/>
              <w:jc w:val="left"/>
              <w:rPr/>
            </w:pPr>
            <w:r>
              <w:rPr/>
              <w:t> </w:t>
            </w:r>
          </w:p>
        </w:tc>
        <w:tc>
          <w:tcPr>
            <w:tcW w:w="3859" w:type="dxa"/>
            <w:gridSpan w:val="2"/>
            <w:tcBorders/>
            <w:vAlign w:val="center"/>
          </w:tcPr>
          <w:p>
            <w:pPr>
              <w:pStyle w:val="TableContents"/>
              <w:bidi w:val="0"/>
              <w:spacing w:lineRule="auto" w:line="300" w:before="0" w:after="0"/>
              <w:jc w:val="left"/>
              <w:rPr>
                <w:b/>
              </w:rPr>
            </w:pPr>
            <w:r>
              <w:rPr>
                <w:b/>
              </w:rPr>
              <w:t>TOWER SEMICONDUCTOR LTD.</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xml:space="preserve">                 </w:t>
            </w:r>
            <w:r>
              <w:rPr/>
              <w:t>Date: December 3, 2025</w:t>
            </w:r>
          </w:p>
        </w:tc>
        <w:tc>
          <w:tcPr>
            <w:tcW w:w="497" w:type="dxa"/>
            <w:tcBorders/>
            <w:vAlign w:val="center"/>
          </w:tcPr>
          <w:p>
            <w:pPr>
              <w:pStyle w:val="TableContents"/>
              <w:bidi w:val="0"/>
              <w:spacing w:lineRule="auto" w:line="300" w:before="0" w:after="0"/>
              <w:jc w:val="left"/>
              <w:rPr/>
            </w:pPr>
            <w:r>
              <w:rPr/>
              <w:t>By:</w:t>
            </w:r>
          </w:p>
        </w:tc>
        <w:tc>
          <w:tcPr>
            <w:tcW w:w="3362" w:type="dxa"/>
            <w:tcBorders>
              <w:bottom w:val="single" w:sz="12" w:space="0" w:color="000000"/>
            </w:tcBorders>
            <w:tcMar>
              <w:bottom w:w="28" w:type="dxa"/>
            </w:tcMar>
            <w:vAlign w:val="center"/>
          </w:tcPr>
          <w:p>
            <w:pPr>
              <w:pStyle w:val="TableContents"/>
              <w:bidi w:val="0"/>
              <w:spacing w:lineRule="auto" w:line="300" w:before="0" w:after="0"/>
              <w:jc w:val="left"/>
              <w:rPr/>
            </w:pPr>
            <w:r>
              <w:rPr/>
              <w:t>/s/ Nati Somekh</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Name: Nati Somekh</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Title: Corporate Secretary</w:t>
            </w:r>
          </w:p>
        </w:tc>
        <w:tc>
          <w:tcPr>
            <w:tcW w:w="75" w:type="dxa"/>
            <w:tcBorders/>
            <w:vAlign w:val="center"/>
          </w:tcPr>
          <w:p>
            <w:pPr>
              <w:pStyle w:val="TableContents"/>
              <w:bidi w:val="0"/>
              <w:spacing w:lineRule="auto" w:line="300" w:before="0" w:after="0"/>
              <w:jc w:val="left"/>
              <w:rPr/>
            </w:pPr>
            <w:r>
              <w:rPr/>
              <w:t> </w:t>
            </w:r>
          </w:p>
        </w:tc>
      </w:tr>
      <w:tr>
        <w:trPr/>
        <w:tc>
          <w:tcPr>
            <w:tcW w:w="3380" w:type="dxa"/>
            <w:tcBorders/>
            <w:vAlign w:val="center"/>
          </w:tcPr>
          <w:p>
            <w:pPr>
              <w:pStyle w:val="TableContents"/>
              <w:bidi w:val="0"/>
              <w:spacing w:lineRule="auto" w:line="300" w:before="0" w:after="0"/>
              <w:jc w:val="left"/>
              <w:rPr/>
            </w:pPr>
            <w:r>
              <w:rPr/>
              <w:t> </w:t>
            </w:r>
          </w:p>
        </w:tc>
        <w:tc>
          <w:tcPr>
            <w:tcW w:w="497" w:type="dxa"/>
            <w:tcBorders/>
            <w:vAlign w:val="center"/>
          </w:tcPr>
          <w:p>
            <w:pPr>
              <w:pStyle w:val="TableContents"/>
              <w:bidi w:val="0"/>
              <w:spacing w:lineRule="auto" w:line="300" w:before="0" w:after="0"/>
              <w:jc w:val="left"/>
              <w:rPr/>
            </w:pPr>
            <w:r>
              <w:rPr/>
              <w:t> </w:t>
            </w:r>
          </w:p>
        </w:tc>
        <w:tc>
          <w:tcPr>
            <w:tcW w:w="3362" w:type="dxa"/>
            <w:tcBorders/>
            <w:vAlign w:val="center"/>
          </w:tcPr>
          <w:p>
            <w:pPr>
              <w:pStyle w:val="TableContents"/>
              <w:bidi w:val="0"/>
              <w:spacing w:lineRule="auto" w:line="300" w:before="0" w:after="0"/>
              <w:jc w:val="left"/>
              <w:rPr/>
            </w:pPr>
            <w:r>
              <w:rPr/>
              <w:t> </w:t>
            </w:r>
          </w:p>
        </w:tc>
        <w:tc>
          <w:tcPr>
            <w:tcW w:w="75" w:type="dxa"/>
            <w:tcBorders/>
            <w:vAlign w:val="center"/>
          </w:tcPr>
          <w:p>
            <w:pPr>
              <w:pStyle w:val="TableContents"/>
              <w:bidi w:val="0"/>
              <w:spacing w:lineRule="auto" w:line="300" w:before="0" w:after="0"/>
              <w:jc w:val="left"/>
              <w:rPr/>
            </w:pPr>
            <w:r>
              <w:rPr/>
              <w:t> </w:t>
            </w:r>
          </w:p>
        </w:tc>
      </w:tr>
    </w:tbl>
    <w:p>
      <w:pPr>
        <w:pStyle w:val="TextBody"/>
        <w:bidi w:val="0"/>
        <w:spacing w:lineRule="auto" w:line="300" w:before="0" w:after="0"/>
        <w:jc w:val="left"/>
        <w:rPr/>
      </w:pPr>
      <w:r>
        <w:rPr/>
      </w:r>
    </w:p>
    <w:p>
      <w:pPr>
        <w:pStyle w:val="HorizontalLine"/>
        <w:pBdr>
          <w:bottom w:val="single" w:sz="12" w:space="0" w:color="808080"/>
        </w:pBdr>
        <w:bidi w:val="0"/>
        <w:spacing w:before="200" w:after="200"/>
        <w:jc w:val="left"/>
        <w:rPr/>
      </w:pPr>
      <w:r>
        <w:rPr/>
      </w:r>
    </w:p>
    <w:p>
      <w:pPr>
        <w:pStyle w:val="TextBody"/>
        <w:bidi w:val="0"/>
        <w:spacing w:lineRule="auto" w:line="300" w:before="0" w:after="0"/>
        <w:ind w:left="0" w:right="0" w:firstLine="720"/>
        <w:jc w:val="left"/>
        <w:rPr>
          <w:color w:val="000000"/>
        </w:rPr>
      </w:pPr>
      <w:r>
        <w:rPr>
          <w:color w:val="000000"/>
        </w:rPr>
        <w:t xml:space="preserve">  </w:t>
      </w:r>
    </w:p>
    <w:p>
      <w:pPr>
        <w:pStyle w:val="TextBody"/>
        <w:bidi w:val="0"/>
        <w:spacing w:lineRule="auto" w:line="300" w:before="0" w:after="0"/>
        <w:jc w:val="left"/>
        <w:rPr/>
      </w:pPr>
      <w:r>
        <w:rPr/>
      </w:r>
    </w:p>
    <w:p>
      <w:pPr>
        <w:pStyle w:val="TextBody"/>
        <w:bidi w:val="0"/>
        <w:spacing w:lineRule="auto" w:line="300" w:before="0" w:after="0"/>
        <w:jc w:val="left"/>
        <w:rPr>
          <w:color w:val="000000"/>
        </w:rPr>
      </w:pPr>
      <w:r>
        <w:rPr>
          <w:color w:val="000000"/>
        </w:rPr>
        <w:drawing>
          <wp:inline distT="0" distB="0" distL="0" distR="0">
            <wp:extent cx="1066800" cy="619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66800" cy="619125"/>
                    </a:xfrm>
                    <a:prstGeom prst="rect">
                      <a:avLst/>
                    </a:prstGeom>
                  </pic:spPr>
                </pic:pic>
              </a:graphicData>
            </a:graphic>
          </wp:inline>
        </w:drawing>
      </w:r>
    </w:p>
    <w:p>
      <w:pPr>
        <w:pStyle w:val="TextBody"/>
        <w:bidi w:val="0"/>
        <w:spacing w:lineRule="auto" w:line="300" w:before="0" w:after="0"/>
        <w:jc w:val="left"/>
        <w:rPr>
          <w:color w:val="000000"/>
        </w:rPr>
      </w:pPr>
      <w:r>
        <w:rPr>
          <w:color w:val="000000"/>
        </w:rPr>
        <w:t xml:space="preserve">          </w:t>
      </w:r>
    </w:p>
    <w:p>
      <w:pPr>
        <w:pStyle w:val="TextBody"/>
        <w:bidi w:val="0"/>
        <w:spacing w:lineRule="auto" w:line="300" w:before="0" w:after="0"/>
        <w:jc w:val="center"/>
        <w:rPr>
          <w:rFonts w:ascii="Times New Roman;Times;serif" w:hAnsi="Times New Roman;Times;serif"/>
          <w:b/>
          <w:i w:val="false"/>
          <w:caps w:val="false"/>
          <w:smallCaps w:val="false"/>
          <w:color w:val="000000"/>
          <w:sz w:val="24"/>
          <w:shd w:fill="FFFFFF" w:val="clear"/>
        </w:rPr>
      </w:pPr>
      <w:r>
        <w:rPr>
          <w:rFonts w:ascii="Times New Roman;Times;serif" w:hAnsi="Times New Roman;Times;serif"/>
          <w:b/>
          <w:i w:val="false"/>
          <w:caps w:val="false"/>
          <w:smallCaps w:val="false"/>
          <w:color w:val="000000"/>
          <w:sz w:val="24"/>
          <w:shd w:fill="FFFFFF" w:val="clear"/>
        </w:rPr>
        <w:t>Tower Semiconductor to Attend the Barclays 23rd Annual Global Technology Conference</w:t>
      </w:r>
    </w:p>
    <w:p>
      <w:pPr>
        <w:pStyle w:val="TextBody"/>
        <w:bidi w:val="0"/>
        <w:spacing w:lineRule="auto" w:line="300" w:before="0" w:after="0"/>
        <w:jc w:val="left"/>
        <w:rPr>
          <w:color w:val="000000"/>
        </w:rPr>
      </w:pPr>
      <w:r>
        <w:rPr>
          <w:color w:val="000000"/>
        </w:rPr>
        <w:t> </w:t>
      </w:r>
    </w:p>
    <w:p>
      <w:pPr>
        <w:pStyle w:val="TextBody"/>
        <w:bidi w:val="0"/>
        <w:spacing w:lineRule="auto" w:line="240" w:before="0" w:after="0"/>
        <w:jc w:val="both"/>
        <w:rPr>
          <w:rFonts w:ascii="Times New Roman;Times;serif" w:hAnsi="Times New Roman;Times;serif"/>
          <w:color w:val="000000"/>
          <w:sz w:val="20"/>
        </w:rPr>
      </w:pPr>
      <w:r>
        <w:rPr>
          <w:rFonts w:ascii="Times New Roman;Times;serif" w:hAnsi="Times New Roman;Times;serif"/>
          <w:b/>
          <w:color w:val="000000"/>
          <w:sz w:val="20"/>
        </w:rPr>
        <w:t>MIGDAL HAEMEK, Israel, December 03, 2025</w:t>
      </w:r>
      <w:r>
        <w:rPr>
          <w:rFonts w:ascii="Times New Roman;Times;serif" w:hAnsi="Times New Roman;Times;serif"/>
          <w:color w:val="000000"/>
          <w:sz w:val="20"/>
        </w:rPr>
        <w:t> – Tower Semiconductor (NASDAQ/TASE: TSEM), the leading foundry of high value analog semiconductor solutions, today announced that its company representatives will participate in the Barclays 23rd Annual Global Technology Conference on Wednesday, December 10th.</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Barclays conference will take place at the Palace Hotel in San Francisco. There will be an opportunity for investors to meet one-on-one with company representatives. Interested investors should contact the conference organizers or email the investor relations team at </w:t>
      </w:r>
      <w:r>
        <w:rPr>
          <w:rFonts w:ascii="Times New Roman;Times;serif" w:hAnsi="Times New Roman;Times;serif"/>
          <w:color w:val="000000"/>
          <w:sz w:val="20"/>
          <w:u w:val="single"/>
        </w:rPr>
        <w:t>towersemi@kcsa.com</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About Tower Semiconductor</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Tower Semiconductor Ltd. (NASDAQ/TASE: TSEM), the leading foundry of high-value analog semiconductor solutions, provides technology, development, and process platforms for its customers in growing markets such as consumer, industrial, automotive, mobile, infrastructure, medical and aerospace and defense. Tower Semiconductor focuses on creating a positive and sustainable impact on the world through long-term partnerships and its advanced and innovative analog technology offering, comprised of a broad range of customizable process platforms such as SiGe, BiCMOS, mixed-signal/CMOS, RF CMOS, CMOS image sensor, non-imaging sensors, displays, integrated power management (BCD and 700V), photonics, and MEMS. Tower Semiconductor also provides world-class design enablement for a quick and accurate design cycle as well as process transfer services including development, transfer, and optimization, to IDMs and fabless companies. To provide multi-fab sourcing and extended capacity for its customers, Tower Semiconductor owns one operating facility in Israel (200mm), two in the U.S. (200mm), two in Japan (200mm and 300mm) which it owns through its 51% holdings in TPSCo, shares a 300mm facility in Agrate, Italy with STMicroelectronics as well as has access to a 300mm capacity corridor in Intel’s New Mexico factory. For more information, please visit: </w:t>
      </w:r>
      <w:r>
        <w:rPr>
          <w:rFonts w:ascii="Times New Roman;Times;serif" w:hAnsi="Times New Roman;Times;serif"/>
          <w:color w:val="000000"/>
          <w:sz w:val="20"/>
          <w:u w:val="single"/>
        </w:rPr>
        <w:t>www.towersemi.com</w:t>
      </w:r>
      <w:r>
        <w:rPr>
          <w:rFonts w:ascii="Times New Roman;Times;serif" w:hAnsi="Times New Roman;Times;serif"/>
          <w:color w:val="000000"/>
          <w:sz w:val="20"/>
        </w:rPr>
        <w:t>.</w:t>
      </w:r>
    </w:p>
    <w:p>
      <w:pPr>
        <w:pStyle w:val="TextBody"/>
        <w:bidi w:val="0"/>
        <w:spacing w:lineRule="auto" w:line="300" w:before="0" w:after="0"/>
        <w:jc w:val="left"/>
        <w:rPr>
          <w:color w:val="000000"/>
        </w:rPr>
      </w:pPr>
      <w:r>
        <w:rPr>
          <w:color w:val="000000"/>
        </w:rPr>
        <w:t> </w:t>
      </w:r>
    </w:p>
    <w:p>
      <w:pPr>
        <w:pStyle w:val="TextBody"/>
        <w:bidi w:val="0"/>
        <w:spacing w:lineRule="auto" w:line="300" w:before="0" w:after="0"/>
        <w:jc w:val="left"/>
        <w:rPr>
          <w:rFonts w:ascii="Times New Roman;Times;serif" w:hAnsi="Times New Roman;Times;serif"/>
          <w:b/>
          <w:color w:val="000000"/>
          <w:sz w:val="20"/>
        </w:rPr>
      </w:pPr>
      <w:r>
        <w:rPr>
          <w:rFonts w:ascii="Times New Roman;Times;serif" w:hAnsi="Times New Roman;Times;serif"/>
          <w:b/>
          <w:color w:val="000000"/>
          <w:sz w:val="20"/>
        </w:rPr>
        <w:t>Contact Information:</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Liat Avraham</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Investor Relations</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u w:val="single"/>
        </w:rPr>
        <w:t xml:space="preserve">liatavra@towersemi.com | </w:t>
      </w:r>
      <w:r>
        <w:rPr>
          <w:rFonts w:ascii="Times New Roman;Times;serif" w:hAnsi="Times New Roman;Times;serif"/>
          <w:color w:val="000000"/>
          <w:sz w:val="20"/>
        </w:rPr>
        <w:t>+972 4 650 6154</w:t>
      </w:r>
    </w:p>
    <w:p>
      <w:pPr>
        <w:pStyle w:val="TextBody"/>
        <w:bidi w:val="0"/>
        <w:spacing w:lineRule="auto" w:line="300" w:before="0" w:after="0"/>
        <w:jc w:val="left"/>
        <w:rPr/>
      </w:pPr>
      <w:r>
        <w:rPr/>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David Hanover</w:t>
      </w:r>
    </w:p>
    <w:p>
      <w:pPr>
        <w:pStyle w:val="TextBody"/>
        <w:bidi w:val="0"/>
        <w:spacing w:lineRule="auto" w:line="300" w:before="0" w:after="0"/>
        <w:jc w:val="left"/>
        <w:rPr>
          <w:rFonts w:ascii="Times New Roman;Times;serif" w:hAnsi="Times New Roman;Times;serif"/>
          <w:color w:val="000000"/>
          <w:sz w:val="20"/>
        </w:rPr>
      </w:pPr>
      <w:r>
        <w:rPr>
          <w:rFonts w:ascii="Times New Roman;Times;serif" w:hAnsi="Times New Roman;Times;serif"/>
          <w:color w:val="000000"/>
          <w:sz w:val="20"/>
        </w:rPr>
        <w:t>KCSA Strategic Communications</w:t>
      </w:r>
    </w:p>
    <w:p>
      <w:pPr>
        <w:pStyle w:val="TextBody"/>
        <w:bidi w:val="0"/>
        <w:spacing w:lineRule="auto" w:line="300" w:before="0" w:after="0"/>
        <w:jc w:val="both"/>
        <w:rPr>
          <w:rFonts w:ascii="Times New Roman;Times;serif" w:hAnsi="Times New Roman;Times;serif"/>
          <w:color w:val="000000"/>
          <w:sz w:val="20"/>
        </w:rPr>
      </w:pPr>
      <w:r>
        <w:rPr>
          <w:rFonts w:ascii="Times New Roman;Times;serif" w:hAnsi="Times New Roman;Times;serif"/>
          <w:color w:val="000000"/>
          <w:sz w:val="20"/>
          <w:u w:val="single"/>
        </w:rPr>
        <w:t>towersemi@kcsa.com</w:t>
      </w:r>
      <w:r>
        <w:rPr>
          <w:rFonts w:ascii="Times New Roman;Times;serif" w:hAnsi="Times New Roman;Times;serif"/>
          <w:color w:val="000000"/>
          <w:sz w:val="20"/>
        </w:rPr>
        <w:t xml:space="preserve"> | 212-682-6300</w:t>
      </w:r>
    </w:p>
    <w:p>
      <w:pPr>
        <w:pStyle w:val="TextBody"/>
        <w:bidi w:val="0"/>
        <w:spacing w:lineRule="auto" w:line="300" w:before="0" w:after="0"/>
        <w:jc w:val="both"/>
        <w:rPr/>
      </w:pPr>
      <w:r>
        <w:rPr/>
      </w:r>
    </w:p>
    <w:p>
      <w:pPr>
        <w:pStyle w:val="HorizontalLine"/>
        <w:bidi w:val="0"/>
        <w:spacing w:lineRule="auto" w:line="300"/>
        <w:jc w:val="both"/>
        <w:rPr/>
      </w:pPr>
      <w:r>
        <w:rPr/>
      </w:r>
    </w:p>
    <w:p>
      <w:pPr>
        <w:pStyle w:val="TextBody"/>
        <w:bidi w:val="0"/>
        <w:spacing w:lineRule="auto" w:line="300" w:before="0" w:after="0"/>
        <w:jc w:val="left"/>
        <w:rPr/>
      </w:pPr>
      <w:r>
        <w:rPr/>
      </w:r>
    </w:p>
    <w:p>
      <w:pPr>
        <w:pStyle w:val="TextBody"/>
        <w:bidi w:val="0"/>
        <w:spacing w:lineRule="auto" w:line="300"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474</Words>
  <Characters>2857</Characters>
  <CharactersWithSpaces>3376</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